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jc w:val="center"/>
        <w:rPr>
          <w:rFonts w:hint="eastAsia" w:ascii="方正小标宋简体" w:hAnsi="宋体" w:eastAsia="方正小标宋简体" w:cs="Times New Roman"/>
          <w:color w:val="auto"/>
          <w:kern w:val="2"/>
          <w:sz w:val="44"/>
          <w:szCs w:val="44"/>
          <w:highlight w:val="none"/>
          <w:lang w:val="en-US" w:eastAsia="zh-CN" w:bidi="ar-SA"/>
        </w:rPr>
      </w:pPr>
    </w:p>
    <w:p>
      <w:pPr>
        <w:widowControl/>
        <w:jc w:val="center"/>
        <w:rPr>
          <w:rFonts w:hint="eastAsia" w:ascii="方正小标宋简体" w:hAnsi="宋体" w:eastAsia="方正小标宋简体" w:cs="Times New Roman"/>
          <w:color w:val="auto"/>
          <w:kern w:val="2"/>
          <w:sz w:val="44"/>
          <w:szCs w:val="44"/>
          <w:highlight w:val="none"/>
          <w:lang w:val="en-US" w:eastAsia="zh-CN" w:bidi="ar-SA"/>
        </w:rPr>
      </w:pPr>
    </w:p>
    <w:p>
      <w:pPr>
        <w:widowControl/>
        <w:jc w:val="center"/>
        <w:rPr>
          <w:rFonts w:hint="eastAsia" w:ascii="方正小标宋简体" w:hAnsi="宋体" w:eastAsia="方正小标宋简体" w:cs="Times New Roman"/>
          <w:color w:val="auto"/>
          <w:kern w:val="2"/>
          <w:sz w:val="44"/>
          <w:szCs w:val="44"/>
          <w:highlight w:val="none"/>
          <w:lang w:val="en-US" w:eastAsia="zh-CN" w:bidi="ar-SA"/>
        </w:rPr>
      </w:pPr>
    </w:p>
    <w:p>
      <w:pPr>
        <w:widowControl/>
        <w:jc w:val="center"/>
        <w:rPr>
          <w:rFonts w:hint="eastAsia" w:ascii="方正小标宋简体" w:hAnsi="宋体" w:eastAsia="方正小标宋简体" w:cs="Times New Roman"/>
          <w:color w:val="auto"/>
          <w:w w:val="90"/>
          <w:kern w:val="2"/>
          <w:sz w:val="44"/>
          <w:szCs w:val="44"/>
          <w:highlight w:val="none"/>
          <w:lang w:val="en-US" w:eastAsia="zh-CN" w:bidi="ar-SA"/>
        </w:rPr>
      </w:pPr>
      <w:r>
        <w:rPr>
          <w:rFonts w:hint="eastAsia" w:ascii="方正小标宋简体" w:hAnsi="宋体" w:eastAsia="方正小标宋简体" w:cs="Times New Roman"/>
          <w:color w:val="auto"/>
          <w:w w:val="90"/>
          <w:kern w:val="2"/>
          <w:sz w:val="44"/>
          <w:szCs w:val="44"/>
          <w:highlight w:val="none"/>
          <w:lang w:val="en-US" w:eastAsia="zh-CN" w:bidi="ar-SA"/>
        </w:rPr>
        <w:t>2024年度四川省广元市中级人民法院部门决算</w:t>
      </w: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r>
        <w:rPr>
          <w:rFonts w:hint="eastAsia" w:ascii="黑体" w:hAnsi="黑体" w:eastAsia="黑体"/>
          <w:color w:val="auto"/>
          <w:sz w:val="48"/>
          <w:szCs w:val="48"/>
          <w:highlight w:val="none"/>
        </w:rPr>
        <w:t>目录</w:t>
      </w:r>
    </w:p>
    <w:p>
      <w:pPr>
        <w:pStyle w:val="14"/>
        <w:tabs>
          <w:tab w:val="right" w:leader="dot" w:pos="8296"/>
        </w:tabs>
        <w:jc w:val="center"/>
        <w:rPr>
          <w:rFonts w:hint="eastAsia"/>
        </w:rPr>
      </w:pPr>
    </w:p>
    <w:p>
      <w:pPr>
        <w:pStyle w:val="14"/>
        <w:tabs>
          <w:tab w:val="right" w:leader="dot" w:pos="8296"/>
        </w:tabs>
        <w:jc w:val="center"/>
        <w:rPr>
          <w:rFonts w:hint="eastAsia"/>
        </w:rPr>
      </w:pPr>
      <w:r>
        <w:rPr>
          <w:rFonts w:hint="eastAsia"/>
        </w:rPr>
        <w:t>公开时间：20</w:t>
      </w:r>
      <w:r>
        <w:rPr>
          <w:rFonts w:hint="eastAsia"/>
          <w:lang w:val="en-US" w:eastAsia="zh-CN"/>
        </w:rPr>
        <w:t>25</w:t>
      </w:r>
      <w:r>
        <w:rPr>
          <w:rFonts w:hint="eastAsia"/>
        </w:rPr>
        <w:t>年</w:t>
      </w:r>
      <w:r>
        <w:rPr>
          <w:rFonts w:hint="eastAsia"/>
          <w:lang w:val="en-US" w:eastAsia="zh-CN"/>
        </w:rPr>
        <w:t>10</w:t>
      </w:r>
      <w:r>
        <w:rPr>
          <w:rFonts w:hint="eastAsia"/>
        </w:rPr>
        <w:t>月</w:t>
      </w:r>
      <w:r>
        <w:rPr>
          <w:rFonts w:hint="eastAsia"/>
          <w:lang w:val="en-US" w:eastAsia="zh-CN"/>
        </w:rPr>
        <w:t>2</w:t>
      </w:r>
      <w:r>
        <w:rPr>
          <w:rFonts w:hint="eastAsia"/>
        </w:rPr>
        <w:t>日</w:t>
      </w:r>
    </w:p>
    <w:p>
      <w:pPr>
        <w:spacing w:before="0" w:beforeLines="0" w:after="0" w:afterLines="0" w:line="240" w:lineRule="auto"/>
        <w:ind w:left="0" w:leftChars="0" w:right="0" w:firstLine="0" w:firstLineChars="0"/>
        <w:jc w:val="both"/>
      </w:pPr>
    </w:p>
    <w:p>
      <w:pPr>
        <w:pStyle w:val="14"/>
        <w:tabs>
          <w:tab w:val="right" w:leader="dot" w:pos="8306"/>
        </w:tabs>
      </w:pPr>
      <w:r>
        <w:rPr>
          <w:color w:val="auto"/>
          <w:highlight w:val="none"/>
        </w:rPr>
        <w:fldChar w:fldCharType="begin"/>
      </w:r>
      <w:r>
        <w:rPr>
          <w:color w:val="auto"/>
          <w:highlight w:val="none"/>
        </w:rPr>
        <w:instrText xml:space="preserve">TOC \o "1-2" \h \u </w:instrText>
      </w:r>
      <w:r>
        <w:rPr>
          <w:color w:val="auto"/>
          <w:highlight w:val="none"/>
        </w:rPr>
        <w:fldChar w:fldCharType="separate"/>
      </w:r>
      <w:r>
        <w:rPr>
          <w:color w:val="auto"/>
          <w:highlight w:val="none"/>
        </w:rPr>
        <w:fldChar w:fldCharType="begin"/>
      </w:r>
      <w:r>
        <w:rPr>
          <w:highlight w:val="none"/>
        </w:rPr>
        <w:instrText xml:space="preserve"> HYPERLINK \l _Toc5523 </w:instrText>
      </w:r>
      <w:r>
        <w:rPr>
          <w:highlight w:val="none"/>
        </w:rPr>
        <w:fldChar w:fldCharType="separate"/>
      </w:r>
      <w:r>
        <w:rPr>
          <w:rFonts w:hint="eastAsia" w:ascii="黑体" w:hAnsi="黑体" w:eastAsia="黑体"/>
          <w:highlight w:val="none"/>
        </w:rPr>
        <w:t xml:space="preserve">第一部分 </w:t>
      </w:r>
      <w:r>
        <w:rPr>
          <w:rFonts w:hint="eastAsia" w:ascii="黑体" w:hAnsi="黑体" w:eastAsia="黑体"/>
          <w:bCs w:val="0"/>
          <w:highlight w:val="none"/>
        </w:rPr>
        <w:t>部门概况</w:t>
      </w:r>
      <w:r>
        <w:tab/>
      </w:r>
      <w:r>
        <w:fldChar w:fldCharType="begin"/>
      </w:r>
      <w:r>
        <w:instrText xml:space="preserve"> PAGEREF _Toc5523 \h </w:instrText>
      </w:r>
      <w:r>
        <w:fldChar w:fldCharType="separate"/>
      </w:r>
      <w:r>
        <w:t>1</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_Toc13431 </w:instrText>
      </w:r>
      <w:r>
        <w:rPr>
          <w:highlight w:val="none"/>
        </w:rPr>
        <w:fldChar w:fldCharType="separate"/>
      </w:r>
      <w:r>
        <w:rPr>
          <w:rFonts w:hint="eastAsia" w:ascii="黑体" w:hAnsi="黑体" w:eastAsia="黑体"/>
          <w:lang w:eastAsia="zh-CN"/>
        </w:rPr>
        <w:t xml:space="preserve">一、 </w:t>
      </w:r>
      <w:r>
        <w:rPr>
          <w:rFonts w:hint="eastAsia" w:ascii="黑体" w:hAnsi="黑体" w:eastAsia="黑体"/>
          <w:highlight w:val="none"/>
          <w:lang w:eastAsia="zh-CN"/>
        </w:rPr>
        <w:t>部门职责</w:t>
      </w:r>
      <w:r>
        <w:tab/>
      </w:r>
      <w:r>
        <w:fldChar w:fldCharType="begin"/>
      </w:r>
      <w:r>
        <w:instrText xml:space="preserve"> PAGEREF _Toc13431 \h </w:instrText>
      </w:r>
      <w:r>
        <w:fldChar w:fldCharType="separate"/>
      </w:r>
      <w:r>
        <w:t>1</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_Toc260 </w:instrText>
      </w:r>
      <w:r>
        <w:rPr>
          <w:highlight w:val="none"/>
        </w:rPr>
        <w:fldChar w:fldCharType="separate"/>
      </w:r>
      <w:r>
        <w:rPr>
          <w:rFonts w:hint="eastAsia" w:ascii="黑体" w:hAnsi="黑体" w:eastAsia="黑体"/>
          <w:highlight w:val="none"/>
          <w:lang w:eastAsia="zh-CN"/>
        </w:rPr>
        <w:t>二、机构设置</w:t>
      </w:r>
      <w:r>
        <w:tab/>
      </w:r>
      <w:r>
        <w:fldChar w:fldCharType="begin"/>
      </w:r>
      <w:r>
        <w:instrText xml:space="preserve"> PAGEREF _Toc260 \h </w:instrText>
      </w:r>
      <w:r>
        <w:fldChar w:fldCharType="separate"/>
      </w:r>
      <w:r>
        <w:t>1</w:t>
      </w:r>
      <w:r>
        <w:fldChar w:fldCharType="end"/>
      </w:r>
      <w:r>
        <w:rPr>
          <w:color w:val="auto"/>
          <w:highlight w:val="none"/>
        </w:rPr>
        <w:fldChar w:fldCharType="end"/>
      </w:r>
    </w:p>
    <w:p>
      <w:pPr>
        <w:pStyle w:val="14"/>
        <w:tabs>
          <w:tab w:val="right" w:leader="dot" w:pos="8306"/>
        </w:tabs>
      </w:pPr>
      <w:r>
        <w:rPr>
          <w:color w:val="auto"/>
          <w:highlight w:val="none"/>
        </w:rPr>
        <w:fldChar w:fldCharType="begin"/>
      </w:r>
      <w:r>
        <w:rPr>
          <w:highlight w:val="none"/>
        </w:rPr>
        <w:instrText xml:space="preserve"> HYPERLINK \l _Toc20002 </w:instrText>
      </w:r>
      <w:r>
        <w:rPr>
          <w:highlight w:val="none"/>
        </w:rP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2024年度</w:t>
      </w:r>
      <w:r>
        <w:rPr>
          <w:rFonts w:hint="eastAsia" w:ascii="黑体" w:hAnsi="黑体" w:eastAsia="黑体"/>
          <w:bCs/>
          <w:highlight w:val="none"/>
        </w:rPr>
        <w:t>部门决算情况说明</w:t>
      </w:r>
      <w:r>
        <w:tab/>
      </w:r>
      <w:r>
        <w:fldChar w:fldCharType="begin"/>
      </w:r>
      <w:r>
        <w:instrText xml:space="preserve"> PAGEREF _Toc20002 \h </w:instrText>
      </w:r>
      <w:r>
        <w:fldChar w:fldCharType="separate"/>
      </w:r>
      <w:r>
        <w:t>3</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_Toc808 </w:instrText>
      </w:r>
      <w:r>
        <w:rPr>
          <w:highlight w:val="none"/>
        </w:rP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_Toc808 \h </w:instrText>
      </w:r>
      <w:r>
        <w:fldChar w:fldCharType="separate"/>
      </w:r>
      <w:r>
        <w:t>3</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_Toc12518 </w:instrText>
      </w:r>
      <w:r>
        <w:rPr>
          <w:highlight w:val="none"/>
        </w:rP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_Toc12518 \h </w:instrText>
      </w:r>
      <w:r>
        <w:fldChar w:fldCharType="separate"/>
      </w:r>
      <w:r>
        <w:t>3</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_Toc12817 </w:instrText>
      </w:r>
      <w:r>
        <w:rPr>
          <w:highlight w:val="none"/>
        </w:rP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_Toc12817 \h </w:instrText>
      </w:r>
      <w:r>
        <w:fldChar w:fldCharType="separate"/>
      </w:r>
      <w:r>
        <w:t>4</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_Toc10669 </w:instrText>
      </w:r>
      <w:r>
        <w:rPr>
          <w:highlight w:val="none"/>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_Toc10669 \h </w:instrText>
      </w:r>
      <w:r>
        <w:fldChar w:fldCharType="separate"/>
      </w:r>
      <w:r>
        <w:t>4</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_Toc13798 </w:instrText>
      </w:r>
      <w:r>
        <w:rPr>
          <w:highlight w:val="none"/>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_Toc13798 \h </w:instrText>
      </w:r>
      <w:r>
        <w:fldChar w:fldCharType="separate"/>
      </w:r>
      <w:r>
        <w:t>5</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_Toc27248 </w:instrText>
      </w:r>
      <w:r>
        <w:rPr>
          <w:highlight w:val="none"/>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_Toc27248 \h </w:instrText>
      </w:r>
      <w:r>
        <w:fldChar w:fldCharType="separate"/>
      </w:r>
      <w:r>
        <w:t>7</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_Toc5092 </w:instrText>
      </w:r>
      <w:r>
        <w:rPr>
          <w:highlight w:val="none"/>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_Toc5092 \h </w:instrText>
      </w:r>
      <w:r>
        <w:fldChar w:fldCharType="separate"/>
      </w:r>
      <w:r>
        <w:t>8</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_Toc2628 </w:instrText>
      </w:r>
      <w:r>
        <w:rPr>
          <w:highlight w:val="none"/>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_Toc2628 \h </w:instrText>
      </w:r>
      <w:r>
        <w:fldChar w:fldCharType="separate"/>
      </w:r>
      <w:r>
        <w:t>10</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_Toc14110 </w:instrText>
      </w:r>
      <w:r>
        <w:rPr>
          <w:highlight w:val="none"/>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_Toc14110 \h </w:instrText>
      </w:r>
      <w:r>
        <w:fldChar w:fldCharType="separate"/>
      </w:r>
      <w:r>
        <w:t>10</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_Toc2061 </w:instrText>
      </w:r>
      <w:r>
        <w:rPr>
          <w:highlight w:val="none"/>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_Toc2061 \h </w:instrText>
      </w:r>
      <w:r>
        <w:fldChar w:fldCharType="separate"/>
      </w:r>
      <w:r>
        <w:t>10</w:t>
      </w:r>
      <w:r>
        <w:fldChar w:fldCharType="end"/>
      </w:r>
      <w:r>
        <w:rPr>
          <w:color w:val="auto"/>
          <w:highlight w:val="none"/>
        </w:rPr>
        <w:fldChar w:fldCharType="end"/>
      </w:r>
    </w:p>
    <w:p>
      <w:pPr>
        <w:pStyle w:val="14"/>
        <w:tabs>
          <w:tab w:val="right" w:leader="dot" w:pos="8306"/>
        </w:tabs>
      </w:pPr>
      <w:r>
        <w:rPr>
          <w:color w:val="auto"/>
          <w:highlight w:val="none"/>
        </w:rPr>
        <w:fldChar w:fldCharType="begin"/>
      </w:r>
      <w:r>
        <w:rPr>
          <w:highlight w:val="none"/>
        </w:rPr>
        <w:instrText xml:space="preserve"> HYPERLINK \l _Toc14453 </w:instrText>
      </w:r>
      <w:r>
        <w:rPr>
          <w:highlight w:val="none"/>
        </w:rPr>
        <w:fldChar w:fldCharType="separate"/>
      </w:r>
      <w:r>
        <w:rPr>
          <w:rFonts w:hint="eastAsia" w:ascii="黑体" w:hAnsi="黑体" w:eastAsia="黑体"/>
        </w:rPr>
        <w:t xml:space="preserve">第三部分 </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_Toc14453 \h </w:instrText>
      </w:r>
      <w:r>
        <w:fldChar w:fldCharType="separate"/>
      </w:r>
      <w:r>
        <w:t>1</w:t>
      </w:r>
      <w:r>
        <w:fldChar w:fldCharType="end"/>
      </w:r>
      <w:r>
        <w:rPr>
          <w:color w:val="auto"/>
          <w:highlight w:val="none"/>
        </w:rPr>
        <w:fldChar w:fldCharType="end"/>
      </w:r>
    </w:p>
    <w:p>
      <w:pPr>
        <w:pStyle w:val="14"/>
        <w:tabs>
          <w:tab w:val="right" w:leader="dot" w:pos="8306"/>
        </w:tabs>
      </w:pPr>
      <w:r>
        <w:rPr>
          <w:color w:val="auto"/>
          <w:highlight w:val="none"/>
        </w:rPr>
        <w:fldChar w:fldCharType="begin"/>
      </w:r>
      <w:r>
        <w:rPr>
          <w:highlight w:val="none"/>
        </w:rPr>
        <w:instrText xml:space="preserve"> HYPERLINK \l _Toc147 </w:instrText>
      </w:r>
      <w:r>
        <w:rPr>
          <w:highlight w:val="none"/>
        </w:rPr>
        <w:fldChar w:fldCharType="separate"/>
      </w:r>
      <w:r>
        <w:rPr>
          <w:rFonts w:hint="eastAsia" w:ascii="黑体" w:hAnsi="黑体" w:eastAsia="黑体"/>
          <w:szCs w:val="44"/>
          <w:highlight w:val="none"/>
        </w:rPr>
        <w:t>第</w:t>
      </w:r>
      <w:r>
        <w:rPr>
          <w:rFonts w:hint="eastAsia" w:ascii="黑体" w:hAnsi="黑体" w:eastAsia="黑体"/>
          <w:highlight w:val="none"/>
        </w:rPr>
        <w:t>四部分 附件</w:t>
      </w:r>
      <w:r>
        <w:tab/>
      </w:r>
      <w:r>
        <w:fldChar w:fldCharType="begin"/>
      </w:r>
      <w:r>
        <w:instrText xml:space="preserve"> PAGEREF _Toc147 \h </w:instrText>
      </w:r>
      <w:r>
        <w:fldChar w:fldCharType="separate"/>
      </w:r>
      <w:r>
        <w:t>4</w:t>
      </w:r>
      <w:r>
        <w:fldChar w:fldCharType="end"/>
      </w:r>
      <w:r>
        <w:rPr>
          <w:color w:val="auto"/>
          <w:highlight w:val="none"/>
        </w:rPr>
        <w:fldChar w:fldCharType="end"/>
      </w:r>
    </w:p>
    <w:p>
      <w:pPr>
        <w:pStyle w:val="14"/>
        <w:tabs>
          <w:tab w:val="right" w:leader="dot" w:pos="8306"/>
        </w:tabs>
      </w:pPr>
      <w:r>
        <w:rPr>
          <w:color w:val="auto"/>
          <w:highlight w:val="none"/>
        </w:rPr>
        <w:fldChar w:fldCharType="begin"/>
      </w:r>
      <w:r>
        <w:rPr>
          <w:highlight w:val="none"/>
        </w:rPr>
        <w:instrText xml:space="preserve"> HYPERLINK \l _Toc29620 </w:instrText>
      </w:r>
      <w:r>
        <w:rPr>
          <w:highlight w:val="none"/>
        </w:rPr>
        <w:fldChar w:fldCharType="separate"/>
      </w:r>
      <w:r>
        <w:rPr>
          <w:rFonts w:hint="eastAsia" w:ascii="黑体" w:hAnsi="黑体" w:eastAsia="黑体"/>
          <w:szCs w:val="44"/>
          <w:highlight w:val="none"/>
        </w:rPr>
        <w:t>第</w:t>
      </w:r>
      <w:r>
        <w:rPr>
          <w:rFonts w:hint="eastAsia" w:ascii="黑体" w:hAnsi="黑体" w:eastAsia="黑体"/>
          <w:bCs/>
          <w:highlight w:val="none"/>
        </w:rPr>
        <w:t>五部分 附表</w:t>
      </w:r>
      <w:r>
        <w:tab/>
      </w:r>
      <w:r>
        <w:fldChar w:fldCharType="begin"/>
      </w:r>
      <w:r>
        <w:instrText xml:space="preserve"> PAGEREF _Toc29620 \h </w:instrText>
      </w:r>
      <w:r>
        <w:fldChar w:fldCharType="separate"/>
      </w:r>
      <w:r>
        <w:t>126</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_Toc14607 </w:instrText>
      </w:r>
      <w:r>
        <w:rPr>
          <w:highlight w:val="none"/>
        </w:rPr>
        <w:fldChar w:fldCharType="separate"/>
      </w:r>
      <w:r>
        <w:rPr>
          <w:rFonts w:hint="eastAsia" w:ascii="仿宋_GB2312" w:hAnsi="仿宋_GB2312" w:eastAsia="仿宋_GB2312" w:cs="仿宋_GB2312"/>
          <w:highlight w:val="none"/>
        </w:rPr>
        <w:t>一、收</w:t>
      </w:r>
      <w:r>
        <w:rPr>
          <w:rFonts w:hint="eastAsia" w:ascii="仿宋_GB2312" w:hAnsi="仿宋_GB2312" w:eastAsia="仿宋_GB2312" w:cs="仿宋_GB2312"/>
          <w:bCs w:val="0"/>
          <w:highlight w:val="none"/>
        </w:rPr>
        <w:t>入支出决算总表</w:t>
      </w:r>
      <w:r>
        <w:tab/>
      </w:r>
      <w:r>
        <w:fldChar w:fldCharType="begin"/>
      </w:r>
      <w:r>
        <w:instrText xml:space="preserve"> PAGEREF _Toc14607 \h </w:instrText>
      </w:r>
      <w:r>
        <w:fldChar w:fldCharType="separate"/>
      </w:r>
      <w:r>
        <w:t>126</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_Toc25687 </w:instrText>
      </w:r>
      <w:r>
        <w:rPr>
          <w:highlight w:val="none"/>
        </w:rPr>
        <w:fldChar w:fldCharType="separate"/>
      </w:r>
      <w:r>
        <w:rPr>
          <w:rFonts w:hint="eastAsia" w:ascii="仿宋_GB2312" w:hAnsi="仿宋_GB2312" w:eastAsia="仿宋_GB2312" w:cs="仿宋_GB2312"/>
          <w:highlight w:val="none"/>
        </w:rPr>
        <w:t>二、收</w:t>
      </w:r>
      <w:r>
        <w:rPr>
          <w:rFonts w:hint="eastAsia" w:ascii="仿宋_GB2312" w:hAnsi="仿宋_GB2312" w:eastAsia="仿宋_GB2312" w:cs="仿宋_GB2312"/>
          <w:bCs w:val="0"/>
          <w:highlight w:val="none"/>
        </w:rPr>
        <w:t>入决算表</w:t>
      </w:r>
      <w:r>
        <w:tab/>
      </w:r>
      <w:r>
        <w:fldChar w:fldCharType="begin"/>
      </w:r>
      <w:r>
        <w:instrText xml:space="preserve"> PAGEREF _Toc25687 \h </w:instrText>
      </w:r>
      <w:r>
        <w:fldChar w:fldCharType="separate"/>
      </w:r>
      <w:r>
        <w:t>126</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_Toc9895 </w:instrText>
      </w:r>
      <w:r>
        <w:rPr>
          <w:highlight w:val="none"/>
        </w:rPr>
        <w:fldChar w:fldCharType="separate"/>
      </w:r>
      <w:r>
        <w:rPr>
          <w:rFonts w:hint="eastAsia" w:ascii="仿宋_GB2312" w:hAnsi="仿宋_GB2312" w:eastAsia="仿宋_GB2312" w:cs="仿宋_GB2312"/>
          <w:bCs w:val="0"/>
          <w:highlight w:val="none"/>
        </w:rPr>
        <w:t>三、</w:t>
      </w:r>
      <w:r>
        <w:rPr>
          <w:rFonts w:hint="eastAsia" w:ascii="仿宋_GB2312" w:hAnsi="仿宋_GB2312" w:eastAsia="仿宋_GB2312" w:cs="仿宋_GB2312"/>
          <w:highlight w:val="none"/>
        </w:rPr>
        <w:t>支</w:t>
      </w:r>
      <w:r>
        <w:rPr>
          <w:rFonts w:hint="eastAsia" w:ascii="仿宋_GB2312" w:hAnsi="仿宋_GB2312" w:eastAsia="仿宋_GB2312" w:cs="仿宋_GB2312"/>
          <w:bCs w:val="0"/>
          <w:highlight w:val="none"/>
        </w:rPr>
        <w:t>出决算表</w:t>
      </w:r>
      <w:r>
        <w:tab/>
      </w:r>
      <w:r>
        <w:fldChar w:fldCharType="begin"/>
      </w:r>
      <w:r>
        <w:instrText xml:space="preserve"> PAGEREF _Toc9895 \h </w:instrText>
      </w:r>
      <w:r>
        <w:fldChar w:fldCharType="separate"/>
      </w:r>
      <w:r>
        <w:t>126</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_Toc12462 </w:instrText>
      </w:r>
      <w:r>
        <w:rPr>
          <w:highlight w:val="none"/>
        </w:rPr>
        <w:fldChar w:fldCharType="separate"/>
      </w:r>
      <w:r>
        <w:rPr>
          <w:rFonts w:hint="eastAsia" w:ascii="仿宋_GB2312" w:hAnsi="仿宋_GB2312" w:eastAsia="仿宋_GB2312" w:cs="仿宋_GB2312"/>
          <w:bCs w:val="0"/>
          <w:highlight w:val="none"/>
        </w:rPr>
        <w:t>四、</w:t>
      </w:r>
      <w:r>
        <w:rPr>
          <w:rFonts w:hint="eastAsia" w:ascii="仿宋_GB2312" w:hAnsi="仿宋_GB2312" w:eastAsia="仿宋_GB2312" w:cs="仿宋_GB2312"/>
          <w:highlight w:val="none"/>
        </w:rPr>
        <w:t>财</w:t>
      </w:r>
      <w:r>
        <w:rPr>
          <w:rFonts w:hint="eastAsia" w:ascii="仿宋_GB2312" w:hAnsi="仿宋_GB2312" w:eastAsia="仿宋_GB2312" w:cs="仿宋_GB2312"/>
          <w:bCs w:val="0"/>
          <w:highlight w:val="none"/>
        </w:rPr>
        <w:t>政拨款收入支出决算总表</w:t>
      </w:r>
      <w:r>
        <w:tab/>
      </w:r>
      <w:r>
        <w:fldChar w:fldCharType="begin"/>
      </w:r>
      <w:r>
        <w:instrText xml:space="preserve"> PAGEREF _Toc12462 \h </w:instrText>
      </w:r>
      <w:r>
        <w:fldChar w:fldCharType="separate"/>
      </w:r>
      <w:r>
        <w:t>126</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_Toc1893 </w:instrText>
      </w:r>
      <w:r>
        <w:rPr>
          <w:highlight w:val="none"/>
        </w:rPr>
        <w:fldChar w:fldCharType="separate"/>
      </w:r>
      <w:r>
        <w:rPr>
          <w:rFonts w:hint="eastAsia" w:ascii="仿宋_GB2312" w:hAnsi="仿宋_GB2312" w:eastAsia="仿宋_GB2312" w:cs="仿宋_GB2312"/>
          <w:bCs w:val="0"/>
          <w:highlight w:val="none"/>
        </w:rPr>
        <w:t>五、</w:t>
      </w:r>
      <w:r>
        <w:rPr>
          <w:rFonts w:hint="eastAsia" w:ascii="仿宋_GB2312" w:hAnsi="仿宋_GB2312" w:eastAsia="仿宋_GB2312" w:cs="仿宋_GB2312"/>
          <w:highlight w:val="none"/>
        </w:rPr>
        <w:t>财</w:t>
      </w:r>
      <w:r>
        <w:rPr>
          <w:rFonts w:hint="eastAsia" w:ascii="仿宋_GB2312" w:hAnsi="仿宋_GB2312" w:eastAsia="仿宋_GB2312" w:cs="仿宋_GB2312"/>
          <w:bCs w:val="0"/>
          <w:highlight w:val="none"/>
        </w:rPr>
        <w:t>政拨款支出决算明细表</w:t>
      </w:r>
      <w:r>
        <w:tab/>
      </w:r>
      <w:r>
        <w:fldChar w:fldCharType="begin"/>
      </w:r>
      <w:r>
        <w:instrText xml:space="preserve"> PAGEREF _Toc1893 \h </w:instrText>
      </w:r>
      <w:r>
        <w:fldChar w:fldCharType="separate"/>
      </w:r>
      <w:r>
        <w:t>126</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_Toc11720 </w:instrText>
      </w:r>
      <w:r>
        <w:rPr>
          <w:highlight w:val="none"/>
        </w:rPr>
        <w:fldChar w:fldCharType="separate"/>
      </w:r>
      <w:r>
        <w:rPr>
          <w:rFonts w:hint="eastAsia" w:ascii="仿宋_GB2312" w:hAnsi="仿宋_GB2312" w:eastAsia="仿宋_GB2312" w:cs="仿宋_GB2312"/>
          <w:bCs w:val="0"/>
          <w:highlight w:val="none"/>
        </w:rPr>
        <w:t>六、</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般公共预算财政拨款支出决算表</w:t>
      </w:r>
      <w:r>
        <w:tab/>
      </w:r>
      <w:r>
        <w:fldChar w:fldCharType="begin"/>
      </w:r>
      <w:r>
        <w:instrText xml:space="preserve"> PAGEREF _Toc11720 \h </w:instrText>
      </w:r>
      <w:r>
        <w:fldChar w:fldCharType="separate"/>
      </w:r>
      <w:r>
        <w:t>126</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_Toc24634 </w:instrText>
      </w:r>
      <w:r>
        <w:rPr>
          <w:highlight w:val="none"/>
        </w:rPr>
        <w:fldChar w:fldCharType="separate"/>
      </w:r>
      <w:r>
        <w:rPr>
          <w:rFonts w:hint="eastAsia" w:ascii="仿宋_GB2312" w:hAnsi="仿宋_GB2312" w:eastAsia="仿宋_GB2312" w:cs="仿宋_GB2312"/>
          <w:bCs w:val="0"/>
          <w:highlight w:val="none"/>
        </w:rPr>
        <w:t>七、</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般公共预算财政拨款支出决算明细表</w:t>
      </w:r>
      <w:r>
        <w:tab/>
      </w:r>
      <w:r>
        <w:fldChar w:fldCharType="begin"/>
      </w:r>
      <w:r>
        <w:instrText xml:space="preserve"> PAGEREF _Toc24634 \h </w:instrText>
      </w:r>
      <w:r>
        <w:fldChar w:fldCharType="separate"/>
      </w:r>
      <w:r>
        <w:t>126</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_Toc10376 </w:instrText>
      </w:r>
      <w:r>
        <w:rPr>
          <w:highlight w:val="none"/>
        </w:rPr>
        <w:fldChar w:fldCharType="separate"/>
      </w:r>
      <w:r>
        <w:rPr>
          <w:rFonts w:hint="eastAsia" w:ascii="仿宋_GB2312" w:hAnsi="仿宋_GB2312" w:eastAsia="仿宋_GB2312" w:cs="仿宋_GB2312"/>
          <w:bCs w:val="0"/>
          <w:highlight w:val="none"/>
        </w:rPr>
        <w:t>八、</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般公共预算财政拨款基本支出决算表</w:t>
      </w:r>
      <w:r>
        <w:tab/>
      </w:r>
      <w:r>
        <w:fldChar w:fldCharType="begin"/>
      </w:r>
      <w:r>
        <w:instrText xml:space="preserve"> PAGEREF _Toc10376 \h </w:instrText>
      </w:r>
      <w:r>
        <w:fldChar w:fldCharType="separate"/>
      </w:r>
      <w:r>
        <w:t>126</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_Toc32609 </w:instrText>
      </w:r>
      <w:r>
        <w:rPr>
          <w:highlight w:val="none"/>
        </w:rPr>
        <w:fldChar w:fldCharType="separate"/>
      </w:r>
      <w:r>
        <w:rPr>
          <w:rFonts w:hint="eastAsia" w:ascii="仿宋_GB2312" w:hAnsi="仿宋_GB2312" w:eastAsia="仿宋_GB2312" w:cs="仿宋_GB2312"/>
          <w:bCs w:val="0"/>
          <w:highlight w:val="none"/>
        </w:rPr>
        <w:t>九、</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般公共预算财政拨款项目支出决算表</w:t>
      </w:r>
      <w:r>
        <w:tab/>
      </w:r>
      <w:r>
        <w:fldChar w:fldCharType="begin"/>
      </w:r>
      <w:r>
        <w:instrText xml:space="preserve"> PAGEREF _Toc32609 \h </w:instrText>
      </w:r>
      <w:r>
        <w:fldChar w:fldCharType="separate"/>
      </w:r>
      <w:r>
        <w:t>126</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_Toc16249 </w:instrText>
      </w:r>
      <w:r>
        <w:rPr>
          <w:highlight w:val="none"/>
        </w:rPr>
        <w:fldChar w:fldCharType="separate"/>
      </w:r>
      <w:r>
        <w:rPr>
          <w:rFonts w:hint="eastAsia" w:ascii="仿宋_GB2312" w:hAnsi="仿宋_GB2312" w:eastAsia="仿宋_GB2312" w:cs="仿宋_GB2312"/>
          <w:bCs w:val="0"/>
          <w:highlight w:val="none"/>
        </w:rPr>
        <w:t>十、</w:t>
      </w:r>
      <w:r>
        <w:rPr>
          <w:rFonts w:hint="eastAsia" w:ascii="仿宋_GB2312" w:hAnsi="仿宋_GB2312" w:eastAsia="仿宋_GB2312" w:cs="仿宋_GB2312"/>
          <w:highlight w:val="none"/>
        </w:rPr>
        <w:t>政</w:t>
      </w:r>
      <w:r>
        <w:rPr>
          <w:rFonts w:hint="eastAsia" w:ascii="仿宋_GB2312" w:hAnsi="仿宋_GB2312" w:eastAsia="仿宋_GB2312" w:cs="仿宋_GB2312"/>
          <w:bCs w:val="0"/>
          <w:highlight w:val="none"/>
        </w:rPr>
        <w:t>府性基金预算财政拨款收入支出决算表</w:t>
      </w:r>
      <w:r>
        <w:tab/>
      </w:r>
      <w:r>
        <w:fldChar w:fldCharType="begin"/>
      </w:r>
      <w:r>
        <w:instrText xml:space="preserve"> PAGEREF _Toc16249 \h </w:instrText>
      </w:r>
      <w:r>
        <w:fldChar w:fldCharType="separate"/>
      </w:r>
      <w:r>
        <w:t>126</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_Toc30073 </w:instrText>
      </w:r>
      <w:r>
        <w:rPr>
          <w:highlight w:val="none"/>
        </w:rPr>
        <w:fldChar w:fldCharType="separate"/>
      </w:r>
      <w:r>
        <w:rPr>
          <w:rFonts w:hint="eastAsia" w:ascii="仿宋_GB2312" w:hAnsi="仿宋_GB2312" w:eastAsia="仿宋_GB2312" w:cs="仿宋_GB2312"/>
          <w:bCs w:val="0"/>
          <w:highlight w:val="none"/>
        </w:rPr>
        <w:t>十一、</w:t>
      </w:r>
      <w:r>
        <w:rPr>
          <w:rFonts w:hint="eastAsia" w:ascii="仿宋_GB2312" w:hAnsi="仿宋_GB2312" w:eastAsia="仿宋_GB2312" w:cs="仿宋_GB2312"/>
          <w:highlight w:val="none"/>
        </w:rPr>
        <w:t>国</w:t>
      </w:r>
      <w:r>
        <w:rPr>
          <w:rFonts w:hint="eastAsia" w:ascii="仿宋_GB2312" w:hAnsi="仿宋_GB2312" w:eastAsia="仿宋_GB2312" w:cs="仿宋_GB2312"/>
          <w:bCs w:val="0"/>
          <w:highlight w:val="none"/>
        </w:rPr>
        <w:t>有资本经营预算</w:t>
      </w:r>
      <w:r>
        <w:rPr>
          <w:rFonts w:hint="eastAsia" w:ascii="仿宋_GB2312" w:hAnsi="仿宋_GB2312" w:eastAsia="仿宋_GB2312" w:cs="仿宋_GB2312"/>
          <w:bCs w:val="0"/>
          <w:highlight w:val="none"/>
          <w:lang w:eastAsia="zh-CN"/>
        </w:rPr>
        <w:t>财政拨款收入</w:t>
      </w:r>
      <w:r>
        <w:rPr>
          <w:rFonts w:hint="eastAsia" w:ascii="仿宋_GB2312" w:hAnsi="仿宋_GB2312" w:eastAsia="仿宋_GB2312" w:cs="仿宋_GB2312"/>
          <w:bCs w:val="0"/>
          <w:highlight w:val="none"/>
        </w:rPr>
        <w:t>支出决算表</w:t>
      </w:r>
      <w:r>
        <w:tab/>
      </w:r>
      <w:r>
        <w:fldChar w:fldCharType="begin"/>
      </w:r>
      <w:r>
        <w:instrText xml:space="preserve"> PAGEREF _Toc30073 \h </w:instrText>
      </w:r>
      <w:r>
        <w:fldChar w:fldCharType="separate"/>
      </w:r>
      <w:r>
        <w:t>126</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_Toc25622 </w:instrText>
      </w:r>
      <w:r>
        <w:rPr>
          <w:highlight w:val="none"/>
        </w:rPr>
        <w:fldChar w:fldCharType="separate"/>
      </w:r>
      <w:r>
        <w:rPr>
          <w:rFonts w:hint="eastAsia" w:ascii="仿宋_GB2312" w:hAnsi="仿宋_GB2312" w:eastAsia="仿宋_GB2312" w:cs="仿宋_GB2312"/>
          <w:bCs w:val="0"/>
          <w:highlight w:val="none"/>
        </w:rPr>
        <w:t>十二、</w:t>
      </w:r>
      <w:r>
        <w:rPr>
          <w:rFonts w:hint="eastAsia" w:ascii="仿宋_GB2312" w:hAnsi="仿宋_GB2312" w:eastAsia="仿宋_GB2312" w:cs="仿宋_GB2312"/>
          <w:bCs w:val="0"/>
          <w:highlight w:val="none"/>
          <w:lang w:eastAsia="zh-CN"/>
        </w:rPr>
        <w:t>国有资本经营预算财政拨款支出决算表</w:t>
      </w:r>
      <w:r>
        <w:tab/>
      </w:r>
      <w:r>
        <w:fldChar w:fldCharType="begin"/>
      </w:r>
      <w:r>
        <w:instrText xml:space="preserve"> PAGEREF _Toc25622 \h </w:instrText>
      </w:r>
      <w:r>
        <w:fldChar w:fldCharType="separate"/>
      </w:r>
      <w:r>
        <w:t>126</w:t>
      </w:r>
      <w:r>
        <w:fldChar w:fldCharType="end"/>
      </w:r>
      <w:r>
        <w:rPr>
          <w:color w:val="auto"/>
          <w:highlight w:val="none"/>
        </w:rPr>
        <w:fldChar w:fldCharType="end"/>
      </w:r>
    </w:p>
    <w:p>
      <w:pPr>
        <w:pStyle w:val="19"/>
        <w:tabs>
          <w:tab w:val="right" w:leader="dot" w:pos="8306"/>
        </w:tabs>
      </w:pPr>
      <w:r>
        <w:rPr>
          <w:color w:val="auto"/>
          <w:highlight w:val="none"/>
        </w:rPr>
        <w:fldChar w:fldCharType="begin"/>
      </w:r>
      <w:r>
        <w:rPr>
          <w:highlight w:val="none"/>
        </w:rPr>
        <w:instrText xml:space="preserve"> HYPERLINK \l _Toc19478 </w:instrText>
      </w:r>
      <w:r>
        <w:rPr>
          <w:highlight w:val="none"/>
        </w:rPr>
        <w:fldChar w:fldCharType="separate"/>
      </w:r>
      <w:r>
        <w:rPr>
          <w:rFonts w:hint="eastAsia" w:ascii="仿宋_GB2312" w:hAnsi="仿宋_GB2312" w:eastAsia="仿宋_GB2312" w:cs="仿宋_GB2312"/>
          <w:bCs w:val="0"/>
          <w:highlight w:val="none"/>
        </w:rPr>
        <w:t>十三、</w:t>
      </w:r>
      <w:r>
        <w:rPr>
          <w:rFonts w:hint="eastAsia" w:ascii="仿宋_GB2312" w:hAnsi="仿宋_GB2312" w:eastAsia="仿宋_GB2312" w:cs="仿宋_GB2312"/>
          <w:bCs w:val="0"/>
          <w:highlight w:val="none"/>
          <w:lang w:eastAsia="zh-CN"/>
        </w:rPr>
        <w:t>财政拨款“三公”经费支出决算表</w:t>
      </w:r>
      <w:r>
        <w:tab/>
      </w:r>
      <w:r>
        <w:fldChar w:fldCharType="begin"/>
      </w:r>
      <w:r>
        <w:instrText xml:space="preserve"> PAGEREF _Toc19478 \h </w:instrText>
      </w:r>
      <w:r>
        <w:fldChar w:fldCharType="separate"/>
      </w:r>
      <w:r>
        <w:t>126</w:t>
      </w:r>
      <w:r>
        <w:fldChar w:fldCharType="end"/>
      </w:r>
      <w:r>
        <w:rPr>
          <w:color w:val="auto"/>
          <w:highlight w:val="none"/>
        </w:rPr>
        <w:fldChar w:fldCharType="end"/>
      </w:r>
    </w:p>
    <w:p>
      <w:pPr>
        <w:rPr>
          <w:color w:val="auto"/>
          <w:highlight w:val="none"/>
        </w:rPr>
      </w:pPr>
      <w:r>
        <w:rPr>
          <w:color w:val="auto"/>
          <w:highlight w:val="none"/>
        </w:rPr>
        <w:fldChar w:fldCharType="end"/>
      </w:r>
    </w:p>
    <w:p>
      <w:pPr>
        <w:pStyle w:val="2"/>
      </w:pPr>
    </w:p>
    <w:p>
      <w:pPr>
        <w:rPr>
          <w:color w:val="auto"/>
          <w:highlight w:val="none"/>
        </w:rPr>
      </w:pPr>
    </w:p>
    <w:p>
      <w:pPr>
        <w:widowControl/>
        <w:spacing w:line="440" w:lineRule="exact"/>
        <w:jc w:val="left"/>
        <w:rPr>
          <w:rFonts w:ascii="仿宋" w:hAnsi="仿宋" w:eastAsia="仿宋"/>
          <w:bCs/>
          <w:color w:val="auto"/>
          <w:kern w:val="44"/>
          <w:sz w:val="24"/>
          <w:highlight w:val="none"/>
        </w:rPr>
        <w:sectPr>
          <w:pgSz w:w="11906" w:h="16838"/>
          <w:pgMar w:top="1440" w:right="1800" w:bottom="1440" w:left="1800" w:header="720" w:footer="720" w:gutter="0"/>
          <w:cols w:space="720" w:num="1"/>
          <w:docGrid w:type="lines" w:linePitch="312" w:charSpace="0"/>
        </w:sectPr>
      </w:pPr>
      <w:bookmarkStart w:id="0" w:name="_Toc15377196"/>
      <w:bookmarkStart w:id="1" w:name="_Toc15396599"/>
    </w:p>
    <w:p>
      <w:pPr>
        <w:widowControl/>
        <w:spacing w:line="440" w:lineRule="exact"/>
        <w:jc w:val="left"/>
        <w:rPr>
          <w:rFonts w:ascii="仿宋" w:hAnsi="仿宋" w:eastAsia="仿宋"/>
          <w:bCs/>
          <w:color w:val="auto"/>
          <w:kern w:val="44"/>
          <w:sz w:val="24"/>
          <w:highlight w:val="none"/>
        </w:rPr>
      </w:pPr>
    </w:p>
    <w:p>
      <w:pPr>
        <w:pStyle w:val="4"/>
        <w:jc w:val="center"/>
        <w:rPr>
          <w:rFonts w:ascii="黑体" w:eastAsia="黑体"/>
          <w:color w:val="auto"/>
          <w:sz w:val="32"/>
          <w:szCs w:val="32"/>
          <w:highlight w:val="none"/>
        </w:rPr>
      </w:pPr>
      <w:bookmarkStart w:id="2" w:name="_Toc5523"/>
      <w:bookmarkStart w:id="3" w:name="_Toc3736"/>
      <w:r>
        <w:rPr>
          <w:rFonts w:hint="eastAsia" w:ascii="黑体" w:hAnsi="黑体" w:eastAsia="黑体"/>
          <w:b w:val="0"/>
          <w:color w:val="auto"/>
          <w:highlight w:val="none"/>
        </w:rPr>
        <w:t xml:space="preserve">第一部分 </w:t>
      </w:r>
      <w:r>
        <w:rPr>
          <w:rStyle w:val="38"/>
          <w:rFonts w:hint="eastAsia" w:ascii="黑体" w:hAnsi="黑体" w:eastAsia="黑体"/>
          <w:b w:val="0"/>
          <w:bCs w:val="0"/>
          <w:color w:val="auto"/>
          <w:highlight w:val="none"/>
        </w:rPr>
        <w:t>部门概况</w:t>
      </w:r>
      <w:bookmarkEnd w:id="0"/>
      <w:bookmarkEnd w:id="1"/>
      <w:bookmarkEnd w:id="2"/>
      <w:bookmarkEnd w:id="3"/>
    </w:p>
    <w:p>
      <w:pPr>
        <w:pStyle w:val="5"/>
        <w:numPr>
          <w:ilvl w:val="0"/>
          <w:numId w:val="1"/>
        </w:numPr>
        <w:rPr>
          <w:rFonts w:hint="eastAsia" w:ascii="黑体" w:hAnsi="黑体" w:eastAsia="黑体"/>
          <w:b w:val="0"/>
          <w:color w:val="auto"/>
          <w:highlight w:val="none"/>
          <w:lang w:eastAsia="zh-CN"/>
        </w:rPr>
      </w:pPr>
      <w:bookmarkStart w:id="4" w:name="_Toc13431"/>
      <w:bookmarkStart w:id="5" w:name="_Toc5055"/>
      <w:r>
        <w:rPr>
          <w:rFonts w:hint="eastAsia" w:ascii="黑体" w:hAnsi="黑体" w:eastAsia="黑体"/>
          <w:b w:val="0"/>
          <w:color w:val="auto"/>
          <w:highlight w:val="none"/>
          <w:lang w:eastAsia="zh-CN"/>
        </w:rPr>
        <w:t>部门职责</w:t>
      </w:r>
      <w:bookmarkEnd w:id="4"/>
      <w:bookmarkEnd w:id="5"/>
    </w:p>
    <w:p>
      <w:pPr>
        <w:spacing w:line="580" w:lineRule="exact"/>
        <w:ind w:firstLine="566" w:firstLineChars="177"/>
        <w:rPr>
          <w:rFonts w:ascii="仿宋_GB2312" w:eastAsia="仿宋_GB2312"/>
          <w:sz w:val="32"/>
          <w:szCs w:val="32"/>
        </w:rPr>
      </w:pPr>
      <w:r>
        <w:rPr>
          <w:rFonts w:hint="eastAsia" w:ascii="仿宋_GB2312" w:eastAsia="仿宋_GB2312"/>
          <w:sz w:val="32"/>
          <w:szCs w:val="32"/>
        </w:rPr>
        <w:t>1.依法审判法律规定由本院办理的各类案件。</w:t>
      </w:r>
    </w:p>
    <w:p>
      <w:pPr>
        <w:spacing w:line="580" w:lineRule="exact"/>
        <w:ind w:firstLine="566" w:firstLineChars="177"/>
        <w:rPr>
          <w:rFonts w:ascii="仿宋_GB2312" w:eastAsia="仿宋_GB2312"/>
          <w:sz w:val="32"/>
          <w:szCs w:val="32"/>
        </w:rPr>
      </w:pPr>
      <w:r>
        <w:rPr>
          <w:rFonts w:hint="eastAsia" w:ascii="仿宋_GB2312" w:eastAsia="仿宋_GB2312"/>
          <w:sz w:val="32"/>
          <w:szCs w:val="32"/>
        </w:rPr>
        <w:t>2.监督、指导全市法院的审判工作。</w:t>
      </w:r>
    </w:p>
    <w:p>
      <w:pPr>
        <w:spacing w:line="580" w:lineRule="exact"/>
        <w:ind w:firstLine="566" w:firstLineChars="177"/>
        <w:rPr>
          <w:rFonts w:ascii="仿宋_GB2312" w:eastAsia="仿宋_GB2312"/>
          <w:sz w:val="32"/>
          <w:szCs w:val="32"/>
        </w:rPr>
      </w:pPr>
      <w:r>
        <w:rPr>
          <w:rFonts w:hint="eastAsia" w:ascii="仿宋_GB2312" w:eastAsia="仿宋_GB2312"/>
          <w:sz w:val="32"/>
          <w:szCs w:val="32"/>
        </w:rPr>
        <w:t>3.依法行使司法执行权和司法决定权，统一管理全市法院的执行工作。</w:t>
      </w:r>
    </w:p>
    <w:p>
      <w:pPr>
        <w:spacing w:line="580" w:lineRule="exact"/>
        <w:ind w:firstLine="566" w:firstLineChars="177"/>
        <w:rPr>
          <w:rFonts w:ascii="仿宋_GB2312" w:eastAsia="仿宋_GB2312"/>
          <w:sz w:val="32"/>
          <w:szCs w:val="32"/>
        </w:rPr>
      </w:pPr>
      <w:r>
        <w:rPr>
          <w:rFonts w:hint="eastAsia" w:ascii="仿宋_GB2312" w:eastAsia="仿宋_GB2312"/>
          <w:sz w:val="32"/>
          <w:szCs w:val="32"/>
        </w:rPr>
        <w:t>4.负责对本院的法官和其他工作人员进行教育、管理及组织专业培训，指导基层人民法院的思想政治、教育培训工作。</w:t>
      </w:r>
    </w:p>
    <w:p>
      <w:pPr>
        <w:spacing w:line="580" w:lineRule="exact"/>
        <w:ind w:firstLine="566" w:firstLineChars="177"/>
        <w:rPr>
          <w:rFonts w:ascii="仿宋_GB2312" w:eastAsia="仿宋_GB2312"/>
          <w:sz w:val="32"/>
          <w:szCs w:val="32"/>
        </w:rPr>
      </w:pPr>
      <w:r>
        <w:rPr>
          <w:rFonts w:hint="eastAsia" w:ascii="仿宋_GB2312" w:eastAsia="仿宋_GB2312"/>
          <w:sz w:val="32"/>
          <w:szCs w:val="32"/>
        </w:rPr>
        <w:t>5.协助市主管部门管理全市法院机构设置、人员编制和基层人民法院领导班子。</w:t>
      </w:r>
    </w:p>
    <w:p>
      <w:pPr>
        <w:spacing w:line="580" w:lineRule="exact"/>
        <w:ind w:firstLine="566" w:firstLineChars="177"/>
        <w:rPr>
          <w:rFonts w:ascii="仿宋_GB2312" w:eastAsia="仿宋_GB2312"/>
          <w:sz w:val="32"/>
          <w:szCs w:val="32"/>
        </w:rPr>
      </w:pPr>
      <w:r>
        <w:rPr>
          <w:rFonts w:hint="eastAsia" w:ascii="仿宋_GB2312" w:eastAsia="仿宋_GB2312"/>
          <w:sz w:val="32"/>
          <w:szCs w:val="32"/>
        </w:rPr>
        <w:t>6.领导全市人民法院的党风廉政建设和反腐倡廉工作。</w:t>
      </w:r>
    </w:p>
    <w:p>
      <w:pPr>
        <w:spacing w:line="580" w:lineRule="exact"/>
        <w:ind w:firstLine="566" w:firstLineChars="177"/>
        <w:rPr>
          <w:rFonts w:ascii="仿宋_GB2312" w:eastAsia="仿宋_GB2312"/>
          <w:sz w:val="32"/>
          <w:szCs w:val="32"/>
        </w:rPr>
      </w:pPr>
      <w:r>
        <w:rPr>
          <w:rFonts w:hint="eastAsia" w:ascii="仿宋_GB2312" w:eastAsia="仿宋_GB2312"/>
          <w:sz w:val="32"/>
          <w:szCs w:val="32"/>
        </w:rPr>
        <w:t>7.协调规划管理全市人民法院的“两庭”建设、信息化建设和物质装备建设。</w:t>
      </w:r>
    </w:p>
    <w:p>
      <w:pPr>
        <w:spacing w:line="580" w:lineRule="exact"/>
        <w:ind w:firstLine="566" w:firstLineChars="177"/>
        <w:rPr>
          <w:rFonts w:ascii="仿宋_GB2312" w:eastAsia="仿宋_GB2312"/>
          <w:sz w:val="32"/>
          <w:szCs w:val="32"/>
        </w:rPr>
      </w:pPr>
      <w:r>
        <w:rPr>
          <w:rFonts w:hint="eastAsia" w:ascii="仿宋_GB2312" w:eastAsia="仿宋_GB2312"/>
          <w:sz w:val="32"/>
          <w:szCs w:val="32"/>
        </w:rPr>
        <w:t>8.在审判工作中宣传法制，教育公民忠于祖国、自觉遵守宪法、法律和社会公德。</w:t>
      </w:r>
    </w:p>
    <w:p>
      <w:pPr>
        <w:spacing w:line="580" w:lineRule="exact"/>
        <w:ind w:firstLine="566" w:firstLineChars="177"/>
        <w:rPr>
          <w:rFonts w:hint="eastAsia"/>
          <w:b/>
          <w:bCs/>
          <w:lang w:eastAsia="zh-CN"/>
        </w:rPr>
      </w:pPr>
      <w:r>
        <w:rPr>
          <w:rFonts w:hint="eastAsia" w:ascii="仿宋_GB2312" w:eastAsia="仿宋_GB2312"/>
          <w:sz w:val="32"/>
          <w:szCs w:val="32"/>
        </w:rPr>
        <w:t>9.对广元市人民代表大会及其常委会负责并报告工作。</w:t>
      </w:r>
    </w:p>
    <w:p>
      <w:pPr>
        <w:pStyle w:val="5"/>
        <w:rPr>
          <w:rFonts w:hint="eastAsia" w:ascii="黑体" w:hAnsi="黑体" w:eastAsia="黑体"/>
          <w:b w:val="0"/>
          <w:color w:val="auto"/>
          <w:highlight w:val="none"/>
          <w:lang w:eastAsia="zh-CN"/>
        </w:rPr>
      </w:pPr>
      <w:bookmarkStart w:id="6" w:name="_Toc260"/>
      <w:bookmarkStart w:id="7" w:name="_Toc15396601"/>
      <w:bookmarkStart w:id="8" w:name="_Toc10890"/>
      <w:bookmarkStart w:id="9" w:name="_Toc15377200"/>
      <w:r>
        <w:rPr>
          <w:rFonts w:hint="eastAsia" w:ascii="黑体" w:hAnsi="黑体" w:eastAsia="黑体"/>
          <w:b w:val="0"/>
          <w:color w:val="auto"/>
          <w:highlight w:val="none"/>
          <w:lang w:eastAsia="zh-CN"/>
        </w:rPr>
        <w:t>二、机构设置</w:t>
      </w:r>
      <w:bookmarkEnd w:id="6"/>
      <w:bookmarkEnd w:id="7"/>
      <w:bookmarkEnd w:id="8"/>
      <w:bookmarkEnd w:id="9"/>
    </w:p>
    <w:p>
      <w:pPr>
        <w:ind w:firstLine="800" w:firstLineChars="2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rPr>
        <w:t>四川省广元市中级人民法院</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color w:val="auto"/>
          <w:sz w:val="32"/>
          <w:szCs w:val="32"/>
          <w:highlight w:val="none"/>
        </w:rPr>
        <w:t>下属二级</w:t>
      </w:r>
      <w:r>
        <w:rPr>
          <w:rFonts w:hint="eastAsia" w:ascii="仿宋_GB2312" w:hAnsi="仿宋_GB2312" w:eastAsia="仿宋_GB2312" w:cs="仿宋_GB2312"/>
          <w:color w:val="auto"/>
          <w:sz w:val="32"/>
          <w:szCs w:val="32"/>
          <w:highlight w:val="none"/>
          <w:lang w:eastAsia="zh-CN"/>
        </w:rPr>
        <w:t>预算</w:t>
      </w:r>
      <w:r>
        <w:rPr>
          <w:rFonts w:hint="eastAsia" w:ascii="仿宋_GB2312" w:hAnsi="仿宋_GB2312" w:eastAsia="仿宋_GB2312" w:cs="仿宋_GB2312"/>
          <w:color w:val="auto"/>
          <w:sz w:val="32"/>
          <w:szCs w:val="32"/>
          <w:highlight w:val="none"/>
        </w:rPr>
        <w:t>单位</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个。</w:t>
      </w:r>
    </w:p>
    <w:p>
      <w:pPr>
        <w:pStyle w:val="8"/>
        <w:adjustRightInd w:val="0"/>
        <w:snapToGrid w:val="0"/>
        <w:spacing w:before="93" w:line="600" w:lineRule="exact"/>
        <w:ind w:firstLine="672" w:firstLineChars="21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纳入</w:t>
      </w:r>
      <w:r>
        <w:rPr>
          <w:rFonts w:hint="eastAsia" w:ascii="仿宋_GB2312" w:hAnsi="仿宋_GB2312" w:eastAsia="仿宋_GB2312" w:cs="仿宋_GB2312"/>
          <w:sz w:val="32"/>
          <w:szCs w:val="32"/>
        </w:rPr>
        <w:t>四川省广元市中级人民法院</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年度部门决算编制范围的二级预算单位</w:t>
      </w:r>
      <w:r>
        <w:rPr>
          <w:rFonts w:hint="eastAsia" w:ascii="仿宋_GB2312" w:hAnsi="仿宋_GB2312" w:eastAsia="仿宋_GB2312" w:cs="仿宋_GB2312"/>
          <w:color w:val="auto"/>
          <w:sz w:val="32"/>
          <w:szCs w:val="32"/>
          <w:highlight w:val="none"/>
          <w:lang w:val="en-US" w:eastAsia="zh-CN"/>
        </w:rPr>
        <w:t>1个，为四川省广元市中级人民法院。</w:t>
      </w:r>
    </w:p>
    <w:p>
      <w:pPr>
        <w:widowControl/>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br w:type="page"/>
      </w:r>
    </w:p>
    <w:p>
      <w:pPr>
        <w:pStyle w:val="4"/>
        <w:ind w:right="440"/>
        <w:jc w:val="center"/>
        <w:rPr>
          <w:rStyle w:val="38"/>
          <w:rFonts w:ascii="黑体" w:hAnsi="黑体" w:eastAsia="黑体"/>
          <w:b w:val="0"/>
          <w:bCs/>
          <w:color w:val="auto"/>
          <w:highlight w:val="none"/>
        </w:rPr>
      </w:pPr>
      <w:bookmarkStart w:id="10" w:name="_Toc15377204"/>
      <w:bookmarkStart w:id="11" w:name="_Toc20002"/>
      <w:bookmarkStart w:id="12" w:name="_Toc2136"/>
      <w:bookmarkStart w:id="13"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2024年度</w:t>
      </w:r>
      <w:r>
        <w:rPr>
          <w:rStyle w:val="38"/>
          <w:rFonts w:hint="eastAsia" w:ascii="黑体" w:hAnsi="黑体" w:eastAsia="黑体"/>
          <w:b w:val="0"/>
          <w:bCs/>
          <w:color w:val="auto"/>
          <w:highlight w:val="none"/>
        </w:rPr>
        <w:t>部门决算情况说明</w:t>
      </w:r>
      <w:bookmarkEnd w:id="10"/>
      <w:bookmarkEnd w:id="11"/>
      <w:bookmarkEnd w:id="12"/>
      <w:bookmarkEnd w:id="13"/>
    </w:p>
    <w:p>
      <w:pPr>
        <w:rPr>
          <w:color w:val="auto"/>
          <w:highlight w:val="none"/>
        </w:rPr>
      </w:pPr>
    </w:p>
    <w:p>
      <w:pPr>
        <w:pStyle w:val="29"/>
        <w:numPr>
          <w:ilvl w:val="0"/>
          <w:numId w:val="2"/>
        </w:numPr>
        <w:spacing w:line="600" w:lineRule="exact"/>
        <w:ind w:firstLineChars="0"/>
        <w:outlineLvl w:val="1"/>
        <w:rPr>
          <w:rStyle w:val="37"/>
          <w:rFonts w:ascii="黑体" w:hAnsi="黑体" w:eastAsia="黑体"/>
          <w:b w:val="0"/>
          <w:color w:val="auto"/>
          <w:highlight w:val="none"/>
        </w:rPr>
      </w:pPr>
      <w:bookmarkStart w:id="14" w:name="_Toc15377205"/>
      <w:bookmarkStart w:id="15" w:name="_Toc2449"/>
      <w:bookmarkStart w:id="16" w:name="_Toc15396603"/>
      <w:bookmarkStart w:id="17" w:name="_Toc808"/>
      <w:r>
        <w:rPr>
          <w:rFonts w:hint="eastAsia" w:ascii="黑体" w:hAnsi="黑体" w:eastAsia="黑体"/>
          <w:color w:val="auto"/>
          <w:sz w:val="32"/>
          <w:szCs w:val="32"/>
          <w:highlight w:val="none"/>
        </w:rPr>
        <w:t>收</w:t>
      </w:r>
      <w:r>
        <w:rPr>
          <w:rStyle w:val="37"/>
          <w:rFonts w:hint="eastAsia" w:ascii="黑体" w:hAnsi="黑体" w:eastAsia="黑体"/>
          <w:b w:val="0"/>
          <w:color w:val="auto"/>
          <w:highlight w:val="none"/>
        </w:rPr>
        <w:t>入支出决算总体情况说明</w:t>
      </w:r>
      <w:bookmarkEnd w:id="14"/>
      <w:bookmarkEnd w:id="15"/>
      <w:bookmarkEnd w:id="16"/>
      <w:bookmarkEnd w:id="17"/>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eastAsia="zh-CN"/>
        </w:rPr>
        <w:t>均为</w:t>
      </w:r>
      <w:r>
        <w:rPr>
          <w:rFonts w:hint="eastAsia" w:ascii="仿宋_GB2312" w:hAnsi="仿宋_GB2312" w:eastAsia="仿宋_GB2312" w:cs="仿宋_GB2312"/>
          <w:color w:val="auto"/>
          <w:sz w:val="32"/>
          <w:szCs w:val="32"/>
          <w:highlight w:val="none"/>
          <w:lang w:val="en-US" w:eastAsia="zh-CN"/>
        </w:rPr>
        <w:t>5078.66</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相比，收、支总计各减少</w:t>
      </w:r>
      <w:r>
        <w:rPr>
          <w:rFonts w:hint="eastAsia" w:ascii="仿宋_GB2312" w:hAnsi="仿宋_GB2312" w:eastAsia="仿宋_GB2312" w:cs="仿宋_GB2312"/>
          <w:color w:val="auto"/>
          <w:sz w:val="32"/>
          <w:szCs w:val="32"/>
          <w:highlight w:val="none"/>
          <w:lang w:val="en-US" w:eastAsia="zh-CN"/>
        </w:rPr>
        <w:t>339.13</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6.25</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2024年减少了执法执勤车辆、专用设备及信息网络软件设备等资本性支出</w:t>
      </w:r>
      <w:r>
        <w:rPr>
          <w:rFonts w:hint="eastAsia" w:ascii="仿宋_GB2312" w:hAnsi="仿宋_GB2312" w:eastAsia="仿宋_GB2312" w:cs="仿宋_GB2312"/>
          <w:color w:val="auto"/>
          <w:sz w:val="32"/>
          <w:szCs w:val="32"/>
          <w:highlight w:val="none"/>
          <w:lang w:eastAsia="zh-CN"/>
        </w:rPr>
        <w:t>。</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（图1：收、支决算总计变动情况图）</w:t>
      </w:r>
    </w:p>
    <w:p>
      <w:pPr>
        <w:pStyle w:val="2"/>
        <w:rPr>
          <w:rFonts w:hint="eastAsia" w:ascii="仿宋_GB2312" w:hAnsi="仿宋_GB2312" w:eastAsia="仿宋_GB2312" w:cs="仿宋_GB2312"/>
          <w:color w:val="auto"/>
          <w:sz w:val="32"/>
          <w:szCs w:val="32"/>
          <w:highlight w:val="none"/>
        </w:rPr>
      </w:pPr>
      <w:r>
        <w:rPr>
          <w:rFonts w:hint="eastAsia" w:ascii="Times New Roman" w:hAnsi="Times New Roman" w:eastAsia="仿宋_GB2312" w:cs="Times New Roman"/>
          <w:color w:val="auto"/>
          <w:kern w:val="2"/>
          <w:sz w:val="32"/>
          <w:szCs w:val="32"/>
          <w:lang w:val="en-US" w:eastAsia="zh-CN" w:bidi="ar-SA"/>
        </w:rPr>
        <w:pict>
          <v:shape id="图片 1" o:spid="_x0000_s1027" type="#_x0000_t75" style="height:179pt;width:342.15pt;rotation:0f;" o:ole="f"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w:pict>
      </w:r>
    </w:p>
    <w:p>
      <w:pPr>
        <w:pStyle w:val="29"/>
        <w:numPr>
          <w:ilvl w:val="0"/>
          <w:numId w:val="2"/>
        </w:numPr>
        <w:spacing w:line="600" w:lineRule="exact"/>
        <w:ind w:firstLineChars="0"/>
        <w:outlineLvl w:val="1"/>
        <w:rPr>
          <w:rStyle w:val="37"/>
          <w:rFonts w:ascii="黑体" w:hAnsi="黑体" w:eastAsia="黑体"/>
          <w:b w:val="0"/>
          <w:color w:val="auto"/>
          <w:highlight w:val="none"/>
        </w:rPr>
      </w:pPr>
      <w:bookmarkStart w:id="18" w:name="_Toc15396604"/>
      <w:bookmarkStart w:id="19" w:name="_Toc12518"/>
      <w:bookmarkStart w:id="20" w:name="_Toc15377206"/>
      <w:bookmarkStart w:id="21" w:name="_Toc29288"/>
      <w:r>
        <w:rPr>
          <w:rFonts w:hint="eastAsia" w:ascii="黑体" w:hAnsi="黑体" w:eastAsia="黑体"/>
          <w:color w:val="auto"/>
          <w:sz w:val="32"/>
          <w:szCs w:val="32"/>
          <w:highlight w:val="none"/>
        </w:rPr>
        <w:t>收</w:t>
      </w:r>
      <w:r>
        <w:rPr>
          <w:rStyle w:val="37"/>
          <w:rFonts w:hint="eastAsia" w:ascii="黑体" w:hAnsi="黑体" w:eastAsia="黑体"/>
          <w:b w:val="0"/>
          <w:color w:val="auto"/>
          <w:highlight w:val="none"/>
        </w:rPr>
        <w:t>入决算情况说明</w:t>
      </w:r>
      <w:bookmarkEnd w:id="18"/>
      <w:bookmarkEnd w:id="19"/>
      <w:bookmarkEnd w:id="20"/>
      <w:bookmarkEnd w:id="21"/>
    </w:p>
    <w:p>
      <w:pPr>
        <w:spacing w:line="600" w:lineRule="exact"/>
        <w:ind w:firstLine="640" w:firstLineChars="200"/>
        <w:outlineLvl w:val="1"/>
        <w:rPr>
          <w:rFonts w:ascii="仿宋" w:hAnsi="仿宋" w:eastAsia="仿宋"/>
          <w:color w:val="auto"/>
          <w:sz w:val="32"/>
          <w:szCs w:val="32"/>
          <w:highlight w:val="none"/>
        </w:rPr>
      </w:pPr>
      <w:bookmarkStart w:id="22" w:name="_Toc32012"/>
      <w:bookmarkStart w:id="23" w:name="_Toc7019"/>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本年收入合计</w:t>
      </w:r>
      <w:r>
        <w:rPr>
          <w:rFonts w:hint="eastAsia" w:ascii="仿宋_GB2312" w:hAnsi="仿宋_GB2312" w:eastAsia="仿宋_GB2312" w:cs="仿宋_GB2312"/>
          <w:color w:val="auto"/>
          <w:sz w:val="32"/>
          <w:szCs w:val="32"/>
          <w:highlight w:val="none"/>
          <w:lang w:val="en-US" w:eastAsia="zh-CN"/>
        </w:rPr>
        <w:t>5076.79</w:t>
      </w:r>
      <w:r>
        <w:rPr>
          <w:rFonts w:hint="eastAsia" w:ascii="仿宋_GB2312" w:hAnsi="仿宋_GB2312" w:eastAsia="仿宋_GB2312" w:cs="仿宋_GB2312"/>
          <w:color w:val="auto"/>
          <w:sz w:val="32"/>
          <w:szCs w:val="32"/>
          <w:highlight w:val="none"/>
        </w:rPr>
        <w:t>万元，其中：一般公共预算财政拨款收入</w:t>
      </w:r>
      <w:r>
        <w:rPr>
          <w:rFonts w:hint="eastAsia" w:ascii="仿宋_GB2312" w:hAnsi="仿宋_GB2312" w:eastAsia="仿宋_GB2312" w:cs="仿宋_GB2312"/>
          <w:color w:val="auto"/>
          <w:sz w:val="32"/>
          <w:szCs w:val="32"/>
          <w:highlight w:val="none"/>
          <w:lang w:val="en-US" w:eastAsia="zh-CN"/>
        </w:rPr>
        <w:t>4734.48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93.26</w:t>
      </w:r>
      <w:r>
        <w:rPr>
          <w:rFonts w:hint="eastAsia" w:ascii="仿宋_GB2312" w:hAnsi="仿宋_GB2312" w:eastAsia="仿宋_GB2312" w:cs="仿宋_GB2312"/>
          <w:color w:val="auto"/>
          <w:sz w:val="32"/>
          <w:szCs w:val="32"/>
          <w:highlight w:val="none"/>
        </w:rPr>
        <w:t>%；其他收入</w:t>
      </w:r>
      <w:r>
        <w:rPr>
          <w:rFonts w:hint="eastAsia" w:ascii="仿宋_GB2312" w:hAnsi="仿宋_GB2312" w:eastAsia="仿宋_GB2312" w:cs="仿宋_GB2312"/>
          <w:color w:val="auto"/>
          <w:sz w:val="32"/>
          <w:szCs w:val="32"/>
          <w:highlight w:val="none"/>
          <w:lang w:val="en-US" w:eastAsia="zh-CN"/>
        </w:rPr>
        <w:t>342.31</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6.74</w:t>
      </w:r>
      <w:r>
        <w:rPr>
          <w:rFonts w:hint="eastAsia" w:ascii="仿宋_GB2312" w:hAnsi="仿宋_GB2312" w:eastAsia="仿宋_GB2312" w:cs="仿宋_GB2312"/>
          <w:color w:val="auto"/>
          <w:sz w:val="32"/>
          <w:szCs w:val="32"/>
          <w:highlight w:val="none"/>
        </w:rPr>
        <w:t>%。</w:t>
      </w:r>
      <w:bookmarkEnd w:id="22"/>
      <w:bookmarkEnd w:id="23"/>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pPr>
        <w:pStyle w:val="2"/>
        <w:rPr>
          <w:rFonts w:ascii="仿宋_GB2312" w:eastAsia="仿宋_GB2312"/>
          <w:color w:val="auto"/>
          <w:sz w:val="32"/>
          <w:szCs w:val="32"/>
          <w:highlight w:val="none"/>
        </w:rPr>
      </w:pPr>
      <w:r>
        <w:rPr>
          <w:rFonts w:hint="eastAsia" w:ascii="Times New Roman" w:hAnsi="Times New Roman" w:eastAsia="仿宋_GB2312" w:cs="Times New Roman"/>
          <w:color w:val="auto"/>
          <w:kern w:val="2"/>
          <w:sz w:val="32"/>
          <w:szCs w:val="32"/>
          <w:lang w:val="en-US" w:eastAsia="zh-CN" w:bidi="ar-SA"/>
        </w:rPr>
        <w:pict>
          <v:shape id="图片 7" o:spid="_x0000_s1028" type="#_x0000_t75" style="height:179pt;width:322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p>
    <w:p>
      <w:pPr>
        <w:pStyle w:val="29"/>
        <w:numPr>
          <w:ilvl w:val="0"/>
          <w:numId w:val="2"/>
        </w:numPr>
        <w:spacing w:line="600" w:lineRule="exact"/>
        <w:ind w:firstLineChars="0"/>
        <w:outlineLvl w:val="1"/>
        <w:rPr>
          <w:rStyle w:val="37"/>
          <w:rFonts w:ascii="黑体" w:hAnsi="黑体" w:eastAsia="黑体"/>
          <w:b w:val="0"/>
          <w:color w:val="auto"/>
          <w:highlight w:val="none"/>
        </w:rPr>
      </w:pPr>
      <w:bookmarkStart w:id="24" w:name="_Toc15396605"/>
      <w:bookmarkStart w:id="25" w:name="_Toc15377207"/>
      <w:bookmarkStart w:id="26" w:name="_Toc11673"/>
      <w:bookmarkStart w:id="27" w:name="_Toc12817"/>
      <w:r>
        <w:rPr>
          <w:rFonts w:hint="eastAsia" w:ascii="黑体" w:hAnsi="黑体" w:eastAsia="黑体"/>
          <w:color w:val="auto"/>
          <w:sz w:val="32"/>
          <w:szCs w:val="32"/>
          <w:highlight w:val="none"/>
        </w:rPr>
        <w:t>支</w:t>
      </w:r>
      <w:r>
        <w:rPr>
          <w:rStyle w:val="37"/>
          <w:rFonts w:hint="eastAsia" w:ascii="黑体" w:hAnsi="黑体" w:eastAsia="黑体"/>
          <w:b w:val="0"/>
          <w:color w:val="auto"/>
          <w:highlight w:val="none"/>
        </w:rPr>
        <w:t>出决算情况说明</w:t>
      </w:r>
      <w:bookmarkEnd w:id="24"/>
      <w:bookmarkEnd w:id="25"/>
      <w:bookmarkEnd w:id="26"/>
      <w:bookmarkEnd w:id="27"/>
    </w:p>
    <w:p>
      <w:pPr>
        <w:spacing w:line="600" w:lineRule="exact"/>
        <w:ind w:firstLine="640" w:firstLineChars="200"/>
        <w:outlineLvl w:val="1"/>
        <w:rPr>
          <w:rFonts w:ascii="仿宋" w:hAnsi="仿宋" w:eastAsia="仿宋"/>
          <w:b/>
          <w:color w:val="auto"/>
          <w:sz w:val="32"/>
          <w:szCs w:val="32"/>
          <w:highlight w:val="none"/>
        </w:rPr>
      </w:pPr>
      <w:bookmarkStart w:id="28" w:name="_Toc2739"/>
      <w:bookmarkStart w:id="29" w:name="_Toc5931"/>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本年支出合计</w:t>
      </w:r>
      <w:r>
        <w:rPr>
          <w:rFonts w:hint="eastAsia" w:ascii="仿宋_GB2312" w:hAnsi="仿宋_GB2312" w:eastAsia="仿宋_GB2312" w:cs="仿宋_GB2312"/>
          <w:color w:val="auto"/>
          <w:sz w:val="32"/>
          <w:szCs w:val="32"/>
          <w:highlight w:val="none"/>
          <w:lang w:val="en-US" w:eastAsia="zh-CN"/>
        </w:rPr>
        <w:t>5028.66</w:t>
      </w:r>
      <w:r>
        <w:rPr>
          <w:rFonts w:hint="eastAsia" w:ascii="仿宋_GB2312" w:hAnsi="仿宋_GB2312" w:eastAsia="仿宋_GB2312" w:cs="仿宋_GB2312"/>
          <w:color w:val="auto"/>
          <w:sz w:val="32"/>
          <w:szCs w:val="32"/>
          <w:highlight w:val="none"/>
        </w:rPr>
        <w:t>万元，其中：基本支出</w:t>
      </w:r>
      <w:r>
        <w:rPr>
          <w:rFonts w:hint="eastAsia" w:ascii="仿宋_GB2312" w:hAnsi="仿宋_GB2312" w:eastAsia="仿宋_GB2312" w:cs="仿宋_GB2312"/>
          <w:color w:val="auto"/>
          <w:sz w:val="32"/>
          <w:szCs w:val="32"/>
          <w:highlight w:val="none"/>
          <w:lang w:val="en-US" w:eastAsia="zh-CN"/>
        </w:rPr>
        <w:t>3987.87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79.3</w:t>
      </w:r>
      <w:r>
        <w:rPr>
          <w:rFonts w:hint="eastAsia" w:ascii="仿宋_GB2312" w:hAnsi="仿宋_GB2312" w:eastAsia="仿宋_GB2312" w:cs="仿宋_GB2312"/>
          <w:color w:val="auto"/>
          <w:sz w:val="32"/>
          <w:szCs w:val="32"/>
          <w:highlight w:val="none"/>
        </w:rPr>
        <w:t>%；项目支出</w:t>
      </w:r>
      <w:r>
        <w:rPr>
          <w:rFonts w:hint="eastAsia" w:ascii="仿宋_GB2312" w:hAnsi="仿宋_GB2312" w:eastAsia="仿宋_GB2312" w:cs="仿宋_GB2312"/>
          <w:color w:val="auto"/>
          <w:sz w:val="32"/>
          <w:szCs w:val="32"/>
          <w:highlight w:val="none"/>
          <w:lang w:val="en-US" w:eastAsia="zh-CN"/>
        </w:rPr>
        <w:t>1040.79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20.7</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bookmarkEnd w:id="28"/>
      <w:bookmarkEnd w:id="29"/>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p>
    <w:p>
      <w:pPr>
        <w:widowControl w:val="0"/>
        <w:wordWrap/>
        <w:adjustRightInd/>
        <w:snapToGrid/>
        <w:spacing w:line="240" w:lineRule="auto"/>
        <w:ind w:left="0" w:leftChars="0" w:right="0" w:firstLine="420" w:firstLineChars="200"/>
        <w:jc w:val="both"/>
        <w:textAlignment w:val="auto"/>
        <w:outlineLvl w:val="9"/>
        <w:rPr>
          <w:rFonts w:hint="eastAsia" w:ascii="仿宋_GB2312" w:hAnsi="仿宋_GB2312" w:eastAsia="仿宋_GB2312" w:cs="仿宋_GB2312"/>
          <w:color w:val="auto"/>
          <w:sz w:val="32"/>
          <w:szCs w:val="32"/>
          <w:highlight w:val="none"/>
        </w:rPr>
      </w:pPr>
      <w:r>
        <w:rPr>
          <w:rFonts w:ascii="Calibri" w:hAnsi="Calibri" w:eastAsia="宋体" w:cs="Times New Roman"/>
          <w:color w:val="auto"/>
          <w:kern w:val="2"/>
          <w:sz w:val="21"/>
          <w:szCs w:val="24"/>
          <w:lang w:val="en-US" w:eastAsia="zh-CN" w:bidi="ar-SA"/>
        </w:rPr>
        <w:pict>
          <v:shape id="图片 6" o:spid="_x0000_s1029" type="#_x0000_t75" style="height:179pt;width:353.15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p>
    <w:p>
      <w:pPr>
        <w:spacing w:line="600" w:lineRule="exact"/>
        <w:ind w:firstLine="640" w:firstLineChars="200"/>
        <w:outlineLvl w:val="1"/>
        <w:rPr>
          <w:rStyle w:val="37"/>
          <w:rFonts w:ascii="黑体" w:hAnsi="黑体" w:eastAsia="黑体"/>
          <w:b w:val="0"/>
          <w:color w:val="auto"/>
          <w:highlight w:val="none"/>
        </w:rPr>
      </w:pPr>
      <w:bookmarkStart w:id="30" w:name="_Toc18067"/>
      <w:bookmarkStart w:id="31" w:name="_Toc15377208"/>
      <w:bookmarkStart w:id="32" w:name="_Toc15396606"/>
      <w:bookmarkStart w:id="33" w:name="_Toc10669"/>
      <w:r>
        <w:rPr>
          <w:rFonts w:hint="eastAsia" w:ascii="黑体" w:hAnsi="黑体" w:eastAsia="黑体"/>
          <w:color w:val="auto"/>
          <w:sz w:val="32"/>
          <w:szCs w:val="32"/>
          <w:highlight w:val="none"/>
        </w:rPr>
        <w:t>四、财</w:t>
      </w:r>
      <w:r>
        <w:rPr>
          <w:rStyle w:val="37"/>
          <w:rFonts w:hint="eastAsia" w:ascii="黑体" w:hAnsi="黑体" w:eastAsia="黑体"/>
          <w:b w:val="0"/>
          <w:color w:val="auto"/>
          <w:highlight w:val="none"/>
        </w:rPr>
        <w:t>政拨款收入支出决算总体情况说明</w:t>
      </w:r>
      <w:bookmarkEnd w:id="30"/>
      <w:bookmarkEnd w:id="31"/>
      <w:bookmarkEnd w:id="32"/>
      <w:bookmarkEnd w:id="33"/>
    </w:p>
    <w:p>
      <w:pPr>
        <w:spacing w:line="600" w:lineRule="exact"/>
        <w:ind w:firstLine="640"/>
        <w:rPr>
          <w:rFonts w:ascii="仿宋" w:hAnsi="仿宋" w:eastAsia="仿宋"/>
          <w:color w:val="auto"/>
          <w:sz w:val="32"/>
          <w:szCs w:val="32"/>
          <w:highlight w:val="none"/>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财政拨款收、支总计</w:t>
      </w:r>
      <w:r>
        <w:rPr>
          <w:rFonts w:hint="eastAsia" w:ascii="仿宋_GB2312" w:hAnsi="仿宋_GB2312" w:eastAsia="仿宋_GB2312" w:cs="仿宋_GB2312"/>
          <w:color w:val="auto"/>
          <w:sz w:val="32"/>
          <w:szCs w:val="32"/>
          <w:highlight w:val="none"/>
          <w:lang w:eastAsia="zh-CN"/>
        </w:rPr>
        <w:t>均为</w:t>
      </w:r>
      <w:r>
        <w:rPr>
          <w:rFonts w:hint="eastAsia" w:ascii="仿宋_GB2312" w:hAnsi="仿宋_GB2312" w:eastAsia="仿宋_GB2312" w:cs="仿宋_GB2312"/>
          <w:color w:val="auto"/>
          <w:sz w:val="32"/>
          <w:szCs w:val="32"/>
          <w:highlight w:val="none"/>
          <w:lang w:val="en-US" w:eastAsia="zh-CN"/>
        </w:rPr>
        <w:t>4736.35</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相比，财政拨款收、支总计各减少</w:t>
      </w:r>
      <w:r>
        <w:rPr>
          <w:rFonts w:hint="eastAsia" w:ascii="仿宋_GB2312" w:hAnsi="仿宋_GB2312" w:eastAsia="仿宋_GB2312" w:cs="仿宋_GB2312"/>
          <w:color w:val="auto"/>
          <w:sz w:val="32"/>
          <w:szCs w:val="32"/>
          <w:highlight w:val="none"/>
          <w:lang w:val="en-US" w:eastAsia="zh-CN"/>
        </w:rPr>
        <w:t>414.58</w:t>
      </w:r>
      <w:r>
        <w:rPr>
          <w:rFonts w:hint="eastAsia" w:ascii="仿宋_GB2312" w:hAnsi="仿宋_GB2312" w:eastAsia="仿宋_GB2312" w:cs="仿宋_GB2312"/>
          <w:color w:val="auto"/>
          <w:sz w:val="32"/>
          <w:szCs w:val="32"/>
          <w:highlight w:val="none"/>
        </w:rPr>
        <w:t>万元，降</w:t>
      </w:r>
      <w:r>
        <w:rPr>
          <w:rFonts w:hint="eastAsia" w:ascii="仿宋_GB2312" w:hAnsi="仿宋_GB2312" w:eastAsia="仿宋_GB2312" w:cs="仿宋_GB2312"/>
          <w:color w:val="auto"/>
          <w:sz w:val="32"/>
          <w:szCs w:val="32"/>
          <w:highlight w:val="none"/>
          <w:lang w:val="en-US" w:eastAsia="zh-CN"/>
        </w:rPr>
        <w:t>8.05</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2024年减少了执法执勤车辆、专用设备及信息网络软件设备等资本性支出。</w:t>
      </w:r>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pPr>
        <w:pStyle w:val="2"/>
        <w:rPr>
          <w:rFonts w:ascii="仿宋" w:hAnsi="仿宋" w:eastAsia="仿宋"/>
          <w:b/>
          <w:color w:val="auto"/>
          <w:sz w:val="32"/>
          <w:szCs w:val="32"/>
          <w:highlight w:val="none"/>
        </w:rPr>
      </w:pPr>
      <w:r>
        <w:rPr>
          <w:rFonts w:hint="eastAsia" w:ascii="Times New Roman" w:hAnsi="Times New Roman" w:eastAsia="仿宋_GB2312" w:cs="Times New Roman"/>
          <w:color w:val="auto"/>
          <w:kern w:val="2"/>
          <w:sz w:val="32"/>
          <w:szCs w:val="32"/>
          <w:lang w:val="en-US" w:eastAsia="zh-CN" w:bidi="ar-SA"/>
        </w:rPr>
        <w:pict>
          <v:shape id="图片 9" o:spid="_x0000_s1030" type="#_x0000_t75" style="height:179pt;width:376.5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p>
    <w:p>
      <w:pPr>
        <w:spacing w:line="600" w:lineRule="exact"/>
        <w:ind w:firstLine="640" w:firstLineChars="200"/>
        <w:outlineLvl w:val="1"/>
        <w:rPr>
          <w:rStyle w:val="37"/>
          <w:rFonts w:ascii="黑体" w:hAnsi="黑体" w:eastAsia="黑体"/>
          <w:b w:val="0"/>
          <w:color w:val="auto"/>
          <w:highlight w:val="none"/>
        </w:rPr>
      </w:pPr>
      <w:bookmarkStart w:id="34" w:name="_Toc13798"/>
      <w:bookmarkStart w:id="35" w:name="_Toc15396607"/>
      <w:bookmarkStart w:id="36" w:name="_Toc31518"/>
      <w:bookmarkStart w:id="37"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7"/>
          <w:rFonts w:hint="eastAsia" w:ascii="黑体" w:hAnsi="黑体" w:eastAsia="黑体"/>
          <w:b w:val="0"/>
          <w:color w:val="auto"/>
          <w:highlight w:val="none"/>
        </w:rPr>
        <w:t>般公共预算财政拨款支出决算情况说明</w:t>
      </w:r>
      <w:bookmarkEnd w:id="34"/>
      <w:bookmarkEnd w:id="35"/>
      <w:bookmarkEnd w:id="36"/>
      <w:bookmarkEnd w:id="37"/>
    </w:p>
    <w:p>
      <w:pPr>
        <w:spacing w:line="600" w:lineRule="exact"/>
        <w:ind w:firstLine="643" w:firstLineChars="200"/>
        <w:outlineLvl w:val="2"/>
        <w:rPr>
          <w:rFonts w:hint="eastAsia" w:ascii="仿宋_GB2312" w:hAnsi="仿宋_GB2312" w:eastAsia="仿宋_GB2312" w:cs="仿宋_GB2312"/>
          <w:b/>
          <w:color w:val="auto"/>
          <w:sz w:val="32"/>
          <w:szCs w:val="32"/>
          <w:highlight w:val="none"/>
        </w:rPr>
      </w:pPr>
      <w:bookmarkStart w:id="38" w:name="_Toc15377210"/>
      <w:r>
        <w:rPr>
          <w:rFonts w:hint="eastAsia" w:ascii="仿宋_GB2312" w:hAnsi="仿宋_GB2312" w:eastAsia="仿宋_GB2312" w:cs="仿宋_GB2312"/>
          <w:b/>
          <w:color w:val="auto"/>
          <w:sz w:val="32"/>
          <w:szCs w:val="32"/>
          <w:highlight w:val="none"/>
        </w:rPr>
        <w:t>（一）一般公共预算财政拨款支出决算总体情况</w:t>
      </w:r>
      <w:bookmarkEnd w:id="38"/>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一般公共预算财政拨款支出</w:t>
      </w:r>
      <w:r>
        <w:rPr>
          <w:rFonts w:hint="eastAsia" w:ascii="仿宋_GB2312" w:hAnsi="仿宋_GB2312" w:eastAsia="仿宋_GB2312" w:cs="仿宋_GB2312"/>
          <w:color w:val="auto"/>
          <w:sz w:val="32"/>
          <w:szCs w:val="32"/>
          <w:highlight w:val="none"/>
          <w:lang w:val="en-US" w:eastAsia="zh-CN"/>
        </w:rPr>
        <w:t>4736.35</w:t>
      </w:r>
      <w:r>
        <w:rPr>
          <w:rFonts w:hint="eastAsia" w:ascii="仿宋_GB2312" w:hAnsi="仿宋_GB2312" w:eastAsia="仿宋_GB2312" w:cs="仿宋_GB2312"/>
          <w:color w:val="auto"/>
          <w:sz w:val="32"/>
          <w:szCs w:val="32"/>
          <w:highlight w:val="none"/>
        </w:rPr>
        <w:t>万元，占本年支出合计的</w:t>
      </w:r>
      <w:r>
        <w:rPr>
          <w:rFonts w:hint="eastAsia" w:ascii="仿宋_GB2312" w:hAnsi="仿宋_GB2312" w:eastAsia="仿宋_GB2312" w:cs="仿宋_GB2312"/>
          <w:color w:val="auto"/>
          <w:sz w:val="32"/>
          <w:szCs w:val="32"/>
          <w:highlight w:val="none"/>
          <w:lang w:val="en-US" w:eastAsia="zh-CN"/>
        </w:rPr>
        <w:t>94.19</w:t>
      </w:r>
      <w:r>
        <w:rPr>
          <w:rFonts w:hint="eastAsia" w:ascii="仿宋_GB2312" w:hAnsi="仿宋_GB2312" w:eastAsia="仿宋_GB2312" w:cs="仿宋_GB2312"/>
          <w:color w:val="auto"/>
          <w:sz w:val="32"/>
          <w:szCs w:val="32"/>
          <w:highlight w:val="none"/>
        </w:rPr>
        <w:t>%。与</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相比，一般公共预算财政拨款</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减少</w:t>
      </w:r>
      <w:r>
        <w:rPr>
          <w:rFonts w:hint="eastAsia" w:ascii="仿宋_GB2312" w:hAnsi="仿宋_GB2312" w:eastAsia="仿宋_GB2312" w:cs="仿宋_GB2312"/>
          <w:color w:val="auto"/>
          <w:sz w:val="32"/>
          <w:szCs w:val="32"/>
          <w:highlight w:val="none"/>
          <w:lang w:val="en-US" w:eastAsia="zh-CN"/>
        </w:rPr>
        <w:t>412.71</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80.15</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2024年减少了执法执勤车辆、专用设备及信息网络软件设备等资本性支出。</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（图5：一般公共预算财政拨款支出决算变动情况）</w:t>
      </w:r>
    </w:p>
    <w:p>
      <w:pPr>
        <w:widowControl w:val="0"/>
        <w:wordWrap/>
        <w:adjustRightInd/>
        <w:snapToGrid/>
        <w:spacing w:line="240" w:lineRule="auto"/>
        <w:ind w:left="0" w:leftChars="0" w:right="0" w:firstLine="420" w:firstLineChars="200"/>
        <w:jc w:val="both"/>
        <w:textAlignment w:val="auto"/>
        <w:outlineLvl w:val="9"/>
        <w:rPr>
          <w:rFonts w:ascii="仿宋" w:hAnsi="仿宋" w:eastAsia="仿宋"/>
          <w:color w:val="auto"/>
          <w:sz w:val="32"/>
          <w:szCs w:val="32"/>
          <w:highlight w:val="none"/>
        </w:rPr>
      </w:pPr>
      <w:r>
        <w:rPr>
          <w:rFonts w:ascii="Calibri" w:hAnsi="Calibri" w:eastAsia="宋体" w:cs="Times New Roman"/>
          <w:color w:val="auto"/>
          <w:kern w:val="2"/>
          <w:sz w:val="21"/>
          <w:szCs w:val="24"/>
          <w:lang w:val="en-US" w:eastAsia="zh-CN" w:bidi="ar-SA"/>
        </w:rPr>
        <w:pict>
          <v:shape id="图片 11" o:spid="_x0000_s1031" type="#_x0000_t75" style="height:179pt;width:344.5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p>
    <w:p>
      <w:pPr>
        <w:spacing w:line="600" w:lineRule="exact"/>
        <w:ind w:firstLine="643" w:firstLineChars="200"/>
        <w:outlineLvl w:val="2"/>
        <w:rPr>
          <w:rFonts w:hint="eastAsia" w:ascii="仿宋_GB2312" w:hAnsi="仿宋_GB2312" w:eastAsia="仿宋_GB2312" w:cs="仿宋_GB2312"/>
          <w:b/>
          <w:color w:val="auto"/>
          <w:sz w:val="32"/>
          <w:szCs w:val="32"/>
          <w:highlight w:val="none"/>
        </w:rPr>
      </w:pPr>
      <w:bookmarkStart w:id="39" w:name="_Toc15377211"/>
      <w:r>
        <w:rPr>
          <w:rFonts w:hint="eastAsia" w:ascii="仿宋_GB2312" w:hAnsi="仿宋_GB2312" w:eastAsia="仿宋_GB2312" w:cs="仿宋_GB2312"/>
          <w:b/>
          <w:color w:val="auto"/>
          <w:sz w:val="32"/>
          <w:szCs w:val="32"/>
          <w:highlight w:val="none"/>
        </w:rPr>
        <w:t>（二）一般公共预算财政拨款支出决算结构情况</w:t>
      </w:r>
      <w:bookmarkEnd w:id="39"/>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一般公共预算财政拨款支出</w:t>
      </w:r>
      <w:r>
        <w:rPr>
          <w:rFonts w:hint="eastAsia" w:ascii="仿宋_GB2312" w:hAnsi="仿宋_GB2312" w:eastAsia="仿宋_GB2312" w:cs="仿宋_GB2312"/>
          <w:color w:val="auto"/>
          <w:sz w:val="32"/>
          <w:szCs w:val="32"/>
          <w:highlight w:val="none"/>
          <w:lang w:val="en-US" w:eastAsia="zh-CN"/>
        </w:rPr>
        <w:t>4736.35</w:t>
      </w:r>
      <w:r>
        <w:rPr>
          <w:rFonts w:hint="eastAsia" w:ascii="仿宋_GB2312" w:hAnsi="仿宋_GB2312" w:eastAsia="仿宋_GB2312" w:cs="仿宋_GB2312"/>
          <w:color w:val="auto"/>
          <w:sz w:val="32"/>
          <w:szCs w:val="32"/>
          <w:highlight w:val="none"/>
        </w:rPr>
        <w:t>万元，主要用于以下方面</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公共安全支出</w:t>
      </w:r>
      <w:r>
        <w:rPr>
          <w:rFonts w:hint="eastAsia" w:ascii="仿宋_GB2312" w:hAnsi="仿宋_GB2312" w:eastAsia="仿宋_GB2312" w:cs="仿宋_GB2312"/>
          <w:color w:val="auto"/>
          <w:sz w:val="32"/>
          <w:szCs w:val="32"/>
          <w:highlight w:val="none"/>
          <w:lang w:val="en-US" w:eastAsia="zh-CN"/>
        </w:rPr>
        <w:t>4084.15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86.23</w:t>
      </w:r>
      <w:r>
        <w:rPr>
          <w:rFonts w:hint="eastAsia" w:ascii="仿宋_GB2312" w:hAnsi="仿宋_GB2312" w:eastAsia="仿宋_GB2312" w:cs="仿宋_GB2312"/>
          <w:color w:val="auto"/>
          <w:sz w:val="32"/>
          <w:szCs w:val="32"/>
          <w:highlight w:val="none"/>
        </w:rPr>
        <w:t>%；社会保障和就业支出2</w:t>
      </w:r>
      <w:r>
        <w:rPr>
          <w:rFonts w:hint="eastAsia" w:ascii="仿宋_GB2312" w:hAnsi="仿宋_GB2312" w:eastAsia="仿宋_GB2312" w:cs="仿宋_GB2312"/>
          <w:color w:val="auto"/>
          <w:sz w:val="32"/>
          <w:szCs w:val="32"/>
          <w:highlight w:val="none"/>
          <w:lang w:val="en-US" w:eastAsia="zh-CN"/>
        </w:rPr>
        <w:t>81.26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5.94</w:t>
      </w:r>
      <w:r>
        <w:rPr>
          <w:rFonts w:hint="eastAsia" w:ascii="仿宋_GB2312" w:hAnsi="仿宋_GB2312" w:eastAsia="仿宋_GB2312" w:cs="仿宋_GB2312"/>
          <w:color w:val="auto"/>
          <w:sz w:val="32"/>
          <w:szCs w:val="32"/>
          <w:highlight w:val="none"/>
        </w:rPr>
        <w:t>%；卫生健康支出</w:t>
      </w:r>
      <w:r>
        <w:rPr>
          <w:rFonts w:hint="eastAsia" w:ascii="仿宋_GB2312" w:hAnsi="仿宋_GB2312" w:eastAsia="仿宋_GB2312" w:cs="仿宋_GB2312"/>
          <w:color w:val="auto"/>
          <w:sz w:val="32"/>
          <w:szCs w:val="32"/>
          <w:highlight w:val="none"/>
          <w:lang w:val="en-US" w:eastAsia="zh-CN"/>
        </w:rPr>
        <w:t>121.59</w:t>
      </w:r>
      <w:r>
        <w:rPr>
          <w:rFonts w:hint="eastAsia" w:ascii="仿宋_GB2312" w:hAnsi="仿宋_GB2312" w:eastAsia="仿宋_GB2312" w:cs="仿宋_GB2312"/>
          <w:color w:val="auto"/>
          <w:sz w:val="32"/>
          <w:szCs w:val="32"/>
          <w:highlight w:val="none"/>
        </w:rPr>
        <w:t>万元，占2.</w:t>
      </w:r>
      <w:r>
        <w:rPr>
          <w:rFonts w:hint="eastAsia" w:ascii="仿宋_GB2312" w:hAnsi="仿宋_GB2312" w:eastAsia="仿宋_GB2312" w:cs="仿宋_GB2312"/>
          <w:color w:val="auto"/>
          <w:sz w:val="32"/>
          <w:szCs w:val="32"/>
          <w:highlight w:val="none"/>
          <w:lang w:val="en-US" w:eastAsia="zh-CN"/>
        </w:rPr>
        <w:t>57</w:t>
      </w:r>
      <w:r>
        <w:rPr>
          <w:rFonts w:hint="eastAsia" w:ascii="仿宋_GB2312" w:hAnsi="仿宋_GB2312" w:eastAsia="仿宋_GB2312" w:cs="仿宋_GB2312"/>
          <w:color w:val="auto"/>
          <w:sz w:val="32"/>
          <w:szCs w:val="32"/>
          <w:highlight w:val="none"/>
        </w:rPr>
        <w:t>%；住房保障支出</w:t>
      </w:r>
      <w:r>
        <w:rPr>
          <w:rFonts w:hint="eastAsia" w:ascii="仿宋_GB2312" w:hAnsi="仿宋_GB2312" w:eastAsia="仿宋_GB2312" w:cs="仿宋_GB2312"/>
          <w:color w:val="auto"/>
          <w:sz w:val="32"/>
          <w:szCs w:val="32"/>
          <w:highlight w:val="none"/>
          <w:lang w:val="en-US" w:eastAsia="zh-CN"/>
        </w:rPr>
        <w:t>249.35</w:t>
      </w:r>
      <w:r>
        <w:rPr>
          <w:rFonts w:hint="eastAsia" w:ascii="仿宋_GB2312" w:hAnsi="仿宋_GB2312" w:eastAsia="仿宋_GB2312" w:cs="仿宋_GB2312"/>
          <w:color w:val="auto"/>
          <w:sz w:val="32"/>
          <w:szCs w:val="32"/>
          <w:highlight w:val="none"/>
        </w:rPr>
        <w:t>万元，占5.</w:t>
      </w:r>
      <w:r>
        <w:rPr>
          <w:rFonts w:hint="eastAsia" w:ascii="仿宋_GB2312" w:hAnsi="仿宋_GB2312" w:eastAsia="仿宋_GB2312" w:cs="仿宋_GB2312"/>
          <w:color w:val="auto"/>
          <w:sz w:val="32"/>
          <w:szCs w:val="32"/>
          <w:highlight w:val="none"/>
          <w:lang w:val="en-US" w:eastAsia="zh-CN"/>
        </w:rPr>
        <w:t>26</w:t>
      </w:r>
      <w:r>
        <w:rPr>
          <w:rFonts w:hint="eastAsia" w:ascii="仿宋_GB2312" w:hAnsi="仿宋_GB2312" w:eastAsia="仿宋_GB2312" w:cs="仿宋_GB2312"/>
          <w:color w:val="auto"/>
          <w:sz w:val="32"/>
          <w:szCs w:val="32"/>
          <w:highlight w:val="none"/>
        </w:rPr>
        <w:t>%。</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w:t>
      </w:r>
    </w:p>
    <w:p>
      <w:pPr>
        <w:widowControl w:val="0"/>
        <w:wordWrap/>
        <w:adjustRightInd/>
        <w:snapToGrid/>
        <w:spacing w:line="240" w:lineRule="auto"/>
        <w:ind w:left="0" w:leftChars="0" w:right="0" w:firstLine="420" w:firstLineChars="200"/>
        <w:jc w:val="both"/>
        <w:textAlignment w:val="auto"/>
        <w:outlineLvl w:val="9"/>
        <w:rPr>
          <w:rFonts w:ascii="仿宋" w:hAnsi="仿宋" w:eastAsia="仿宋"/>
          <w:color w:val="auto"/>
          <w:sz w:val="32"/>
          <w:szCs w:val="32"/>
          <w:highlight w:val="none"/>
        </w:rPr>
      </w:pPr>
      <w:r>
        <w:rPr>
          <w:rFonts w:ascii="Calibri" w:hAnsi="Calibri" w:eastAsia="宋体" w:cs="Times New Roman"/>
          <w:color w:val="auto"/>
          <w:kern w:val="2"/>
          <w:sz w:val="21"/>
          <w:szCs w:val="24"/>
          <w:lang w:val="en-US" w:eastAsia="zh-CN" w:bidi="ar-SA"/>
        </w:rPr>
        <w:pict>
          <v:shape id="图片 13" o:spid="_x0000_s1032" type="#_x0000_t75" style="height:179pt;width:371pt;rotation:0f;" o:ole="f"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w:pict>
      </w:r>
    </w:p>
    <w:p>
      <w:pPr>
        <w:spacing w:line="600" w:lineRule="exact"/>
        <w:ind w:firstLine="643" w:firstLineChars="200"/>
        <w:outlineLvl w:val="2"/>
        <w:rPr>
          <w:rFonts w:hint="eastAsia" w:ascii="仿宋_GB2312" w:hAnsi="仿宋_GB2312" w:eastAsia="仿宋_GB2312" w:cs="仿宋_GB2312"/>
          <w:b/>
          <w:color w:val="auto"/>
          <w:sz w:val="32"/>
          <w:szCs w:val="32"/>
          <w:highlight w:val="none"/>
        </w:rPr>
      </w:pPr>
      <w:bookmarkStart w:id="40" w:name="_Toc15377212"/>
      <w:r>
        <w:rPr>
          <w:rFonts w:hint="eastAsia" w:ascii="仿宋_GB2312" w:hAnsi="仿宋_GB2312" w:eastAsia="仿宋_GB2312" w:cs="仿宋_GB2312"/>
          <w:b/>
          <w:color w:val="auto"/>
          <w:sz w:val="32"/>
          <w:szCs w:val="32"/>
          <w:highlight w:val="none"/>
        </w:rPr>
        <w:t>（三）一般公共预算财政拨款支出决算具体情况</w:t>
      </w:r>
      <w:bookmarkEnd w:id="40"/>
    </w:p>
    <w:p>
      <w:pPr>
        <w:spacing w:line="600" w:lineRule="exact"/>
        <w:ind w:firstLine="643" w:firstLineChars="200"/>
        <w:outlineLvl w:val="2"/>
        <w:rPr>
          <w:rFonts w:hint="eastAsia" w:ascii="仿宋_GB2312" w:hAnsi="仿宋_GB2312" w:eastAsia="仿宋_GB2312" w:cs="仿宋_GB2312"/>
          <w:color w:val="auto"/>
          <w:sz w:val="32"/>
          <w:szCs w:val="32"/>
          <w:highlight w:val="none"/>
        </w:rPr>
      </w:pPr>
      <w:bookmarkStart w:id="41" w:name="_Toc15377213"/>
      <w:bookmarkStart w:id="42" w:name="_Toc15377444"/>
      <w:bookmarkStart w:id="43" w:name="_Toc15378460"/>
      <w:r>
        <w:rPr>
          <w:rFonts w:hint="eastAsia" w:ascii="仿宋_GB2312" w:hAnsi="仿宋_GB2312" w:eastAsia="仿宋_GB2312" w:cs="仿宋_GB2312"/>
          <w:b/>
          <w:color w:val="auto"/>
          <w:sz w:val="32"/>
          <w:szCs w:val="32"/>
          <w:highlight w:val="none"/>
          <w:lang w:eastAsia="zh-CN"/>
        </w:rPr>
        <w:t>202</w:t>
      </w:r>
      <w:r>
        <w:rPr>
          <w:rFonts w:hint="eastAsia" w:ascii="仿宋_GB2312" w:hAnsi="仿宋_GB2312" w:eastAsia="仿宋_GB2312" w:cs="仿宋_GB2312"/>
          <w:b/>
          <w:color w:val="auto"/>
          <w:sz w:val="32"/>
          <w:szCs w:val="32"/>
          <w:highlight w:val="none"/>
          <w:lang w:val="en-US" w:eastAsia="zh-CN"/>
        </w:rPr>
        <w:t>4</w:t>
      </w:r>
      <w:r>
        <w:rPr>
          <w:rFonts w:hint="eastAsia" w:ascii="仿宋_GB2312" w:hAnsi="仿宋_GB2312" w:eastAsia="仿宋_GB2312" w:cs="仿宋_GB2312"/>
          <w:b/>
          <w:color w:val="auto"/>
          <w:sz w:val="32"/>
          <w:szCs w:val="32"/>
          <w:highlight w:val="none"/>
        </w:rPr>
        <w:t>年</w:t>
      </w:r>
      <w:r>
        <w:rPr>
          <w:rFonts w:hint="eastAsia" w:ascii="仿宋_GB2312" w:hAnsi="仿宋_GB2312" w:eastAsia="仿宋_GB2312" w:cs="仿宋_GB2312"/>
          <w:b/>
          <w:color w:val="auto"/>
          <w:sz w:val="32"/>
          <w:szCs w:val="32"/>
          <w:highlight w:val="none"/>
          <w:lang w:eastAsia="zh-CN"/>
        </w:rPr>
        <w:t>度一</w:t>
      </w:r>
      <w:r>
        <w:rPr>
          <w:rFonts w:hint="eastAsia" w:ascii="仿宋_GB2312" w:hAnsi="仿宋_GB2312" w:eastAsia="仿宋_GB2312" w:cs="仿宋_GB2312"/>
          <w:b/>
          <w:color w:val="auto"/>
          <w:sz w:val="32"/>
          <w:szCs w:val="32"/>
          <w:highlight w:val="none"/>
        </w:rPr>
        <w:t>般公共预算支出决算数为</w:t>
      </w:r>
      <w:r>
        <w:rPr>
          <w:rFonts w:hint="eastAsia" w:ascii="仿宋_GB2312" w:hAnsi="仿宋_GB2312" w:eastAsia="仿宋_GB2312" w:cs="仿宋_GB2312"/>
          <w:b/>
          <w:color w:val="auto"/>
          <w:sz w:val="32"/>
          <w:szCs w:val="32"/>
          <w:highlight w:val="none"/>
          <w:lang w:val="en-US" w:eastAsia="zh-CN"/>
        </w:rPr>
        <w:t>4736.35</w:t>
      </w:r>
      <w:r>
        <w:rPr>
          <w:rFonts w:hint="eastAsia" w:ascii="仿宋_GB2312" w:hAnsi="仿宋_GB2312" w:eastAsia="仿宋_GB2312" w:cs="仿宋_GB2312"/>
          <w:b/>
          <w:color w:val="auto"/>
          <w:sz w:val="32"/>
          <w:szCs w:val="32"/>
          <w:highlight w:val="none"/>
          <w:lang w:eastAsia="zh-CN"/>
        </w:rPr>
        <w:t>万元</w:t>
      </w:r>
      <w:r>
        <w:rPr>
          <w:rFonts w:hint="eastAsia" w:ascii="仿宋_GB2312" w:hAnsi="仿宋_GB2312" w:eastAsia="仿宋_GB2312" w:cs="仿宋_GB2312"/>
          <w:color w:val="auto"/>
          <w:sz w:val="32"/>
          <w:szCs w:val="32"/>
          <w:highlight w:val="none"/>
        </w:rPr>
        <w:t>，</w:t>
      </w:r>
      <w:r>
        <w:rPr>
          <w:rStyle w:val="23"/>
          <w:rFonts w:hint="eastAsia" w:ascii="仿宋_GB2312" w:hAnsi="仿宋_GB2312" w:eastAsia="仿宋_GB2312" w:cs="仿宋_GB2312"/>
          <w:bCs/>
          <w:color w:val="auto"/>
          <w:sz w:val="32"/>
          <w:szCs w:val="32"/>
          <w:highlight w:val="none"/>
        </w:rPr>
        <w:t>完成预算</w:t>
      </w:r>
      <w:r>
        <w:rPr>
          <w:rStyle w:val="23"/>
          <w:rFonts w:hint="eastAsia" w:ascii="仿宋_GB2312" w:hAnsi="仿宋_GB2312" w:eastAsia="仿宋_GB2312" w:cs="仿宋_GB2312"/>
          <w:bCs/>
          <w:color w:val="auto"/>
          <w:sz w:val="32"/>
          <w:szCs w:val="32"/>
          <w:highlight w:val="none"/>
          <w:lang w:val="en-US" w:eastAsia="zh-CN"/>
        </w:rPr>
        <w:t>100</w:t>
      </w:r>
      <w:r>
        <w:rPr>
          <w:rStyle w:val="23"/>
          <w:rFonts w:hint="eastAsia" w:ascii="仿宋_GB2312" w:hAnsi="仿宋_GB2312" w:eastAsia="仿宋_GB2312" w:cs="仿宋_GB2312"/>
          <w:bCs/>
          <w:color w:val="auto"/>
          <w:sz w:val="32"/>
          <w:szCs w:val="32"/>
          <w:highlight w:val="none"/>
        </w:rPr>
        <w:t>%。其中：</w:t>
      </w:r>
      <w:bookmarkEnd w:id="41"/>
      <w:bookmarkEnd w:id="42"/>
      <w:bookmarkEnd w:id="43"/>
    </w:p>
    <w:p>
      <w:pPr>
        <w:spacing w:line="600" w:lineRule="exact"/>
        <w:ind w:firstLine="643" w:firstLineChars="200"/>
        <w:rPr>
          <w:rFonts w:hint="eastAsia" w:ascii="仿宋_GB2312" w:hAnsi="仿宋_GB2312" w:eastAsia="仿宋_GB2312" w:cs="仿宋_GB2312"/>
          <w:b/>
          <w:color w:val="auto"/>
          <w:sz w:val="32"/>
          <w:szCs w:val="32"/>
          <w:highlight w:val="none"/>
        </w:rPr>
      </w:pPr>
      <w:r>
        <w:rPr>
          <w:rStyle w:val="23"/>
          <w:rFonts w:ascii="仿宋" w:hAnsi="仿宋" w:eastAsia="仿宋"/>
          <w:bCs/>
          <w:sz w:val="32"/>
          <w:szCs w:val="32"/>
        </w:rPr>
        <w:t>1.</w:t>
      </w:r>
      <w:r>
        <w:rPr>
          <w:rStyle w:val="23"/>
          <w:rFonts w:eastAsia="仿宋_GB2312"/>
          <w:bCs/>
          <w:color w:val="000000"/>
          <w:sz w:val="32"/>
          <w:szCs w:val="32"/>
        </w:rPr>
        <w:t>公共安全支出（类）法院（款）行政运行（项）</w:t>
      </w:r>
      <w:r>
        <w:rPr>
          <w:rStyle w:val="23"/>
          <w:rFonts w:hint="eastAsia" w:eastAsia="仿宋_GB2312"/>
          <w:bCs/>
          <w:color w:val="000000"/>
          <w:sz w:val="32"/>
          <w:szCs w:val="32"/>
          <w:lang w:eastAsia="zh-CN"/>
        </w:rPr>
        <w:t>：</w:t>
      </w:r>
      <w:r>
        <w:rPr>
          <w:rStyle w:val="23"/>
          <w:rFonts w:hint="eastAsia" w:ascii="仿宋_GB2312" w:hAnsi="仿宋_GB2312" w:eastAsia="仿宋_GB2312" w:cs="仿宋_GB2312"/>
          <w:b w:val="0"/>
          <w:bCs/>
          <w:color w:val="auto"/>
          <w:sz w:val="32"/>
          <w:szCs w:val="32"/>
          <w:highlight w:val="none"/>
        </w:rPr>
        <w:t xml:space="preserve"> 支出决算为</w:t>
      </w:r>
      <w:r>
        <w:rPr>
          <w:rStyle w:val="23"/>
          <w:rFonts w:hint="eastAsia" w:ascii="仿宋_GB2312" w:hAnsi="仿宋_GB2312" w:eastAsia="仿宋_GB2312" w:cs="仿宋_GB2312"/>
          <w:b w:val="0"/>
          <w:bCs/>
          <w:color w:val="auto"/>
          <w:sz w:val="32"/>
          <w:szCs w:val="32"/>
          <w:highlight w:val="none"/>
          <w:lang w:val="en-US" w:eastAsia="zh-CN"/>
        </w:rPr>
        <w:t>3121.03</w:t>
      </w:r>
      <w:r>
        <w:rPr>
          <w:rStyle w:val="23"/>
          <w:rFonts w:hint="eastAsia" w:ascii="仿宋_GB2312" w:hAnsi="仿宋_GB2312" w:eastAsia="仿宋_GB2312" w:cs="仿宋_GB2312"/>
          <w:b w:val="0"/>
          <w:bCs/>
          <w:color w:val="auto"/>
          <w:sz w:val="32"/>
          <w:szCs w:val="32"/>
          <w:highlight w:val="none"/>
        </w:rPr>
        <w:t>万元，完成预算</w:t>
      </w:r>
      <w:r>
        <w:rPr>
          <w:rStyle w:val="23"/>
          <w:rFonts w:hint="eastAsia" w:ascii="仿宋_GB2312" w:hAnsi="仿宋_GB2312" w:eastAsia="仿宋_GB2312" w:cs="仿宋_GB2312"/>
          <w:b w:val="0"/>
          <w:bCs/>
          <w:color w:val="auto"/>
          <w:sz w:val="32"/>
          <w:szCs w:val="32"/>
          <w:highlight w:val="none"/>
          <w:lang w:val="en-US" w:eastAsia="zh-CN"/>
        </w:rPr>
        <w:t>100</w:t>
      </w:r>
      <w:r>
        <w:rPr>
          <w:rStyle w:val="23"/>
          <w:rFonts w:hint="eastAsia" w:ascii="仿宋_GB2312" w:hAnsi="仿宋_GB2312" w:eastAsia="仿宋_GB2312" w:cs="仿宋_GB2312"/>
          <w:b w:val="0"/>
          <w:bCs/>
          <w:color w:val="auto"/>
          <w:sz w:val="32"/>
          <w:szCs w:val="32"/>
          <w:highlight w:val="none"/>
        </w:rPr>
        <w:t>%。</w:t>
      </w:r>
    </w:p>
    <w:p>
      <w:pPr>
        <w:spacing w:line="600" w:lineRule="exact"/>
        <w:ind w:firstLine="643" w:firstLineChars="200"/>
        <w:rPr>
          <w:rFonts w:hint="eastAsia" w:ascii="仿宋_GB2312" w:hAnsi="仿宋_GB2312" w:eastAsia="仿宋_GB2312" w:cs="仿宋_GB2312"/>
          <w:b/>
          <w:color w:val="auto"/>
          <w:sz w:val="32"/>
          <w:szCs w:val="32"/>
          <w:highlight w:val="none"/>
        </w:rPr>
      </w:pPr>
      <w:r>
        <w:rPr>
          <w:rStyle w:val="23"/>
          <w:rFonts w:ascii="仿宋" w:hAnsi="仿宋" w:eastAsia="仿宋"/>
          <w:bCs/>
          <w:sz w:val="32"/>
          <w:szCs w:val="32"/>
        </w:rPr>
        <w:t>2.</w:t>
      </w:r>
      <w:r>
        <w:rPr>
          <w:rStyle w:val="23"/>
          <w:rFonts w:eastAsia="仿宋_GB2312"/>
          <w:bCs/>
          <w:color w:val="000000"/>
          <w:sz w:val="32"/>
          <w:szCs w:val="32"/>
        </w:rPr>
        <w:t>公共安全支出（类）法院（款）案件审判（项）</w:t>
      </w:r>
      <w:r>
        <w:rPr>
          <w:rStyle w:val="23"/>
          <w:rFonts w:hint="eastAsia" w:eastAsia="仿宋_GB2312"/>
          <w:bCs/>
          <w:color w:val="000000"/>
          <w:sz w:val="32"/>
          <w:szCs w:val="32"/>
          <w:lang w:eastAsia="zh-CN"/>
        </w:rPr>
        <w:t>：</w:t>
      </w:r>
      <w:r>
        <w:rPr>
          <w:rStyle w:val="23"/>
          <w:rFonts w:hint="eastAsia" w:ascii="仿宋_GB2312" w:hAnsi="仿宋_GB2312" w:eastAsia="仿宋_GB2312" w:cs="仿宋_GB2312"/>
          <w:b w:val="0"/>
          <w:bCs/>
          <w:color w:val="auto"/>
          <w:sz w:val="32"/>
          <w:szCs w:val="32"/>
          <w:highlight w:val="none"/>
        </w:rPr>
        <w:t xml:space="preserve"> 支出决算为</w:t>
      </w:r>
      <w:r>
        <w:rPr>
          <w:rStyle w:val="23"/>
          <w:rFonts w:hint="eastAsia" w:ascii="仿宋_GB2312" w:hAnsi="仿宋_GB2312" w:eastAsia="仿宋_GB2312" w:cs="仿宋_GB2312"/>
          <w:b w:val="0"/>
          <w:bCs/>
          <w:color w:val="auto"/>
          <w:sz w:val="32"/>
          <w:szCs w:val="32"/>
          <w:highlight w:val="none"/>
          <w:lang w:val="en-US" w:eastAsia="zh-CN"/>
        </w:rPr>
        <w:t>763.23</w:t>
      </w:r>
      <w:r>
        <w:rPr>
          <w:rStyle w:val="23"/>
          <w:rFonts w:hint="eastAsia" w:ascii="仿宋_GB2312" w:hAnsi="仿宋_GB2312" w:eastAsia="仿宋_GB2312" w:cs="仿宋_GB2312"/>
          <w:b w:val="0"/>
          <w:bCs/>
          <w:color w:val="auto"/>
          <w:sz w:val="32"/>
          <w:szCs w:val="32"/>
          <w:highlight w:val="none"/>
        </w:rPr>
        <w:t>万元，完成预算</w:t>
      </w:r>
      <w:r>
        <w:rPr>
          <w:rStyle w:val="23"/>
          <w:rFonts w:hint="eastAsia" w:ascii="仿宋_GB2312" w:hAnsi="仿宋_GB2312" w:eastAsia="仿宋_GB2312" w:cs="仿宋_GB2312"/>
          <w:b w:val="0"/>
          <w:bCs/>
          <w:color w:val="auto"/>
          <w:sz w:val="32"/>
          <w:szCs w:val="32"/>
          <w:highlight w:val="none"/>
          <w:lang w:val="en-US" w:eastAsia="zh-CN"/>
        </w:rPr>
        <w:t>100</w:t>
      </w:r>
      <w:r>
        <w:rPr>
          <w:rStyle w:val="23"/>
          <w:rFonts w:hint="eastAsia" w:ascii="仿宋_GB2312" w:hAnsi="仿宋_GB2312" w:eastAsia="仿宋_GB2312" w:cs="仿宋_GB2312"/>
          <w:b w:val="0"/>
          <w:bCs/>
          <w:color w:val="auto"/>
          <w:sz w:val="32"/>
          <w:szCs w:val="32"/>
          <w:highlight w:val="none"/>
        </w:rPr>
        <w:t>%。</w:t>
      </w:r>
    </w:p>
    <w:p>
      <w:pPr>
        <w:spacing w:line="600" w:lineRule="exact"/>
        <w:ind w:firstLine="643" w:firstLineChars="200"/>
        <w:rPr>
          <w:rFonts w:hint="eastAsia" w:ascii="仿宋_GB2312" w:hAnsi="仿宋_GB2312" w:eastAsia="仿宋_GB2312" w:cs="仿宋_GB2312"/>
          <w:b/>
          <w:color w:val="auto"/>
          <w:sz w:val="32"/>
          <w:szCs w:val="32"/>
          <w:highlight w:val="none"/>
        </w:rPr>
      </w:pPr>
      <w:r>
        <w:rPr>
          <w:rStyle w:val="23"/>
          <w:rFonts w:ascii="仿宋" w:hAnsi="仿宋" w:eastAsia="仿宋"/>
          <w:bCs/>
          <w:sz w:val="32"/>
          <w:szCs w:val="32"/>
        </w:rPr>
        <w:t>3.</w:t>
      </w:r>
      <w:r>
        <w:rPr>
          <w:rStyle w:val="23"/>
          <w:rFonts w:eastAsia="仿宋_GB2312"/>
          <w:bCs/>
          <w:color w:val="000000"/>
          <w:sz w:val="32"/>
          <w:szCs w:val="32"/>
        </w:rPr>
        <w:t>公共安全支出（类）法院（款）案件执行（项）</w:t>
      </w:r>
      <w:r>
        <w:rPr>
          <w:rStyle w:val="23"/>
          <w:rFonts w:hint="eastAsia" w:eastAsia="仿宋_GB2312"/>
          <w:bCs/>
          <w:color w:val="000000"/>
          <w:sz w:val="32"/>
          <w:szCs w:val="32"/>
          <w:lang w:eastAsia="zh-CN"/>
        </w:rPr>
        <w:t>：</w:t>
      </w:r>
      <w:r>
        <w:rPr>
          <w:rStyle w:val="23"/>
          <w:rFonts w:hint="eastAsia" w:ascii="仿宋_GB2312" w:hAnsi="仿宋_GB2312" w:eastAsia="仿宋_GB2312" w:cs="仿宋_GB2312"/>
          <w:b w:val="0"/>
          <w:bCs/>
          <w:color w:val="auto"/>
          <w:sz w:val="32"/>
          <w:szCs w:val="32"/>
          <w:highlight w:val="none"/>
        </w:rPr>
        <w:t xml:space="preserve"> 支出决算为</w:t>
      </w:r>
      <w:r>
        <w:rPr>
          <w:rStyle w:val="23"/>
          <w:rFonts w:hint="eastAsia" w:ascii="仿宋_GB2312" w:hAnsi="仿宋_GB2312" w:eastAsia="仿宋_GB2312" w:cs="仿宋_GB2312"/>
          <w:b w:val="0"/>
          <w:bCs/>
          <w:color w:val="auto"/>
          <w:sz w:val="32"/>
          <w:szCs w:val="32"/>
          <w:highlight w:val="none"/>
          <w:lang w:val="en-US" w:eastAsia="zh-CN"/>
        </w:rPr>
        <w:t>136.67</w:t>
      </w:r>
      <w:r>
        <w:rPr>
          <w:rStyle w:val="23"/>
          <w:rFonts w:hint="eastAsia" w:ascii="仿宋_GB2312" w:hAnsi="仿宋_GB2312" w:eastAsia="仿宋_GB2312" w:cs="仿宋_GB2312"/>
          <w:b w:val="0"/>
          <w:bCs/>
          <w:color w:val="auto"/>
          <w:sz w:val="32"/>
          <w:szCs w:val="32"/>
          <w:highlight w:val="none"/>
        </w:rPr>
        <w:t>万元，完成预算</w:t>
      </w:r>
      <w:r>
        <w:rPr>
          <w:rStyle w:val="23"/>
          <w:rFonts w:hint="eastAsia" w:ascii="仿宋_GB2312" w:hAnsi="仿宋_GB2312" w:eastAsia="仿宋_GB2312" w:cs="仿宋_GB2312"/>
          <w:b w:val="0"/>
          <w:bCs/>
          <w:color w:val="auto"/>
          <w:sz w:val="32"/>
          <w:szCs w:val="32"/>
          <w:highlight w:val="none"/>
          <w:lang w:val="en-US" w:eastAsia="zh-CN"/>
        </w:rPr>
        <w:t>100</w:t>
      </w:r>
      <w:r>
        <w:rPr>
          <w:rStyle w:val="23"/>
          <w:rFonts w:hint="eastAsia" w:ascii="仿宋_GB2312" w:hAnsi="仿宋_GB2312" w:eastAsia="仿宋_GB2312" w:cs="仿宋_GB2312"/>
          <w:b w:val="0"/>
          <w:bCs/>
          <w:color w:val="auto"/>
          <w:sz w:val="32"/>
          <w:szCs w:val="32"/>
          <w:highlight w:val="none"/>
        </w:rPr>
        <w:t>%。</w:t>
      </w:r>
    </w:p>
    <w:p>
      <w:pPr>
        <w:spacing w:line="600" w:lineRule="exact"/>
        <w:ind w:firstLine="643" w:firstLineChars="200"/>
        <w:rPr>
          <w:rFonts w:hint="eastAsia" w:ascii="仿宋_GB2312" w:hAnsi="仿宋_GB2312" w:eastAsia="仿宋_GB2312" w:cs="仿宋_GB2312"/>
          <w:b/>
          <w:color w:val="auto"/>
          <w:sz w:val="32"/>
          <w:szCs w:val="32"/>
          <w:highlight w:val="none"/>
        </w:rPr>
      </w:pPr>
      <w:r>
        <w:rPr>
          <w:rStyle w:val="23"/>
          <w:rFonts w:ascii="仿宋" w:hAnsi="仿宋" w:eastAsia="仿宋"/>
          <w:bCs/>
          <w:sz w:val="32"/>
          <w:szCs w:val="32"/>
        </w:rPr>
        <w:t>4.</w:t>
      </w:r>
      <w:r>
        <w:rPr>
          <w:rStyle w:val="23"/>
          <w:rFonts w:eastAsia="仿宋_GB2312"/>
          <w:bCs/>
          <w:color w:val="000000"/>
          <w:sz w:val="32"/>
          <w:szCs w:val="32"/>
        </w:rPr>
        <w:t>公共安全支出（类）法院（款）事业运行（项）</w:t>
      </w:r>
      <w:r>
        <w:rPr>
          <w:rStyle w:val="23"/>
          <w:rFonts w:hint="eastAsia" w:eastAsia="仿宋_GB2312"/>
          <w:bCs/>
          <w:color w:val="000000"/>
          <w:sz w:val="32"/>
          <w:szCs w:val="32"/>
          <w:lang w:eastAsia="zh-CN"/>
        </w:rPr>
        <w:t>：</w:t>
      </w:r>
      <w:r>
        <w:rPr>
          <w:rStyle w:val="23"/>
          <w:rFonts w:hint="eastAsia" w:ascii="仿宋_GB2312" w:hAnsi="仿宋_GB2312" w:eastAsia="仿宋_GB2312" w:cs="仿宋_GB2312"/>
          <w:b w:val="0"/>
          <w:bCs/>
          <w:color w:val="auto"/>
          <w:sz w:val="32"/>
          <w:szCs w:val="32"/>
          <w:highlight w:val="none"/>
        </w:rPr>
        <w:t xml:space="preserve"> 支出决算为</w:t>
      </w:r>
      <w:r>
        <w:rPr>
          <w:rStyle w:val="23"/>
          <w:rFonts w:hint="eastAsia" w:ascii="仿宋_GB2312" w:hAnsi="仿宋_GB2312" w:eastAsia="仿宋_GB2312" w:cs="仿宋_GB2312"/>
          <w:b w:val="0"/>
          <w:bCs/>
          <w:color w:val="auto"/>
          <w:sz w:val="32"/>
          <w:szCs w:val="32"/>
          <w:highlight w:val="none"/>
          <w:lang w:val="en-US" w:eastAsia="zh-CN"/>
        </w:rPr>
        <w:t>54.72</w:t>
      </w:r>
      <w:r>
        <w:rPr>
          <w:rStyle w:val="23"/>
          <w:rFonts w:hint="eastAsia" w:ascii="仿宋_GB2312" w:hAnsi="仿宋_GB2312" w:eastAsia="仿宋_GB2312" w:cs="仿宋_GB2312"/>
          <w:b w:val="0"/>
          <w:bCs/>
          <w:color w:val="auto"/>
          <w:sz w:val="32"/>
          <w:szCs w:val="32"/>
          <w:highlight w:val="none"/>
        </w:rPr>
        <w:t>万元，完成预算</w:t>
      </w:r>
      <w:r>
        <w:rPr>
          <w:rStyle w:val="23"/>
          <w:rFonts w:hint="eastAsia" w:ascii="仿宋_GB2312" w:hAnsi="仿宋_GB2312" w:eastAsia="仿宋_GB2312" w:cs="仿宋_GB2312"/>
          <w:b w:val="0"/>
          <w:bCs/>
          <w:color w:val="auto"/>
          <w:sz w:val="32"/>
          <w:szCs w:val="32"/>
          <w:highlight w:val="none"/>
          <w:lang w:val="en-US" w:eastAsia="zh-CN"/>
        </w:rPr>
        <w:t>100</w:t>
      </w:r>
      <w:r>
        <w:rPr>
          <w:rStyle w:val="23"/>
          <w:rFonts w:hint="eastAsia" w:ascii="仿宋_GB2312" w:hAnsi="仿宋_GB2312" w:eastAsia="仿宋_GB2312" w:cs="仿宋_GB2312"/>
          <w:b w:val="0"/>
          <w:bCs/>
          <w:color w:val="auto"/>
          <w:sz w:val="32"/>
          <w:szCs w:val="32"/>
          <w:highlight w:val="none"/>
        </w:rPr>
        <w:t>%。</w:t>
      </w:r>
    </w:p>
    <w:p>
      <w:pPr>
        <w:spacing w:line="600" w:lineRule="exact"/>
        <w:ind w:firstLine="643" w:firstLineChars="200"/>
        <w:rPr>
          <w:rFonts w:hint="eastAsia" w:ascii="仿宋_GB2312" w:hAnsi="仿宋_GB2312" w:eastAsia="仿宋_GB2312" w:cs="仿宋_GB2312"/>
          <w:b/>
          <w:color w:val="auto"/>
          <w:sz w:val="32"/>
          <w:szCs w:val="32"/>
          <w:highlight w:val="none"/>
        </w:rPr>
      </w:pPr>
      <w:r>
        <w:rPr>
          <w:rStyle w:val="23"/>
          <w:rFonts w:hint="eastAsia" w:ascii="仿宋_GB2312" w:hAnsi="仿宋_GB2312" w:eastAsia="仿宋_GB2312" w:cs="仿宋_GB2312"/>
          <w:bCs/>
          <w:color w:val="auto"/>
          <w:sz w:val="32"/>
          <w:szCs w:val="32"/>
          <w:highlight w:val="none"/>
        </w:rPr>
        <w:t>5.</w:t>
      </w:r>
      <w:r>
        <w:rPr>
          <w:rStyle w:val="23"/>
          <w:rFonts w:eastAsia="仿宋_GB2312"/>
          <w:bCs/>
          <w:color w:val="000000"/>
          <w:sz w:val="32"/>
          <w:szCs w:val="32"/>
        </w:rPr>
        <w:t>公共安全支出（类）法院（款）其他法院支出（项）</w:t>
      </w:r>
      <w:r>
        <w:rPr>
          <w:rStyle w:val="23"/>
          <w:rFonts w:hint="eastAsia" w:eastAsia="仿宋_GB2312"/>
          <w:bCs/>
          <w:color w:val="000000"/>
          <w:sz w:val="32"/>
          <w:szCs w:val="32"/>
          <w:lang w:eastAsia="zh-CN"/>
        </w:rPr>
        <w:t>：</w:t>
      </w:r>
      <w:r>
        <w:rPr>
          <w:rStyle w:val="23"/>
          <w:rFonts w:hint="eastAsia" w:ascii="仿宋_GB2312" w:hAnsi="仿宋_GB2312" w:eastAsia="仿宋_GB2312" w:cs="仿宋_GB2312"/>
          <w:b w:val="0"/>
          <w:bCs/>
          <w:color w:val="auto"/>
          <w:sz w:val="32"/>
          <w:szCs w:val="32"/>
          <w:highlight w:val="none"/>
        </w:rPr>
        <w:t xml:space="preserve"> 支出决算为</w:t>
      </w:r>
      <w:r>
        <w:rPr>
          <w:rStyle w:val="23"/>
          <w:rFonts w:hint="eastAsia" w:ascii="仿宋_GB2312" w:hAnsi="仿宋_GB2312" w:eastAsia="仿宋_GB2312" w:cs="仿宋_GB2312"/>
          <w:b w:val="0"/>
          <w:bCs/>
          <w:color w:val="auto"/>
          <w:sz w:val="32"/>
          <w:szCs w:val="32"/>
          <w:highlight w:val="none"/>
          <w:lang w:val="en-US" w:eastAsia="zh-CN"/>
        </w:rPr>
        <w:t>8.5</w:t>
      </w:r>
      <w:r>
        <w:rPr>
          <w:rStyle w:val="23"/>
          <w:rFonts w:hint="eastAsia" w:ascii="仿宋_GB2312" w:hAnsi="仿宋_GB2312" w:eastAsia="仿宋_GB2312" w:cs="仿宋_GB2312"/>
          <w:b w:val="0"/>
          <w:bCs/>
          <w:color w:val="auto"/>
          <w:sz w:val="32"/>
          <w:szCs w:val="32"/>
          <w:highlight w:val="none"/>
        </w:rPr>
        <w:t>万元，完成预算</w:t>
      </w:r>
      <w:r>
        <w:rPr>
          <w:rStyle w:val="23"/>
          <w:rFonts w:hint="eastAsia" w:ascii="仿宋_GB2312" w:hAnsi="仿宋_GB2312" w:eastAsia="仿宋_GB2312" w:cs="仿宋_GB2312"/>
          <w:b w:val="0"/>
          <w:bCs/>
          <w:color w:val="auto"/>
          <w:sz w:val="32"/>
          <w:szCs w:val="32"/>
          <w:highlight w:val="none"/>
          <w:lang w:val="en-US" w:eastAsia="zh-CN"/>
        </w:rPr>
        <w:t>100</w:t>
      </w:r>
      <w:r>
        <w:rPr>
          <w:rStyle w:val="23"/>
          <w:rFonts w:hint="eastAsia" w:ascii="仿宋_GB2312" w:hAnsi="仿宋_GB2312" w:eastAsia="仿宋_GB2312" w:cs="仿宋_GB2312"/>
          <w:b w:val="0"/>
          <w:bCs/>
          <w:color w:val="auto"/>
          <w:sz w:val="32"/>
          <w:szCs w:val="32"/>
          <w:highlight w:val="none"/>
        </w:rPr>
        <w:t>%。</w:t>
      </w:r>
    </w:p>
    <w:p>
      <w:pPr>
        <w:spacing w:line="600" w:lineRule="exact"/>
        <w:ind w:firstLine="643" w:firstLineChars="200"/>
        <w:rPr>
          <w:rFonts w:hint="eastAsia" w:ascii="仿宋_GB2312" w:hAnsi="仿宋_GB2312" w:eastAsia="仿宋_GB2312" w:cs="仿宋_GB2312"/>
          <w:b/>
          <w:color w:val="auto"/>
          <w:sz w:val="32"/>
          <w:szCs w:val="32"/>
          <w:highlight w:val="none"/>
        </w:rPr>
      </w:pPr>
      <w:r>
        <w:rPr>
          <w:rStyle w:val="23"/>
          <w:rFonts w:hint="eastAsia" w:ascii="仿宋_GB2312" w:hAnsi="仿宋_GB2312" w:eastAsia="仿宋_GB2312" w:cs="仿宋_GB2312"/>
          <w:bCs/>
          <w:color w:val="auto"/>
          <w:sz w:val="32"/>
          <w:szCs w:val="32"/>
          <w:highlight w:val="none"/>
        </w:rPr>
        <w:t>6.</w:t>
      </w:r>
      <w:r>
        <w:rPr>
          <w:rStyle w:val="23"/>
          <w:rFonts w:eastAsia="仿宋_GB2312"/>
          <w:bCs/>
          <w:color w:val="000000"/>
          <w:sz w:val="32"/>
          <w:szCs w:val="32"/>
        </w:rPr>
        <w:t>社会保障和就业支出（类）行政事业单位养老支出（款）机关事业单位基本养老保险缴费支出（项）</w:t>
      </w:r>
      <w:r>
        <w:rPr>
          <w:rStyle w:val="23"/>
          <w:rFonts w:hint="eastAsia" w:eastAsia="仿宋_GB2312"/>
          <w:bCs/>
          <w:color w:val="000000"/>
          <w:sz w:val="32"/>
          <w:szCs w:val="32"/>
          <w:lang w:eastAsia="zh-CN"/>
        </w:rPr>
        <w:t>：</w:t>
      </w:r>
      <w:r>
        <w:rPr>
          <w:rStyle w:val="23"/>
          <w:rFonts w:hint="eastAsia" w:ascii="仿宋_GB2312" w:hAnsi="仿宋_GB2312" w:eastAsia="仿宋_GB2312" w:cs="仿宋_GB2312"/>
          <w:b w:val="0"/>
          <w:bCs/>
          <w:color w:val="auto"/>
          <w:sz w:val="32"/>
          <w:szCs w:val="32"/>
          <w:highlight w:val="none"/>
        </w:rPr>
        <w:t>支出决算为</w:t>
      </w:r>
      <w:r>
        <w:rPr>
          <w:rStyle w:val="23"/>
          <w:rFonts w:hint="eastAsia" w:ascii="仿宋_GB2312" w:hAnsi="仿宋_GB2312" w:eastAsia="仿宋_GB2312" w:cs="仿宋_GB2312"/>
          <w:b w:val="0"/>
          <w:bCs/>
          <w:color w:val="auto"/>
          <w:sz w:val="32"/>
          <w:szCs w:val="32"/>
          <w:highlight w:val="none"/>
          <w:lang w:val="en-US" w:eastAsia="zh-CN"/>
        </w:rPr>
        <w:t>171.8</w:t>
      </w:r>
      <w:r>
        <w:rPr>
          <w:rStyle w:val="23"/>
          <w:rFonts w:hint="eastAsia" w:ascii="仿宋_GB2312" w:hAnsi="仿宋_GB2312" w:eastAsia="仿宋_GB2312" w:cs="仿宋_GB2312"/>
          <w:b w:val="0"/>
          <w:bCs/>
          <w:color w:val="auto"/>
          <w:sz w:val="32"/>
          <w:szCs w:val="32"/>
          <w:highlight w:val="none"/>
        </w:rPr>
        <w:t>万元，完成预算</w:t>
      </w:r>
      <w:r>
        <w:rPr>
          <w:rStyle w:val="23"/>
          <w:rFonts w:hint="eastAsia" w:ascii="仿宋_GB2312" w:hAnsi="仿宋_GB2312" w:eastAsia="仿宋_GB2312" w:cs="仿宋_GB2312"/>
          <w:b w:val="0"/>
          <w:bCs/>
          <w:color w:val="auto"/>
          <w:sz w:val="32"/>
          <w:szCs w:val="32"/>
          <w:highlight w:val="none"/>
          <w:lang w:val="en-US" w:eastAsia="zh-CN"/>
        </w:rPr>
        <w:t>100</w:t>
      </w:r>
      <w:r>
        <w:rPr>
          <w:rStyle w:val="23"/>
          <w:rFonts w:hint="eastAsia" w:ascii="仿宋_GB2312" w:hAnsi="仿宋_GB2312" w:eastAsia="仿宋_GB2312" w:cs="仿宋_GB2312"/>
          <w:b w:val="0"/>
          <w:bCs/>
          <w:color w:val="auto"/>
          <w:sz w:val="32"/>
          <w:szCs w:val="32"/>
          <w:highlight w:val="none"/>
        </w:rPr>
        <w:t>%。</w:t>
      </w:r>
    </w:p>
    <w:p>
      <w:pPr>
        <w:spacing w:line="620" w:lineRule="exact"/>
        <w:ind w:firstLine="643" w:firstLineChars="200"/>
        <w:rPr>
          <w:rStyle w:val="23"/>
          <w:rFonts w:eastAsia="仿宋"/>
          <w:b w:val="0"/>
          <w:bCs/>
          <w:sz w:val="32"/>
          <w:szCs w:val="32"/>
        </w:rPr>
      </w:pPr>
      <w:r>
        <w:rPr>
          <w:rStyle w:val="23"/>
          <w:rFonts w:hint="eastAsia" w:eastAsia="仿宋_GB2312"/>
          <w:bCs/>
          <w:color w:val="000000"/>
          <w:sz w:val="32"/>
          <w:szCs w:val="32"/>
        </w:rPr>
        <w:t>7.</w:t>
      </w:r>
      <w:r>
        <w:rPr>
          <w:rStyle w:val="23"/>
          <w:rFonts w:eastAsia="仿宋_GB2312"/>
          <w:bCs/>
          <w:color w:val="000000"/>
          <w:sz w:val="32"/>
          <w:szCs w:val="32"/>
        </w:rPr>
        <w:t>社会保障和就业支出（类）行政事业单位养老支出（款）机关事业单位职业年金缴费支出（项）</w:t>
      </w:r>
      <w:r>
        <w:rPr>
          <w:rStyle w:val="23"/>
          <w:rFonts w:hint="eastAsia" w:eastAsia="仿宋_GB2312"/>
          <w:bCs/>
          <w:color w:val="000000"/>
          <w:sz w:val="32"/>
          <w:szCs w:val="32"/>
          <w:lang w:eastAsia="zh-CN"/>
        </w:rPr>
        <w:t>：</w:t>
      </w:r>
      <w:r>
        <w:rPr>
          <w:rStyle w:val="23"/>
          <w:rFonts w:eastAsia="仿宋"/>
          <w:b w:val="0"/>
          <w:bCs/>
          <w:sz w:val="32"/>
          <w:szCs w:val="32"/>
        </w:rPr>
        <w:t>支出决算为</w:t>
      </w:r>
      <w:r>
        <w:rPr>
          <w:rStyle w:val="23"/>
          <w:rFonts w:hint="eastAsia" w:ascii="仿宋_GB2312" w:hAnsi="仿宋_GB2312" w:eastAsia="仿宋_GB2312" w:cs="仿宋_GB2312"/>
          <w:b w:val="0"/>
          <w:bCs/>
          <w:color w:val="auto"/>
          <w:sz w:val="32"/>
          <w:szCs w:val="32"/>
          <w:highlight w:val="none"/>
          <w:lang w:val="en-US" w:eastAsia="zh-CN"/>
        </w:rPr>
        <w:t>109.47</w:t>
      </w:r>
      <w:r>
        <w:rPr>
          <w:rStyle w:val="23"/>
          <w:rFonts w:eastAsia="仿宋"/>
          <w:b w:val="0"/>
          <w:bCs/>
          <w:sz w:val="32"/>
          <w:szCs w:val="32"/>
        </w:rPr>
        <w:t>万元，完成预</w:t>
      </w:r>
      <w:r>
        <w:rPr>
          <w:rStyle w:val="23"/>
          <w:rFonts w:hint="eastAsia" w:ascii="仿宋_GB2312" w:hAnsi="仿宋_GB2312" w:eastAsia="仿宋_GB2312" w:cs="仿宋_GB2312"/>
          <w:b w:val="0"/>
          <w:bCs/>
          <w:color w:val="auto"/>
          <w:sz w:val="32"/>
          <w:szCs w:val="32"/>
          <w:highlight w:val="none"/>
          <w:lang w:val="en-US" w:eastAsia="zh-CN"/>
        </w:rPr>
        <w:t>算100%</w:t>
      </w:r>
      <w:r>
        <w:rPr>
          <w:rStyle w:val="23"/>
          <w:rFonts w:eastAsia="仿宋"/>
          <w:b w:val="0"/>
          <w:bCs/>
          <w:sz w:val="32"/>
          <w:szCs w:val="32"/>
        </w:rPr>
        <w:t>。</w:t>
      </w:r>
    </w:p>
    <w:p>
      <w:pPr>
        <w:spacing w:line="620" w:lineRule="exact"/>
        <w:ind w:firstLine="643" w:firstLineChars="200"/>
        <w:rPr>
          <w:rStyle w:val="23"/>
          <w:rFonts w:eastAsia="仿宋"/>
          <w:b w:val="0"/>
          <w:bCs/>
          <w:sz w:val="32"/>
        </w:rPr>
      </w:pPr>
      <w:r>
        <w:rPr>
          <w:rStyle w:val="23"/>
          <w:rFonts w:hint="eastAsia" w:eastAsia="仿宋_GB2312"/>
          <w:bCs/>
          <w:color w:val="000000"/>
          <w:sz w:val="32"/>
        </w:rPr>
        <w:t>8.</w:t>
      </w:r>
      <w:r>
        <w:rPr>
          <w:rStyle w:val="23"/>
          <w:rFonts w:eastAsia="仿宋_GB2312"/>
          <w:bCs/>
          <w:color w:val="000000"/>
          <w:sz w:val="32"/>
        </w:rPr>
        <w:t>卫生健康支出（类）行政事业单位医疗（款）行政单位医疗（项）</w:t>
      </w:r>
      <w:r>
        <w:rPr>
          <w:rStyle w:val="23"/>
          <w:rFonts w:hint="eastAsia" w:eastAsia="仿宋_GB2312"/>
          <w:bCs/>
          <w:color w:val="000000"/>
          <w:sz w:val="32"/>
          <w:lang w:eastAsia="zh-CN"/>
        </w:rPr>
        <w:t>：</w:t>
      </w:r>
      <w:r>
        <w:rPr>
          <w:rStyle w:val="23"/>
          <w:rFonts w:eastAsia="仿宋"/>
          <w:b w:val="0"/>
          <w:bCs/>
          <w:sz w:val="32"/>
        </w:rPr>
        <w:t>支出决算为</w:t>
      </w:r>
      <w:r>
        <w:rPr>
          <w:rStyle w:val="23"/>
          <w:rFonts w:hint="eastAsia" w:eastAsia="仿宋"/>
          <w:b w:val="0"/>
          <w:bCs/>
          <w:sz w:val="32"/>
          <w:lang w:val="en-US" w:eastAsia="zh-CN"/>
        </w:rPr>
        <w:t>121.59</w:t>
      </w:r>
      <w:r>
        <w:rPr>
          <w:rStyle w:val="23"/>
          <w:rFonts w:eastAsia="仿宋"/>
          <w:b w:val="0"/>
          <w:bCs/>
          <w:sz w:val="32"/>
        </w:rPr>
        <w:t>万元，完成预算100%。</w:t>
      </w:r>
    </w:p>
    <w:p>
      <w:pPr>
        <w:spacing w:line="600" w:lineRule="exact"/>
        <w:ind w:firstLine="643" w:firstLineChars="200"/>
        <w:rPr>
          <w:rFonts w:ascii="仿宋" w:hAnsi="仿宋" w:eastAsia="仿宋"/>
          <w:b/>
          <w:color w:val="auto"/>
          <w:sz w:val="32"/>
          <w:szCs w:val="32"/>
          <w:highlight w:val="none"/>
        </w:rPr>
      </w:pPr>
      <w:r>
        <w:rPr>
          <w:rStyle w:val="23"/>
          <w:rFonts w:hint="eastAsia" w:eastAsia="仿宋_GB2312"/>
          <w:bCs/>
          <w:color w:val="000000"/>
          <w:sz w:val="32"/>
          <w:szCs w:val="32"/>
        </w:rPr>
        <w:t>9.</w:t>
      </w:r>
      <w:r>
        <w:rPr>
          <w:rStyle w:val="23"/>
          <w:rFonts w:eastAsia="仿宋_GB2312"/>
          <w:bCs/>
          <w:color w:val="000000"/>
          <w:sz w:val="32"/>
          <w:szCs w:val="32"/>
        </w:rPr>
        <w:t>住房保障支出（类）住房改革支出（款）住房公积金（项）</w:t>
      </w:r>
      <w:r>
        <w:rPr>
          <w:rStyle w:val="23"/>
          <w:rFonts w:hint="eastAsia" w:eastAsia="仿宋_GB2312"/>
          <w:bCs/>
          <w:color w:val="000000"/>
          <w:sz w:val="32"/>
          <w:szCs w:val="32"/>
          <w:lang w:eastAsia="zh-CN"/>
        </w:rPr>
        <w:t>：</w:t>
      </w:r>
      <w:r>
        <w:rPr>
          <w:rStyle w:val="23"/>
          <w:rFonts w:eastAsia="仿宋_GB2312"/>
          <w:b w:val="0"/>
          <w:bCs/>
          <w:color w:val="000000"/>
          <w:sz w:val="32"/>
          <w:szCs w:val="32"/>
        </w:rPr>
        <w:t>支出决算</w:t>
      </w:r>
      <w:r>
        <w:rPr>
          <w:rStyle w:val="23"/>
          <w:rFonts w:hint="eastAsia" w:ascii="仿宋_GB2312" w:hAnsi="仿宋_GB2312" w:eastAsia="仿宋_GB2312" w:cs="仿宋_GB2312"/>
          <w:b w:val="0"/>
          <w:bCs/>
          <w:color w:val="auto"/>
          <w:sz w:val="32"/>
          <w:szCs w:val="32"/>
          <w:highlight w:val="none"/>
          <w:lang w:val="en-US" w:eastAsia="zh-CN"/>
        </w:rPr>
        <w:t>为249.35万元，完成预算100%。</w:t>
      </w:r>
    </w:p>
    <w:p>
      <w:pPr>
        <w:tabs>
          <w:tab w:val="right" w:pos="8306"/>
        </w:tabs>
        <w:spacing w:line="600" w:lineRule="exact"/>
        <w:ind w:firstLine="640"/>
        <w:outlineLvl w:val="1"/>
        <w:rPr>
          <w:rStyle w:val="37"/>
          <w:color w:val="auto"/>
          <w:highlight w:val="none"/>
        </w:rPr>
      </w:pPr>
      <w:bookmarkStart w:id="44" w:name="_Toc15377214"/>
      <w:bookmarkStart w:id="45" w:name="_Toc16367"/>
      <w:bookmarkStart w:id="46" w:name="_Toc27248"/>
      <w:bookmarkStart w:id="47"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7"/>
          <w:rFonts w:hint="eastAsia" w:ascii="黑体" w:hAnsi="黑体" w:eastAsia="黑体"/>
          <w:b w:val="0"/>
          <w:color w:val="auto"/>
          <w:highlight w:val="none"/>
        </w:rPr>
        <w:t>般公共预算财政拨款基本支出决算情况说明</w:t>
      </w:r>
      <w:bookmarkEnd w:id="44"/>
      <w:bookmarkEnd w:id="45"/>
      <w:bookmarkEnd w:id="46"/>
      <w:bookmarkEnd w:id="47"/>
      <w:r>
        <w:rPr>
          <w:rStyle w:val="37"/>
          <w:rFonts w:ascii="黑体" w:hAnsi="黑体" w:eastAsia="黑体"/>
          <w:b w:val="0"/>
          <w:color w:val="auto"/>
          <w:highlight w:val="none"/>
        </w:rPr>
        <w:tab/>
      </w:r>
    </w:p>
    <w:p>
      <w:pP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一般公共预算财政拨款基本支出</w:t>
      </w:r>
      <w:r>
        <w:rPr>
          <w:rFonts w:hint="eastAsia" w:ascii="仿宋_GB2312" w:hAnsi="仿宋_GB2312" w:eastAsia="仿宋_GB2312" w:cs="仿宋_GB2312"/>
          <w:color w:val="auto"/>
          <w:sz w:val="32"/>
          <w:szCs w:val="32"/>
          <w:highlight w:val="none"/>
          <w:lang w:val="en-US" w:eastAsia="zh-CN"/>
        </w:rPr>
        <w:t>3827.96</w:t>
      </w:r>
      <w:r>
        <w:rPr>
          <w:rFonts w:hint="eastAsia" w:ascii="仿宋_GB2312" w:hAnsi="仿宋_GB2312" w:eastAsia="仿宋_GB2312" w:cs="仿宋_GB2312"/>
          <w:color w:val="auto"/>
          <w:sz w:val="32"/>
          <w:szCs w:val="32"/>
          <w:highlight w:val="none"/>
        </w:rPr>
        <w:t>万元，其中：</w:t>
      </w:r>
    </w:p>
    <w:p>
      <w:pP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3391.1</w:t>
      </w:r>
      <w:r>
        <w:rPr>
          <w:rFonts w:hint="eastAsia" w:ascii="仿宋_GB2312" w:hAnsi="仿宋_GB2312" w:eastAsia="仿宋_GB2312" w:cs="仿宋_GB2312"/>
          <w:color w:val="auto"/>
          <w:sz w:val="32"/>
          <w:szCs w:val="32"/>
          <w:highlight w:val="none"/>
        </w:rPr>
        <w:t>万元，主要包括：基本工资、津贴补贴、奖金、绩效工资、机关事业单位基本养老保险缴费、职业年金缴费、</w:t>
      </w:r>
      <w:r>
        <w:rPr>
          <w:rFonts w:hint="eastAsia" w:ascii="仿宋" w:hAnsi="仿宋" w:eastAsia="仿宋"/>
          <w:sz w:val="32"/>
          <w:szCs w:val="32"/>
        </w:rPr>
        <w:t>职工基本医疗保险缴费、其他社会保障缴费、住房公积金、其他工资福利支出、生活补助、其他对个人和家庭的补助支出。</w:t>
      </w:r>
    </w:p>
    <w:p>
      <w:pPr>
        <w:spacing w:line="600" w:lineRule="exact"/>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　　公用经费</w:t>
      </w:r>
      <w:r>
        <w:rPr>
          <w:rFonts w:hint="eastAsia" w:ascii="仿宋_GB2312" w:hAnsi="仿宋_GB2312" w:eastAsia="仿宋_GB2312" w:cs="仿宋_GB2312"/>
          <w:color w:val="auto"/>
          <w:sz w:val="32"/>
          <w:szCs w:val="32"/>
          <w:highlight w:val="none"/>
          <w:lang w:val="en-US" w:eastAsia="zh-CN"/>
        </w:rPr>
        <w:t>436.86</w:t>
      </w:r>
      <w:r>
        <w:rPr>
          <w:rFonts w:hint="eastAsia" w:ascii="仿宋_GB2312" w:hAnsi="仿宋_GB2312" w:eastAsia="仿宋_GB2312" w:cs="仿宋_GB2312"/>
          <w:color w:val="auto"/>
          <w:sz w:val="32"/>
          <w:szCs w:val="32"/>
          <w:highlight w:val="none"/>
        </w:rPr>
        <w:t>万元，主要包括：</w:t>
      </w:r>
      <w:r>
        <w:rPr>
          <w:rFonts w:hint="eastAsia" w:ascii="仿宋_GB2312" w:hAnsi="仿宋_GB2312" w:eastAsia="仿宋_GB2312" w:cs="仿宋_GB2312"/>
          <w:sz w:val="32"/>
          <w:szCs w:val="32"/>
        </w:rPr>
        <w:t>办公费、印刷费、水费、电费、差旅费、因公出国（境）费用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维修（护）费、租赁费、会议费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培训费、公务接待费、劳务费、工会经费、福利费、公务用车运行维护费、其他交通费</w:t>
      </w:r>
      <w:r>
        <w:rPr>
          <w:rFonts w:hint="eastAsia" w:ascii="仿宋_GB2312" w:hAnsi="仿宋_GB2312" w:eastAsia="仿宋_GB2312" w:cs="仿宋_GB2312"/>
          <w:sz w:val="32"/>
          <w:szCs w:val="32"/>
          <w:lang w:val="en-US" w:eastAsia="zh-CN"/>
        </w:rPr>
        <w:t>用</w:t>
      </w:r>
      <w:r>
        <w:rPr>
          <w:rFonts w:hint="eastAsia" w:ascii="仿宋_GB2312" w:hAnsi="仿宋_GB2312" w:eastAsia="仿宋_GB2312" w:cs="仿宋_GB2312"/>
          <w:sz w:val="32"/>
          <w:szCs w:val="32"/>
        </w:rPr>
        <w:t>、其他商品和服务支出。</w:t>
      </w:r>
    </w:p>
    <w:p>
      <w:pPr>
        <w:spacing w:line="600" w:lineRule="exact"/>
        <w:ind w:firstLine="640"/>
        <w:outlineLvl w:val="1"/>
        <w:rPr>
          <w:rStyle w:val="37"/>
          <w:rFonts w:ascii="黑体" w:hAnsi="黑体" w:eastAsia="黑体"/>
          <w:b w:val="0"/>
          <w:color w:val="auto"/>
          <w:highlight w:val="none"/>
        </w:rPr>
      </w:pPr>
      <w:bookmarkStart w:id="48" w:name="_Toc15396609"/>
      <w:bookmarkStart w:id="49" w:name="_Toc14677"/>
      <w:bookmarkStart w:id="50" w:name="_Toc15377215"/>
      <w:bookmarkStart w:id="51" w:name="_Toc5092"/>
      <w:r>
        <w:rPr>
          <w:rFonts w:hint="eastAsia" w:ascii="黑体" w:eastAsia="黑体"/>
          <w:color w:val="auto"/>
          <w:sz w:val="32"/>
          <w:szCs w:val="32"/>
          <w:highlight w:val="none"/>
        </w:rPr>
        <w:t>七、</w:t>
      </w:r>
      <w:r>
        <w:rPr>
          <w:rStyle w:val="37"/>
          <w:rFonts w:hint="eastAsia" w:ascii="黑体" w:hAnsi="黑体" w:eastAsia="黑体"/>
          <w:b w:val="0"/>
          <w:color w:val="auto"/>
          <w:highlight w:val="none"/>
        </w:rPr>
        <w:t>财政拨款</w:t>
      </w:r>
      <w:r>
        <w:rPr>
          <w:rStyle w:val="37"/>
          <w:rFonts w:hint="eastAsia" w:ascii="黑体" w:hAnsi="黑体" w:eastAsia="黑体"/>
          <w:color w:val="auto"/>
          <w:highlight w:val="none"/>
        </w:rPr>
        <w:t>“</w:t>
      </w:r>
      <w:r>
        <w:rPr>
          <w:rStyle w:val="37"/>
          <w:rFonts w:hint="eastAsia" w:ascii="黑体" w:hAnsi="黑体" w:eastAsia="黑体"/>
          <w:b w:val="0"/>
          <w:color w:val="auto"/>
          <w:highlight w:val="none"/>
        </w:rPr>
        <w:t>三公”经费支出决算情况说明</w:t>
      </w:r>
      <w:bookmarkEnd w:id="48"/>
      <w:bookmarkEnd w:id="49"/>
      <w:bookmarkEnd w:id="50"/>
      <w:bookmarkEnd w:id="51"/>
    </w:p>
    <w:p>
      <w:pPr>
        <w:spacing w:line="600" w:lineRule="exact"/>
        <w:ind w:firstLine="640"/>
        <w:outlineLvl w:val="2"/>
        <w:rPr>
          <w:rFonts w:hint="eastAsia" w:ascii="仿宋_GB2312" w:hAnsi="仿宋_GB2312" w:eastAsia="仿宋_GB2312" w:cs="仿宋_GB2312"/>
          <w:b/>
          <w:color w:val="auto"/>
          <w:sz w:val="32"/>
          <w:szCs w:val="32"/>
          <w:highlight w:val="none"/>
        </w:rPr>
      </w:pPr>
      <w:bookmarkStart w:id="52" w:name="_Toc15377216"/>
      <w:r>
        <w:rPr>
          <w:rFonts w:hint="eastAsia" w:ascii="仿宋_GB2312" w:hAnsi="仿宋_GB2312" w:eastAsia="仿宋_GB2312" w:cs="仿宋_GB2312"/>
          <w:b/>
          <w:color w:val="auto"/>
          <w:sz w:val="32"/>
          <w:szCs w:val="32"/>
          <w:highlight w:val="none"/>
        </w:rPr>
        <w:t>（一）“三公”经费财政拨款支出决算总体情况说明</w:t>
      </w:r>
      <w:bookmarkEnd w:id="52"/>
    </w:p>
    <w:p>
      <w:pPr>
        <w:spacing w:line="600" w:lineRule="exact"/>
        <w:ind w:firstLine="64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“三公”经费财政拨款支出决算为</w:t>
      </w:r>
      <w:r>
        <w:rPr>
          <w:rFonts w:hint="eastAsia" w:ascii="仿宋_GB2312" w:hAnsi="仿宋_GB2312" w:eastAsia="仿宋_GB2312" w:cs="仿宋_GB2312"/>
          <w:color w:val="auto"/>
          <w:sz w:val="32"/>
          <w:szCs w:val="32"/>
          <w:highlight w:val="none"/>
          <w:lang w:val="en-US" w:eastAsia="zh-CN"/>
        </w:rPr>
        <w:t>146.03</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较上年度</w:t>
      </w:r>
      <w:r>
        <w:rPr>
          <w:rFonts w:hint="eastAsia" w:ascii="仿宋_GB2312" w:hAnsi="仿宋_GB2312" w:eastAsia="仿宋_GB2312" w:cs="仿宋_GB2312"/>
          <w:color w:val="auto"/>
          <w:sz w:val="32"/>
          <w:szCs w:val="32"/>
          <w:highlight w:val="none"/>
          <w:lang w:val="en-US" w:eastAsia="zh-CN"/>
        </w:rPr>
        <w:t>减少143.76万元，下降49.61%。</w:t>
      </w:r>
    </w:p>
    <w:p>
      <w:pPr>
        <w:spacing w:line="600" w:lineRule="exact"/>
        <w:ind w:firstLine="640"/>
        <w:outlineLvl w:val="2"/>
        <w:rPr>
          <w:rFonts w:hint="eastAsia" w:ascii="仿宋_GB2312" w:hAnsi="仿宋_GB2312" w:eastAsia="仿宋_GB2312" w:cs="仿宋_GB2312"/>
          <w:b/>
          <w:color w:val="auto"/>
          <w:sz w:val="32"/>
          <w:szCs w:val="32"/>
          <w:highlight w:val="none"/>
        </w:rPr>
      </w:pPr>
      <w:bookmarkStart w:id="53" w:name="_Toc15377217"/>
      <w:r>
        <w:rPr>
          <w:rFonts w:hint="eastAsia" w:ascii="仿宋_GB2312" w:hAnsi="仿宋_GB2312" w:eastAsia="仿宋_GB2312" w:cs="仿宋_GB2312"/>
          <w:b/>
          <w:color w:val="auto"/>
          <w:sz w:val="32"/>
          <w:szCs w:val="32"/>
          <w:highlight w:val="none"/>
        </w:rPr>
        <w:t>（二）“三公”经费财政拨款支出决算具体情况说明</w:t>
      </w:r>
      <w:bookmarkEnd w:id="53"/>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5.28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3.62</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134.73</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92.26</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6.02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4.12</w:t>
      </w:r>
      <w:r>
        <w:rPr>
          <w:rFonts w:hint="eastAsia" w:ascii="仿宋_GB2312" w:hAnsi="仿宋_GB2312" w:eastAsia="仿宋_GB2312" w:cs="仿宋_GB2312"/>
          <w:color w:val="auto"/>
          <w:sz w:val="32"/>
          <w:szCs w:val="32"/>
          <w:highlight w:val="none"/>
        </w:rPr>
        <w:t>%。具体情况如下：</w:t>
      </w: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（图7：“三公”经费财政拨款支出结构）</w:t>
      </w:r>
    </w:p>
    <w:p>
      <w:pPr>
        <w:pStyle w:val="2"/>
        <w:widowControl w:val="0"/>
        <w:wordWrap/>
        <w:adjustRightInd/>
        <w:snapToGrid/>
        <w:spacing w:after="120" w:line="240" w:lineRule="auto"/>
        <w:ind w:left="420" w:leftChars="200" w:right="0" w:firstLine="640" w:firstLineChars="200"/>
        <w:jc w:val="both"/>
        <w:textAlignment w:val="auto"/>
        <w:outlineLvl w:val="9"/>
        <w:rPr>
          <w:rFonts w:hint="eastAsia"/>
        </w:rPr>
      </w:pPr>
      <w:r>
        <w:rPr>
          <w:rFonts w:hint="eastAsia" w:ascii="Times New Roman" w:hAnsi="Times New Roman" w:eastAsia="仿宋_GB2312" w:cs="Times New Roman"/>
          <w:color w:val="auto"/>
          <w:kern w:val="2"/>
          <w:sz w:val="32"/>
          <w:szCs w:val="32"/>
          <w:lang w:val="en-US" w:eastAsia="zh-CN" w:bidi="ar-SA"/>
        </w:rPr>
        <w:pict>
          <v:shape id="图片 7" o:spid="_x0000_s1033" type="#_x0000_t75" style="height:179pt;width:341.15pt;rotation:0f;" o:ole="f" fillcolor="#FFFFFF" filled="f" o:preferrelative="t" stroked="f" coordorigin="0,0" coordsize="21600,21600">
            <v:fill on="f" color2="#FFFFFF" focus="0%"/>
            <v:imagedata gain="65536f" blacklevel="0f" gamma="0" o:title="" r:id="rId12"/>
            <o:lock v:ext="edit" position="f" selection="f" grouping="f" rotation="f" cropping="f" text="f" aspectratio="t"/>
            <w10:wrap type="none"/>
            <w10:anchorlock/>
          </v:shape>
        </w:pict>
      </w: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1.因公出国（境）经费支出</w:t>
      </w:r>
      <w:r>
        <w:rPr>
          <w:rFonts w:hint="eastAsia" w:ascii="仿宋_GB2312" w:hAnsi="仿宋_GB2312" w:eastAsia="仿宋_GB2312" w:cs="仿宋_GB2312"/>
          <w:color w:val="auto"/>
          <w:sz w:val="32"/>
          <w:szCs w:val="32"/>
          <w:highlight w:val="none"/>
          <w:lang w:val="en-US" w:eastAsia="zh-CN"/>
        </w:rPr>
        <w:t>5.28</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%。全年安排因公出国（境）团组</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次，出国（境）</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人。因公出国（境）支出决算比</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年增加</w:t>
      </w:r>
      <w:r>
        <w:rPr>
          <w:rFonts w:hint="eastAsia" w:ascii="仿宋_GB2312" w:hAnsi="仿宋_GB2312" w:eastAsia="仿宋_GB2312" w:cs="仿宋_GB2312"/>
          <w:color w:val="auto"/>
          <w:sz w:val="32"/>
          <w:szCs w:val="32"/>
          <w:highlight w:val="none"/>
          <w:lang w:val="en-US" w:eastAsia="zh-CN"/>
        </w:rPr>
        <w:t>5.28</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%。主要原因是</w:t>
      </w:r>
      <w:r>
        <w:rPr>
          <w:rFonts w:hint="eastAsia" w:ascii="仿宋_GB2312" w:hAnsi="仿宋" w:eastAsia="仿宋_GB2312"/>
          <w:color w:val="auto"/>
          <w:kern w:val="2"/>
          <w:sz w:val="32"/>
          <w:szCs w:val="32"/>
          <w:lang w:val="en-US" w:eastAsia="zh-CN" w:bidi="ar-SA"/>
        </w:rPr>
        <w:t>本年度单位领导因公出国参加培训学习</w:t>
      </w:r>
      <w:r>
        <w:rPr>
          <w:rFonts w:hint="eastAsia" w:ascii="仿宋_GB2312" w:hAnsi="仿宋_GB2312" w:eastAsia="仿宋_GB2312" w:cs="仿宋_GB2312"/>
          <w:color w:val="auto"/>
          <w:sz w:val="32"/>
          <w:szCs w:val="32"/>
          <w:highlight w:val="none"/>
        </w:rPr>
        <w:t>。</w:t>
      </w:r>
    </w:p>
    <w:p>
      <w:pPr>
        <w:spacing w:line="600" w:lineRule="exac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开支内容包括：</w:t>
      </w:r>
      <w:r>
        <w:rPr>
          <w:rFonts w:hint="eastAsia" w:ascii="仿宋_GB2312" w:hAnsi="仿宋_GB2312" w:eastAsia="仿宋_GB2312" w:cs="仿宋_GB2312"/>
          <w:color w:val="auto"/>
          <w:sz w:val="32"/>
          <w:szCs w:val="32"/>
          <w:highlight w:val="none"/>
          <w:lang w:eastAsia="zh-CN"/>
        </w:rPr>
        <w:t>四川省高级人民法院副院长张能等</w:t>
      </w:r>
      <w:r>
        <w:rPr>
          <w:rFonts w:hint="eastAsia" w:ascii="仿宋_GB2312" w:hAnsi="仿宋_GB2312" w:eastAsia="仿宋_GB2312" w:cs="仿宋_GB2312"/>
          <w:color w:val="auto"/>
          <w:sz w:val="32"/>
          <w:szCs w:val="32"/>
          <w:highlight w:val="none"/>
          <w:lang w:val="en-US" w:eastAsia="zh-CN"/>
        </w:rPr>
        <w:t>19人于2024年9月16-9月29日赴泰国进行“国际合作下的全球治理：打击人口贩卖与走私”培训，广元市中级人民法院党组书记、院长周兴复参与此次专题培训。</w:t>
      </w:r>
      <w:bookmarkStart w:id="120" w:name="_GoBack"/>
      <w:bookmarkEnd w:id="120"/>
      <w:r>
        <w:rPr>
          <w:rFonts w:hint="eastAsia" w:ascii="仿宋_GB2312" w:hAnsi="仿宋_GB2312" w:eastAsia="仿宋_GB2312" w:cs="仿宋_GB2312"/>
          <w:color w:val="auto"/>
          <w:sz w:val="32"/>
          <w:szCs w:val="32"/>
          <w:highlight w:val="none"/>
          <w:lang w:val="en-US" w:eastAsia="zh-CN"/>
        </w:rPr>
        <w:t>通过本次培训，拓展了国际视野，提升了参训人员专业能力，进一步推动工作实践，提升工作质效。</w:t>
      </w: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2.公</w:t>
      </w:r>
      <w:r>
        <w:rPr>
          <w:rFonts w:hint="eastAsia" w:ascii="仿宋_GB2312" w:hAnsi="仿宋_GB2312" w:eastAsia="仿宋_GB2312" w:cs="仿宋_GB2312"/>
          <w:b/>
          <w:bCs/>
          <w:color w:val="auto"/>
          <w:sz w:val="32"/>
          <w:szCs w:val="32"/>
          <w:highlight w:val="none"/>
        </w:rPr>
        <w:t>务用车购置及运行维护费支出</w:t>
      </w:r>
      <w:r>
        <w:rPr>
          <w:rFonts w:hint="eastAsia" w:ascii="仿宋_GB2312" w:hAnsi="仿宋_GB2312" w:eastAsia="仿宋_GB2312" w:cs="仿宋_GB2312"/>
          <w:color w:val="auto"/>
          <w:sz w:val="32"/>
          <w:szCs w:val="32"/>
          <w:highlight w:val="none"/>
          <w:lang w:val="en-US" w:eastAsia="zh-CN"/>
        </w:rPr>
        <w:t>134.73</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color w:val="auto"/>
          <w:sz w:val="32"/>
          <w:szCs w:val="32"/>
          <w:highlight w:val="none"/>
        </w:rPr>
        <w:t>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%。公务用车购置及运行维护费支出决算比</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减少</w:t>
      </w:r>
      <w:r>
        <w:rPr>
          <w:rFonts w:hint="eastAsia" w:ascii="仿宋_GB2312" w:hAnsi="仿宋_GB2312" w:eastAsia="仿宋_GB2312" w:cs="仿宋_GB2312"/>
          <w:color w:val="auto"/>
          <w:sz w:val="32"/>
          <w:szCs w:val="32"/>
          <w:highlight w:val="none"/>
          <w:lang w:val="en-US" w:eastAsia="zh-CN"/>
        </w:rPr>
        <w:t>148.57</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52.44</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color w:val="auto"/>
          <w:sz w:val="32"/>
          <w:szCs w:val="32"/>
          <w:highlight w:val="none"/>
          <w:lang w:val="en-US" w:eastAsia="zh-CN"/>
        </w:rPr>
        <w:t>2023年更新执法执勤车辆5辆，支出公务用车购置费143.32万元，2024年未更新执法执勤车辆</w:t>
      </w:r>
      <w:r>
        <w:rPr>
          <w:rFonts w:hint="eastAsia" w:ascii="仿宋_GB2312" w:hAnsi="仿宋_GB2312" w:eastAsia="仿宋_GB2312" w:cs="仿宋_GB2312"/>
          <w:color w:val="auto"/>
          <w:sz w:val="32"/>
          <w:szCs w:val="32"/>
          <w:highlight w:val="none"/>
        </w:rPr>
        <w:t>。</w:t>
      </w: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其中：公务用车购置支出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万元。截至</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年12月</w:t>
      </w:r>
      <w:r>
        <w:rPr>
          <w:rFonts w:hint="eastAsia" w:ascii="仿宋_GB2312" w:hAnsi="仿宋_GB2312" w:eastAsia="仿宋_GB2312" w:cs="仿宋_GB2312"/>
          <w:color w:val="auto"/>
          <w:sz w:val="32"/>
          <w:szCs w:val="32"/>
          <w:highlight w:val="none"/>
          <w:lang w:val="en-US" w:eastAsia="zh-CN"/>
        </w:rPr>
        <w:t>31日</w:t>
      </w:r>
      <w:r>
        <w:rPr>
          <w:rFonts w:hint="eastAsia" w:ascii="仿宋_GB2312" w:hAnsi="仿宋_GB2312" w:eastAsia="仿宋_GB2312" w:cs="仿宋_GB2312"/>
          <w:color w:val="auto"/>
          <w:sz w:val="32"/>
          <w:szCs w:val="32"/>
          <w:highlight w:val="none"/>
        </w:rPr>
        <w:t>，单位共有公务用车</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辆，其中：轿车</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辆、越野车</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辆、载客汽车</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辆。</w:t>
      </w:r>
    </w:p>
    <w:p>
      <w:pPr>
        <w:spacing w:line="620" w:lineRule="exact"/>
        <w:ind w:firstLine="643" w:firstLineChars="200"/>
        <w:rPr>
          <w:rFonts w:ascii="仿宋_GB2312" w:eastAsia="仿宋_GB2312"/>
          <w:sz w:val="32"/>
          <w:szCs w:val="32"/>
        </w:rPr>
      </w:pPr>
      <w:r>
        <w:rPr>
          <w:rFonts w:hint="eastAsia" w:ascii="仿宋_GB2312" w:hAnsi="仿宋_GB2312" w:eastAsia="仿宋_GB2312" w:cs="仿宋_GB2312"/>
          <w:b/>
          <w:bCs/>
          <w:color w:val="auto"/>
          <w:sz w:val="32"/>
          <w:szCs w:val="32"/>
          <w:highlight w:val="none"/>
        </w:rPr>
        <w:t>公务用车运行维护费支出</w:t>
      </w:r>
      <w:r>
        <w:rPr>
          <w:rFonts w:hint="eastAsia" w:ascii="仿宋_GB2312" w:hAnsi="仿宋_GB2312" w:eastAsia="仿宋_GB2312" w:cs="仿宋_GB2312"/>
          <w:b/>
          <w:bCs/>
          <w:color w:val="auto"/>
          <w:sz w:val="32"/>
          <w:szCs w:val="32"/>
          <w:highlight w:val="none"/>
          <w:lang w:val="en-US" w:eastAsia="zh-CN"/>
        </w:rPr>
        <w:t>134.73</w:t>
      </w:r>
      <w:r>
        <w:rPr>
          <w:rFonts w:hint="eastAsia" w:ascii="仿宋_GB2312" w:hAnsi="仿宋_GB2312" w:eastAsia="仿宋_GB2312" w:cs="仿宋_GB2312"/>
          <w:b/>
          <w:bCs/>
          <w:color w:val="auto"/>
          <w:sz w:val="32"/>
          <w:szCs w:val="32"/>
          <w:highlight w:val="none"/>
        </w:rPr>
        <w:t>万元</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sz w:val="32"/>
          <w:szCs w:val="32"/>
        </w:rPr>
        <w:t>主要用于</w:t>
      </w:r>
      <w:r>
        <w:rPr>
          <w:rFonts w:eastAsia="仿宋_GB2312"/>
          <w:color w:val="000000"/>
          <w:sz w:val="32"/>
          <w:szCs w:val="32"/>
        </w:rPr>
        <w:t>案件审判、案件执行及日常公务出行等工作所需的公务用车燃料费、维修费、过路过桥费、保险费等支出。</w:t>
      </w:r>
    </w:p>
    <w:p>
      <w:pPr>
        <w:spacing w:line="600" w:lineRule="exact"/>
        <w:rPr>
          <w:rFonts w:ascii="仿宋_GB2312" w:eastAsia="仿宋_GB2312"/>
          <w:color w:val="auto"/>
          <w:sz w:val="32"/>
          <w:szCs w:val="32"/>
          <w:highlight w:val="none"/>
        </w:rPr>
      </w:pPr>
      <w:r>
        <w:rPr>
          <w:rFonts w:hint="eastAsia" w:ascii="仿宋_GB2312" w:eastAsia="仿宋_GB2312"/>
          <w:b/>
          <w:color w:val="auto"/>
          <w:sz w:val="32"/>
          <w:szCs w:val="32"/>
          <w:highlight w:val="none"/>
          <w:lang w:val="en-US" w:eastAsia="zh-CN"/>
        </w:rPr>
        <w:t xml:space="preserve">    </w:t>
      </w: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6.02</w:t>
      </w:r>
      <w:r>
        <w:rPr>
          <w:rFonts w:hint="eastAsia" w:ascii="仿宋_GB2312" w:eastAsia="仿宋_GB2312"/>
          <w:color w:val="auto"/>
          <w:sz w:val="32"/>
          <w:szCs w:val="32"/>
          <w:highlight w:val="none"/>
        </w:rPr>
        <w:t>万元，</w:t>
      </w:r>
      <w:r>
        <w:rPr>
          <w:rStyle w:val="23"/>
          <w:rFonts w:hint="eastAsia" w:ascii="仿宋" w:hAnsi="仿宋" w:eastAsia="仿宋"/>
          <w:b w:val="0"/>
          <w:bCs/>
          <w:color w:val="auto"/>
          <w:sz w:val="32"/>
          <w:szCs w:val="32"/>
          <w:highlight w:val="none"/>
        </w:rPr>
        <w:t>完成预算</w:t>
      </w:r>
      <w:r>
        <w:rPr>
          <w:rStyle w:val="23"/>
          <w:rFonts w:hint="eastAsia" w:ascii="仿宋" w:hAnsi="仿宋" w:eastAsia="仿宋"/>
          <w:b w:val="0"/>
          <w:bCs/>
          <w:color w:val="auto"/>
          <w:sz w:val="32"/>
          <w:szCs w:val="32"/>
          <w:highlight w:val="none"/>
          <w:lang w:val="en-US" w:eastAsia="zh-CN"/>
        </w:rPr>
        <w:t>100</w:t>
      </w:r>
      <w:r>
        <w:rPr>
          <w:rStyle w:val="23"/>
          <w:rFonts w:ascii="仿宋" w:hAnsi="仿宋" w:eastAsia="仿宋"/>
          <w:b w:val="0"/>
          <w:bCs/>
          <w:color w:val="auto"/>
          <w:sz w:val="32"/>
          <w:szCs w:val="32"/>
          <w:highlight w:val="none"/>
        </w:rPr>
        <w:t>%</w:t>
      </w:r>
      <w:r>
        <w:rPr>
          <w:rStyle w:val="2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w:t>
      </w:r>
      <w:r>
        <w:rPr>
          <w:rFonts w:hint="eastAsia" w:ascii="仿宋_GB2312" w:eastAsia="仿宋_GB2312"/>
          <w:color w:val="auto"/>
          <w:sz w:val="32"/>
          <w:szCs w:val="32"/>
          <w:highlight w:val="none"/>
          <w:lang w:val="en-US" w:eastAsia="zh-CN"/>
        </w:rPr>
        <w:t>0.47</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7.24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sz w:val="32"/>
          <w:szCs w:val="32"/>
        </w:rPr>
        <w:t>厉行节约，严控三公经费支出</w:t>
      </w:r>
      <w:r>
        <w:rPr>
          <w:rFonts w:hint="eastAsia" w:ascii="仿宋_GB2312" w:eastAsia="仿宋_GB2312"/>
          <w:color w:val="auto"/>
          <w:sz w:val="32"/>
          <w:szCs w:val="32"/>
          <w:highlight w:val="none"/>
        </w:rPr>
        <w:t>。其中：</w:t>
      </w:r>
    </w:p>
    <w:p>
      <w:pPr>
        <w:spacing w:line="600" w:lineRule="exact"/>
        <w:ind w:firstLine="640"/>
        <w:rPr>
          <w:rFonts w:ascii="仿宋_GB2312" w:eastAsia="仿宋_GB2312"/>
          <w:color w:val="FF0000"/>
          <w:sz w:val="32"/>
          <w:szCs w:val="32"/>
          <w:highlight w:val="yellow"/>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6.02</w:t>
      </w:r>
      <w:r>
        <w:rPr>
          <w:rFonts w:hint="eastAsia" w:ascii="仿宋_GB2312" w:eastAsia="仿宋_GB2312"/>
          <w:color w:val="auto"/>
          <w:sz w:val="32"/>
          <w:szCs w:val="32"/>
          <w:highlight w:val="none"/>
        </w:rPr>
        <w:t>万元，主要用于</w:t>
      </w:r>
      <w:r>
        <w:rPr>
          <w:rFonts w:eastAsia="仿宋_GB2312"/>
          <w:sz w:val="32"/>
          <w:szCs w:val="32"/>
        </w:rPr>
        <w:t>执行公务、巡视巡查调研、开展业务活动开支的用餐费等</w:t>
      </w:r>
      <w:r>
        <w:rPr>
          <w:rFonts w:hint="eastAsia" w:ascii="仿宋_GB2312" w:eastAsia="仿宋_GB2312"/>
          <w:color w:val="auto"/>
          <w:sz w:val="32"/>
          <w:szCs w:val="32"/>
          <w:highlight w:val="none"/>
        </w:rPr>
        <w:t>。国内公务接待</w:t>
      </w:r>
      <w:r>
        <w:rPr>
          <w:rFonts w:hint="eastAsia" w:ascii="仿宋_GB2312" w:eastAsia="仿宋_GB2312"/>
          <w:color w:val="auto"/>
          <w:sz w:val="32"/>
          <w:szCs w:val="32"/>
          <w:highlight w:val="none"/>
          <w:lang w:val="en-US" w:eastAsia="zh-CN"/>
        </w:rPr>
        <w:t>62</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502</w:t>
      </w:r>
      <w:r>
        <w:rPr>
          <w:rFonts w:hint="eastAsia" w:ascii="仿宋_GB2312" w:eastAsia="仿宋_GB2312"/>
          <w:color w:val="auto"/>
          <w:sz w:val="32"/>
          <w:szCs w:val="32"/>
          <w:highlight w:val="none"/>
        </w:rPr>
        <w:t>人次（不包括陪同人员），共计支出</w:t>
      </w:r>
      <w:r>
        <w:rPr>
          <w:rFonts w:hint="eastAsia" w:ascii="仿宋" w:hAnsi="仿宋" w:eastAsia="仿宋"/>
          <w:color w:val="auto"/>
          <w:sz w:val="32"/>
          <w:szCs w:val="32"/>
          <w:highlight w:val="none"/>
          <w:lang w:val="en-US" w:eastAsia="zh-CN"/>
        </w:rPr>
        <w:t>6.02</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eastAsia="zh-CN"/>
        </w:rPr>
        <w:t>具体内容包括：上级调研、县区法院汇报工作、其他市州兄弟单位交流等公务接待支出6.02万元。</w:t>
      </w:r>
    </w:p>
    <w:p>
      <w:pPr>
        <w:spacing w:line="600" w:lineRule="exact"/>
        <w:ind w:firstLine="643" w:firstLineChars="200"/>
        <w:rPr>
          <w:rFonts w:ascii="仿宋_GB2312" w:eastAsia="仿宋_GB2312"/>
          <w:color w:val="auto"/>
          <w:sz w:val="32"/>
          <w:szCs w:val="32"/>
          <w:highlight w:val="none"/>
          <w:lang w:val="en-US"/>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spacing w:line="600" w:lineRule="exact"/>
        <w:ind w:firstLine="640"/>
        <w:outlineLvl w:val="1"/>
        <w:rPr>
          <w:rFonts w:ascii="黑体" w:eastAsia="黑体"/>
          <w:color w:val="auto"/>
          <w:sz w:val="32"/>
          <w:szCs w:val="32"/>
          <w:highlight w:val="none"/>
        </w:rPr>
      </w:pPr>
      <w:bookmarkStart w:id="54" w:name="_Toc15377218"/>
      <w:bookmarkStart w:id="55" w:name="_Toc15396610"/>
    </w:p>
    <w:p>
      <w:pPr>
        <w:spacing w:line="600" w:lineRule="exact"/>
        <w:ind w:firstLine="640"/>
        <w:outlineLvl w:val="1"/>
        <w:rPr>
          <w:rStyle w:val="37"/>
          <w:rFonts w:ascii="黑体" w:hAnsi="黑体" w:eastAsia="黑体"/>
          <w:color w:val="auto"/>
          <w:highlight w:val="none"/>
        </w:rPr>
      </w:pPr>
      <w:bookmarkStart w:id="56" w:name="_Toc2628"/>
      <w:bookmarkStart w:id="57" w:name="_Toc26628"/>
      <w:r>
        <w:rPr>
          <w:rFonts w:hint="eastAsia" w:ascii="黑体" w:eastAsia="黑体"/>
          <w:color w:val="auto"/>
          <w:sz w:val="32"/>
          <w:szCs w:val="32"/>
          <w:highlight w:val="none"/>
        </w:rPr>
        <w:t>八、</w:t>
      </w:r>
      <w:r>
        <w:rPr>
          <w:rStyle w:val="37"/>
          <w:rFonts w:hint="eastAsia" w:ascii="黑体" w:hAnsi="黑体" w:eastAsia="黑体"/>
          <w:b w:val="0"/>
          <w:color w:val="auto"/>
          <w:highlight w:val="none"/>
        </w:rPr>
        <w:t>政府性基金预算支出决算情况说明</w:t>
      </w:r>
      <w:bookmarkEnd w:id="54"/>
      <w:bookmarkEnd w:id="55"/>
      <w:bookmarkEnd w:id="56"/>
      <w:bookmarkEnd w:id="57"/>
    </w:p>
    <w:p>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p>
    <w:p>
      <w:pPr>
        <w:numPr>
          <w:ilvl w:val="0"/>
          <w:numId w:val="3"/>
        </w:numPr>
        <w:spacing w:line="600" w:lineRule="exact"/>
        <w:ind w:firstLine="640"/>
        <w:outlineLvl w:val="1"/>
        <w:rPr>
          <w:rStyle w:val="37"/>
          <w:rFonts w:ascii="黑体" w:hAnsi="黑体" w:eastAsia="黑体"/>
          <w:b w:val="0"/>
          <w:color w:val="auto"/>
          <w:highlight w:val="none"/>
        </w:rPr>
      </w:pPr>
      <w:bookmarkStart w:id="58" w:name="_Toc15377219"/>
      <w:bookmarkStart w:id="59" w:name="_Toc14110"/>
      <w:bookmarkStart w:id="60" w:name="_Toc15396611"/>
      <w:bookmarkStart w:id="61" w:name="_Toc29697"/>
      <w:r>
        <w:rPr>
          <w:rStyle w:val="37"/>
          <w:rFonts w:hint="eastAsia" w:ascii="黑体" w:hAnsi="黑体" w:eastAsia="黑体"/>
          <w:b w:val="0"/>
          <w:color w:val="auto"/>
          <w:highlight w:val="none"/>
        </w:rPr>
        <w:t>国有资本经营预算支出决算情况说明</w:t>
      </w:r>
      <w:bookmarkEnd w:id="58"/>
      <w:bookmarkEnd w:id="59"/>
      <w:bookmarkEnd w:id="60"/>
      <w:bookmarkEnd w:id="61"/>
    </w:p>
    <w:p>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580" w:lineRule="exact"/>
        <w:jc w:val="center"/>
        <w:rPr>
          <w:rFonts w:ascii="方正小标宋简体" w:hAnsi="方正小标宋简体" w:eastAsia="方正小标宋简体" w:cs="方正小标宋简体"/>
          <w:color w:val="auto"/>
          <w:sz w:val="44"/>
          <w:szCs w:val="44"/>
          <w:highlight w:val="none"/>
        </w:rPr>
      </w:pPr>
    </w:p>
    <w:p>
      <w:pPr>
        <w:numPr>
          <w:ilvl w:val="0"/>
          <w:numId w:val="3"/>
        </w:numPr>
        <w:spacing w:line="600" w:lineRule="exact"/>
        <w:ind w:firstLine="640"/>
        <w:outlineLvl w:val="1"/>
        <w:rPr>
          <w:rStyle w:val="37"/>
          <w:rFonts w:hint="eastAsia" w:ascii="黑体" w:hAnsi="黑体" w:eastAsia="黑体"/>
          <w:b w:val="0"/>
          <w:color w:val="auto"/>
          <w:highlight w:val="none"/>
        </w:rPr>
      </w:pPr>
      <w:bookmarkStart w:id="62" w:name="_Toc2061"/>
      <w:bookmarkStart w:id="63" w:name="_Toc3552"/>
      <w:bookmarkStart w:id="64" w:name="_Toc15377221"/>
      <w:bookmarkStart w:id="65" w:name="_Toc15396612"/>
      <w:r>
        <w:rPr>
          <w:rStyle w:val="37"/>
          <w:rFonts w:hint="eastAsia" w:ascii="黑体" w:hAnsi="黑体" w:eastAsia="黑体"/>
          <w:b w:val="0"/>
          <w:color w:val="auto"/>
          <w:highlight w:val="none"/>
        </w:rPr>
        <w:t>其他重要事项的情况说明</w:t>
      </w:r>
      <w:bookmarkEnd w:id="62"/>
      <w:bookmarkEnd w:id="63"/>
      <w:bookmarkEnd w:id="64"/>
      <w:bookmarkEnd w:id="65"/>
    </w:p>
    <w:p>
      <w:pPr>
        <w:spacing w:line="600" w:lineRule="exact"/>
        <w:ind w:firstLine="643" w:firstLineChars="200"/>
        <w:outlineLvl w:val="2"/>
        <w:rPr>
          <w:rFonts w:ascii="仿宋" w:hAnsi="仿宋" w:eastAsia="仿宋"/>
          <w:color w:val="auto"/>
          <w:sz w:val="32"/>
          <w:szCs w:val="32"/>
          <w:highlight w:val="none"/>
        </w:rPr>
      </w:pPr>
      <w:bookmarkStart w:id="66" w:name="_Toc15377222"/>
      <w:r>
        <w:rPr>
          <w:rFonts w:hint="eastAsia" w:ascii="仿宋" w:hAnsi="仿宋" w:eastAsia="仿宋"/>
          <w:b/>
          <w:color w:val="auto"/>
          <w:sz w:val="32"/>
          <w:szCs w:val="32"/>
          <w:highlight w:val="none"/>
        </w:rPr>
        <w:t>（一）机关运行经费支出情况</w:t>
      </w:r>
      <w:bookmarkEnd w:id="66"/>
    </w:p>
    <w:p>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四川省广元市中级人民法院</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436.86</w:t>
      </w:r>
      <w:r>
        <w:rPr>
          <w:rFonts w:hint="eastAsia" w:ascii="仿宋_GB2312" w:eastAsia="仿宋_GB2312"/>
          <w:color w:val="auto"/>
          <w:sz w:val="32"/>
          <w:szCs w:val="32"/>
          <w:highlight w:val="none"/>
        </w:rPr>
        <w:t>万元，比</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w:t>
      </w:r>
      <w:r>
        <w:rPr>
          <w:rFonts w:hint="eastAsia" w:ascii="仿宋_GB2312" w:eastAsia="仿宋_GB2312"/>
          <w:color w:val="auto"/>
          <w:sz w:val="32"/>
          <w:szCs w:val="32"/>
          <w:highlight w:val="none"/>
          <w:lang w:val="en-US" w:eastAsia="zh-CN"/>
        </w:rPr>
        <w:t>72.83</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14.29</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厉行节约，严控一般性支出。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7" w:name="_Toc15377223"/>
      <w:r>
        <w:rPr>
          <w:rFonts w:hint="eastAsia" w:ascii="仿宋" w:hAnsi="仿宋" w:eastAsia="仿宋"/>
          <w:b/>
          <w:color w:val="auto"/>
          <w:sz w:val="32"/>
          <w:szCs w:val="32"/>
          <w:highlight w:val="none"/>
        </w:rPr>
        <w:t>（二）政府采购支出情况</w:t>
      </w:r>
      <w:bookmarkEnd w:id="67"/>
    </w:p>
    <w:p>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四川省广元市中级人民法院</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168.87</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11.81</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157.06</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eastAsia="zh-CN"/>
        </w:rPr>
        <w:t>信</w:t>
      </w:r>
      <w:r>
        <w:rPr>
          <w:rFonts w:hint="eastAsia" w:ascii="仿宋_GB2312" w:eastAsia="仿宋_GB2312"/>
          <w:sz w:val="32"/>
          <w:szCs w:val="32"/>
        </w:rPr>
        <w:t>息网络及软件购置更新</w:t>
      </w:r>
      <w:r>
        <w:rPr>
          <w:rFonts w:hint="eastAsia" w:ascii="仿宋_GB2312" w:eastAsia="仿宋_GB2312"/>
          <w:sz w:val="32"/>
          <w:szCs w:val="32"/>
          <w:lang w:eastAsia="zh-CN"/>
        </w:rPr>
        <w:t>、购买物业服务和电子卷宗扫描服务等</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8" w:name="_Toc15377224"/>
      <w:r>
        <w:rPr>
          <w:rFonts w:hint="eastAsia" w:ascii="仿宋" w:hAnsi="仿宋" w:eastAsia="仿宋"/>
          <w:b/>
          <w:color w:val="auto"/>
          <w:sz w:val="32"/>
          <w:szCs w:val="32"/>
          <w:highlight w:val="none"/>
        </w:rPr>
        <w:t>（三）国有资产占有使用情况</w:t>
      </w:r>
      <w:bookmarkEnd w:id="68"/>
    </w:p>
    <w:p>
      <w:pPr>
        <w:autoSpaceDE w:val="0"/>
        <w:autoSpaceDN w:val="0"/>
        <w:adjustRightInd w:val="0"/>
        <w:spacing w:line="600" w:lineRule="exact"/>
        <w:ind w:firstLine="640" w:firstLineChars="200"/>
        <w:jc w:val="left"/>
        <w:rPr>
          <w:rFonts w:hint="eastAsia" w:ascii="仿宋_GB2312" w:eastAsia="仿宋_GB2312"/>
          <w:sz w:val="32"/>
          <w:szCs w:val="32"/>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sz w:val="32"/>
          <w:szCs w:val="32"/>
        </w:rPr>
        <w:t>四川省广元市中级人民法院</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辆，其中：</w:t>
      </w:r>
      <w:r>
        <w:rPr>
          <w:rFonts w:eastAsia="仿宋_GB2312"/>
          <w:sz w:val="32"/>
          <w:szCs w:val="32"/>
        </w:rPr>
        <w:t>机要通信用车1辆、执法执勤用车</w:t>
      </w:r>
      <w:r>
        <w:rPr>
          <w:rFonts w:hint="eastAsia" w:eastAsia="仿宋_GB2312"/>
          <w:sz w:val="32"/>
          <w:szCs w:val="32"/>
        </w:rPr>
        <w:t>12</w:t>
      </w:r>
      <w:r>
        <w:rPr>
          <w:rFonts w:eastAsia="仿宋_GB2312"/>
          <w:sz w:val="32"/>
          <w:szCs w:val="32"/>
        </w:rPr>
        <w:t>辆、特种专用技术用车</w:t>
      </w:r>
      <w:r>
        <w:rPr>
          <w:rFonts w:hint="eastAsia" w:eastAsia="仿宋_GB2312"/>
          <w:sz w:val="32"/>
          <w:szCs w:val="32"/>
        </w:rPr>
        <w:t>7</w:t>
      </w:r>
      <w:r>
        <w:rPr>
          <w:rFonts w:eastAsia="仿宋_GB2312"/>
          <w:sz w:val="32"/>
          <w:szCs w:val="32"/>
        </w:rPr>
        <w:t>辆</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万元以上设备（不含车辆）0台（套）。</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（四）预算绩效管理情况</w:t>
      </w:r>
    </w:p>
    <w:p>
      <w:pPr>
        <w:spacing w:line="58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根据预算绩效管理要求，本部门在</w:t>
      </w:r>
      <w:r>
        <w:rPr>
          <w:rFonts w:hint="eastAsia" w:ascii="仿宋_GB2312" w:hAnsi="仿宋_GB2312" w:eastAsia="仿宋_GB2312" w:cs="仿宋_GB2312"/>
          <w:color w:val="auto"/>
          <w:sz w:val="32"/>
          <w:szCs w:val="32"/>
          <w:highlight w:val="none"/>
          <w:lang w:val="en-US" w:eastAsia="zh-CN"/>
        </w:rPr>
        <w:t>2024年度</w:t>
      </w:r>
      <w:r>
        <w:rPr>
          <w:rFonts w:hint="eastAsia" w:ascii="仿宋_GB2312" w:hAnsi="仿宋_GB2312" w:eastAsia="仿宋_GB2312" w:cs="仿宋_GB2312"/>
          <w:color w:val="auto"/>
          <w:sz w:val="32"/>
          <w:szCs w:val="32"/>
          <w:highlight w:val="none"/>
        </w:rPr>
        <w:t>预算编制阶段，组织对</w:t>
      </w:r>
      <w:r>
        <w:rPr>
          <w:rFonts w:hint="eastAsia" w:ascii="仿宋_GB2312" w:hAnsi="仿宋_GB2312" w:eastAsia="仿宋_GB2312" w:cs="仿宋_GB2312"/>
          <w:sz w:val="32"/>
          <w:szCs w:val="32"/>
        </w:rPr>
        <w:t>聘用制书记员及辅警工作经费、法警法定工作日之外加班补贴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购买社会化服务、案件审判经费、案件执行经费、维修维护费、破产管理专项资金、 司法救助（单列）</w:t>
      </w:r>
      <w:r>
        <w:rPr>
          <w:rFonts w:hint="eastAsia" w:ascii="仿宋_GB2312" w:hAnsi="仿宋_GB2312" w:eastAsia="仿宋_GB2312" w:cs="仿宋_GB2312"/>
          <w:sz w:val="32"/>
          <w:szCs w:val="32"/>
          <w:lang w:eastAsia="zh-CN"/>
        </w:rPr>
        <w:t>、专线网络租赁维护费、</w:t>
      </w:r>
      <w:r>
        <w:rPr>
          <w:rFonts w:hint="eastAsia" w:ascii="仿宋_GB2312" w:hAnsi="仿宋_GB2312" w:eastAsia="仿宋_GB2312" w:cs="仿宋_GB2312"/>
          <w:sz w:val="32"/>
          <w:szCs w:val="32"/>
        </w:rPr>
        <w:t>乡村振兴及援藏工作经费、中央及省级转移支付资金等</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个项目</w:t>
      </w:r>
      <w:r>
        <w:rPr>
          <w:rFonts w:hint="eastAsia" w:ascii="仿宋_GB2312" w:hAnsi="仿宋_GB2312" w:eastAsia="仿宋_GB2312" w:cs="仿宋_GB2312"/>
          <w:color w:val="auto"/>
          <w:sz w:val="32"/>
          <w:szCs w:val="32"/>
          <w:highlight w:val="none"/>
        </w:rPr>
        <w:t>开展了预算事前绩效评估，对</w:t>
      </w: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个项目开展绩效监控</w:t>
      </w:r>
      <w:r>
        <w:rPr>
          <w:rFonts w:hint="eastAsia" w:ascii="仿宋_GB2312" w:hAnsi="仿宋_GB2312" w:eastAsia="仿宋_GB2312" w:cs="仿宋_GB2312"/>
          <w:color w:val="auto"/>
          <w:sz w:val="32"/>
          <w:szCs w:val="32"/>
          <w:highlight w:val="none"/>
          <w:lang w:eastAsia="zh-CN"/>
        </w:rPr>
        <w:t>。</w:t>
      </w:r>
    </w:p>
    <w:p>
      <w:pPr>
        <w:spacing w:line="580" w:lineRule="exact"/>
        <w:ind w:firstLine="640" w:firstLineChars="200"/>
        <w:rPr>
          <w:rFonts w:hint="eastAsia" w:ascii="仿宋_GB2312" w:hAnsi="仿宋_GB2312" w:eastAsia="仿宋_GB2312" w:cs="仿宋_GB2312"/>
          <w:color w:val="auto"/>
          <w:sz w:val="32"/>
          <w:szCs w:val="32"/>
          <w:highlight w:val="none"/>
          <w:lang w:val="en-US" w:eastAsia="zh-CN"/>
        </w:rPr>
        <w:sectPr>
          <w:footerReference r:id="rId4" w:type="default"/>
          <w:pgSz w:w="11906" w:h="16838"/>
          <w:pgMar w:top="1440" w:right="1800" w:bottom="1440" w:left="1800" w:header="720" w:footer="720" w:gutter="0"/>
          <w:pgNumType w:fmt="decimal" w:start="1"/>
          <w:cols w:space="720" w:num="1"/>
          <w:docGrid w:type="lines" w:linePitch="312" w:charSpace="0"/>
        </w:sectPr>
      </w:pPr>
      <w:r>
        <w:rPr>
          <w:rFonts w:hint="eastAsia" w:ascii="仿宋_GB2312" w:hAnsi="仿宋_GB2312" w:eastAsia="仿宋_GB2312" w:cs="仿宋_GB2312"/>
          <w:color w:val="auto"/>
          <w:sz w:val="32"/>
          <w:szCs w:val="32"/>
          <w:highlight w:val="none"/>
          <w:lang w:eastAsia="zh-CN"/>
        </w:rPr>
        <w:t>组织</w:t>
      </w:r>
      <w:r>
        <w:rPr>
          <w:rFonts w:hint="eastAsia" w:ascii="仿宋_GB2312" w:hAnsi="仿宋_GB2312" w:eastAsia="仿宋_GB2312" w:cs="仿宋_GB2312"/>
          <w:color w:val="auto"/>
          <w:sz w:val="32"/>
          <w:szCs w:val="32"/>
          <w:highlight w:val="none"/>
        </w:rPr>
        <w:t>对</w:t>
      </w:r>
      <w:r>
        <w:rPr>
          <w:rFonts w:hint="eastAsia" w:ascii="仿宋_GB2312" w:hAnsi="仿宋_GB2312" w:eastAsia="仿宋_GB2312" w:cs="仿宋_GB2312"/>
          <w:color w:val="auto"/>
          <w:sz w:val="32"/>
          <w:szCs w:val="32"/>
          <w:highlight w:val="none"/>
          <w:lang w:val="en-US" w:eastAsia="zh-CN"/>
        </w:rPr>
        <w:t>2024年度一般公共预算全面开展绩效自评，形成</w:t>
      </w:r>
      <w:r>
        <w:rPr>
          <w:rFonts w:hint="eastAsia" w:ascii="仿宋_GB2312" w:eastAsia="仿宋_GB2312"/>
          <w:sz w:val="32"/>
          <w:szCs w:val="32"/>
        </w:rPr>
        <w:t>四川省广元市中级人民法院</w:t>
      </w:r>
      <w:r>
        <w:rPr>
          <w:rFonts w:hint="eastAsia" w:ascii="仿宋_GB2312" w:hAnsi="仿宋_GB2312" w:eastAsia="仿宋_GB2312" w:cs="仿宋_GB2312"/>
          <w:color w:val="auto"/>
          <w:sz w:val="32"/>
          <w:szCs w:val="32"/>
          <w:highlight w:val="none"/>
          <w:lang w:eastAsia="zh-CN"/>
        </w:rPr>
        <w:t>部门整体（含部门预算项目）</w:t>
      </w:r>
      <w:r>
        <w:rPr>
          <w:rFonts w:hint="eastAsia" w:ascii="仿宋_GB2312" w:hAnsi="仿宋_GB2312" w:eastAsia="仿宋_GB2312" w:cs="仿宋_GB2312"/>
          <w:color w:val="auto"/>
          <w:sz w:val="32"/>
          <w:szCs w:val="32"/>
          <w:highlight w:val="none"/>
          <w:lang w:val="en-US" w:eastAsia="zh-CN"/>
        </w:rPr>
        <w:t>绩效自评报告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sz w:val="32"/>
          <w:szCs w:val="32"/>
        </w:rPr>
        <w:t>聘用制书记员及辅警工作经费</w:t>
      </w:r>
      <w:r>
        <w:rPr>
          <w:rFonts w:hint="eastAsia" w:ascii="仿宋_GB2312" w:hAnsi="仿宋_GB2312" w:eastAsia="仿宋_GB2312" w:cs="仿宋_GB2312"/>
          <w:color w:val="auto"/>
          <w:sz w:val="32"/>
          <w:szCs w:val="32"/>
          <w:highlight w:val="none"/>
          <w:lang w:val="en-US" w:eastAsia="zh-CN"/>
        </w:rPr>
        <w:t>等11个</w:t>
      </w:r>
      <w:r>
        <w:rPr>
          <w:rFonts w:hint="eastAsia" w:ascii="仿宋_GB2312" w:hAnsi="仿宋_GB2312" w:eastAsia="仿宋_GB2312" w:cs="仿宋_GB2312"/>
          <w:color w:val="auto"/>
          <w:sz w:val="32"/>
          <w:szCs w:val="32"/>
          <w:highlight w:val="none"/>
          <w:lang w:eastAsia="zh-CN"/>
        </w:rPr>
        <w:t>专项预算项目</w:t>
      </w:r>
      <w:r>
        <w:rPr>
          <w:rFonts w:hint="eastAsia" w:ascii="仿宋_GB2312" w:hAnsi="仿宋_GB2312" w:eastAsia="仿宋_GB2312" w:cs="仿宋_GB2312"/>
          <w:color w:val="auto"/>
          <w:sz w:val="32"/>
          <w:szCs w:val="32"/>
          <w:highlight w:val="none"/>
          <w:lang w:val="en-US" w:eastAsia="zh-CN"/>
        </w:rPr>
        <w:t>绩效自评报告，其中，</w:t>
      </w:r>
      <w:r>
        <w:rPr>
          <w:rFonts w:hint="eastAsia" w:ascii="仿宋_GB2312" w:eastAsia="仿宋_GB2312"/>
          <w:sz w:val="32"/>
          <w:szCs w:val="32"/>
        </w:rPr>
        <w:t>四川省广元市中级人民法院</w:t>
      </w:r>
      <w:r>
        <w:rPr>
          <w:rFonts w:hint="eastAsia" w:ascii="仿宋_GB2312" w:hAnsi="仿宋_GB2312" w:eastAsia="仿宋_GB2312" w:cs="仿宋_GB2312"/>
          <w:color w:val="auto"/>
          <w:sz w:val="32"/>
          <w:szCs w:val="32"/>
          <w:highlight w:val="none"/>
          <w:lang w:val="en-US" w:eastAsia="zh-CN"/>
        </w:rPr>
        <w:t>部门整体</w:t>
      </w:r>
      <w:r>
        <w:rPr>
          <w:rFonts w:hint="eastAsia" w:ascii="仿宋_GB2312" w:hAnsi="仿宋_GB2312" w:eastAsia="仿宋_GB2312" w:cs="仿宋_GB2312"/>
          <w:color w:val="auto"/>
          <w:sz w:val="32"/>
          <w:szCs w:val="32"/>
          <w:highlight w:val="none"/>
          <w:lang w:eastAsia="zh-CN"/>
        </w:rPr>
        <w:t>（含部门预算项目）</w:t>
      </w:r>
      <w:r>
        <w:rPr>
          <w:rFonts w:hint="eastAsia" w:ascii="仿宋_GB2312" w:hAnsi="仿宋_GB2312" w:eastAsia="仿宋_GB2312" w:cs="仿宋_GB2312"/>
          <w:color w:val="auto"/>
          <w:sz w:val="32"/>
          <w:szCs w:val="32"/>
          <w:highlight w:val="none"/>
          <w:lang w:val="en-US" w:eastAsia="zh-CN"/>
        </w:rPr>
        <w:t>绩效自评得分为93.24分，绩效自评综述：</w:t>
      </w:r>
      <w:r>
        <w:rPr>
          <w:rFonts w:hint="eastAsia" w:ascii="仿宋_GB2312" w:eastAsia="仿宋_GB2312" w:cs="仿宋_GB2312"/>
          <w:sz w:val="32"/>
          <w:szCs w:val="32"/>
        </w:rPr>
        <w:t>我院按照年初预算和部门整体绩效目标要求，积极推进部门预算执行，加强预算绩效管理和监控，提升财政资金使用效益，顺利完成了我院202</w:t>
      </w: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年部门整体绩效目标任务。并按照整体支出绩效评价指标体系，科学、严谨开展绩效自评工作，及时反馈绩效自评问题，督促落实整改，增强预算绩效管理意识，推动部门预算工作提质增效</w:t>
      </w:r>
      <w:r>
        <w:rPr>
          <w:rFonts w:hint="eastAsia" w:ascii="仿宋_GB2312" w:hAnsi="仿宋_GB2312" w:eastAsia="仿宋_GB2312" w:cs="仿宋_GB2312"/>
          <w:color w:val="auto"/>
          <w:sz w:val="32"/>
          <w:szCs w:val="32"/>
          <w:highlight w:val="none"/>
          <w:lang w:val="en-US" w:eastAsia="zh-CN"/>
        </w:rPr>
        <w:t>；11个</w:t>
      </w:r>
      <w:r>
        <w:rPr>
          <w:rFonts w:hint="eastAsia" w:ascii="仿宋_GB2312" w:hAnsi="仿宋_GB2312" w:eastAsia="仿宋_GB2312" w:cs="仿宋_GB2312"/>
          <w:color w:val="auto"/>
          <w:sz w:val="32"/>
          <w:szCs w:val="32"/>
          <w:highlight w:val="none"/>
          <w:lang w:eastAsia="zh-CN"/>
        </w:rPr>
        <w:t>专项预</w:t>
      </w:r>
      <w:r>
        <w:rPr>
          <w:rFonts w:hint="eastAsia" w:ascii="仿宋_GB2312" w:hAnsi="仿宋_GB2312" w:eastAsia="仿宋_GB2312" w:cs="仿宋_GB2312"/>
          <w:color w:val="auto"/>
          <w:sz w:val="32"/>
          <w:szCs w:val="32"/>
          <w:highlight w:val="none"/>
          <w:lang w:val="en-US" w:eastAsia="zh-CN"/>
        </w:rPr>
        <w:t>算项目绩效自评得分为99.36分，绩效自评综述：</w:t>
      </w:r>
      <w:r>
        <w:rPr>
          <w:rFonts w:hint="eastAsia" w:ascii="仿宋_GB2312" w:eastAsia="仿宋_GB2312" w:cs="仿宋_GB2312"/>
          <w:sz w:val="32"/>
          <w:szCs w:val="32"/>
        </w:rPr>
        <w:t>我</w:t>
      </w:r>
      <w:r>
        <w:rPr>
          <w:rFonts w:hint="eastAsia" w:ascii="仿宋_GB2312" w:hAnsi="仿宋_GB2312" w:eastAsia="仿宋_GB2312" w:cs="仿宋_GB2312"/>
          <w:sz w:val="32"/>
          <w:szCs w:val="32"/>
        </w:rPr>
        <w:t>院</w:t>
      </w:r>
      <w:r>
        <w:rPr>
          <w:rFonts w:hint="eastAsia" w:ascii="仿宋_GB2312" w:eastAsia="仿宋_GB2312" w:cs="仿宋_GB2312"/>
          <w:sz w:val="32"/>
          <w:szCs w:val="32"/>
        </w:rPr>
        <w:t>立足往年部门预算项目实施情况及本年需求实际，科学编制年初项目预算，规范设置绩效指标体系，积极推进部门预算执行进度，加强预算绩效管理和监控，对偏离执行进度的项目及时纠偏，并按照绩效指标设置体系，积极开展项目绩效自评，并作为下一年度申报项目预算的参考和依据</w:t>
      </w:r>
      <w:r>
        <w:rPr>
          <w:rFonts w:hint="eastAsia" w:ascii="仿宋_GB2312" w:hAnsi="仿宋_GB2312" w:eastAsia="仿宋_GB2312" w:cs="仿宋_GB2312"/>
          <w:color w:val="auto"/>
          <w:sz w:val="32"/>
          <w:szCs w:val="32"/>
          <w:highlight w:val="none"/>
          <w:lang w:val="en-US" w:eastAsia="zh-CN"/>
        </w:rPr>
        <w:t>。绩效自评报告详见附件。</w:t>
      </w:r>
    </w:p>
    <w:p>
      <w:pPr>
        <w:numPr>
          <w:numId w:val="0"/>
        </w:numPr>
        <w:spacing w:line="600" w:lineRule="exact"/>
        <w:jc w:val="both"/>
        <w:outlineLvl w:val="0"/>
        <w:rPr>
          <w:rStyle w:val="38"/>
          <w:rFonts w:hint="default" w:ascii="黑体" w:hAnsi="黑体" w:eastAsia="黑体"/>
          <w:b w:val="0"/>
          <w:color w:val="auto"/>
          <w:highlight w:val="none"/>
          <w:lang w:val="en-US" w:eastAsia="zh-CN"/>
        </w:rPr>
      </w:pPr>
      <w:bookmarkStart w:id="69" w:name="_Toc15377225"/>
      <w:bookmarkStart w:id="70" w:name="_Toc15396613"/>
      <w:r>
        <w:rPr>
          <w:rStyle w:val="38"/>
          <w:rFonts w:hint="eastAsia" w:ascii="黑体" w:hAnsi="黑体" w:eastAsia="黑体"/>
          <w:b w:val="0"/>
          <w:color w:val="auto"/>
          <w:highlight w:val="none"/>
          <w:lang w:val="en-US" w:eastAsia="zh-CN"/>
        </w:rPr>
        <w:t xml:space="preserve">                                                             </w:t>
      </w:r>
    </w:p>
    <w:p>
      <w:pPr>
        <w:numPr>
          <w:ilvl w:val="0"/>
          <w:numId w:val="4"/>
        </w:numPr>
        <w:spacing w:line="600" w:lineRule="exact"/>
        <w:ind w:firstLine="660" w:firstLineChars="150"/>
        <w:jc w:val="center"/>
        <w:outlineLvl w:val="0"/>
        <w:rPr>
          <w:rStyle w:val="38"/>
          <w:rFonts w:ascii="黑体" w:hAnsi="黑体" w:eastAsia="黑体"/>
          <w:b w:val="0"/>
          <w:color w:val="auto"/>
          <w:highlight w:val="none"/>
        </w:rPr>
      </w:pPr>
      <w:bookmarkStart w:id="71" w:name="_Toc14453"/>
      <w:bookmarkStart w:id="72" w:name="_Toc13554"/>
      <w:r>
        <w:rPr>
          <w:rFonts w:hint="eastAsia" w:ascii="黑体" w:hAnsi="黑体" w:eastAsia="黑体"/>
          <w:color w:val="auto"/>
          <w:sz w:val="44"/>
          <w:szCs w:val="44"/>
          <w:highlight w:val="none"/>
        </w:rPr>
        <w:t>名</w:t>
      </w:r>
      <w:r>
        <w:rPr>
          <w:rStyle w:val="38"/>
          <w:rFonts w:hint="eastAsia" w:ascii="黑体" w:hAnsi="黑体" w:eastAsia="黑体"/>
          <w:b w:val="0"/>
          <w:color w:val="auto"/>
          <w:highlight w:val="none"/>
        </w:rPr>
        <w:t>词解释</w:t>
      </w:r>
      <w:bookmarkEnd w:id="69"/>
      <w:bookmarkEnd w:id="70"/>
      <w:bookmarkEnd w:id="71"/>
      <w:bookmarkEnd w:id="72"/>
    </w:p>
    <w:p>
      <w:pPr>
        <w:spacing w:line="600" w:lineRule="exact"/>
        <w:jc w:val="left"/>
        <w:rPr>
          <w:rFonts w:ascii="宋体"/>
          <w:b/>
          <w:color w:val="auto"/>
          <w:sz w:val="44"/>
          <w:szCs w:val="44"/>
          <w:highlight w:val="none"/>
        </w:rPr>
      </w:pPr>
    </w:p>
    <w:p>
      <w:pPr>
        <w:pStyle w:val="32"/>
        <w:numPr>
          <w:numId w:val="0"/>
        </w:numPr>
        <w:spacing w:line="620" w:lineRule="exact"/>
        <w:rPr>
          <w:rFonts w:ascii="Times New Roman" w:hAnsi="Times New Roman" w:eastAsia="仿宋_GB2312" w:cs="Times New Roman"/>
          <w:color w:val="auto"/>
          <w:sz w:val="32"/>
          <w:szCs w:val="32"/>
        </w:rPr>
      </w:pPr>
      <w:r>
        <w:rPr>
          <w:rFonts w:hint="eastAsia" w:ascii="仿宋_GB2312" w:eastAsia="仿宋_GB2312"/>
          <w:color w:val="auto"/>
          <w:sz w:val="32"/>
          <w:szCs w:val="32"/>
          <w:highlight w:val="none"/>
          <w:lang w:val="en-US" w:eastAsia="zh-CN"/>
        </w:rPr>
        <w:t xml:space="preserve">    1.</w:t>
      </w:r>
      <w:r>
        <w:rPr>
          <w:rFonts w:ascii="Times New Roman" w:hAnsi="Times New Roman" w:eastAsia="仿宋_GB2312" w:cs="Times New Roman"/>
          <w:color w:val="auto"/>
          <w:sz w:val="32"/>
          <w:szCs w:val="32"/>
        </w:rPr>
        <w:t>财政拨款收入：指单位从同级财政部门取得的财政预算资金。</w:t>
      </w:r>
    </w:p>
    <w:p>
      <w:pPr>
        <w:pStyle w:val="32"/>
        <w:numPr>
          <w:numId w:val="0"/>
        </w:numPr>
        <w:spacing w:line="620" w:lineRule="exact"/>
        <w:rPr>
          <w:rFonts w:hint="eastAsia" w:ascii="Times New Roman" w:hAnsi="Times New Roman" w:eastAsia="仿宋_GB2312" w:cs="Times New Roman"/>
          <w:color w:val="auto"/>
          <w:sz w:val="32"/>
          <w:szCs w:val="32"/>
          <w:lang w:eastAsia="zh-CN"/>
        </w:rPr>
      </w:pPr>
      <w:r>
        <w:rPr>
          <w:rFonts w:hint="eastAsia" w:ascii="仿宋_GB2312" w:eastAsia="仿宋_GB2312"/>
          <w:color w:val="auto"/>
          <w:sz w:val="32"/>
          <w:szCs w:val="32"/>
          <w:highlight w:val="none"/>
          <w:lang w:val="en-US" w:eastAsia="zh-CN"/>
        </w:rPr>
        <w:t xml:space="preserve">    2.</w:t>
      </w: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eastAsia="zh-CN"/>
        </w:rPr>
        <w:t>省高院转入交办案件办案业务经费</w:t>
      </w:r>
      <w:r>
        <w:rPr>
          <w:rFonts w:hint="eastAsia" w:ascii="仿宋_GB2312" w:eastAsia="仿宋_GB2312"/>
          <w:color w:val="auto"/>
          <w:sz w:val="32"/>
          <w:szCs w:val="32"/>
          <w:highlight w:val="none"/>
        </w:rPr>
        <w:t>等。</w:t>
      </w:r>
    </w:p>
    <w:p>
      <w:pPr>
        <w:pStyle w:val="32"/>
        <w:numPr>
          <w:numId w:val="0"/>
        </w:numPr>
        <w:spacing w:line="620" w:lineRule="exact"/>
        <w:rPr>
          <w:rFonts w:hint="eastAsia" w:ascii="Times New Roman" w:hAnsi="Times New Roman" w:eastAsia="仿宋_GB2312" w:cs="Times New Roman"/>
          <w:color w:val="auto"/>
          <w:sz w:val="32"/>
          <w:szCs w:val="32"/>
          <w:lang w:eastAsia="zh-CN"/>
        </w:rPr>
      </w:pPr>
      <w:r>
        <w:rPr>
          <w:rFonts w:hint="eastAsia" w:ascii="仿宋_GB2312" w:eastAsia="仿宋_GB2312"/>
          <w:color w:val="auto"/>
          <w:sz w:val="32"/>
          <w:szCs w:val="32"/>
          <w:highlight w:val="none"/>
          <w:lang w:val="en-US" w:eastAsia="zh-CN"/>
        </w:rPr>
        <w:t xml:space="preserve">    3.</w:t>
      </w:r>
      <w:r>
        <w:rPr>
          <w:rFonts w:hint="eastAsia" w:ascii="仿宋_GB2312" w:eastAsia="仿宋_GB2312"/>
          <w:color w:val="auto"/>
          <w:sz w:val="32"/>
          <w:szCs w:val="32"/>
          <w:highlight w:val="none"/>
        </w:rPr>
        <w:t>年初结转和结余：指以前年度尚未完成、结转到本年按有关规定继续使用的资金。</w:t>
      </w:r>
    </w:p>
    <w:p>
      <w:pPr>
        <w:pStyle w:val="32"/>
        <w:numPr>
          <w:numId w:val="0"/>
        </w:numPr>
        <w:spacing w:line="620" w:lineRule="exact"/>
        <w:rPr>
          <w:rFonts w:hint="eastAsia" w:ascii="Times New Roman" w:hAnsi="Times New Roman" w:eastAsia="仿宋_GB2312" w:cs="Times New Roman"/>
          <w:color w:val="auto"/>
          <w:sz w:val="32"/>
          <w:szCs w:val="32"/>
          <w:lang w:eastAsia="zh-CN"/>
        </w:rPr>
      </w:pPr>
      <w:r>
        <w:rPr>
          <w:rFonts w:hint="eastAsia" w:ascii="仿宋_GB2312" w:eastAsia="仿宋_GB2312"/>
          <w:color w:val="auto"/>
          <w:sz w:val="32"/>
          <w:szCs w:val="32"/>
          <w:highlight w:val="none"/>
          <w:lang w:val="en-US" w:eastAsia="zh-CN"/>
        </w:rPr>
        <w:t xml:space="preserve">    4.</w:t>
      </w:r>
      <w:r>
        <w:rPr>
          <w:rFonts w:hint="eastAsia" w:ascii="仿宋_GB2312" w:eastAsia="仿宋_GB2312"/>
          <w:color w:val="auto"/>
          <w:sz w:val="32"/>
          <w:szCs w:val="32"/>
          <w:highlight w:val="none"/>
        </w:rPr>
        <w:t>年</w:t>
      </w:r>
      <w:r>
        <w:rPr>
          <w:rFonts w:hint="eastAsia" w:ascii="Times New Roman" w:hAnsi="Times New Roman" w:eastAsia="仿宋_GB2312" w:cs="Times New Roman"/>
          <w:color w:val="auto"/>
          <w:sz w:val="32"/>
          <w:szCs w:val="32"/>
        </w:rPr>
        <w:t>末结转和结余</w:t>
      </w:r>
      <w:r>
        <w:rPr>
          <w:rFonts w:hint="eastAsia" w:ascii="Times New Roman" w:hAnsi="Times New Roman" w:eastAsia="仿宋_GB2312" w:cs="Times New Roman"/>
          <w:color w:val="auto"/>
          <w:sz w:val="32"/>
          <w:szCs w:val="32"/>
          <w:lang w:eastAsia="zh-CN"/>
        </w:rPr>
        <w:t>：指单位按有关规定结转到下年或以后年度继续使用的资金。</w:t>
      </w:r>
    </w:p>
    <w:p>
      <w:pPr>
        <w:numPr>
          <w:numId w:val="0"/>
        </w:numPr>
        <w:spacing w:line="620" w:lineRule="exact"/>
        <w:rPr>
          <w:rFonts w:eastAsia="仿宋_GB2312"/>
          <w:sz w:val="32"/>
          <w:szCs w:val="32"/>
        </w:rPr>
      </w:pPr>
      <w:r>
        <w:rPr>
          <w:rFonts w:hint="eastAsia" w:ascii="仿宋_GB2312" w:eastAsia="仿宋_GB2312" w:cs="仿宋"/>
          <w:color w:val="auto"/>
          <w:kern w:val="0"/>
          <w:sz w:val="32"/>
          <w:szCs w:val="32"/>
          <w:highlight w:val="none"/>
          <w:lang w:val="en-US" w:eastAsia="zh-CN" w:bidi="ar-SA"/>
        </w:rPr>
        <w:t xml:space="preserve">    </w:t>
      </w:r>
      <w:r>
        <w:rPr>
          <w:rFonts w:hint="eastAsia" w:ascii="仿宋_GB2312" w:hAnsi="Calibri" w:eastAsia="仿宋_GB2312" w:cs="仿宋"/>
          <w:color w:val="auto"/>
          <w:kern w:val="0"/>
          <w:sz w:val="32"/>
          <w:szCs w:val="32"/>
          <w:highlight w:val="none"/>
          <w:lang w:val="en-US" w:eastAsia="zh-CN" w:bidi="ar-SA"/>
        </w:rPr>
        <w:t>5.公</w:t>
      </w:r>
      <w:r>
        <w:rPr>
          <w:rFonts w:eastAsia="仿宋_GB2312"/>
          <w:sz w:val="32"/>
          <w:szCs w:val="32"/>
        </w:rPr>
        <w:t>共安全（类）法院（款）行政运行（项）：指反映行政单位（包括实行公务员管理的事业单位）的基本支出。</w:t>
      </w:r>
    </w:p>
    <w:p>
      <w:pPr>
        <w:numPr>
          <w:numId w:val="0"/>
        </w:numPr>
        <w:spacing w:line="620" w:lineRule="exact"/>
        <w:rPr>
          <w:rFonts w:eastAsia="仿宋_GB2312"/>
          <w:sz w:val="32"/>
          <w:szCs w:val="32"/>
        </w:rPr>
      </w:pPr>
      <w:r>
        <w:rPr>
          <w:rFonts w:hint="eastAsia" w:ascii="仿宋_GB2312" w:eastAsia="仿宋_GB2312" w:cs="仿宋"/>
          <w:color w:val="auto"/>
          <w:kern w:val="0"/>
          <w:sz w:val="32"/>
          <w:szCs w:val="32"/>
          <w:highlight w:val="none"/>
          <w:lang w:val="en-US" w:eastAsia="zh-CN" w:bidi="ar-SA"/>
        </w:rPr>
        <w:t xml:space="preserve">    </w:t>
      </w:r>
      <w:r>
        <w:rPr>
          <w:rFonts w:hint="eastAsia" w:ascii="仿宋_GB2312" w:hAnsi="Calibri" w:eastAsia="仿宋_GB2312" w:cs="仿宋"/>
          <w:color w:val="auto"/>
          <w:kern w:val="0"/>
          <w:sz w:val="32"/>
          <w:szCs w:val="32"/>
          <w:highlight w:val="none"/>
          <w:lang w:val="en-US" w:eastAsia="zh-CN" w:bidi="ar-SA"/>
        </w:rPr>
        <w:t>6.公</w:t>
      </w:r>
      <w:r>
        <w:rPr>
          <w:rFonts w:eastAsia="仿宋_GB2312"/>
          <w:sz w:val="32"/>
          <w:szCs w:val="32"/>
        </w:rPr>
        <w:t>共安全（类）法院（款）案件审判（项）：指反映人民法院对刑事、民事、行政、</w:t>
      </w:r>
      <w:r>
        <w:rPr>
          <w:sz w:val="32"/>
          <w:szCs w:val="32"/>
        </w:rPr>
        <w:t>渋</w:t>
      </w:r>
      <w:r>
        <w:rPr>
          <w:rFonts w:eastAsia="仿宋_GB2312"/>
          <w:sz w:val="32"/>
          <w:szCs w:val="32"/>
        </w:rPr>
        <w:t>外等案件审判活动的支出。</w:t>
      </w:r>
    </w:p>
    <w:p>
      <w:pPr>
        <w:numPr>
          <w:numId w:val="0"/>
        </w:numPr>
        <w:spacing w:line="620" w:lineRule="exact"/>
        <w:rPr>
          <w:rFonts w:eastAsia="仿宋_GB2312"/>
          <w:sz w:val="32"/>
          <w:szCs w:val="32"/>
        </w:rPr>
      </w:pPr>
      <w:r>
        <w:rPr>
          <w:rFonts w:hint="eastAsia" w:ascii="仿宋_GB2312" w:eastAsia="仿宋_GB2312" w:cs="仿宋"/>
          <w:color w:val="auto"/>
          <w:kern w:val="0"/>
          <w:sz w:val="32"/>
          <w:szCs w:val="32"/>
          <w:highlight w:val="none"/>
          <w:lang w:val="en-US" w:eastAsia="zh-CN" w:bidi="ar-SA"/>
        </w:rPr>
        <w:t xml:space="preserve">    </w:t>
      </w:r>
      <w:r>
        <w:rPr>
          <w:rFonts w:hint="eastAsia" w:ascii="仿宋_GB2312" w:hAnsi="Calibri" w:eastAsia="仿宋_GB2312" w:cs="仿宋"/>
          <w:color w:val="auto"/>
          <w:kern w:val="0"/>
          <w:sz w:val="32"/>
          <w:szCs w:val="32"/>
          <w:highlight w:val="none"/>
          <w:lang w:val="en-US" w:eastAsia="zh-CN" w:bidi="ar-SA"/>
        </w:rPr>
        <w:t>7.公</w:t>
      </w:r>
      <w:r>
        <w:rPr>
          <w:rFonts w:eastAsia="仿宋_GB2312"/>
          <w:sz w:val="32"/>
          <w:szCs w:val="32"/>
        </w:rPr>
        <w:t>共安全（类）法院（款）案件执行（项）：指反映人民法院对刑事、民事、行政、</w:t>
      </w:r>
      <w:r>
        <w:rPr>
          <w:sz w:val="32"/>
          <w:szCs w:val="32"/>
        </w:rPr>
        <w:t>渋</w:t>
      </w:r>
      <w:r>
        <w:rPr>
          <w:rFonts w:eastAsia="仿宋_GB2312"/>
          <w:sz w:val="32"/>
          <w:szCs w:val="32"/>
        </w:rPr>
        <w:t>外等案件执行活动和对各种非诉执行活动的支出。</w:t>
      </w:r>
    </w:p>
    <w:p>
      <w:pPr>
        <w:numPr>
          <w:numId w:val="0"/>
        </w:numPr>
        <w:spacing w:line="620" w:lineRule="exact"/>
        <w:rPr>
          <w:rFonts w:eastAsia="仿宋_GB2312"/>
          <w:sz w:val="32"/>
          <w:szCs w:val="32"/>
        </w:rPr>
      </w:pPr>
      <w:r>
        <w:rPr>
          <w:rFonts w:hint="eastAsia" w:ascii="仿宋_GB2312" w:eastAsia="仿宋_GB2312" w:cs="仿宋"/>
          <w:color w:val="auto"/>
          <w:kern w:val="0"/>
          <w:sz w:val="32"/>
          <w:szCs w:val="32"/>
          <w:highlight w:val="none"/>
          <w:lang w:val="en-US" w:eastAsia="zh-CN" w:bidi="ar-SA"/>
        </w:rPr>
        <w:t xml:space="preserve">    </w:t>
      </w:r>
      <w:r>
        <w:rPr>
          <w:rFonts w:hint="eastAsia" w:ascii="仿宋_GB2312" w:hAnsi="Calibri" w:eastAsia="仿宋_GB2312" w:cs="仿宋"/>
          <w:color w:val="auto"/>
          <w:kern w:val="0"/>
          <w:sz w:val="32"/>
          <w:szCs w:val="32"/>
          <w:highlight w:val="none"/>
          <w:lang w:val="en-US" w:eastAsia="zh-CN" w:bidi="ar-SA"/>
        </w:rPr>
        <w:t>8.</w:t>
      </w:r>
      <w:r>
        <w:rPr>
          <w:rFonts w:eastAsia="仿宋_GB2312"/>
          <w:sz w:val="32"/>
          <w:szCs w:val="32"/>
        </w:rPr>
        <w:t>公共安全（类）法院（款）事业运行（项）：反映事业单位的基本支出，不包括行政单位（包括实行公务员管理的事业单位）后勤服务中心</w:t>
      </w:r>
      <w:r>
        <w:rPr>
          <w:rFonts w:hint="eastAsia" w:ascii="仿宋_GB2312" w:eastAsia="仿宋_GB2312"/>
          <w:sz w:val="32"/>
          <w:szCs w:val="32"/>
        </w:rPr>
        <w:t>、</w:t>
      </w:r>
      <w:r>
        <w:rPr>
          <w:rFonts w:eastAsia="仿宋_GB2312"/>
          <w:sz w:val="32"/>
          <w:szCs w:val="32"/>
        </w:rPr>
        <w:t>医务室等附属事业单位。</w:t>
      </w:r>
    </w:p>
    <w:p>
      <w:pPr>
        <w:numPr>
          <w:numId w:val="0"/>
        </w:numPr>
        <w:spacing w:line="620" w:lineRule="exact"/>
        <w:rPr>
          <w:rFonts w:eastAsia="仿宋_GB2312"/>
          <w:sz w:val="32"/>
          <w:szCs w:val="32"/>
        </w:rPr>
      </w:pPr>
      <w:r>
        <w:rPr>
          <w:rFonts w:hint="eastAsia" w:ascii="仿宋_GB2312" w:eastAsia="仿宋_GB2312" w:cs="仿宋"/>
          <w:color w:val="auto"/>
          <w:kern w:val="0"/>
          <w:sz w:val="32"/>
          <w:szCs w:val="32"/>
          <w:highlight w:val="none"/>
          <w:lang w:val="en-US" w:eastAsia="zh-CN" w:bidi="ar-SA"/>
        </w:rPr>
        <w:t xml:space="preserve">    </w:t>
      </w:r>
      <w:r>
        <w:rPr>
          <w:rFonts w:hint="eastAsia" w:ascii="仿宋_GB2312" w:hAnsi="Calibri" w:eastAsia="仿宋_GB2312" w:cs="仿宋"/>
          <w:color w:val="auto"/>
          <w:kern w:val="0"/>
          <w:sz w:val="32"/>
          <w:szCs w:val="32"/>
          <w:highlight w:val="none"/>
          <w:lang w:val="en-US" w:eastAsia="zh-CN" w:bidi="ar-SA"/>
        </w:rPr>
        <w:t>9.公</w:t>
      </w:r>
      <w:r>
        <w:rPr>
          <w:rFonts w:eastAsia="仿宋_GB2312"/>
          <w:sz w:val="32"/>
          <w:szCs w:val="32"/>
        </w:rPr>
        <w:t>共安全（类）法院（款）其他法院支出（项）：指反映除上述项目以外其他用于法院方面的支出。</w:t>
      </w:r>
    </w:p>
    <w:p>
      <w:pPr>
        <w:numPr>
          <w:numId w:val="0"/>
        </w:numPr>
        <w:spacing w:line="620" w:lineRule="exact"/>
        <w:rPr>
          <w:rFonts w:eastAsia="仿宋_GB2312"/>
          <w:sz w:val="32"/>
          <w:szCs w:val="32"/>
        </w:rPr>
      </w:pPr>
      <w:r>
        <w:rPr>
          <w:rFonts w:hint="eastAsia" w:ascii="仿宋_GB2312" w:eastAsia="仿宋_GB2312" w:cs="仿宋"/>
          <w:color w:val="auto"/>
          <w:kern w:val="0"/>
          <w:sz w:val="32"/>
          <w:szCs w:val="32"/>
          <w:highlight w:val="none"/>
          <w:lang w:val="en-US" w:eastAsia="zh-CN" w:bidi="ar-SA"/>
        </w:rPr>
        <w:t xml:space="preserve">    </w:t>
      </w:r>
      <w:r>
        <w:rPr>
          <w:rFonts w:hint="eastAsia" w:ascii="仿宋_GB2312" w:hAnsi="Calibri" w:eastAsia="仿宋_GB2312" w:cs="仿宋"/>
          <w:color w:val="auto"/>
          <w:kern w:val="0"/>
          <w:sz w:val="32"/>
          <w:szCs w:val="32"/>
          <w:highlight w:val="none"/>
          <w:lang w:val="en-US" w:eastAsia="zh-CN" w:bidi="ar-SA"/>
        </w:rPr>
        <w:t>10.</w:t>
      </w:r>
      <w:r>
        <w:rPr>
          <w:rFonts w:eastAsia="仿宋_GB2312"/>
          <w:sz w:val="32"/>
          <w:szCs w:val="32"/>
        </w:rPr>
        <w:t>社会保障和就业（类）</w:t>
      </w:r>
      <w:r>
        <w:rPr>
          <w:rFonts w:hint="eastAsia" w:eastAsia="仿宋_GB2312"/>
          <w:sz w:val="32"/>
          <w:szCs w:val="32"/>
        </w:rPr>
        <w:t>行政事业单位养老支出</w:t>
      </w:r>
      <w:r>
        <w:rPr>
          <w:rFonts w:eastAsia="仿宋_GB2312"/>
          <w:sz w:val="32"/>
          <w:szCs w:val="32"/>
        </w:rPr>
        <w:t>（款）机关事业单位基本养老保险缴费支出（项）：指反映机关事业单位实施养老保险制度由单位缴纳的基本养老保险费支出。</w:t>
      </w:r>
    </w:p>
    <w:p>
      <w:pPr>
        <w:numPr>
          <w:numId w:val="0"/>
        </w:numPr>
        <w:spacing w:line="620" w:lineRule="exact"/>
        <w:rPr>
          <w:rFonts w:eastAsia="仿宋_GB2312"/>
          <w:sz w:val="32"/>
          <w:szCs w:val="32"/>
        </w:rPr>
      </w:pPr>
      <w:r>
        <w:rPr>
          <w:rFonts w:hint="eastAsia" w:ascii="仿宋_GB2312" w:eastAsia="仿宋_GB2312" w:cs="仿宋"/>
          <w:color w:val="auto"/>
          <w:kern w:val="0"/>
          <w:sz w:val="32"/>
          <w:szCs w:val="32"/>
          <w:highlight w:val="none"/>
          <w:lang w:val="en-US" w:eastAsia="zh-CN" w:bidi="ar-SA"/>
        </w:rPr>
        <w:t xml:space="preserve">    </w:t>
      </w:r>
      <w:r>
        <w:rPr>
          <w:rFonts w:hint="eastAsia" w:ascii="仿宋_GB2312" w:hAnsi="Calibri" w:eastAsia="仿宋_GB2312" w:cs="仿宋"/>
          <w:color w:val="auto"/>
          <w:kern w:val="0"/>
          <w:sz w:val="32"/>
          <w:szCs w:val="32"/>
          <w:highlight w:val="none"/>
          <w:lang w:val="en-US" w:eastAsia="zh-CN" w:bidi="ar-SA"/>
        </w:rPr>
        <w:t>11.社</w:t>
      </w:r>
      <w:r>
        <w:rPr>
          <w:rFonts w:eastAsia="仿宋_GB2312"/>
          <w:sz w:val="32"/>
          <w:szCs w:val="32"/>
        </w:rPr>
        <w:t>会保障和就业（类）</w:t>
      </w:r>
      <w:r>
        <w:rPr>
          <w:rFonts w:hint="eastAsia" w:eastAsia="仿宋_GB2312"/>
          <w:sz w:val="32"/>
          <w:szCs w:val="32"/>
        </w:rPr>
        <w:t>行政事业单位养老支出</w:t>
      </w:r>
      <w:r>
        <w:rPr>
          <w:rFonts w:eastAsia="仿宋_GB2312"/>
          <w:sz w:val="32"/>
          <w:szCs w:val="32"/>
        </w:rPr>
        <w:t>（款）机关事业单位职业年金缴费支出（项）：指反映机关事业单位实施养老保险制度由单位缴纳的职业年金支出。</w:t>
      </w:r>
    </w:p>
    <w:p>
      <w:pPr>
        <w:numPr>
          <w:numId w:val="0"/>
        </w:numPr>
        <w:spacing w:line="620" w:lineRule="exact"/>
        <w:rPr>
          <w:rFonts w:eastAsia="仿宋_GB2312"/>
          <w:sz w:val="32"/>
          <w:szCs w:val="32"/>
        </w:rPr>
      </w:pPr>
      <w:r>
        <w:rPr>
          <w:rFonts w:hint="eastAsia" w:ascii="仿宋_GB2312" w:eastAsia="仿宋_GB2312" w:cs="仿宋"/>
          <w:color w:val="auto"/>
          <w:kern w:val="0"/>
          <w:sz w:val="32"/>
          <w:szCs w:val="32"/>
          <w:highlight w:val="none"/>
          <w:lang w:val="en-US" w:eastAsia="zh-CN" w:bidi="ar-SA"/>
        </w:rPr>
        <w:t xml:space="preserve">    </w:t>
      </w:r>
      <w:r>
        <w:rPr>
          <w:rFonts w:hint="eastAsia" w:ascii="仿宋_GB2312" w:hAnsi="Calibri" w:eastAsia="仿宋_GB2312" w:cs="仿宋"/>
          <w:color w:val="auto"/>
          <w:kern w:val="0"/>
          <w:sz w:val="32"/>
          <w:szCs w:val="32"/>
          <w:highlight w:val="none"/>
          <w:lang w:val="en-US" w:eastAsia="zh-CN" w:bidi="ar-SA"/>
        </w:rPr>
        <w:t>12.卫</w:t>
      </w:r>
      <w:r>
        <w:rPr>
          <w:rFonts w:eastAsia="仿宋_GB2312"/>
          <w:sz w:val="32"/>
          <w:szCs w:val="32"/>
        </w:rPr>
        <w:t>生健康支出（类）行政事业单位医疗（款）行政单位医疗（项）：指反映财政部门集中安排的行政单位基本医疗保险缴费经费，未参加医疗保险的行政单位的公费医疗经费，按国家规定享受离休人员、红军老战士待遇人员的医疗经费。</w:t>
      </w:r>
    </w:p>
    <w:p>
      <w:pPr>
        <w:numPr>
          <w:numId w:val="0"/>
        </w:numPr>
        <w:spacing w:line="620" w:lineRule="exact"/>
        <w:rPr>
          <w:rFonts w:eastAsia="仿宋_GB2312"/>
          <w:sz w:val="32"/>
          <w:szCs w:val="32"/>
        </w:rPr>
      </w:pPr>
      <w:r>
        <w:rPr>
          <w:rFonts w:hint="eastAsia" w:ascii="仿宋_GB2312" w:eastAsia="仿宋_GB2312" w:cs="仿宋"/>
          <w:color w:val="auto"/>
          <w:kern w:val="0"/>
          <w:sz w:val="32"/>
          <w:szCs w:val="32"/>
          <w:highlight w:val="none"/>
          <w:lang w:val="en-US" w:eastAsia="zh-CN" w:bidi="ar-SA"/>
        </w:rPr>
        <w:t xml:space="preserve">    </w:t>
      </w:r>
      <w:r>
        <w:rPr>
          <w:rFonts w:hint="eastAsia" w:ascii="仿宋_GB2312" w:hAnsi="Calibri" w:eastAsia="仿宋_GB2312" w:cs="仿宋"/>
          <w:color w:val="auto"/>
          <w:kern w:val="0"/>
          <w:sz w:val="32"/>
          <w:szCs w:val="32"/>
          <w:highlight w:val="none"/>
          <w:lang w:val="en-US" w:eastAsia="zh-CN" w:bidi="ar-SA"/>
        </w:rPr>
        <w:t>13.住</w:t>
      </w:r>
      <w:r>
        <w:rPr>
          <w:rFonts w:eastAsia="仿宋_GB2312"/>
          <w:sz w:val="32"/>
          <w:szCs w:val="32"/>
        </w:rPr>
        <w:t>房保障（类）住房改革支出（款）住房公积金（项）：指反映行政事业单位按人力资源和社会保障部、财政部规定的基本工资和津贴补贴以及规定比例为职工缴纳的住房公积金。</w:t>
      </w:r>
    </w:p>
    <w:p>
      <w:pPr>
        <w:numPr>
          <w:numId w:val="0"/>
        </w:numPr>
        <w:spacing w:line="620" w:lineRule="exact"/>
        <w:rPr>
          <w:rFonts w:eastAsia="仿宋_GB2312"/>
          <w:sz w:val="32"/>
          <w:szCs w:val="32"/>
        </w:rPr>
      </w:pPr>
      <w:r>
        <w:rPr>
          <w:rFonts w:hint="eastAsia" w:ascii="仿宋_GB2312" w:eastAsia="仿宋_GB2312" w:cs="仿宋"/>
          <w:color w:val="auto"/>
          <w:kern w:val="0"/>
          <w:sz w:val="32"/>
          <w:szCs w:val="32"/>
          <w:highlight w:val="none"/>
          <w:lang w:val="en-US" w:eastAsia="zh-CN" w:bidi="ar-SA"/>
        </w:rPr>
        <w:t xml:space="preserve">    </w:t>
      </w:r>
      <w:r>
        <w:rPr>
          <w:rFonts w:hint="eastAsia" w:ascii="仿宋_GB2312" w:hAnsi="Calibri" w:eastAsia="仿宋_GB2312" w:cs="仿宋"/>
          <w:color w:val="auto"/>
          <w:kern w:val="0"/>
          <w:sz w:val="32"/>
          <w:szCs w:val="32"/>
          <w:highlight w:val="none"/>
          <w:lang w:val="en-US" w:eastAsia="zh-CN" w:bidi="ar-SA"/>
        </w:rPr>
        <w:t>14.基</w:t>
      </w:r>
      <w:r>
        <w:rPr>
          <w:rFonts w:eastAsia="仿宋_GB2312"/>
          <w:sz w:val="32"/>
          <w:szCs w:val="32"/>
        </w:rPr>
        <w:t>本支出：指为保障机构正常运转、完成日常工作任务而发生的人员支出和公用支出。</w:t>
      </w:r>
    </w:p>
    <w:p>
      <w:pPr>
        <w:numPr>
          <w:numId w:val="0"/>
        </w:numPr>
        <w:spacing w:line="620" w:lineRule="exact"/>
        <w:rPr>
          <w:rFonts w:eastAsia="仿宋_GB2312"/>
          <w:sz w:val="32"/>
          <w:szCs w:val="32"/>
        </w:rPr>
      </w:pPr>
      <w:r>
        <w:rPr>
          <w:rFonts w:hint="eastAsia" w:ascii="仿宋_GB2312" w:eastAsia="仿宋_GB2312" w:cs="仿宋"/>
          <w:color w:val="auto"/>
          <w:kern w:val="0"/>
          <w:sz w:val="32"/>
          <w:szCs w:val="32"/>
          <w:highlight w:val="none"/>
          <w:lang w:val="en-US" w:eastAsia="zh-CN" w:bidi="ar-SA"/>
        </w:rPr>
        <w:t xml:space="preserve">    </w:t>
      </w:r>
      <w:r>
        <w:rPr>
          <w:rFonts w:hint="eastAsia" w:ascii="仿宋_GB2312" w:hAnsi="Calibri" w:eastAsia="仿宋_GB2312" w:cs="仿宋"/>
          <w:color w:val="auto"/>
          <w:kern w:val="0"/>
          <w:sz w:val="32"/>
          <w:szCs w:val="32"/>
          <w:highlight w:val="none"/>
          <w:lang w:val="en-US" w:eastAsia="zh-CN" w:bidi="ar-SA"/>
        </w:rPr>
        <w:t>15.项</w:t>
      </w:r>
      <w:r>
        <w:rPr>
          <w:rFonts w:eastAsia="仿宋_GB2312"/>
          <w:sz w:val="32"/>
          <w:szCs w:val="32"/>
        </w:rPr>
        <w:t xml:space="preserve">目支出：指在基本支出之外为完成特定行政任务和事业发展目标所发生的支出。 </w:t>
      </w:r>
    </w:p>
    <w:p>
      <w:pPr>
        <w:pStyle w:val="32"/>
        <w:numPr>
          <w:numId w:val="0"/>
        </w:numPr>
        <w:spacing w:line="620" w:lineRule="exact"/>
        <w:rPr>
          <w:rFonts w:ascii="Times New Roman" w:hAnsi="Times New Roman" w:eastAsia="仿宋_GB2312" w:cs="Times New Roman"/>
          <w:color w:val="auto"/>
          <w:sz w:val="32"/>
          <w:szCs w:val="32"/>
        </w:rPr>
      </w:pPr>
      <w:r>
        <w:rPr>
          <w:rFonts w:hint="eastAsia" w:ascii="仿宋_GB2312" w:eastAsia="仿宋_GB2312" w:cs="仿宋"/>
          <w:color w:val="auto"/>
          <w:kern w:val="0"/>
          <w:sz w:val="32"/>
          <w:szCs w:val="32"/>
          <w:highlight w:val="none"/>
          <w:lang w:val="en-US" w:eastAsia="zh-CN" w:bidi="ar-SA"/>
        </w:rPr>
        <w:t xml:space="preserve">    </w:t>
      </w:r>
      <w:r>
        <w:rPr>
          <w:rFonts w:hint="eastAsia" w:ascii="仿宋_GB2312" w:hAnsi="Calibri" w:eastAsia="仿宋_GB2312" w:cs="仿宋"/>
          <w:color w:val="auto"/>
          <w:kern w:val="0"/>
          <w:sz w:val="32"/>
          <w:szCs w:val="32"/>
          <w:highlight w:val="none"/>
          <w:lang w:val="en-US" w:eastAsia="zh-CN" w:bidi="ar-SA"/>
        </w:rPr>
        <w:t>16.“三</w:t>
      </w:r>
      <w:r>
        <w:rPr>
          <w:rFonts w:ascii="Times New Roman" w:hAnsi="Times New Roman" w:eastAsia="仿宋_GB2312" w:cs="Times New Roman"/>
          <w:color w:val="auto"/>
          <w:sz w:val="32"/>
          <w:szCs w:val="32"/>
        </w:rPr>
        <w:t>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支出。</w:t>
      </w:r>
    </w:p>
    <w:p>
      <w:pPr>
        <w:pStyle w:val="32"/>
        <w:numPr>
          <w:numId w:val="0"/>
        </w:numPr>
        <w:spacing w:line="620" w:lineRule="exact"/>
        <w:rPr>
          <w:rFonts w:ascii="Times New Roman" w:hAnsi="Times New Roman" w:eastAsia="仿宋_GB2312" w:cs="Times New Roman"/>
          <w:color w:val="auto"/>
          <w:sz w:val="32"/>
          <w:szCs w:val="32"/>
        </w:rPr>
      </w:pPr>
      <w:r>
        <w:rPr>
          <w:rFonts w:hint="eastAsia" w:ascii="仿宋_GB2312" w:eastAsia="仿宋_GB2312" w:cs="仿宋"/>
          <w:color w:val="auto"/>
          <w:kern w:val="0"/>
          <w:sz w:val="32"/>
          <w:szCs w:val="32"/>
          <w:highlight w:val="none"/>
          <w:lang w:val="en-US" w:eastAsia="zh-CN" w:bidi="ar-SA"/>
        </w:rPr>
        <w:t xml:space="preserve">    </w:t>
      </w:r>
      <w:r>
        <w:rPr>
          <w:rFonts w:hint="eastAsia" w:ascii="仿宋_GB2312" w:hAnsi="Calibri" w:eastAsia="仿宋_GB2312" w:cs="仿宋"/>
          <w:color w:val="auto"/>
          <w:kern w:val="0"/>
          <w:sz w:val="32"/>
          <w:szCs w:val="32"/>
          <w:highlight w:val="none"/>
          <w:lang w:val="en-US" w:eastAsia="zh-CN" w:bidi="ar-SA"/>
        </w:rPr>
        <w:t>17.机</w:t>
      </w:r>
      <w:r>
        <w:rPr>
          <w:rFonts w:ascii="Times New Roman" w:hAnsi="Times New Roman" w:eastAsia="仿宋_GB2312" w:cs="Times New Roman"/>
          <w:color w:val="auto"/>
          <w:sz w:val="32"/>
          <w:szCs w:val="32"/>
        </w:rPr>
        <w:t>关运行经费：为保障行政单位（含参照公务员法管理的事业单位）运行用于购买货物和服务的各项资金，包括办公及印刷费、邮电费、差旅费、会议费、福利费、日常维修费、</w:t>
      </w:r>
      <w:r>
        <w:rPr>
          <w:rFonts w:hint="eastAsia" w:ascii="仿宋_GB2312" w:hAnsi="Calibri" w:eastAsia="仿宋_GB2312" w:cs="仿宋"/>
          <w:color w:val="auto"/>
          <w:kern w:val="0"/>
          <w:sz w:val="32"/>
          <w:szCs w:val="32"/>
          <w:highlight w:val="none"/>
          <w:lang w:val="en-US" w:eastAsia="zh-CN" w:bidi="ar-SA"/>
        </w:rPr>
        <w:t>专用</w:t>
      </w:r>
      <w:r>
        <w:rPr>
          <w:rFonts w:ascii="Times New Roman" w:hAnsi="Times New Roman" w:eastAsia="仿宋_GB2312" w:cs="Times New Roman"/>
          <w:color w:val="auto"/>
          <w:sz w:val="32"/>
          <w:szCs w:val="32"/>
        </w:rPr>
        <w:t>材料及一般设备购置费、办公用房水电费、办公用房取暖费、办公用房物业管理费、公务用车运行维护费以及其他费用。</w:t>
      </w:r>
    </w:p>
    <w:p>
      <w:pPr>
        <w:spacing w:line="600" w:lineRule="exact"/>
        <w:jc w:val="center"/>
        <w:outlineLvl w:val="0"/>
        <w:rPr>
          <w:rStyle w:val="38"/>
          <w:rFonts w:hint="eastAsia" w:ascii="黑体" w:hAnsi="黑体" w:eastAsia="黑体"/>
          <w:b w:val="0"/>
          <w:color w:val="auto"/>
          <w:highlight w:val="none"/>
          <w:lang w:eastAsia="zh-CN"/>
        </w:rPr>
      </w:pPr>
      <w:bookmarkStart w:id="73" w:name="_Toc15377226"/>
      <w:r>
        <w:rPr>
          <w:rFonts w:ascii="宋体"/>
          <w:b/>
          <w:color w:val="auto"/>
          <w:sz w:val="44"/>
          <w:szCs w:val="44"/>
          <w:highlight w:val="none"/>
        </w:rPr>
        <w:br w:type="page"/>
      </w:r>
      <w:bookmarkStart w:id="74" w:name="_Toc15396614"/>
      <w:bookmarkStart w:id="75" w:name="_Toc147"/>
      <w:bookmarkStart w:id="76" w:name="_Toc5919"/>
      <w:r>
        <w:rPr>
          <w:rFonts w:hint="eastAsia" w:ascii="黑体" w:hAnsi="黑体" w:eastAsia="黑体"/>
          <w:color w:val="auto"/>
          <w:sz w:val="44"/>
          <w:szCs w:val="44"/>
          <w:highlight w:val="none"/>
        </w:rPr>
        <w:t>第</w:t>
      </w:r>
      <w:r>
        <w:rPr>
          <w:rStyle w:val="38"/>
          <w:rFonts w:hint="eastAsia" w:ascii="黑体" w:hAnsi="黑体" w:eastAsia="黑体"/>
          <w:b w:val="0"/>
          <w:color w:val="auto"/>
          <w:highlight w:val="none"/>
        </w:rPr>
        <w:t>四部分 附件</w:t>
      </w:r>
      <w:bookmarkEnd w:id="74"/>
      <w:bookmarkEnd w:id="75"/>
      <w:bookmarkEnd w:id="76"/>
    </w:p>
    <w:p>
      <w:pPr>
        <w:wordWrap/>
        <w:spacing w:line="572" w:lineRule="exact"/>
        <w:jc w:val="left"/>
        <w:textAlignment w:val="auto"/>
        <w:outlineLvl w:val="0"/>
        <w:rPr>
          <w:rFonts w:hint="eastAsia" w:ascii="黑体" w:hAnsi="黑体" w:eastAsia="黑体" w:cs="黑体"/>
          <w:color w:val="FF0000"/>
          <w:sz w:val="32"/>
          <w:szCs w:val="32"/>
          <w:highlight w:val="none"/>
        </w:rPr>
      </w:pPr>
    </w:p>
    <w:p>
      <w:pPr>
        <w:wordWrap/>
        <w:spacing w:line="572" w:lineRule="exact"/>
        <w:jc w:val="left"/>
        <w:textAlignment w:val="auto"/>
        <w:outlineLvl w:val="0"/>
        <w:rPr>
          <w:rFonts w:hint="eastAsia" w:ascii="方正小标宋简体" w:hAnsi="方正小标宋简体" w:eastAsia="黑体" w:cs="方正小标宋简体"/>
          <w:color w:val="auto"/>
          <w:sz w:val="44"/>
          <w:szCs w:val="44"/>
          <w:highlight w:val="none"/>
          <w:lang w:val="en-US" w:eastAsia="zh-CN"/>
        </w:rPr>
      </w:pPr>
      <w:bookmarkStart w:id="77" w:name="_Toc2587"/>
      <w:bookmarkStart w:id="78" w:name="_Toc4972"/>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bookmarkEnd w:id="77"/>
      <w:bookmarkEnd w:id="78"/>
    </w:p>
    <w:p>
      <w:pPr>
        <w:widowControl/>
        <w:wordWrap/>
        <w:spacing w:line="578" w:lineRule="exact"/>
        <w:contextualSpacing/>
        <w:jc w:val="center"/>
        <w:textAlignment w:val="auto"/>
        <w:outlineLvl w:val="9"/>
        <w:rPr>
          <w:rFonts w:hint="eastAsia" w:ascii="Times New Roman" w:hAnsi="Times New Roman" w:eastAsia="方正小标宋简体" w:cs="Times New Roman"/>
          <w:b w:val="0"/>
          <w:bCs/>
          <w:sz w:val="44"/>
          <w:szCs w:val="44"/>
          <w:highlight w:val="none"/>
          <w:shd w:val="clear" w:color="auto" w:fill="FFFFFF"/>
          <w:lang w:val="en-US" w:eastAsia="zh-CN"/>
        </w:rPr>
      </w:pPr>
      <w:r>
        <w:rPr>
          <w:rFonts w:hint="eastAsia" w:ascii="Times New Roman" w:hAnsi="Times New Roman" w:eastAsia="方正小标宋简体" w:cs="Times New Roman"/>
          <w:b w:val="0"/>
          <w:bCs/>
          <w:sz w:val="44"/>
          <w:szCs w:val="44"/>
          <w:highlight w:val="none"/>
          <w:shd w:val="clear" w:color="auto" w:fill="FFFFFF"/>
          <w:lang w:val="en-US" w:eastAsia="zh-CN"/>
        </w:rPr>
        <w:t>四川省广元市中级人民法院</w:t>
      </w:r>
    </w:p>
    <w:p>
      <w:pPr>
        <w:widowControl/>
        <w:wordWrap/>
        <w:spacing w:line="578" w:lineRule="exact"/>
        <w:contextualSpacing/>
        <w:jc w:val="center"/>
        <w:textAlignment w:val="auto"/>
        <w:outlineLvl w:val="9"/>
        <w:rPr>
          <w:rFonts w:hint="eastAsia" w:ascii="Times New Roman" w:hAnsi="Times New Roman" w:eastAsia="方正小标宋简体" w:cs="Times New Roman"/>
          <w:b w:val="0"/>
          <w:bCs/>
          <w:sz w:val="44"/>
          <w:szCs w:val="44"/>
          <w:highlight w:val="none"/>
          <w:shd w:val="clear" w:color="auto" w:fill="FFFFFF"/>
          <w:lang w:val="en-US" w:eastAsia="zh-CN"/>
        </w:rPr>
      </w:pPr>
      <w:r>
        <w:rPr>
          <w:rFonts w:hint="eastAsia" w:ascii="Times New Roman" w:hAnsi="Times New Roman" w:eastAsia="方正小标宋简体" w:cs="Times New Roman"/>
          <w:b w:val="0"/>
          <w:bCs/>
          <w:sz w:val="44"/>
          <w:szCs w:val="44"/>
          <w:highlight w:val="none"/>
          <w:shd w:val="clear" w:color="auto" w:fill="FFFFFF"/>
          <w:lang w:val="en-US" w:eastAsia="zh-CN"/>
        </w:rPr>
        <w:t>2024年度整体预算绩效评价报告</w:t>
      </w:r>
    </w:p>
    <w:p>
      <w:pPr>
        <w:pStyle w:val="2"/>
        <w:rPr>
          <w:rFonts w:hint="eastAsia"/>
        </w:rPr>
      </w:pPr>
    </w:p>
    <w:p>
      <w:pPr>
        <w:widowControl/>
        <w:numPr>
          <w:numId w:val="0"/>
        </w:numPr>
        <w:wordWrap/>
        <w:adjustRightInd w:val="0"/>
        <w:snapToGrid w:val="0"/>
        <w:spacing w:line="578" w:lineRule="exact"/>
        <w:ind w:firstLine="640" w:firstLineChars="200"/>
        <w:contextualSpacing/>
        <w:jc w:val="left"/>
        <w:textAlignment w:val="auto"/>
        <w:outlineLvl w:val="9"/>
        <w:rPr>
          <w:rFonts w:hint="eastAsia" w:eastAsia="黑体" w:cs="Times New Roman"/>
          <w:color w:val="000000"/>
          <w:kern w:val="0"/>
          <w:sz w:val="32"/>
          <w:szCs w:val="32"/>
          <w:highlight w:val="none"/>
          <w:shd w:val="clear" w:color="auto" w:fill="FFFFFF"/>
          <w:lang w:val="zh-CN"/>
        </w:rPr>
      </w:pPr>
      <w:r>
        <w:rPr>
          <w:rFonts w:hint="eastAsia" w:eastAsia="黑体" w:cs="Times New Roman"/>
          <w:color w:val="000000"/>
          <w:kern w:val="0"/>
          <w:sz w:val="32"/>
          <w:szCs w:val="32"/>
          <w:highlight w:val="none"/>
          <w:shd w:val="clear" w:color="auto" w:fill="FFFFFF"/>
          <w:lang w:val="zh-CN"/>
        </w:rPr>
        <w:t>一、单位基本情况</w:t>
      </w:r>
    </w:p>
    <w:p>
      <w:pPr>
        <w:widowControl/>
        <w:numPr>
          <w:numId w:val="0"/>
        </w:numPr>
        <w:wordWrap/>
        <w:adjustRightInd w:val="0"/>
        <w:snapToGrid w:val="0"/>
        <w:spacing w:line="578" w:lineRule="exact"/>
        <w:ind w:firstLine="643" w:firstLineChars="200"/>
        <w:contextualSpacing/>
        <w:jc w:val="left"/>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（一）机构组成</w:t>
      </w:r>
    </w:p>
    <w:p>
      <w:pPr>
        <w:widowControl/>
        <w:numPr>
          <w:numId w:val="0"/>
        </w:numPr>
        <w:wordWrap/>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zh-CN" w:eastAsia="zh-CN"/>
        </w:rPr>
        <w:t>四川省广元市中级人民法院</w:t>
      </w:r>
      <w:r>
        <w:rPr>
          <w:rFonts w:hint="eastAsia" w:ascii="Times New Roman" w:hAnsi="Times New Roman" w:eastAsia="仿宋_GB2312" w:cs="Times New Roman"/>
          <w:sz w:val="32"/>
          <w:szCs w:val="32"/>
          <w:lang w:val="en-US" w:eastAsia="zh-CN"/>
        </w:rPr>
        <w:t>内设机构有立案庭、刑一庭、刑二庭、民一庭、民二庭、民三庭、行政庭、赔委办、环资庭、审监庭、执行局、审管办、研究室、技术室、政治部、办公室、行装处、法警队、督察室、机关党办、新闻中心等21个部门。无下属二级单位。</w:t>
      </w:r>
    </w:p>
    <w:p>
      <w:pPr>
        <w:widowControl/>
        <w:numPr>
          <w:numId w:val="0"/>
        </w:numPr>
        <w:wordWrap/>
        <w:adjustRightInd w:val="0"/>
        <w:snapToGrid w:val="0"/>
        <w:spacing w:line="578" w:lineRule="exact"/>
        <w:ind w:firstLine="643" w:firstLineChars="200"/>
        <w:contextualSpacing/>
        <w:jc w:val="left"/>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（二）机构职能</w:t>
      </w:r>
    </w:p>
    <w:p>
      <w:pPr>
        <w:pStyle w:val="31"/>
        <w:wordWrap/>
        <w:spacing w:line="360" w:lineRule="auto"/>
        <w:ind w:right="0" w:firstLine="707" w:firstLineChars="221"/>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w:t>
      </w:r>
      <w:r>
        <w:rPr>
          <w:rFonts w:hint="eastAsia" w:ascii="Times New Roman" w:hAnsi="Times New Roman" w:eastAsia="仿宋_GB2312" w:cs="Times New Roman"/>
          <w:color w:val="auto"/>
          <w:kern w:val="2"/>
          <w:sz w:val="32"/>
          <w:szCs w:val="32"/>
          <w:lang w:val="en-US" w:eastAsia="zh-CN" w:bidi="ar-SA"/>
        </w:rPr>
        <w:t>依法审判法律规定由本院办理的各类案件。</w:t>
      </w:r>
    </w:p>
    <w:p>
      <w:pPr>
        <w:pStyle w:val="31"/>
        <w:wordWrap/>
        <w:spacing w:line="360" w:lineRule="auto"/>
        <w:ind w:right="0" w:firstLine="707" w:firstLineChars="221"/>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w:t>
      </w:r>
      <w:r>
        <w:rPr>
          <w:rFonts w:hint="eastAsia" w:ascii="Times New Roman" w:hAnsi="Times New Roman" w:eastAsia="仿宋_GB2312" w:cs="Times New Roman"/>
          <w:color w:val="auto"/>
          <w:kern w:val="2"/>
          <w:sz w:val="32"/>
          <w:szCs w:val="32"/>
          <w:lang w:val="en-US" w:eastAsia="zh-CN" w:bidi="ar-SA"/>
        </w:rPr>
        <w:t>监督、指导全市法院的审判工作。</w:t>
      </w:r>
    </w:p>
    <w:p>
      <w:pPr>
        <w:pStyle w:val="31"/>
        <w:wordWrap/>
        <w:spacing w:line="360" w:lineRule="auto"/>
        <w:ind w:right="0" w:firstLine="707" w:firstLineChars="221"/>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w:t>
      </w:r>
      <w:r>
        <w:rPr>
          <w:rFonts w:hint="eastAsia" w:ascii="Times New Roman" w:hAnsi="Times New Roman" w:eastAsia="仿宋_GB2312" w:cs="Times New Roman"/>
          <w:color w:val="auto"/>
          <w:kern w:val="2"/>
          <w:sz w:val="32"/>
          <w:szCs w:val="32"/>
          <w:lang w:val="en-US" w:eastAsia="zh-CN" w:bidi="ar-SA"/>
        </w:rPr>
        <w:t>依法行使司法执行权和司法决定权，统一管理全市法院的执行工作。</w:t>
      </w:r>
    </w:p>
    <w:p>
      <w:pPr>
        <w:pStyle w:val="31"/>
        <w:wordWrap/>
        <w:spacing w:line="360" w:lineRule="auto"/>
        <w:ind w:right="0" w:firstLine="707" w:firstLineChars="221"/>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4.</w:t>
      </w:r>
      <w:r>
        <w:rPr>
          <w:rFonts w:hint="eastAsia" w:ascii="Times New Roman" w:hAnsi="Times New Roman" w:eastAsia="仿宋_GB2312" w:cs="Times New Roman"/>
          <w:color w:val="auto"/>
          <w:kern w:val="2"/>
          <w:sz w:val="32"/>
          <w:szCs w:val="32"/>
          <w:lang w:val="en-US" w:eastAsia="zh-CN" w:bidi="ar-SA"/>
        </w:rPr>
        <w:t>负责对本院的法官和其他工作人员进行管理及组织专业培训，指导基层人民法院的思想政治、教育培训工作。</w:t>
      </w:r>
    </w:p>
    <w:p>
      <w:pPr>
        <w:pStyle w:val="31"/>
        <w:wordWrap/>
        <w:spacing w:line="360" w:lineRule="auto"/>
        <w:ind w:right="0" w:firstLine="707" w:firstLineChars="221"/>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5.</w:t>
      </w:r>
      <w:r>
        <w:rPr>
          <w:rFonts w:hint="eastAsia" w:ascii="Times New Roman" w:hAnsi="Times New Roman" w:eastAsia="仿宋_GB2312" w:cs="Times New Roman"/>
          <w:color w:val="auto"/>
          <w:kern w:val="2"/>
          <w:sz w:val="32"/>
          <w:szCs w:val="32"/>
          <w:lang w:val="en-US" w:eastAsia="zh-CN" w:bidi="ar-SA"/>
        </w:rPr>
        <w:t>协助市主管部门管理全市法院机构设置、人员编制和基层人民法院领导班子。</w:t>
      </w:r>
    </w:p>
    <w:p>
      <w:pPr>
        <w:pStyle w:val="31"/>
        <w:wordWrap/>
        <w:spacing w:line="360" w:lineRule="auto"/>
        <w:ind w:right="0" w:firstLine="707" w:firstLineChars="221"/>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6.</w:t>
      </w:r>
      <w:r>
        <w:rPr>
          <w:rFonts w:hint="eastAsia" w:ascii="Times New Roman" w:hAnsi="Times New Roman" w:eastAsia="仿宋_GB2312" w:cs="Times New Roman"/>
          <w:color w:val="auto"/>
          <w:kern w:val="2"/>
          <w:sz w:val="32"/>
          <w:szCs w:val="32"/>
          <w:lang w:val="en-US" w:eastAsia="zh-CN" w:bidi="ar-SA"/>
        </w:rPr>
        <w:t>领导全市人民法院的纪检监察工作及党风廉政工作。</w:t>
      </w:r>
    </w:p>
    <w:p>
      <w:pPr>
        <w:pStyle w:val="31"/>
        <w:wordWrap/>
        <w:spacing w:line="360" w:lineRule="auto"/>
        <w:ind w:right="0" w:firstLine="707" w:firstLineChars="221"/>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7.</w:t>
      </w:r>
      <w:r>
        <w:rPr>
          <w:rFonts w:hint="eastAsia" w:ascii="Times New Roman" w:hAnsi="Times New Roman" w:eastAsia="仿宋_GB2312" w:cs="Times New Roman"/>
          <w:color w:val="auto"/>
          <w:kern w:val="2"/>
          <w:sz w:val="32"/>
          <w:szCs w:val="32"/>
          <w:lang w:val="en-US" w:eastAsia="zh-CN" w:bidi="ar-SA"/>
        </w:rPr>
        <w:t>协调规划管理全市人民法院的“两庭”建设、信息化建设和物资装备建设。</w:t>
      </w:r>
    </w:p>
    <w:p>
      <w:pPr>
        <w:pStyle w:val="31"/>
        <w:wordWrap/>
        <w:spacing w:line="360" w:lineRule="auto"/>
        <w:ind w:right="0"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8.</w:t>
      </w:r>
      <w:r>
        <w:rPr>
          <w:rFonts w:hint="eastAsia" w:ascii="Times New Roman" w:hAnsi="Times New Roman" w:eastAsia="仿宋_GB2312" w:cs="Times New Roman"/>
          <w:color w:val="auto"/>
          <w:kern w:val="2"/>
          <w:sz w:val="32"/>
          <w:szCs w:val="32"/>
          <w:lang w:val="en-US" w:eastAsia="zh-CN" w:bidi="ar-SA"/>
        </w:rPr>
        <w:t>在审判工作中宣传法制，教育公民忠于祖国、自觉遵守宪法、法律和社会公德。</w:t>
      </w:r>
    </w:p>
    <w:p>
      <w:pPr>
        <w:pStyle w:val="31"/>
        <w:wordWrap/>
        <w:spacing w:line="360" w:lineRule="auto"/>
        <w:ind w:right="0"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9.</w:t>
      </w:r>
      <w:r>
        <w:rPr>
          <w:rFonts w:hint="eastAsia" w:ascii="Times New Roman" w:hAnsi="Times New Roman" w:eastAsia="仿宋_GB2312" w:cs="Times New Roman"/>
          <w:color w:val="auto"/>
          <w:kern w:val="2"/>
          <w:sz w:val="32"/>
          <w:szCs w:val="32"/>
          <w:lang w:val="en-US" w:eastAsia="zh-CN" w:bidi="ar-SA"/>
        </w:rPr>
        <w:t>对广元市人民代表大会及其常委会负责并报告工作。</w:t>
      </w:r>
    </w:p>
    <w:p>
      <w:pPr>
        <w:pStyle w:val="31"/>
        <w:wordWrap/>
        <w:spacing w:line="360" w:lineRule="auto"/>
        <w:ind w:right="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 xml:space="preserve">    </w:t>
      </w:r>
      <w:r>
        <w:rPr>
          <w:rFonts w:hint="eastAsia" w:ascii="仿宋" w:hAnsi="仿宋" w:eastAsia="仿宋" w:cs="仿宋"/>
          <w:color w:val="auto"/>
          <w:kern w:val="2"/>
          <w:sz w:val="32"/>
          <w:szCs w:val="32"/>
          <w:lang w:val="en-US" w:eastAsia="zh-CN" w:bidi="ar-SA"/>
        </w:rPr>
        <w:t>10.</w:t>
      </w:r>
      <w:r>
        <w:rPr>
          <w:rFonts w:hint="eastAsia" w:ascii="Times New Roman" w:hAnsi="Times New Roman" w:eastAsia="仿宋_GB2312" w:cs="Times New Roman"/>
          <w:color w:val="auto"/>
          <w:kern w:val="2"/>
          <w:sz w:val="32"/>
          <w:szCs w:val="32"/>
          <w:lang w:val="en-US" w:eastAsia="zh-CN" w:bidi="ar-SA"/>
        </w:rPr>
        <w:t>承办其他应由本院负责的工作。</w:t>
      </w:r>
    </w:p>
    <w:p>
      <w:pPr>
        <w:widowControl/>
        <w:numPr>
          <w:numId w:val="0"/>
        </w:numPr>
        <w:wordWrap/>
        <w:adjustRightInd w:val="0"/>
        <w:snapToGrid w:val="0"/>
        <w:spacing w:line="578" w:lineRule="exact"/>
        <w:ind w:firstLine="643" w:firstLineChars="200"/>
        <w:contextualSpacing/>
        <w:jc w:val="left"/>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（三）人员概况</w:t>
      </w:r>
    </w:p>
    <w:p>
      <w:pPr>
        <w:pStyle w:val="31"/>
        <w:wordWrap/>
        <w:spacing w:line="560" w:lineRule="exact"/>
        <w:ind w:left="0" w:leftChars="0"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截至202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年末，</w:t>
      </w:r>
      <w:r>
        <w:rPr>
          <w:rFonts w:hint="eastAsia" w:ascii="仿宋_GB2312" w:eastAsia="仿宋_GB2312"/>
          <w:color w:val="000000"/>
          <w:kern w:val="0"/>
          <w:sz w:val="32"/>
          <w:szCs w:val="32"/>
          <w:lang w:val="zh-CN"/>
        </w:rPr>
        <w:t>四川省广元市中级人民</w:t>
      </w:r>
      <w:r>
        <w:rPr>
          <w:rFonts w:hint="eastAsia" w:ascii="仿宋_GB2312" w:hAnsi="仿宋_GB2312" w:eastAsia="仿宋_GB2312" w:cs="仿宋_GB2312"/>
          <w:sz w:val="32"/>
          <w:szCs w:val="32"/>
          <w:lang w:val="zh-CN"/>
        </w:rPr>
        <w:t>法院</w:t>
      </w:r>
      <w:r>
        <w:rPr>
          <w:rFonts w:hint="eastAsia" w:ascii="仿宋_GB2312" w:hAnsi="仿宋_GB2312" w:eastAsia="仿宋_GB2312" w:cs="仿宋_GB2312"/>
          <w:sz w:val="32"/>
          <w:szCs w:val="32"/>
        </w:rPr>
        <w:t>我院总编制131名，其中政法编制124名，其他事业编制7名。在职人员总数1</w:t>
      </w: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人，其中政法专编1</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人，其他事业人员6人，工勤人员1人；退休人员</w:t>
      </w:r>
      <w:r>
        <w:rPr>
          <w:rFonts w:hint="eastAsia" w:ascii="仿宋_GB2312" w:hAnsi="仿宋_GB2312" w:eastAsia="仿宋_GB2312" w:cs="仿宋_GB2312"/>
          <w:sz w:val="32"/>
          <w:szCs w:val="32"/>
          <w:lang w:val="en-US" w:eastAsia="zh-CN"/>
        </w:rPr>
        <w:t>89</w:t>
      </w:r>
      <w:r>
        <w:rPr>
          <w:rFonts w:hint="eastAsia" w:ascii="仿宋_GB2312" w:hAnsi="仿宋_GB2312" w:eastAsia="仿宋_GB2312" w:cs="仿宋_GB2312"/>
          <w:sz w:val="32"/>
          <w:szCs w:val="32"/>
        </w:rPr>
        <w:t>人。</w:t>
      </w:r>
    </w:p>
    <w:p>
      <w:pPr>
        <w:widowControl/>
        <w:numPr>
          <w:numId w:val="0"/>
        </w:numPr>
        <w:wordWrap/>
        <w:adjustRightInd w:val="0"/>
        <w:snapToGrid w:val="0"/>
        <w:spacing w:line="560" w:lineRule="exact"/>
        <w:ind w:left="0" w:leftChars="0" w:right="0" w:firstLine="640" w:firstLineChars="200"/>
        <w:contextualSpacing/>
        <w:jc w:val="left"/>
        <w:textAlignment w:val="auto"/>
        <w:outlineLvl w:val="9"/>
        <w:rPr>
          <w:rFonts w:hint="eastAsia" w:eastAsia="黑体" w:cs="Times New Roman"/>
          <w:color w:val="000000"/>
          <w:kern w:val="0"/>
          <w:sz w:val="32"/>
          <w:szCs w:val="32"/>
          <w:highlight w:val="none"/>
          <w:shd w:val="clear" w:color="auto" w:fill="FFFFFF"/>
          <w:lang w:val="zh-CN"/>
        </w:rPr>
      </w:pPr>
      <w:r>
        <w:rPr>
          <w:rFonts w:hint="eastAsia" w:eastAsia="黑体" w:cs="Times New Roman"/>
          <w:color w:val="000000"/>
          <w:kern w:val="0"/>
          <w:sz w:val="32"/>
          <w:szCs w:val="32"/>
          <w:highlight w:val="none"/>
          <w:shd w:val="clear" w:color="auto" w:fill="FFFFFF"/>
          <w:lang w:val="zh-CN"/>
        </w:rPr>
        <w:t>二、资金收支情况</w:t>
      </w:r>
    </w:p>
    <w:p>
      <w:pPr>
        <w:widowControl/>
        <w:wordWrap/>
        <w:adjustRightInd w:val="0"/>
        <w:snapToGrid w:val="0"/>
        <w:spacing w:line="560" w:lineRule="exact"/>
        <w:ind w:left="0" w:leftChars="0" w:right="0" w:firstLine="643" w:firstLineChars="200"/>
        <w:contextualSpacing/>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Times New Roman" w:hAnsi="Times New Roman" w:eastAsia="楷体_GB2312" w:cs="Times New Roman"/>
          <w:b/>
          <w:bCs/>
          <w:color w:val="000000"/>
          <w:kern w:val="0"/>
          <w:sz w:val="32"/>
          <w:szCs w:val="32"/>
          <w:highlight w:val="none"/>
          <w:shd w:val="clear" w:color="auto" w:fill="FFFFFF"/>
          <w:lang w:val="zh-CN"/>
        </w:rPr>
        <w:t>（一）收入情况。</w:t>
      </w:r>
      <w:r>
        <w:rPr>
          <w:rFonts w:hint="eastAsia" w:ascii="仿宋_GB2312" w:hAnsi="仿宋_GB2312" w:eastAsia="仿宋_GB2312" w:cs="仿宋_GB2312"/>
          <w:color w:val="auto"/>
          <w:kern w:val="2"/>
          <w:sz w:val="32"/>
          <w:szCs w:val="32"/>
          <w:lang w:val="zh-CN" w:eastAsia="zh-CN" w:bidi="ar-SA"/>
        </w:rPr>
        <w:t>四川省广元市中级人民法院</w:t>
      </w:r>
      <w:r>
        <w:rPr>
          <w:rFonts w:hint="eastAsia" w:ascii="仿宋_GB2312" w:hAnsi="仿宋_GB2312" w:eastAsia="仿宋_GB2312" w:cs="仿宋_GB2312"/>
          <w:color w:val="auto"/>
          <w:kern w:val="2"/>
          <w:sz w:val="32"/>
          <w:szCs w:val="32"/>
          <w:lang w:val="en-US" w:eastAsia="zh-CN" w:bidi="ar-SA"/>
        </w:rPr>
        <w:t>2024年年初预算收入3872.25万元，年中调整追加后预算数为5026.79万元。</w:t>
      </w:r>
    </w:p>
    <w:p>
      <w:pPr>
        <w:wordWrap/>
        <w:snapToGrid w:val="0"/>
        <w:spacing w:line="360" w:lineRule="auto"/>
        <w:ind w:left="0" w:leftChars="0" w:right="0" w:firstLine="643" w:firstLineChars="200"/>
        <w:jc w:val="both"/>
        <w:textAlignment w:val="auto"/>
        <w:outlineLvl w:val="9"/>
        <w:rPr>
          <w:rFonts w:hint="eastAsia" w:ascii="仿宋_GB2312" w:hAnsi="仿宋_GB2312" w:eastAsia="仿宋_GB2312" w:cs="仿宋_GB2312"/>
          <w:kern w:val="2"/>
          <w:sz w:val="32"/>
          <w:szCs w:val="32"/>
          <w:lang w:val="en-US" w:eastAsia="zh-CN" w:bidi="ar-SA"/>
        </w:rPr>
      </w:pPr>
      <w:r>
        <w:rPr>
          <w:rFonts w:hint="eastAsia" w:ascii="Times New Roman" w:hAnsi="Times New Roman" w:eastAsia="楷体_GB2312" w:cs="Times New Roman"/>
          <w:b/>
          <w:bCs/>
          <w:color w:val="000000"/>
          <w:kern w:val="0"/>
          <w:sz w:val="32"/>
          <w:szCs w:val="32"/>
          <w:highlight w:val="none"/>
          <w:shd w:val="clear" w:color="auto" w:fill="FFFFFF"/>
          <w:lang w:val="zh-CN"/>
        </w:rPr>
        <w:t>（二）支出情况。</w:t>
      </w:r>
      <w:r>
        <w:rPr>
          <w:rFonts w:hint="eastAsia" w:ascii="仿宋_GB2312" w:hAnsi="仿宋_GB2312" w:eastAsia="仿宋_GB2312" w:cs="仿宋_GB2312"/>
          <w:color w:val="auto"/>
          <w:kern w:val="2"/>
          <w:sz w:val="32"/>
          <w:szCs w:val="32"/>
          <w:lang w:val="zh-CN" w:eastAsia="zh-CN" w:bidi="ar-SA"/>
        </w:rPr>
        <w:t>四川省广元市中级人民法院</w:t>
      </w:r>
      <w:r>
        <w:rPr>
          <w:rFonts w:hint="eastAsia" w:ascii="仿宋_GB2312" w:hAnsi="仿宋_GB2312" w:eastAsia="仿宋_GB2312" w:cs="仿宋_GB2312"/>
          <w:color w:val="auto"/>
          <w:kern w:val="2"/>
          <w:sz w:val="32"/>
          <w:szCs w:val="32"/>
          <w:lang w:val="en-US" w:eastAsia="zh-CN" w:bidi="ar-SA"/>
        </w:rPr>
        <w:t>2024年年初预算支出3872.25万元，决算报表支出5028.66万元，其中：基本支出3987.87万元（工资福利支出3217.53万元，商品和服务支出524.45万元，对家庭和个人补助支出245.89万元）。项目支出1,040.79万元（案件审判支出876.95万元，案件执行支出149.73万元，其他法院支出14.11万元）。</w:t>
      </w:r>
    </w:p>
    <w:p>
      <w:pPr>
        <w:widowControl/>
        <w:wordWrap/>
        <w:adjustRightInd w:val="0"/>
        <w:snapToGrid w:val="0"/>
        <w:spacing w:line="360" w:lineRule="auto"/>
        <w:ind w:left="0" w:leftChars="0" w:right="0" w:firstLine="643" w:firstLineChars="200"/>
        <w:contextualSpacing/>
        <w:jc w:val="both"/>
        <w:textAlignment w:val="auto"/>
        <w:outlineLvl w:val="9"/>
        <w:rPr>
          <w:rFonts w:hint="eastAsia" w:ascii="仿宋_GB2312" w:hAnsi="仿宋_GB2312" w:eastAsia="仿宋_GB2312" w:cs="仿宋_GB2312"/>
          <w:kern w:val="2"/>
          <w:sz w:val="32"/>
          <w:szCs w:val="32"/>
          <w:lang w:val="zh-CN" w:eastAsia="zh-CN" w:bidi="ar-SA"/>
        </w:rPr>
      </w:pPr>
      <w:r>
        <w:rPr>
          <w:rFonts w:hint="eastAsia" w:ascii="Times New Roman" w:hAnsi="Times New Roman" w:eastAsia="楷体_GB2312" w:cs="Times New Roman"/>
          <w:b/>
          <w:bCs/>
          <w:color w:val="000000"/>
          <w:kern w:val="0"/>
          <w:sz w:val="32"/>
          <w:szCs w:val="32"/>
          <w:highlight w:val="none"/>
          <w:shd w:val="clear" w:color="auto" w:fill="FFFFFF"/>
          <w:lang w:val="zh-CN" w:eastAsia="zh-CN"/>
        </w:rPr>
        <w:t>（三）</w:t>
      </w:r>
      <w:r>
        <w:rPr>
          <w:rFonts w:hint="eastAsia" w:ascii="Times New Roman" w:hAnsi="Times New Roman" w:eastAsia="楷体_GB2312" w:cs="Times New Roman"/>
          <w:b/>
          <w:bCs/>
          <w:color w:val="000000"/>
          <w:kern w:val="0"/>
          <w:sz w:val="32"/>
          <w:szCs w:val="32"/>
          <w:highlight w:val="none"/>
          <w:shd w:val="clear" w:color="auto" w:fill="FFFFFF"/>
          <w:lang w:val="en-US" w:eastAsia="zh-CN"/>
        </w:rPr>
        <w:t>结转结余情况。</w:t>
      </w:r>
      <w:r>
        <w:rPr>
          <w:rFonts w:hint="eastAsia" w:ascii="仿宋_GB2312" w:hAnsi="仿宋_GB2312" w:eastAsia="仿宋_GB2312" w:cs="仿宋_GB2312"/>
          <w:color w:val="auto"/>
          <w:kern w:val="2"/>
          <w:sz w:val="32"/>
          <w:szCs w:val="32"/>
          <w:lang w:val="zh-CN" w:eastAsia="zh-CN" w:bidi="ar-SA"/>
        </w:rPr>
        <w:t>四川省广元市中级人民法院</w:t>
      </w:r>
      <w:r>
        <w:rPr>
          <w:rFonts w:hint="eastAsia" w:ascii="仿宋_GB2312" w:hAnsi="仿宋_GB2312" w:eastAsia="仿宋_GB2312" w:cs="仿宋_GB2312"/>
          <w:color w:val="auto"/>
          <w:kern w:val="2"/>
          <w:sz w:val="32"/>
          <w:szCs w:val="32"/>
          <w:lang w:val="en-US" w:eastAsia="zh-CN" w:bidi="ar-SA"/>
        </w:rPr>
        <w:t>2024年结转结余50万元，系省法院转省交办案件经费。</w:t>
      </w:r>
    </w:p>
    <w:p>
      <w:pPr>
        <w:widowControl/>
        <w:numPr>
          <w:numId w:val="0"/>
        </w:numPr>
        <w:wordWrap/>
        <w:adjustRightInd w:val="0"/>
        <w:snapToGrid w:val="0"/>
        <w:spacing w:line="560" w:lineRule="exact"/>
        <w:ind w:left="0" w:leftChars="0" w:right="0" w:firstLine="640" w:firstLineChars="200"/>
        <w:contextualSpacing/>
        <w:jc w:val="left"/>
        <w:textAlignment w:val="auto"/>
        <w:outlineLvl w:val="9"/>
        <w:rPr>
          <w:rFonts w:hint="eastAsia" w:eastAsia="黑体" w:cs="Times New Roman"/>
          <w:color w:val="000000"/>
          <w:kern w:val="0"/>
          <w:sz w:val="32"/>
          <w:szCs w:val="32"/>
          <w:highlight w:val="none"/>
          <w:shd w:val="clear" w:color="auto" w:fill="FFFFFF"/>
          <w:lang w:val="zh-CN"/>
        </w:rPr>
      </w:pPr>
      <w:r>
        <w:rPr>
          <w:rFonts w:hint="eastAsia" w:eastAsia="黑体" w:cs="Times New Roman"/>
          <w:color w:val="000000"/>
          <w:kern w:val="0"/>
          <w:sz w:val="32"/>
          <w:szCs w:val="32"/>
          <w:highlight w:val="none"/>
          <w:shd w:val="clear" w:color="auto" w:fill="FFFFFF"/>
          <w:lang w:val="zh-CN"/>
        </w:rPr>
        <w:t>三、预算绩效分析</w:t>
      </w:r>
    </w:p>
    <w:p>
      <w:pPr>
        <w:widowControl/>
        <w:wordWrap/>
        <w:adjustRightInd w:val="0"/>
        <w:snapToGrid w:val="0"/>
        <w:spacing w:line="560" w:lineRule="exact"/>
        <w:ind w:left="0" w:leftChars="0" w:right="0" w:firstLine="643" w:firstLineChars="200"/>
        <w:contextualSpacing/>
        <w:jc w:val="both"/>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eastAsia="zh-CN"/>
        </w:rPr>
      </w:pPr>
      <w:r>
        <w:rPr>
          <w:rFonts w:hint="eastAsia" w:ascii="Times New Roman" w:hAnsi="Times New Roman" w:eastAsia="楷体_GB2312" w:cs="Times New Roman"/>
          <w:b/>
          <w:bCs/>
          <w:color w:val="000000"/>
          <w:kern w:val="0"/>
          <w:sz w:val="32"/>
          <w:szCs w:val="32"/>
          <w:highlight w:val="none"/>
          <w:shd w:val="clear" w:color="auto" w:fill="FFFFFF"/>
          <w:lang w:val="zh-CN" w:eastAsia="zh-CN"/>
        </w:rPr>
        <w:t>（一）部门预算总体绩效分析</w:t>
      </w:r>
    </w:p>
    <w:p>
      <w:pPr>
        <w:widowControl/>
        <w:wordWrap/>
        <w:adjustRightInd w:val="0"/>
        <w:snapToGrid w:val="0"/>
        <w:spacing w:line="560" w:lineRule="exact"/>
        <w:ind w:left="0" w:leftChars="0" w:right="0" w:firstLine="640" w:firstLineChars="20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我院按照年初预算和部门整体绩效目标要求，积极推进部门预算执行，高度重视预算绩效管理和监控，对绩效监控中发现的绩效目标执行偏差和管理漏洞，及时采取有针对性的措施予以纠正，不断改进和加强预算绩效管理，推动部门预算工作提质增效，顺利完成了我院2</w:t>
      </w:r>
      <w:r>
        <w:rPr>
          <w:rFonts w:hint="eastAsia" w:ascii="仿宋_GB2312" w:hAnsi="仿宋_GB2312" w:eastAsia="仿宋_GB2312" w:cs="仿宋_GB2312"/>
          <w:color w:val="auto"/>
          <w:kern w:val="2"/>
          <w:sz w:val="32"/>
          <w:szCs w:val="32"/>
          <w:lang w:val="en-US" w:eastAsia="zh-CN" w:bidi="ar-SA"/>
        </w:rPr>
        <w:t>024</w:t>
      </w:r>
      <w:r>
        <w:rPr>
          <w:rFonts w:hint="eastAsia" w:ascii="仿宋_GB2312" w:hAnsi="仿宋_GB2312" w:eastAsia="仿宋_GB2312" w:cs="仿宋_GB2312"/>
          <w:color w:val="auto"/>
          <w:kern w:val="2"/>
          <w:sz w:val="32"/>
          <w:szCs w:val="32"/>
          <w:lang w:val="zh-CN" w:eastAsia="zh-CN" w:bidi="ar-SA"/>
        </w:rPr>
        <w:t>年部门整体绩效目标任务。以下依次对履职效能、预算管理、财务管理、资产管理、采购管理等情况进行逐项绩效分析并评分。</w:t>
      </w:r>
    </w:p>
    <w:p>
      <w:pPr>
        <w:widowControl w:val="0"/>
        <w:numPr>
          <w:numId w:val="0"/>
        </w:numPr>
        <w:wordWrap/>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zh-CN"/>
        </w:rPr>
        <w:t>1.履职效能评分15分。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（1）核心职能目标一：保障我院案件审判职能履职效果。202</w:t>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zh-CN" w:eastAsia="zh-CN" w:bidi="ar-SA"/>
        </w:rPr>
        <w:t>年我院受理诉讼案件</w:t>
      </w:r>
      <w:r>
        <w:rPr>
          <w:rFonts w:hint="eastAsia" w:ascii="仿宋_GB2312" w:hAnsi="仿宋_GB2312" w:eastAsia="仿宋_GB2312" w:cs="仿宋_GB2312"/>
          <w:color w:val="auto"/>
          <w:kern w:val="2"/>
          <w:sz w:val="32"/>
          <w:szCs w:val="32"/>
          <w:lang w:val="en-US" w:eastAsia="zh-CN" w:bidi="ar-SA"/>
        </w:rPr>
        <w:t>2995</w:t>
      </w:r>
      <w:r>
        <w:rPr>
          <w:rFonts w:hint="eastAsia" w:ascii="仿宋_GB2312" w:hAnsi="仿宋_GB2312" w:eastAsia="仿宋_GB2312" w:cs="仿宋_GB2312"/>
          <w:color w:val="auto"/>
          <w:kern w:val="2"/>
          <w:sz w:val="32"/>
          <w:szCs w:val="32"/>
          <w:lang w:val="zh-CN" w:eastAsia="zh-CN" w:bidi="ar-SA"/>
        </w:rPr>
        <w:t>件，结案</w:t>
      </w:r>
      <w:r>
        <w:rPr>
          <w:rFonts w:hint="eastAsia" w:ascii="仿宋_GB2312" w:hAnsi="仿宋_GB2312" w:eastAsia="仿宋_GB2312" w:cs="仿宋_GB2312"/>
          <w:color w:val="auto"/>
          <w:kern w:val="2"/>
          <w:sz w:val="32"/>
          <w:szCs w:val="32"/>
          <w:lang w:val="en-US" w:eastAsia="zh-CN" w:bidi="ar-SA"/>
        </w:rPr>
        <w:t>2700</w:t>
      </w:r>
      <w:r>
        <w:rPr>
          <w:rFonts w:hint="eastAsia" w:ascii="仿宋_GB2312" w:hAnsi="仿宋_GB2312" w:eastAsia="仿宋_GB2312" w:cs="仿宋_GB2312"/>
          <w:color w:val="auto"/>
          <w:kern w:val="2"/>
          <w:sz w:val="32"/>
          <w:szCs w:val="32"/>
          <w:lang w:val="zh-CN" w:eastAsia="zh-CN" w:bidi="ar-SA"/>
        </w:rPr>
        <w:t>件，结案率达</w:t>
      </w:r>
      <w:r>
        <w:rPr>
          <w:rFonts w:hint="eastAsia" w:ascii="仿宋_GB2312" w:hAnsi="仿宋_GB2312" w:eastAsia="仿宋_GB2312" w:cs="仿宋_GB2312"/>
          <w:color w:val="auto"/>
          <w:kern w:val="2"/>
          <w:sz w:val="32"/>
          <w:szCs w:val="32"/>
          <w:lang w:val="en-US" w:eastAsia="zh-CN" w:bidi="ar-SA"/>
        </w:rPr>
        <w:t>90.15</w:t>
      </w:r>
      <w:r>
        <w:rPr>
          <w:rFonts w:hint="eastAsia" w:ascii="仿宋_GB2312" w:hAnsi="仿宋_GB2312" w:eastAsia="仿宋_GB2312" w:cs="仿宋_GB2312"/>
          <w:color w:val="auto"/>
          <w:kern w:val="2"/>
          <w:sz w:val="32"/>
          <w:szCs w:val="32"/>
          <w:lang w:val="zh-CN" w:eastAsia="zh-CN" w:bidi="ar-SA"/>
        </w:rPr>
        <w:t>%，审限内结案率达</w:t>
      </w:r>
      <w:r>
        <w:rPr>
          <w:rFonts w:hint="eastAsia" w:ascii="仿宋_GB2312" w:hAnsi="仿宋_GB2312" w:eastAsia="仿宋_GB2312" w:cs="仿宋_GB2312"/>
          <w:color w:val="auto"/>
          <w:kern w:val="2"/>
          <w:sz w:val="32"/>
          <w:szCs w:val="32"/>
          <w:lang w:val="en-US" w:eastAsia="zh-CN" w:bidi="ar-SA"/>
        </w:rPr>
        <w:t>87.83</w:t>
      </w:r>
      <w:r>
        <w:rPr>
          <w:rFonts w:hint="eastAsia" w:ascii="仿宋_GB2312" w:hAnsi="仿宋_GB2312" w:eastAsia="仿宋_GB2312" w:cs="仿宋_GB2312"/>
          <w:color w:val="auto"/>
          <w:kern w:val="2"/>
          <w:sz w:val="32"/>
          <w:szCs w:val="32"/>
          <w:lang w:val="zh-CN" w:eastAsia="zh-CN" w:bidi="ar-SA"/>
        </w:rPr>
        <w:t>%。司法审判职能的高质量发挥，有效地打击了刑事犯罪，解决民事纠纷，依法维护个人和组织的合法权益，监督行政机关依法行使职权，促进法治社会建立与社会公平正义。该职能目标顺利达成，评分为5分。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（2）核心职能目标二：保障我院案件执行职能履职效果。202</w:t>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zh-CN" w:eastAsia="zh-CN" w:bidi="ar-SA"/>
        </w:rPr>
        <w:t>年我院受理执行案件</w:t>
      </w:r>
      <w:r>
        <w:rPr>
          <w:rFonts w:hint="eastAsia" w:ascii="仿宋_GB2312" w:hAnsi="仿宋_GB2312" w:eastAsia="仿宋_GB2312" w:cs="仿宋_GB2312"/>
          <w:color w:val="auto"/>
          <w:kern w:val="2"/>
          <w:sz w:val="32"/>
          <w:szCs w:val="32"/>
          <w:lang w:val="en-US" w:eastAsia="zh-CN" w:bidi="ar-SA"/>
        </w:rPr>
        <w:t>685</w:t>
      </w:r>
      <w:r>
        <w:rPr>
          <w:rFonts w:hint="eastAsia" w:ascii="仿宋_GB2312" w:hAnsi="仿宋_GB2312" w:eastAsia="仿宋_GB2312" w:cs="仿宋_GB2312"/>
          <w:color w:val="auto"/>
          <w:kern w:val="2"/>
          <w:sz w:val="32"/>
          <w:szCs w:val="32"/>
          <w:lang w:val="zh-CN" w:eastAsia="zh-CN" w:bidi="ar-SA"/>
        </w:rPr>
        <w:t>件，执结</w:t>
      </w:r>
      <w:r>
        <w:rPr>
          <w:rFonts w:hint="eastAsia" w:ascii="仿宋_GB2312" w:hAnsi="仿宋_GB2312" w:eastAsia="仿宋_GB2312" w:cs="仿宋_GB2312"/>
          <w:color w:val="auto"/>
          <w:kern w:val="2"/>
          <w:sz w:val="32"/>
          <w:szCs w:val="32"/>
          <w:lang w:val="en-US" w:eastAsia="zh-CN" w:bidi="ar-SA"/>
        </w:rPr>
        <w:t>666</w:t>
      </w:r>
      <w:r>
        <w:rPr>
          <w:rFonts w:hint="eastAsia" w:ascii="仿宋_GB2312" w:hAnsi="仿宋_GB2312" w:eastAsia="仿宋_GB2312" w:cs="仿宋_GB2312"/>
          <w:color w:val="auto"/>
          <w:kern w:val="2"/>
          <w:sz w:val="32"/>
          <w:szCs w:val="32"/>
          <w:lang w:val="zh-CN" w:eastAsia="zh-CN" w:bidi="ar-SA"/>
        </w:rPr>
        <w:t>件，执结率</w:t>
      </w:r>
      <w:r>
        <w:rPr>
          <w:rFonts w:hint="eastAsia" w:ascii="仿宋_GB2312" w:hAnsi="仿宋_GB2312" w:eastAsia="仿宋_GB2312" w:cs="仿宋_GB2312"/>
          <w:color w:val="auto"/>
          <w:kern w:val="2"/>
          <w:sz w:val="32"/>
          <w:szCs w:val="32"/>
          <w:lang w:val="en-US" w:eastAsia="zh-CN" w:bidi="ar-SA"/>
        </w:rPr>
        <w:t>97.23</w:t>
      </w:r>
      <w:r>
        <w:rPr>
          <w:rFonts w:hint="eastAsia" w:ascii="仿宋_GB2312" w:hAnsi="仿宋_GB2312" w:eastAsia="仿宋_GB2312" w:cs="仿宋_GB2312"/>
          <w:color w:val="auto"/>
          <w:kern w:val="2"/>
          <w:sz w:val="32"/>
          <w:szCs w:val="32"/>
          <w:lang w:val="zh-CN" w:eastAsia="zh-CN" w:bidi="ar-SA"/>
        </w:rPr>
        <w:t>%。执行相关业务工作稳步有序开展，充分保障了执行申请人合法权益。综上，该职能目标已完成，评分为5分。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（3）核心职能目标三：保障司法救助、破产援助职能履职效果。202</w:t>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zh-CN" w:eastAsia="zh-CN" w:bidi="ar-SA"/>
        </w:rPr>
        <w:t>年我院不断践行以人民为中心司法理念，强化民生司法保障，及时解决困难群体司法诉求，开展困难当事人司法救助，增强群众获得感、满意度与幸福感；援助破产管理人，为破产企业提供司法帮扶，减少破产企业成本，助力广元地区营商环境持续优化。202</w:t>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zh-CN" w:eastAsia="zh-CN" w:bidi="ar-SA"/>
        </w:rPr>
        <w:t>年我院受理司法救助案件</w:t>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zh-CN" w:eastAsia="zh-CN" w:bidi="ar-SA"/>
        </w:rPr>
        <w:t>件，结案</w:t>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zh-CN" w:eastAsia="zh-CN" w:bidi="ar-SA"/>
        </w:rPr>
        <w:t>件，共计救助</w:t>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zh-CN" w:eastAsia="zh-CN" w:bidi="ar-SA"/>
        </w:rPr>
        <w:t>人次，救助金额</w:t>
      </w:r>
      <w:r>
        <w:rPr>
          <w:rFonts w:hint="eastAsia" w:ascii="仿宋_GB2312" w:hAnsi="仿宋_GB2312" w:eastAsia="仿宋_GB2312" w:cs="仿宋_GB2312"/>
          <w:color w:val="auto"/>
          <w:kern w:val="2"/>
          <w:sz w:val="32"/>
          <w:szCs w:val="32"/>
          <w:lang w:val="en-US" w:eastAsia="zh-CN" w:bidi="ar-SA"/>
        </w:rPr>
        <w:t>16.36</w:t>
      </w:r>
      <w:r>
        <w:rPr>
          <w:rFonts w:hint="eastAsia" w:ascii="仿宋_GB2312" w:hAnsi="仿宋_GB2312" w:eastAsia="仿宋_GB2312" w:cs="仿宋_GB2312"/>
          <w:color w:val="auto"/>
          <w:kern w:val="2"/>
          <w:sz w:val="32"/>
          <w:szCs w:val="32"/>
          <w:lang w:val="zh-CN" w:eastAsia="zh-CN" w:bidi="ar-SA"/>
        </w:rPr>
        <w:t>万元；受理破产案件23件，结案13件，核定援助破产管理人</w:t>
      </w:r>
      <w:r>
        <w:rPr>
          <w:rFonts w:hint="eastAsia" w:ascii="仿宋_GB2312" w:hAnsi="仿宋_GB2312" w:eastAsia="仿宋_GB2312" w:cs="仿宋_GB2312"/>
          <w:color w:val="auto"/>
          <w:kern w:val="2"/>
          <w:sz w:val="32"/>
          <w:szCs w:val="32"/>
          <w:lang w:val="en-US" w:eastAsia="zh-CN" w:bidi="ar-SA"/>
        </w:rPr>
        <w:t>13</w:t>
      </w:r>
      <w:r>
        <w:rPr>
          <w:rFonts w:hint="eastAsia" w:ascii="仿宋_GB2312" w:hAnsi="仿宋_GB2312" w:eastAsia="仿宋_GB2312" w:cs="仿宋_GB2312"/>
          <w:color w:val="auto"/>
          <w:kern w:val="2"/>
          <w:sz w:val="32"/>
          <w:szCs w:val="32"/>
          <w:lang w:val="zh-CN" w:eastAsia="zh-CN" w:bidi="ar-SA"/>
        </w:rPr>
        <w:t>家，顺利完成破产管理援助目标任务。该职能发挥效用很好，绩效目标已实现，评分为5分。</w:t>
      </w:r>
    </w:p>
    <w:p>
      <w:pPr>
        <w:widowControl w:val="0"/>
        <w:numPr>
          <w:numId w:val="0"/>
        </w:numPr>
        <w:wordWrap/>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zh-CN"/>
        </w:rPr>
        <w:t>2.预算管理评分</w:t>
      </w:r>
      <w:r>
        <w:rPr>
          <w:rFonts w:hint="eastAsia" w:ascii="楷体_GB2312" w:hAnsi="楷体_GB2312" w:eastAsia="楷体_GB2312" w:cs="楷体_GB2312"/>
          <w:color w:val="000000"/>
          <w:kern w:val="0"/>
          <w:sz w:val="32"/>
          <w:szCs w:val="32"/>
          <w:highlight w:val="none"/>
          <w:shd w:val="clear" w:color="auto" w:fill="FFFFFF"/>
          <w:lang w:val="en-US" w:eastAsia="zh-CN"/>
        </w:rPr>
        <w:t>21.96</w:t>
      </w:r>
      <w:r>
        <w:rPr>
          <w:rFonts w:hint="eastAsia" w:ascii="楷体_GB2312" w:hAnsi="楷体_GB2312" w:eastAsia="楷体_GB2312" w:cs="楷体_GB2312"/>
          <w:color w:val="000000"/>
          <w:kern w:val="0"/>
          <w:sz w:val="32"/>
          <w:szCs w:val="32"/>
          <w:highlight w:val="none"/>
          <w:shd w:val="clear" w:color="auto" w:fill="FFFFFF"/>
          <w:lang w:val="zh-CN"/>
        </w:rPr>
        <w:t>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预算编制质量：我院预算编制质量较好，按照零基预算法和弹性预算法对项目进行预算申报，对项目前期进行事前评估与决策，做好预算规划，提升财政资金使用效益。财政拨款预算偏离度为</w:t>
      </w:r>
      <w:r>
        <w:rPr>
          <w:rFonts w:hint="eastAsia" w:ascii="仿宋_GB2312" w:hAnsi="仿宋_GB2312" w:eastAsia="仿宋_GB2312" w:cs="仿宋_GB2312"/>
          <w:color w:val="auto"/>
          <w:kern w:val="2"/>
          <w:sz w:val="32"/>
          <w:szCs w:val="32"/>
          <w:lang w:val="en-US" w:eastAsia="zh-CN" w:bidi="ar-SA"/>
        </w:rPr>
        <w:t>0.0076=</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3802.38</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3831.78</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3831.78</w:t>
      </w:r>
      <w:r>
        <w:rPr>
          <w:rFonts w:hint="eastAsia" w:ascii="仿宋_GB2312" w:hAnsi="仿宋_GB2312" w:eastAsia="仿宋_GB2312" w:cs="仿宋_GB2312"/>
          <w:color w:val="auto"/>
          <w:kern w:val="2"/>
          <w:sz w:val="32"/>
          <w:szCs w:val="32"/>
          <w:lang w:val="zh-CN" w:eastAsia="zh-CN" w:bidi="ar-SA"/>
        </w:rPr>
        <w:t>；资产配置预算偏离度为</w:t>
      </w:r>
      <w:r>
        <w:rPr>
          <w:rFonts w:hint="eastAsia" w:ascii="仿宋_GB2312" w:hAnsi="仿宋_GB2312" w:eastAsia="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135.09</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135.09</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135.09</w:t>
      </w:r>
      <w:r>
        <w:rPr>
          <w:rFonts w:hint="eastAsia" w:ascii="仿宋_GB2312" w:hAnsi="仿宋_GB2312" w:eastAsia="仿宋_GB2312" w:cs="仿宋_GB2312"/>
          <w:color w:val="auto"/>
          <w:kern w:val="2"/>
          <w:sz w:val="32"/>
          <w:szCs w:val="32"/>
          <w:lang w:val="zh-CN" w:eastAsia="zh-CN" w:bidi="ar-SA"/>
        </w:rPr>
        <w:t>；政府采购预算偏离度为</w:t>
      </w:r>
      <w:r>
        <w:rPr>
          <w:rFonts w:hint="eastAsia" w:ascii="仿宋_GB2312" w:hAnsi="仿宋_GB2312" w:eastAsia="仿宋_GB2312" w:cs="仿宋_GB2312"/>
          <w:color w:val="auto"/>
          <w:kern w:val="2"/>
          <w:sz w:val="32"/>
          <w:szCs w:val="32"/>
          <w:lang w:val="en-US" w:eastAsia="zh-CN" w:bidi="ar-SA"/>
        </w:rPr>
        <w:t>0.28=</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118.87</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166.39</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166.39</w:t>
      </w:r>
      <w:r>
        <w:rPr>
          <w:rFonts w:hint="eastAsia" w:ascii="仿宋_GB2312" w:hAnsi="仿宋_GB2312" w:eastAsia="仿宋_GB2312" w:cs="仿宋_GB2312"/>
          <w:color w:val="auto"/>
          <w:kern w:val="2"/>
          <w:sz w:val="32"/>
          <w:szCs w:val="32"/>
          <w:lang w:val="zh-CN" w:eastAsia="zh-CN" w:bidi="ar-SA"/>
        </w:rPr>
        <w:t>，故预算编制质量得分为（1-0.</w:t>
      </w:r>
      <w:r>
        <w:rPr>
          <w:rFonts w:hint="eastAsia" w:ascii="仿宋_GB2312" w:hAnsi="仿宋_GB2312" w:eastAsia="仿宋_GB2312" w:cs="仿宋_GB2312"/>
          <w:color w:val="auto"/>
          <w:kern w:val="2"/>
          <w:sz w:val="32"/>
          <w:szCs w:val="32"/>
          <w:lang w:val="en-US" w:eastAsia="zh-CN" w:bidi="ar-SA"/>
        </w:rPr>
        <w:t>0076</w:t>
      </w:r>
      <w:r>
        <w:rPr>
          <w:rFonts w:hint="eastAsia" w:ascii="仿宋_GB2312" w:hAnsi="仿宋_GB2312" w:eastAsia="仿宋_GB2312" w:cs="仿宋_GB2312"/>
          <w:color w:val="auto"/>
          <w:kern w:val="2"/>
          <w:sz w:val="32"/>
          <w:szCs w:val="32"/>
          <w:lang w:val="zh-CN" w:eastAsia="zh-CN" w:bidi="ar-SA"/>
        </w:rPr>
        <w:t>）*100%*4+（1-</w:t>
      </w:r>
      <w:r>
        <w:rPr>
          <w:rFonts w:hint="eastAsia" w:ascii="仿宋_GB2312" w:hAnsi="仿宋_GB2312" w:eastAsia="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zh-CN" w:eastAsia="zh-CN" w:bidi="ar-SA"/>
        </w:rPr>
        <w:t>）*100%*2+（1-</w:t>
      </w:r>
      <w:r>
        <w:rPr>
          <w:rFonts w:hint="eastAsia" w:ascii="仿宋_GB2312" w:hAnsi="仿宋_GB2312" w:eastAsia="仿宋_GB2312" w:cs="仿宋_GB2312"/>
          <w:color w:val="auto"/>
          <w:kern w:val="2"/>
          <w:sz w:val="32"/>
          <w:szCs w:val="32"/>
          <w:lang w:val="en-US" w:eastAsia="zh-CN" w:bidi="ar-SA"/>
        </w:rPr>
        <w:t>0.28</w:t>
      </w:r>
      <w:r>
        <w:rPr>
          <w:rFonts w:hint="eastAsia" w:ascii="仿宋_GB2312" w:hAnsi="仿宋_GB2312" w:eastAsia="仿宋_GB2312" w:cs="仿宋_GB2312"/>
          <w:color w:val="auto"/>
          <w:kern w:val="2"/>
          <w:sz w:val="32"/>
          <w:szCs w:val="32"/>
          <w:lang w:val="zh-CN" w:eastAsia="zh-CN" w:bidi="ar-SA"/>
        </w:rPr>
        <w:t>）*100%*2</w:t>
      </w:r>
      <w:r>
        <w:rPr>
          <w:rFonts w:hint="eastAsia" w:ascii="仿宋_GB2312" w:hAnsi="仿宋_GB2312" w:eastAsia="仿宋_GB2312" w:cs="仿宋_GB2312"/>
          <w:color w:val="auto"/>
          <w:kern w:val="2"/>
          <w:sz w:val="32"/>
          <w:szCs w:val="32"/>
          <w:lang w:val="en-US" w:eastAsia="zh-CN" w:bidi="ar-SA"/>
        </w:rPr>
        <w:t>=7.41分</w:t>
      </w:r>
      <w:r>
        <w:rPr>
          <w:rFonts w:hint="eastAsia" w:ascii="仿宋_GB2312" w:hAnsi="仿宋_GB2312" w:eastAsia="仿宋_GB2312" w:cs="仿宋_GB2312"/>
          <w:color w:val="auto"/>
          <w:kern w:val="2"/>
          <w:sz w:val="32"/>
          <w:szCs w:val="32"/>
          <w:lang w:val="zh-CN" w:eastAsia="zh-CN" w:bidi="ar-SA"/>
        </w:rPr>
        <w:t>。</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支出执行进度：按照一体化执行进度情况查询该项指标得分=（1至6月预算执行数</w:t>
      </w:r>
      <w:r>
        <w:rPr>
          <w:rFonts w:hint="eastAsia" w:ascii="仿宋_GB2312" w:hAnsi="仿宋_GB2312" w:eastAsia="仿宋_GB2312" w:cs="仿宋_GB2312"/>
          <w:color w:val="auto"/>
          <w:kern w:val="2"/>
          <w:sz w:val="32"/>
          <w:szCs w:val="32"/>
          <w:lang w:val="en-US" w:eastAsia="zh-CN" w:bidi="ar-SA"/>
        </w:rPr>
        <w:t>2284.95</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4810.71</w:t>
      </w:r>
      <w:r>
        <w:rPr>
          <w:rFonts w:hint="eastAsia" w:ascii="仿宋_GB2312" w:hAnsi="仿宋_GB2312" w:eastAsia="仿宋_GB2312" w:cs="仿宋_GB2312"/>
          <w:color w:val="auto"/>
          <w:kern w:val="2"/>
          <w:sz w:val="32"/>
          <w:szCs w:val="32"/>
          <w:lang w:val="zh-CN" w:eastAsia="zh-CN" w:bidi="ar-SA"/>
        </w:rPr>
        <w:t>×50%）×2）+（1-0×0.8-0×0.2）+（1至10月预算执行数</w:t>
      </w:r>
      <w:r>
        <w:rPr>
          <w:rFonts w:hint="eastAsia" w:ascii="仿宋_GB2312" w:hAnsi="仿宋_GB2312" w:eastAsia="仿宋_GB2312" w:cs="仿宋_GB2312"/>
          <w:color w:val="auto"/>
          <w:kern w:val="2"/>
          <w:sz w:val="32"/>
          <w:szCs w:val="32"/>
          <w:lang w:val="en-US" w:eastAsia="zh-CN" w:bidi="ar-SA"/>
        </w:rPr>
        <w:t>3641.88</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4810.71</w:t>
      </w:r>
      <w:r>
        <w:rPr>
          <w:rFonts w:hint="eastAsia" w:ascii="仿宋_GB2312" w:hAnsi="仿宋_GB2312" w:eastAsia="仿宋_GB2312" w:cs="仿宋_GB2312"/>
          <w:color w:val="auto"/>
          <w:kern w:val="2"/>
          <w:sz w:val="32"/>
          <w:szCs w:val="32"/>
          <w:lang w:val="zh-CN" w:eastAsia="zh-CN" w:bidi="ar-SA"/>
        </w:rPr>
        <w:t>×83.33%）×2）+（1-&lt;</w:t>
      </w:r>
      <w:r>
        <w:rPr>
          <w:rFonts w:hint="eastAsia" w:ascii="仿宋_GB2312" w:hAnsi="仿宋_GB2312" w:eastAsia="仿宋_GB2312" w:cs="仿宋_GB2312"/>
          <w:color w:val="auto"/>
          <w:kern w:val="2"/>
          <w:sz w:val="32"/>
          <w:szCs w:val="32"/>
          <w:lang w:val="en-US" w:eastAsia="zh-CN" w:bidi="ar-SA"/>
        </w:rPr>
        <w:t>653.45</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4810.71</w:t>
      </w:r>
      <w:r>
        <w:rPr>
          <w:rFonts w:hint="eastAsia" w:ascii="仿宋_GB2312" w:hAnsi="仿宋_GB2312" w:eastAsia="仿宋_GB2312" w:cs="仿宋_GB2312"/>
          <w:color w:val="auto"/>
          <w:kern w:val="2"/>
          <w:sz w:val="32"/>
          <w:szCs w:val="32"/>
          <w:lang w:val="zh-CN" w:eastAsia="zh-CN" w:bidi="ar-SA"/>
        </w:rPr>
        <w:t>&gt;×0.8-0×0.2）=1.8</w:t>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zh-CN" w:eastAsia="zh-CN" w:bidi="ar-SA"/>
        </w:rPr>
        <w:t>+1+1.</w:t>
      </w:r>
      <w:r>
        <w:rPr>
          <w:rFonts w:hint="eastAsia" w:ascii="仿宋_GB2312" w:hAnsi="仿宋_GB2312" w:eastAsia="仿宋_GB2312" w:cs="仿宋_GB2312"/>
          <w:color w:val="auto"/>
          <w:kern w:val="2"/>
          <w:sz w:val="32"/>
          <w:szCs w:val="32"/>
          <w:lang w:val="en-US" w:eastAsia="zh-CN" w:bidi="ar-SA"/>
        </w:rPr>
        <w:t>82</w:t>
      </w:r>
      <w:r>
        <w:rPr>
          <w:rFonts w:hint="eastAsia" w:ascii="仿宋_GB2312" w:hAnsi="仿宋_GB2312" w:eastAsia="仿宋_GB2312" w:cs="仿宋_GB2312"/>
          <w:color w:val="auto"/>
          <w:kern w:val="2"/>
          <w:sz w:val="32"/>
          <w:szCs w:val="32"/>
          <w:lang w:val="zh-CN" w:eastAsia="zh-CN" w:bidi="ar-SA"/>
        </w:rPr>
        <w:t>+0.</w:t>
      </w:r>
      <w:r>
        <w:rPr>
          <w:rFonts w:hint="eastAsia" w:ascii="仿宋_GB2312" w:hAnsi="仿宋_GB2312" w:eastAsia="仿宋_GB2312" w:cs="仿宋_GB2312"/>
          <w:color w:val="auto"/>
          <w:kern w:val="2"/>
          <w:sz w:val="32"/>
          <w:szCs w:val="32"/>
          <w:lang w:val="en-US" w:eastAsia="zh-CN" w:bidi="ar-SA"/>
        </w:rPr>
        <w:t>89</w:t>
      </w:r>
      <w:r>
        <w:rPr>
          <w:rFonts w:hint="eastAsia" w:ascii="仿宋_GB2312" w:hAnsi="仿宋_GB2312" w:eastAsia="仿宋_GB2312" w:cs="仿宋_GB2312"/>
          <w:color w:val="auto"/>
          <w:kern w:val="2"/>
          <w:sz w:val="32"/>
          <w:szCs w:val="32"/>
          <w:lang w:val="zh-CN" w:eastAsia="zh-CN" w:bidi="ar-SA"/>
        </w:rPr>
        <w:t>=5.</w:t>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zh-CN" w:eastAsia="zh-CN" w:bidi="ar-SA"/>
        </w:rPr>
        <w:t>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预算年终结余：部门整体预算结余率=当年年终部门预算注销金额和结转金额</w:t>
      </w:r>
      <w:r>
        <w:rPr>
          <w:rFonts w:hint="eastAsia" w:ascii="仿宋_GB2312" w:hAnsi="仿宋_GB2312" w:eastAsia="仿宋_GB2312" w:cs="仿宋_GB2312"/>
          <w:color w:val="auto"/>
          <w:kern w:val="2"/>
          <w:sz w:val="32"/>
          <w:szCs w:val="32"/>
          <w:lang w:val="en-US" w:eastAsia="zh-CN" w:bidi="ar-SA"/>
        </w:rPr>
        <w:t>52.5</w:t>
      </w:r>
      <w:r>
        <w:rPr>
          <w:rFonts w:hint="eastAsia" w:ascii="仿宋_GB2312" w:hAnsi="仿宋_GB2312" w:eastAsia="仿宋_GB2312" w:cs="仿宋_GB2312"/>
          <w:color w:val="auto"/>
          <w:kern w:val="2"/>
          <w:sz w:val="32"/>
          <w:szCs w:val="32"/>
          <w:lang w:val="zh-CN" w:eastAsia="zh-CN" w:bidi="ar-SA"/>
        </w:rPr>
        <w:t>万元/部门预算总金额</w:t>
      </w:r>
      <w:r>
        <w:rPr>
          <w:rFonts w:hint="eastAsia" w:ascii="仿宋_GB2312" w:hAnsi="仿宋_GB2312" w:eastAsia="仿宋_GB2312" w:cs="仿宋_GB2312"/>
          <w:color w:val="auto"/>
          <w:kern w:val="2"/>
          <w:sz w:val="32"/>
          <w:szCs w:val="32"/>
          <w:lang w:val="en-US" w:eastAsia="zh-CN" w:bidi="ar-SA"/>
        </w:rPr>
        <w:t>4810.71</w:t>
      </w:r>
      <w:r>
        <w:rPr>
          <w:rFonts w:hint="eastAsia" w:ascii="仿宋_GB2312" w:hAnsi="仿宋_GB2312" w:eastAsia="仿宋_GB2312" w:cs="仿宋_GB2312"/>
          <w:color w:val="auto"/>
          <w:kern w:val="2"/>
          <w:sz w:val="32"/>
          <w:szCs w:val="32"/>
          <w:lang w:val="zh-CN" w:eastAsia="zh-CN" w:bidi="ar-SA"/>
        </w:rPr>
        <w:t>万元*100%=</w:t>
      </w:r>
      <w:r>
        <w:rPr>
          <w:rFonts w:hint="eastAsia" w:ascii="仿宋_GB2312" w:hAnsi="仿宋_GB2312" w:eastAsia="仿宋_GB2312" w:cs="仿宋_GB2312"/>
          <w:color w:val="auto"/>
          <w:kern w:val="2"/>
          <w:sz w:val="32"/>
          <w:szCs w:val="32"/>
          <w:lang w:val="en-US" w:eastAsia="zh-CN" w:bidi="ar-SA"/>
        </w:rPr>
        <w:t>1.09</w:t>
      </w:r>
      <w:r>
        <w:rPr>
          <w:rFonts w:hint="eastAsia" w:ascii="仿宋_GB2312" w:hAnsi="仿宋_GB2312" w:eastAsia="仿宋_GB2312" w:cs="仿宋_GB2312"/>
          <w:color w:val="auto"/>
          <w:kern w:val="2"/>
          <w:sz w:val="32"/>
          <w:szCs w:val="32"/>
          <w:lang w:val="zh-CN" w:eastAsia="zh-CN" w:bidi="ar-SA"/>
        </w:rPr>
        <w:t>%，则该项指标得分=（1-</w:t>
      </w:r>
      <w:r>
        <w:rPr>
          <w:rFonts w:hint="eastAsia" w:ascii="仿宋_GB2312" w:hAnsi="仿宋_GB2312" w:eastAsia="仿宋_GB2312" w:cs="仿宋_GB2312"/>
          <w:color w:val="auto"/>
          <w:kern w:val="2"/>
          <w:sz w:val="32"/>
          <w:szCs w:val="32"/>
          <w:lang w:val="en-US" w:eastAsia="zh-CN" w:bidi="ar-SA"/>
        </w:rPr>
        <w:t>1.09</w:t>
      </w:r>
      <w:r>
        <w:rPr>
          <w:rFonts w:hint="eastAsia" w:ascii="仿宋_GB2312" w:hAnsi="仿宋_GB2312" w:eastAsia="仿宋_GB2312" w:cs="仿宋_GB2312"/>
          <w:color w:val="auto"/>
          <w:kern w:val="2"/>
          <w:sz w:val="32"/>
          <w:szCs w:val="32"/>
          <w:lang w:val="zh-CN" w:eastAsia="zh-CN" w:bidi="ar-SA"/>
        </w:rPr>
        <w:t>%）×100%×</w:t>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4.95</w:t>
      </w:r>
      <w:r>
        <w:rPr>
          <w:rFonts w:hint="eastAsia" w:ascii="仿宋_GB2312" w:hAnsi="仿宋_GB2312" w:eastAsia="仿宋_GB2312" w:cs="仿宋_GB2312"/>
          <w:color w:val="auto"/>
          <w:kern w:val="2"/>
          <w:sz w:val="32"/>
          <w:szCs w:val="32"/>
          <w:lang w:val="zh-CN" w:eastAsia="zh-CN" w:bidi="ar-SA"/>
        </w:rPr>
        <w:t>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严控一般性支出：（1）基础分值。一般性支出财政拨款年初预算3872.25万元，202</w:t>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zh-CN" w:eastAsia="zh-CN" w:bidi="ar-SA"/>
        </w:rPr>
        <w:t>年为</w:t>
      </w:r>
      <w:r>
        <w:rPr>
          <w:rFonts w:hint="eastAsia" w:ascii="仿宋_GB2312" w:hAnsi="仿宋_GB2312" w:eastAsia="仿宋_GB2312" w:cs="仿宋_GB2312"/>
          <w:color w:val="auto"/>
          <w:kern w:val="2"/>
          <w:sz w:val="32"/>
          <w:szCs w:val="32"/>
          <w:lang w:val="en-US" w:eastAsia="zh-CN" w:bidi="ar-SA"/>
        </w:rPr>
        <w:t>3860.16</w:t>
      </w:r>
      <w:r>
        <w:rPr>
          <w:rFonts w:hint="eastAsia" w:ascii="仿宋_GB2312" w:hAnsi="仿宋_GB2312" w:eastAsia="仿宋_GB2312" w:cs="仿宋_GB2312"/>
          <w:color w:val="auto"/>
          <w:kern w:val="2"/>
          <w:sz w:val="32"/>
          <w:szCs w:val="32"/>
          <w:lang w:val="zh-CN" w:eastAsia="zh-CN" w:bidi="ar-SA"/>
        </w:rPr>
        <w:t>万元，未实现压减，不得分；一般性支出财政拨款预算执行</w:t>
      </w:r>
      <w:r>
        <w:rPr>
          <w:rFonts w:hint="eastAsia" w:ascii="仿宋_GB2312" w:hAnsi="仿宋_GB2312" w:eastAsia="仿宋_GB2312" w:cs="仿宋_GB2312"/>
          <w:color w:val="auto"/>
          <w:kern w:val="2"/>
          <w:sz w:val="32"/>
          <w:szCs w:val="32"/>
          <w:lang w:val="en-US" w:eastAsia="zh-CN" w:bidi="ar-SA"/>
        </w:rPr>
        <w:t>4736.35</w:t>
      </w:r>
      <w:r>
        <w:rPr>
          <w:rFonts w:hint="eastAsia" w:ascii="仿宋_GB2312" w:hAnsi="仿宋_GB2312" w:eastAsia="仿宋_GB2312" w:cs="仿宋_GB2312"/>
          <w:color w:val="auto"/>
          <w:kern w:val="2"/>
          <w:sz w:val="32"/>
          <w:szCs w:val="32"/>
          <w:lang w:val="zh-CN" w:eastAsia="zh-CN" w:bidi="ar-SA"/>
        </w:rPr>
        <w:t>万元，202</w:t>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zh-CN" w:eastAsia="zh-CN" w:bidi="ar-SA"/>
        </w:rPr>
        <w:t>年预算执行</w:t>
      </w:r>
      <w:r>
        <w:rPr>
          <w:rFonts w:hint="eastAsia" w:ascii="仿宋_GB2312" w:hAnsi="仿宋_GB2312" w:eastAsia="仿宋_GB2312" w:cs="仿宋_GB2312"/>
          <w:color w:val="auto"/>
          <w:kern w:val="2"/>
          <w:sz w:val="32"/>
          <w:szCs w:val="32"/>
          <w:lang w:val="en-US" w:eastAsia="zh-CN" w:bidi="ar-SA"/>
        </w:rPr>
        <w:t>5149.06</w:t>
      </w:r>
      <w:r>
        <w:rPr>
          <w:rFonts w:hint="eastAsia" w:ascii="仿宋_GB2312" w:hAnsi="仿宋_GB2312" w:eastAsia="仿宋_GB2312" w:cs="仿宋_GB2312"/>
          <w:color w:val="auto"/>
          <w:kern w:val="2"/>
          <w:sz w:val="32"/>
          <w:szCs w:val="32"/>
          <w:lang w:val="zh-CN" w:eastAsia="zh-CN" w:bidi="ar-SA"/>
        </w:rPr>
        <w:t>万元，已实现支出压减</w:t>
      </w:r>
      <w:r>
        <w:rPr>
          <w:rFonts w:hint="eastAsia" w:ascii="仿宋_GB2312" w:hAnsi="仿宋_GB2312" w:eastAsia="仿宋_GB2312" w:cs="仿宋_GB2312"/>
          <w:color w:val="auto"/>
          <w:kern w:val="2"/>
          <w:sz w:val="32"/>
          <w:szCs w:val="32"/>
          <w:lang w:val="en-US" w:eastAsia="zh-CN" w:bidi="ar-SA"/>
        </w:rPr>
        <w:t>412.71</w:t>
      </w:r>
      <w:r>
        <w:rPr>
          <w:rFonts w:hint="eastAsia" w:ascii="仿宋_GB2312" w:hAnsi="仿宋_GB2312" w:eastAsia="仿宋_GB2312" w:cs="仿宋_GB2312"/>
          <w:color w:val="auto"/>
          <w:kern w:val="2"/>
          <w:sz w:val="32"/>
          <w:szCs w:val="32"/>
          <w:lang w:val="zh-CN" w:eastAsia="zh-CN" w:bidi="ar-SA"/>
        </w:rPr>
        <w:t>万元，得</w:t>
      </w:r>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zh-CN" w:eastAsia="zh-CN" w:bidi="ar-SA"/>
        </w:rPr>
        <w:t>分。（2）加分值。一般性支出财政拨款年初预算较上年未压减，不得分；一般性支出财政拨款预算执行较上年压减</w:t>
      </w:r>
      <w:r>
        <w:rPr>
          <w:rFonts w:hint="eastAsia" w:ascii="仿宋_GB2312" w:hAnsi="仿宋_GB2312" w:eastAsia="仿宋_GB2312" w:cs="仿宋_GB2312"/>
          <w:color w:val="auto"/>
          <w:kern w:val="2"/>
          <w:sz w:val="32"/>
          <w:szCs w:val="32"/>
          <w:lang w:val="en-US" w:eastAsia="zh-CN" w:bidi="ar-SA"/>
        </w:rPr>
        <w:t>8.02%，可</w:t>
      </w:r>
      <w:r>
        <w:rPr>
          <w:rFonts w:hint="eastAsia" w:ascii="仿宋_GB2312" w:hAnsi="仿宋_GB2312" w:eastAsia="仿宋_GB2312" w:cs="仿宋_GB2312"/>
          <w:color w:val="auto"/>
          <w:kern w:val="2"/>
          <w:sz w:val="32"/>
          <w:szCs w:val="32"/>
          <w:lang w:val="zh-CN" w:eastAsia="zh-CN" w:bidi="ar-SA"/>
        </w:rPr>
        <w:t>得</w:t>
      </w:r>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zh-CN" w:eastAsia="zh-CN" w:bidi="ar-SA"/>
        </w:rPr>
        <w:t>分。综上，该项绩效指标考核得分为4分。</w:t>
      </w:r>
    </w:p>
    <w:p>
      <w:pPr>
        <w:widowControl w:val="0"/>
        <w:numPr>
          <w:numId w:val="0"/>
        </w:numPr>
        <w:wordWrap/>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3.</w:t>
      </w:r>
      <w:r>
        <w:rPr>
          <w:rFonts w:hint="eastAsia" w:ascii="楷体_GB2312" w:hAnsi="楷体_GB2312" w:eastAsia="楷体_GB2312" w:cs="楷体_GB2312"/>
          <w:color w:val="000000"/>
          <w:kern w:val="0"/>
          <w:sz w:val="32"/>
          <w:szCs w:val="32"/>
          <w:highlight w:val="none"/>
          <w:shd w:val="clear" w:color="auto" w:fill="FFFFFF"/>
          <w:lang w:val="zh-CN"/>
        </w:rPr>
        <w:t>财务管理评分10分。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财务管理制度：我院在202</w:t>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zh-CN" w:eastAsia="zh-CN" w:bidi="ar-SA"/>
        </w:rPr>
        <w:t>年度修订了《资产管理制度》《政府采购管理制度》等六项管理制度，健全完善内控机制，并推动制度有效落实。该项指标可得4分。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财务岗位设置：我院设置机关会计岗位1人，专户会计岗1人，出纳1人，岗位职责明确，岗位权限清洗，严格实行不相容岗位分离的财经纪律要求，此项绩效指标可得2分。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资金使用规范：我院预算资金使用符合财务管理制度规定，符合无预算不支出，支出必问其效的原则，“三重一大”项目均有相关审议审批程序，故此项得分为4分。</w:t>
      </w:r>
    </w:p>
    <w:p>
      <w:pPr>
        <w:widowControl w:val="0"/>
        <w:numPr>
          <w:numId w:val="0"/>
        </w:numPr>
        <w:wordWrap/>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4.</w:t>
      </w:r>
      <w:r>
        <w:rPr>
          <w:rFonts w:hint="eastAsia" w:ascii="楷体_GB2312" w:hAnsi="楷体_GB2312" w:eastAsia="楷体_GB2312" w:cs="楷体_GB2312"/>
          <w:color w:val="000000"/>
          <w:kern w:val="0"/>
          <w:sz w:val="32"/>
          <w:szCs w:val="32"/>
          <w:highlight w:val="none"/>
          <w:shd w:val="clear" w:color="auto" w:fill="FFFFFF"/>
          <w:lang w:val="zh-CN"/>
        </w:rPr>
        <w:t>资产管理评分</w:t>
      </w:r>
      <w:r>
        <w:rPr>
          <w:rFonts w:hint="eastAsia" w:ascii="楷体_GB2312" w:hAnsi="楷体_GB2312" w:eastAsia="楷体_GB2312" w:cs="楷体_GB2312"/>
          <w:color w:val="000000"/>
          <w:kern w:val="0"/>
          <w:sz w:val="32"/>
          <w:szCs w:val="32"/>
          <w:highlight w:val="none"/>
          <w:shd w:val="clear" w:color="auto" w:fill="FFFFFF"/>
          <w:lang w:val="en-US" w:eastAsia="zh-CN"/>
        </w:rPr>
        <w:t>6.9</w:t>
      </w:r>
      <w:r>
        <w:rPr>
          <w:rFonts w:hint="eastAsia" w:ascii="楷体_GB2312" w:hAnsi="楷体_GB2312" w:eastAsia="楷体_GB2312" w:cs="楷体_GB2312"/>
          <w:color w:val="000000"/>
          <w:kern w:val="0"/>
          <w:sz w:val="32"/>
          <w:szCs w:val="32"/>
          <w:highlight w:val="none"/>
          <w:shd w:val="clear" w:color="auto" w:fill="FFFFFF"/>
          <w:lang w:val="zh-CN"/>
        </w:rPr>
        <w:t>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人均资产变化率：我院人均资产变化率为=（202</w:t>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zh-CN" w:eastAsia="zh-CN" w:bidi="ar-SA"/>
        </w:rPr>
        <w:t>年人均资产-202</w:t>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zh-CN" w:eastAsia="zh-CN" w:bidi="ar-SA"/>
        </w:rPr>
        <w:t>年人均资产）/202</w:t>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zh-CN" w:eastAsia="zh-CN" w:bidi="ar-SA"/>
        </w:rPr>
        <w:t>年人均资产*100%=</w:t>
      </w:r>
      <w:r>
        <w:rPr>
          <w:rFonts w:hint="eastAsia" w:ascii="仿宋_GB2312" w:hAnsi="仿宋_GB2312" w:eastAsia="仿宋_GB2312" w:cs="仿宋_GB2312"/>
          <w:color w:val="auto"/>
          <w:kern w:val="2"/>
          <w:sz w:val="32"/>
          <w:szCs w:val="32"/>
          <w:lang w:val="en-US" w:eastAsia="zh-CN" w:bidi="ar-SA"/>
        </w:rPr>
        <w:t>5.24</w:t>
      </w:r>
      <w:r>
        <w:rPr>
          <w:rFonts w:hint="eastAsia" w:ascii="仿宋_GB2312" w:hAnsi="仿宋_GB2312" w:eastAsia="仿宋_GB2312" w:cs="仿宋_GB2312"/>
          <w:color w:val="auto"/>
          <w:kern w:val="2"/>
          <w:sz w:val="32"/>
          <w:szCs w:val="32"/>
          <w:lang w:val="zh-CN" w:eastAsia="zh-CN" w:bidi="ar-SA"/>
        </w:rPr>
        <w:t>%&lt;</w:t>
      </w:r>
      <w:r>
        <w:rPr>
          <w:rFonts w:hint="eastAsia" w:ascii="仿宋_GB2312" w:hAnsi="仿宋_GB2312" w:eastAsia="仿宋_GB2312" w:cs="仿宋_GB2312"/>
          <w:color w:val="auto"/>
          <w:kern w:val="2"/>
          <w:sz w:val="32"/>
          <w:szCs w:val="32"/>
          <w:lang w:val="en-US" w:eastAsia="zh-CN" w:bidi="ar-SA"/>
        </w:rPr>
        <w:t>30.04%</w:t>
      </w:r>
      <w:r>
        <w:rPr>
          <w:rFonts w:hint="eastAsia" w:ascii="仿宋_GB2312" w:hAnsi="仿宋_GB2312" w:eastAsia="仿宋_GB2312" w:cs="仿宋_GB2312"/>
          <w:color w:val="auto"/>
          <w:kern w:val="2"/>
          <w:sz w:val="32"/>
          <w:szCs w:val="32"/>
          <w:lang w:val="zh-CN" w:eastAsia="zh-CN" w:bidi="ar-SA"/>
        </w:rPr>
        <w:t>，此项指标可得1.5分；人均资产增长率为=（202</w:t>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zh-CN" w:eastAsia="zh-CN" w:bidi="ar-SA"/>
        </w:rPr>
        <w:t>年人均资产-202</w:t>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zh-CN" w:eastAsia="zh-CN" w:bidi="ar-SA"/>
        </w:rPr>
        <w:t>年人均资产）/202</w:t>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zh-CN" w:eastAsia="zh-CN" w:bidi="ar-SA"/>
        </w:rPr>
        <w:t>年人均资产*100%=</w:t>
      </w:r>
      <w:r>
        <w:rPr>
          <w:rFonts w:hint="eastAsia" w:ascii="仿宋_GB2312" w:hAnsi="仿宋_GB2312" w:eastAsia="仿宋_GB2312" w:cs="仿宋_GB2312"/>
          <w:color w:val="auto"/>
          <w:kern w:val="2"/>
          <w:sz w:val="32"/>
          <w:szCs w:val="32"/>
          <w:lang w:val="en-US" w:eastAsia="zh-CN" w:bidi="ar-SA"/>
        </w:rPr>
        <w:t>5.24</w:t>
      </w:r>
      <w:r>
        <w:rPr>
          <w:rFonts w:hint="eastAsia" w:ascii="仿宋_GB2312" w:hAnsi="仿宋_GB2312" w:eastAsia="仿宋_GB2312" w:cs="仿宋_GB2312"/>
          <w:color w:val="auto"/>
          <w:kern w:val="2"/>
          <w:sz w:val="32"/>
          <w:szCs w:val="32"/>
          <w:lang w:val="zh-CN" w:eastAsia="zh-CN" w:bidi="ar-SA"/>
        </w:rPr>
        <w:t>%，此项可得0.9分。由此可知此项绩效指标得分为2.4分。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资产利用率：超最低使用年限账面价值为</w:t>
      </w:r>
      <w:r>
        <w:rPr>
          <w:rFonts w:hint="eastAsia" w:ascii="仿宋_GB2312" w:hAnsi="仿宋_GB2312" w:eastAsia="仿宋_GB2312" w:cs="仿宋_GB2312"/>
          <w:color w:val="auto"/>
          <w:kern w:val="2"/>
          <w:sz w:val="32"/>
          <w:szCs w:val="32"/>
          <w:lang w:val="en-US" w:eastAsia="zh-CN" w:bidi="ar-SA"/>
        </w:rPr>
        <w:t>137.24</w:t>
      </w:r>
      <w:r>
        <w:rPr>
          <w:rFonts w:hint="eastAsia" w:ascii="仿宋_GB2312" w:hAnsi="仿宋_GB2312" w:eastAsia="仿宋_GB2312" w:cs="仿宋_GB2312"/>
          <w:color w:val="auto"/>
          <w:kern w:val="2"/>
          <w:sz w:val="32"/>
          <w:szCs w:val="32"/>
          <w:lang w:val="zh-CN" w:eastAsia="zh-CN" w:bidi="ar-SA"/>
        </w:rPr>
        <w:t>万元，办公家具账面价值为</w:t>
      </w:r>
      <w:r>
        <w:rPr>
          <w:rFonts w:hint="eastAsia" w:ascii="仿宋_GB2312" w:hAnsi="仿宋_GB2312" w:eastAsia="仿宋_GB2312" w:cs="仿宋_GB2312"/>
          <w:color w:val="auto"/>
          <w:kern w:val="2"/>
          <w:sz w:val="32"/>
          <w:szCs w:val="32"/>
          <w:lang w:val="en-US" w:eastAsia="zh-CN" w:bidi="ar-SA"/>
        </w:rPr>
        <w:t>286.91</w:t>
      </w:r>
      <w:r>
        <w:rPr>
          <w:rFonts w:hint="eastAsia" w:ascii="仿宋_GB2312" w:hAnsi="仿宋_GB2312" w:eastAsia="仿宋_GB2312" w:cs="仿宋_GB2312"/>
          <w:color w:val="auto"/>
          <w:kern w:val="2"/>
          <w:sz w:val="32"/>
          <w:szCs w:val="32"/>
          <w:lang w:val="zh-CN" w:eastAsia="zh-CN" w:bidi="ar-SA"/>
        </w:rPr>
        <w:t>万元，根据公式可得办公家具超最低使用年限资产利用率为</w:t>
      </w:r>
      <w:r>
        <w:rPr>
          <w:rFonts w:hint="eastAsia" w:ascii="仿宋_GB2312" w:hAnsi="仿宋_GB2312" w:eastAsia="仿宋_GB2312" w:cs="仿宋_GB2312"/>
          <w:color w:val="auto"/>
          <w:kern w:val="2"/>
          <w:sz w:val="32"/>
          <w:szCs w:val="32"/>
          <w:lang w:val="en-US" w:eastAsia="zh-CN" w:bidi="ar-SA"/>
        </w:rPr>
        <w:t>47.83</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0.6*73.3%</w:t>
      </w:r>
      <w:r>
        <w:rPr>
          <w:rFonts w:hint="eastAsia" w:ascii="仿宋_GB2312" w:hAnsi="仿宋_GB2312" w:eastAsia="仿宋_GB2312" w:cs="仿宋_GB2312"/>
          <w:color w:val="auto"/>
          <w:kern w:val="2"/>
          <w:sz w:val="32"/>
          <w:szCs w:val="32"/>
          <w:lang w:val="zh-CN" w:eastAsia="zh-CN" w:bidi="ar-SA"/>
        </w:rPr>
        <w:t>&lt;</w:t>
      </w:r>
      <w:r>
        <w:rPr>
          <w:rFonts w:hint="eastAsia" w:ascii="仿宋_GB2312" w:hAnsi="仿宋_GB2312" w:eastAsia="仿宋_GB2312" w:cs="仿宋_GB2312"/>
          <w:color w:val="auto"/>
          <w:kern w:val="2"/>
          <w:sz w:val="32"/>
          <w:szCs w:val="32"/>
          <w:lang w:val="en-US" w:eastAsia="zh-CN" w:bidi="ar-SA"/>
        </w:rPr>
        <w:t>47.83</w:t>
      </w:r>
      <w:r>
        <w:rPr>
          <w:rFonts w:hint="eastAsia" w:ascii="仿宋_GB2312" w:hAnsi="仿宋_GB2312" w:eastAsia="仿宋_GB2312" w:cs="仿宋_GB2312"/>
          <w:color w:val="auto"/>
          <w:kern w:val="2"/>
          <w:sz w:val="32"/>
          <w:szCs w:val="32"/>
          <w:lang w:val="zh-CN" w:eastAsia="zh-CN" w:bidi="ar-SA"/>
        </w:rPr>
        <w:t>%&lt;</w:t>
      </w:r>
      <w:r>
        <w:rPr>
          <w:rFonts w:hint="eastAsia" w:ascii="仿宋_GB2312" w:hAnsi="仿宋_GB2312" w:eastAsia="仿宋_GB2312" w:cs="仿宋_GB2312"/>
          <w:color w:val="auto"/>
          <w:kern w:val="2"/>
          <w:sz w:val="32"/>
          <w:szCs w:val="32"/>
          <w:lang w:val="en-US" w:eastAsia="zh-CN" w:bidi="ar-SA"/>
        </w:rPr>
        <w:t>0.8*73.3%）</w:t>
      </w:r>
      <w:r>
        <w:rPr>
          <w:rFonts w:hint="eastAsia" w:ascii="仿宋_GB2312" w:hAnsi="仿宋_GB2312" w:eastAsia="仿宋_GB2312" w:cs="仿宋_GB2312"/>
          <w:color w:val="auto"/>
          <w:kern w:val="2"/>
          <w:sz w:val="32"/>
          <w:szCs w:val="32"/>
          <w:lang w:val="zh-CN" w:eastAsia="zh-CN" w:bidi="ar-SA"/>
        </w:rPr>
        <w:t>，此项指标可得</w:t>
      </w:r>
      <w:r>
        <w:rPr>
          <w:rFonts w:hint="eastAsia" w:ascii="仿宋_GB2312" w:hAnsi="仿宋_GB2312" w:eastAsia="仿宋_GB2312" w:cs="仿宋_GB2312"/>
          <w:color w:val="auto"/>
          <w:kern w:val="2"/>
          <w:sz w:val="32"/>
          <w:szCs w:val="32"/>
          <w:lang w:val="en-US" w:eastAsia="zh-CN" w:bidi="ar-SA"/>
        </w:rPr>
        <w:t>0.6</w:t>
      </w:r>
      <w:r>
        <w:rPr>
          <w:rFonts w:hint="eastAsia" w:ascii="仿宋_GB2312" w:hAnsi="仿宋_GB2312" w:eastAsia="仿宋_GB2312" w:cs="仿宋_GB2312"/>
          <w:color w:val="auto"/>
          <w:kern w:val="2"/>
          <w:sz w:val="32"/>
          <w:szCs w:val="32"/>
          <w:lang w:val="zh-CN" w:eastAsia="zh-CN" w:bidi="ar-SA"/>
        </w:rPr>
        <w:t>分；超最低使用年限的办公设备账面价值</w:t>
      </w:r>
      <w:r>
        <w:rPr>
          <w:rFonts w:hint="eastAsia" w:ascii="仿宋_GB2312" w:hAnsi="仿宋_GB2312" w:eastAsia="仿宋_GB2312" w:cs="仿宋_GB2312"/>
          <w:color w:val="auto"/>
          <w:kern w:val="2"/>
          <w:sz w:val="32"/>
          <w:szCs w:val="32"/>
          <w:lang w:val="en-US" w:eastAsia="zh-CN" w:bidi="ar-SA"/>
        </w:rPr>
        <w:t>2653.61</w:t>
      </w:r>
      <w:r>
        <w:rPr>
          <w:rFonts w:hint="eastAsia" w:ascii="仿宋_GB2312" w:hAnsi="仿宋_GB2312" w:eastAsia="仿宋_GB2312" w:cs="仿宋_GB2312"/>
          <w:color w:val="auto"/>
          <w:kern w:val="2"/>
          <w:sz w:val="32"/>
          <w:szCs w:val="32"/>
          <w:lang w:val="zh-CN" w:eastAsia="zh-CN" w:bidi="ar-SA"/>
        </w:rPr>
        <w:t>万元，办公设备账面价值</w:t>
      </w:r>
      <w:r>
        <w:rPr>
          <w:rFonts w:hint="eastAsia" w:ascii="仿宋_GB2312" w:hAnsi="仿宋_GB2312" w:eastAsia="仿宋_GB2312" w:cs="仿宋_GB2312"/>
          <w:color w:val="auto"/>
          <w:kern w:val="2"/>
          <w:sz w:val="32"/>
          <w:szCs w:val="32"/>
          <w:lang w:val="en-US" w:eastAsia="zh-CN" w:bidi="ar-SA"/>
        </w:rPr>
        <w:t>4211.6</w:t>
      </w:r>
      <w:r>
        <w:rPr>
          <w:rFonts w:hint="eastAsia" w:ascii="仿宋_GB2312" w:hAnsi="仿宋_GB2312" w:eastAsia="仿宋_GB2312" w:cs="仿宋_GB2312"/>
          <w:color w:val="auto"/>
          <w:kern w:val="2"/>
          <w:sz w:val="32"/>
          <w:szCs w:val="32"/>
          <w:lang w:val="zh-CN" w:eastAsia="zh-CN" w:bidi="ar-SA"/>
        </w:rPr>
        <w:t>万元，根据公式可得办公设备超最低使用年限资产利用率为</w:t>
      </w:r>
      <w:r>
        <w:rPr>
          <w:rFonts w:hint="eastAsia" w:ascii="仿宋_GB2312" w:hAnsi="仿宋_GB2312" w:eastAsia="仿宋_GB2312" w:cs="仿宋_GB2312"/>
          <w:color w:val="auto"/>
          <w:kern w:val="2"/>
          <w:sz w:val="32"/>
          <w:szCs w:val="32"/>
          <w:lang w:val="en-US" w:eastAsia="zh-CN" w:bidi="ar-SA"/>
        </w:rPr>
        <w:t>63.01</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0.8*73.3%</w:t>
      </w:r>
      <w:r>
        <w:rPr>
          <w:rFonts w:hint="eastAsia" w:ascii="仿宋_GB2312" w:hAnsi="仿宋_GB2312" w:eastAsia="仿宋_GB2312" w:cs="仿宋_GB2312"/>
          <w:color w:val="auto"/>
          <w:kern w:val="2"/>
          <w:sz w:val="32"/>
          <w:szCs w:val="32"/>
          <w:lang w:val="zh-CN" w:eastAsia="zh-CN" w:bidi="ar-SA"/>
        </w:rPr>
        <w:t>&lt;</w:t>
      </w:r>
      <w:r>
        <w:rPr>
          <w:rFonts w:hint="eastAsia" w:ascii="仿宋_GB2312" w:hAnsi="仿宋_GB2312" w:eastAsia="仿宋_GB2312" w:cs="仿宋_GB2312"/>
          <w:color w:val="auto"/>
          <w:kern w:val="2"/>
          <w:sz w:val="32"/>
          <w:szCs w:val="32"/>
          <w:lang w:val="en-US" w:eastAsia="zh-CN" w:bidi="ar-SA"/>
        </w:rPr>
        <w:t>47.83</w:t>
      </w:r>
      <w:r>
        <w:rPr>
          <w:rFonts w:hint="eastAsia" w:ascii="仿宋_GB2312" w:hAnsi="仿宋_GB2312" w:eastAsia="仿宋_GB2312" w:cs="仿宋_GB2312"/>
          <w:color w:val="auto"/>
          <w:kern w:val="2"/>
          <w:sz w:val="32"/>
          <w:szCs w:val="32"/>
          <w:lang w:val="zh-CN" w:eastAsia="zh-CN" w:bidi="ar-SA"/>
        </w:rPr>
        <w:t>%&lt;</w:t>
      </w:r>
      <w:r>
        <w:rPr>
          <w:rFonts w:hint="eastAsia" w:ascii="仿宋_GB2312" w:hAnsi="仿宋_GB2312" w:eastAsia="仿宋_GB2312" w:cs="仿宋_GB2312"/>
          <w:color w:val="auto"/>
          <w:kern w:val="2"/>
          <w:sz w:val="32"/>
          <w:szCs w:val="32"/>
          <w:lang w:val="en-US" w:eastAsia="zh-CN" w:bidi="ar-SA"/>
        </w:rPr>
        <w:t>73.3%）</w:t>
      </w:r>
      <w:r>
        <w:rPr>
          <w:rFonts w:hint="eastAsia" w:ascii="仿宋_GB2312" w:hAnsi="仿宋_GB2312" w:eastAsia="仿宋_GB2312" w:cs="仿宋_GB2312"/>
          <w:color w:val="auto"/>
          <w:kern w:val="2"/>
          <w:sz w:val="32"/>
          <w:szCs w:val="32"/>
          <w:lang w:val="zh-CN" w:eastAsia="zh-CN" w:bidi="ar-SA"/>
        </w:rPr>
        <w:t>，此项指标可得0.9分。此项资产利用率指标得分为</w:t>
      </w:r>
      <w:r>
        <w:rPr>
          <w:rFonts w:hint="eastAsia" w:ascii="仿宋_GB2312" w:hAnsi="仿宋_GB2312" w:eastAsia="仿宋_GB2312" w:cs="仿宋_GB2312"/>
          <w:color w:val="auto"/>
          <w:kern w:val="2"/>
          <w:sz w:val="32"/>
          <w:szCs w:val="32"/>
          <w:lang w:val="en-US" w:eastAsia="zh-CN" w:bidi="ar-SA"/>
        </w:rPr>
        <w:t>1.5</w:t>
      </w:r>
      <w:r>
        <w:rPr>
          <w:rFonts w:hint="eastAsia" w:ascii="仿宋_GB2312" w:hAnsi="仿宋_GB2312" w:eastAsia="仿宋_GB2312" w:cs="仿宋_GB2312"/>
          <w:color w:val="auto"/>
          <w:kern w:val="2"/>
          <w:sz w:val="32"/>
          <w:szCs w:val="32"/>
          <w:lang w:val="zh-CN" w:eastAsia="zh-CN" w:bidi="ar-SA"/>
        </w:rPr>
        <w:t>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资产盘活率：我院无闲置资产，均在正常使用，此项指标得</w:t>
      </w:r>
      <w:r>
        <w:rPr>
          <w:rFonts w:hint="eastAsia" w:ascii="仿宋_GB2312" w:hAnsi="仿宋_GB2312" w:eastAsia="仿宋_GB2312" w:cs="仿宋_GB2312"/>
          <w:color w:val="auto"/>
          <w:kern w:val="2"/>
          <w:sz w:val="32"/>
          <w:szCs w:val="32"/>
          <w:lang w:val="en-US" w:eastAsia="zh-CN" w:bidi="ar-SA"/>
        </w:rPr>
        <w:t>3分。</w:t>
      </w:r>
    </w:p>
    <w:p>
      <w:pPr>
        <w:widowControl w:val="0"/>
        <w:numPr>
          <w:numId w:val="0"/>
        </w:numPr>
        <w:wordWrap/>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5.</w:t>
      </w:r>
      <w:r>
        <w:rPr>
          <w:rFonts w:hint="eastAsia" w:ascii="楷体_GB2312" w:hAnsi="楷体_GB2312" w:eastAsia="楷体_GB2312" w:cs="楷体_GB2312"/>
          <w:color w:val="000000"/>
          <w:kern w:val="0"/>
          <w:sz w:val="32"/>
          <w:szCs w:val="32"/>
          <w:highlight w:val="none"/>
          <w:shd w:val="clear" w:color="auto" w:fill="FFFFFF"/>
          <w:lang w:val="zh-CN"/>
        </w:rPr>
        <w:t>采购管理评分</w:t>
      </w:r>
      <w:r>
        <w:rPr>
          <w:rFonts w:hint="eastAsia" w:ascii="楷体_GB2312" w:hAnsi="楷体_GB2312" w:eastAsia="楷体_GB2312" w:cs="楷体_GB2312"/>
          <w:color w:val="000000"/>
          <w:kern w:val="0"/>
          <w:sz w:val="32"/>
          <w:szCs w:val="32"/>
          <w:highlight w:val="none"/>
          <w:shd w:val="clear" w:color="auto" w:fill="FFFFFF"/>
          <w:lang w:val="en-US" w:eastAsia="zh-CN"/>
        </w:rPr>
        <w:t>5.18</w:t>
      </w:r>
      <w:r>
        <w:rPr>
          <w:rFonts w:hint="eastAsia" w:ascii="楷体_GB2312" w:hAnsi="楷体_GB2312" w:eastAsia="楷体_GB2312" w:cs="楷体_GB2312"/>
          <w:color w:val="000000"/>
          <w:kern w:val="0"/>
          <w:sz w:val="32"/>
          <w:szCs w:val="32"/>
          <w:highlight w:val="none"/>
          <w:shd w:val="clear" w:color="auto" w:fill="FFFFFF"/>
          <w:lang w:val="zh-CN"/>
        </w:rPr>
        <w:t>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支持中小企业发展：我院采购项目预留100%的份额专门面向中小企业，并在采购预算中标注，故此项可得3分。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采购执行率：该指标得分</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zh-CN" w:eastAsia="zh-CN" w:bidi="ar-SA"/>
        </w:rPr>
        <w:t>当年采购实际支付总金额为</w:t>
      </w:r>
      <w:r>
        <w:rPr>
          <w:rFonts w:hint="eastAsia" w:ascii="仿宋_GB2312" w:hAnsi="仿宋_GB2312" w:eastAsia="仿宋_GB2312" w:cs="仿宋_GB2312"/>
          <w:color w:val="auto"/>
          <w:kern w:val="2"/>
          <w:sz w:val="32"/>
          <w:szCs w:val="32"/>
          <w:lang w:val="en-US" w:eastAsia="zh-CN" w:bidi="ar-SA"/>
        </w:rPr>
        <w:t>118.87/（</w:t>
      </w:r>
      <w:r>
        <w:rPr>
          <w:rFonts w:hint="eastAsia" w:ascii="仿宋_GB2312" w:hAnsi="仿宋_GB2312" w:eastAsia="仿宋_GB2312" w:cs="仿宋_GB2312"/>
          <w:color w:val="auto"/>
          <w:kern w:val="2"/>
          <w:sz w:val="32"/>
          <w:szCs w:val="32"/>
          <w:lang w:val="zh-CN" w:eastAsia="zh-CN" w:bidi="ar-SA"/>
        </w:rPr>
        <w:t>当年政府采购总预算</w:t>
      </w:r>
      <w:r>
        <w:rPr>
          <w:rFonts w:hint="eastAsia" w:ascii="仿宋_GB2312" w:hAnsi="仿宋_GB2312" w:eastAsia="仿宋_GB2312" w:cs="仿宋_GB2312"/>
          <w:color w:val="auto"/>
          <w:kern w:val="2"/>
          <w:sz w:val="32"/>
          <w:szCs w:val="32"/>
          <w:lang w:val="en-US" w:eastAsia="zh-CN" w:bidi="ar-SA"/>
        </w:rPr>
        <w:t>166.39-</w:t>
      </w:r>
      <w:r>
        <w:rPr>
          <w:rFonts w:hint="eastAsia" w:ascii="仿宋_GB2312" w:hAnsi="仿宋_GB2312" w:eastAsia="仿宋_GB2312" w:cs="仿宋_GB2312"/>
          <w:color w:val="auto"/>
          <w:kern w:val="2"/>
          <w:sz w:val="32"/>
          <w:szCs w:val="32"/>
          <w:lang w:val="zh-CN" w:eastAsia="zh-CN" w:bidi="ar-SA"/>
        </w:rPr>
        <w:t>减去已完成采购项目节约金额为</w:t>
      </w:r>
      <w:r>
        <w:rPr>
          <w:rFonts w:hint="eastAsia" w:ascii="仿宋_GB2312" w:hAnsi="仿宋_GB2312" w:eastAsia="仿宋_GB2312" w:cs="仿宋_GB2312"/>
          <w:color w:val="auto"/>
          <w:kern w:val="2"/>
          <w:sz w:val="32"/>
          <w:szCs w:val="32"/>
          <w:lang w:val="en-US" w:eastAsia="zh-CN" w:bidi="ar-SA"/>
        </w:rPr>
        <w:t>2.73）*100%*3</w:t>
      </w:r>
      <w:r>
        <w:rPr>
          <w:rFonts w:hint="eastAsia" w:ascii="仿宋_GB2312" w:hAnsi="仿宋_GB2312" w:eastAsia="仿宋_GB2312" w:cs="仿宋_GB2312"/>
          <w:color w:val="auto"/>
          <w:kern w:val="2"/>
          <w:sz w:val="32"/>
          <w:szCs w:val="32"/>
          <w:lang w:val="zh-CN" w:eastAsia="zh-CN" w:bidi="ar-SA"/>
        </w:rPr>
        <w:t>，根据计算公式可得2.</w:t>
      </w:r>
      <w:r>
        <w:rPr>
          <w:rFonts w:hint="eastAsia" w:ascii="仿宋_GB2312" w:hAnsi="仿宋_GB2312" w:eastAsia="仿宋_GB2312" w:cs="仿宋_GB2312"/>
          <w:color w:val="auto"/>
          <w:kern w:val="2"/>
          <w:sz w:val="32"/>
          <w:szCs w:val="32"/>
          <w:lang w:val="en-US" w:eastAsia="zh-CN" w:bidi="ar-SA"/>
        </w:rPr>
        <w:t>18</w:t>
      </w:r>
      <w:r>
        <w:rPr>
          <w:rFonts w:hint="eastAsia" w:ascii="仿宋_GB2312" w:hAnsi="仿宋_GB2312" w:eastAsia="仿宋_GB2312" w:cs="仿宋_GB2312"/>
          <w:color w:val="auto"/>
          <w:kern w:val="2"/>
          <w:sz w:val="32"/>
          <w:szCs w:val="32"/>
          <w:lang w:val="zh-CN" w:eastAsia="zh-CN" w:bidi="ar-SA"/>
        </w:rPr>
        <w:t>分。</w:t>
      </w:r>
    </w:p>
    <w:p>
      <w:pPr>
        <w:widowControl/>
        <w:wordWrap/>
        <w:adjustRightInd w:val="0"/>
        <w:snapToGrid w:val="0"/>
        <w:spacing w:line="560" w:lineRule="exact"/>
        <w:ind w:left="0" w:leftChars="0" w:right="0" w:firstLine="643" w:firstLineChars="200"/>
        <w:contextualSpacing/>
        <w:jc w:val="both"/>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eastAsia="zh-CN"/>
        </w:rPr>
      </w:pPr>
      <w:r>
        <w:rPr>
          <w:rFonts w:hint="eastAsia" w:ascii="Times New Roman" w:hAnsi="Times New Roman" w:eastAsia="楷体_GB2312" w:cs="Times New Roman"/>
          <w:b/>
          <w:bCs/>
          <w:color w:val="000000"/>
          <w:kern w:val="0"/>
          <w:sz w:val="32"/>
          <w:szCs w:val="32"/>
          <w:highlight w:val="none"/>
          <w:shd w:val="clear" w:color="auto" w:fill="FFFFFF"/>
          <w:lang w:val="zh-CN" w:eastAsia="zh-CN"/>
        </w:rPr>
        <w:t>（二）部门预算项目绩效分析</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项目总数</w:t>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zh-CN" w:eastAsia="zh-CN" w:bidi="ar-SA"/>
        </w:rPr>
        <w:t>个，涉及预算总金额</w:t>
      </w:r>
      <w:r>
        <w:rPr>
          <w:rFonts w:hint="eastAsia" w:ascii="仿宋_GB2312" w:hAnsi="仿宋_GB2312" w:eastAsia="仿宋_GB2312" w:cs="仿宋_GB2312"/>
          <w:color w:val="auto"/>
          <w:kern w:val="2"/>
          <w:sz w:val="32"/>
          <w:szCs w:val="32"/>
          <w:lang w:val="en-US" w:eastAsia="zh-CN" w:bidi="ar-SA"/>
        </w:rPr>
        <w:t>733.22</w:t>
      </w:r>
      <w:r>
        <w:rPr>
          <w:rFonts w:hint="eastAsia" w:ascii="仿宋_GB2312" w:hAnsi="仿宋_GB2312" w:eastAsia="仿宋_GB2312" w:cs="仿宋_GB2312"/>
          <w:color w:val="auto"/>
          <w:kern w:val="2"/>
          <w:sz w:val="32"/>
          <w:szCs w:val="32"/>
          <w:lang w:val="zh-CN" w:eastAsia="zh-CN" w:bidi="ar-SA"/>
        </w:rPr>
        <w:t>万元，1—12月预算执行总体进度为</w:t>
      </w:r>
      <w:r>
        <w:rPr>
          <w:rFonts w:hint="eastAsia" w:ascii="仿宋_GB2312" w:hAnsi="仿宋_GB2312" w:eastAsia="仿宋_GB2312" w:cs="仿宋_GB2312"/>
          <w:color w:val="auto"/>
          <w:kern w:val="2"/>
          <w:sz w:val="32"/>
          <w:szCs w:val="32"/>
          <w:lang w:val="en-US" w:eastAsia="zh-CN" w:bidi="ar-SA"/>
        </w:rPr>
        <w:t>96.62</w:t>
      </w:r>
      <w:r>
        <w:rPr>
          <w:rFonts w:hint="eastAsia" w:ascii="仿宋_GB2312" w:hAnsi="仿宋_GB2312" w:eastAsia="仿宋_GB2312" w:cs="仿宋_GB2312"/>
          <w:color w:val="auto"/>
          <w:kern w:val="2"/>
          <w:sz w:val="32"/>
          <w:szCs w:val="32"/>
          <w:lang w:val="zh-CN" w:eastAsia="zh-CN" w:bidi="ar-SA"/>
        </w:rPr>
        <w:t>%，其中：预算结余率大于10%的项目共计</w:t>
      </w:r>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zh-CN" w:eastAsia="zh-CN" w:bidi="ar-SA"/>
        </w:rPr>
        <w:t>个，均为采购项目尚在实施中，未达支付条件。</w:t>
      </w:r>
    </w:p>
    <w:p>
      <w:pPr>
        <w:widowControl w:val="0"/>
        <w:numPr>
          <w:numId w:val="0"/>
        </w:numPr>
        <w:wordWrap/>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1.</w:t>
      </w:r>
      <w:r>
        <w:rPr>
          <w:rFonts w:hint="eastAsia" w:ascii="楷体_GB2312" w:hAnsi="楷体_GB2312" w:eastAsia="楷体_GB2312" w:cs="楷体_GB2312"/>
          <w:color w:val="000000"/>
          <w:kern w:val="0"/>
          <w:sz w:val="32"/>
          <w:szCs w:val="32"/>
          <w:highlight w:val="none"/>
          <w:shd w:val="clear" w:color="auto" w:fill="FFFFFF"/>
          <w:lang w:val="zh-CN"/>
        </w:rPr>
        <w:t>项目决策评分12分。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决策程序：该项指标得分=4-未履行事前评估程序的部门预算特定目标类项目数量0÷</w:t>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zh-CN" w:eastAsia="zh-CN" w:bidi="ar-SA"/>
        </w:rPr>
        <w:t>×100%×4=4分。我院预算特定目标类项目总数</w:t>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zh-CN" w:eastAsia="zh-CN" w:bidi="ar-SA"/>
        </w:rPr>
        <w:t>个已全部纳入事前评估。</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目标设置：该项指标得分=4-绩效目标与计划期内的任务量、预算安排不相匹配的部门预算特定目标类项目数量0÷部门预算特定目标类项目总数</w:t>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zh-CN" w:eastAsia="zh-CN" w:bidi="ar-SA"/>
        </w:rPr>
        <w:t>×100%×4=4分。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项目入库：我院在规定时间11月30日前均完成项目入库，该项指标得分=4-规定时间未入财政库部门预算特定目标类项目数量0÷最终安排部门预算特定目标类项目总数</w:t>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zh-CN" w:eastAsia="zh-CN" w:bidi="ar-SA"/>
        </w:rPr>
        <w:t>×100%×4=4分。</w:t>
      </w:r>
    </w:p>
    <w:p>
      <w:pPr>
        <w:widowControl w:val="0"/>
        <w:numPr>
          <w:numId w:val="0"/>
        </w:numPr>
        <w:wordWrap/>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2.</w:t>
      </w:r>
      <w:r>
        <w:rPr>
          <w:rFonts w:hint="eastAsia" w:ascii="楷体_GB2312" w:hAnsi="楷体_GB2312" w:eastAsia="楷体_GB2312" w:cs="楷体_GB2312"/>
          <w:color w:val="000000"/>
          <w:kern w:val="0"/>
          <w:sz w:val="32"/>
          <w:szCs w:val="32"/>
          <w:highlight w:val="none"/>
          <w:shd w:val="clear" w:color="auto" w:fill="FFFFFF"/>
          <w:lang w:val="zh-CN"/>
        </w:rPr>
        <w:t>项目执行评分</w:t>
      </w:r>
      <w:r>
        <w:rPr>
          <w:rFonts w:hint="eastAsia" w:ascii="楷体_GB2312" w:hAnsi="楷体_GB2312" w:eastAsia="楷体_GB2312" w:cs="楷体_GB2312"/>
          <w:color w:val="000000"/>
          <w:kern w:val="0"/>
          <w:sz w:val="32"/>
          <w:szCs w:val="32"/>
          <w:highlight w:val="none"/>
          <w:shd w:val="clear" w:color="auto" w:fill="FFFFFF"/>
          <w:lang w:val="en-US" w:eastAsia="zh-CN"/>
        </w:rPr>
        <w:t>11.2</w:t>
      </w:r>
      <w:r>
        <w:rPr>
          <w:rFonts w:hint="eastAsia" w:ascii="楷体_GB2312" w:hAnsi="楷体_GB2312" w:eastAsia="楷体_GB2312" w:cs="楷体_GB2312"/>
          <w:color w:val="000000"/>
          <w:kern w:val="0"/>
          <w:sz w:val="32"/>
          <w:szCs w:val="32"/>
          <w:highlight w:val="none"/>
          <w:shd w:val="clear" w:color="auto" w:fill="FFFFFF"/>
          <w:lang w:val="zh-CN"/>
        </w:rPr>
        <w:t>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资金执行同向：该项指标得分=4-实际列支内容与绩效目标设置方向不相符的部门预算特定目标类项目数量0÷部门预算特定目标类项目总数</w:t>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zh-CN" w:eastAsia="zh-CN" w:bidi="ar-SA"/>
        </w:rPr>
        <w:t>×100%×4=4分。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项目调整：该项指标得分=4-应采取未采取收回预算、调整目标等处置措施的部门预算特定目标类项目数量0÷应采取收回预算、调整目标等处置措施的部门预算特定目标类项目总数0×100%×4=4分。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执行结果：该项指标得分=预算结余率小于10%的项目数量8÷部门预算项目总数</w:t>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zh-CN" w:eastAsia="zh-CN" w:bidi="ar-SA"/>
        </w:rPr>
        <w:t>×100%×4=</w:t>
      </w:r>
      <w:r>
        <w:rPr>
          <w:rFonts w:hint="eastAsia" w:ascii="仿宋_GB2312" w:hAnsi="仿宋_GB2312" w:eastAsia="仿宋_GB2312" w:cs="仿宋_GB2312"/>
          <w:color w:val="auto"/>
          <w:kern w:val="2"/>
          <w:sz w:val="32"/>
          <w:szCs w:val="32"/>
          <w:lang w:val="en-US" w:eastAsia="zh-CN" w:bidi="ar-SA"/>
        </w:rPr>
        <w:t>3.2</w:t>
      </w:r>
      <w:r>
        <w:rPr>
          <w:rFonts w:hint="eastAsia" w:ascii="仿宋_GB2312" w:hAnsi="仿宋_GB2312" w:eastAsia="仿宋_GB2312" w:cs="仿宋_GB2312"/>
          <w:color w:val="auto"/>
          <w:kern w:val="2"/>
          <w:sz w:val="32"/>
          <w:szCs w:val="32"/>
          <w:lang w:val="zh-CN" w:eastAsia="zh-CN" w:bidi="ar-SA"/>
        </w:rPr>
        <w:t>分。</w:t>
      </w:r>
    </w:p>
    <w:p>
      <w:pPr>
        <w:widowControl w:val="0"/>
        <w:numPr>
          <w:numId w:val="0"/>
        </w:numPr>
        <w:wordWrap/>
        <w:adjustRightInd w:val="0"/>
        <w:snapToGrid w:val="0"/>
        <w:spacing w:line="578" w:lineRule="exact"/>
        <w:ind w:firstLine="640" w:firstLineChars="200"/>
        <w:contextualSpacing/>
        <w:jc w:val="left"/>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3.</w:t>
      </w:r>
      <w:r>
        <w:rPr>
          <w:rFonts w:hint="eastAsia" w:ascii="楷体_GB2312" w:hAnsi="楷体_GB2312" w:eastAsia="楷体_GB2312" w:cs="楷体_GB2312"/>
          <w:color w:val="000000"/>
          <w:kern w:val="0"/>
          <w:sz w:val="32"/>
          <w:szCs w:val="32"/>
          <w:highlight w:val="none"/>
          <w:shd w:val="clear" w:color="auto" w:fill="FFFFFF"/>
          <w:lang w:val="zh-CN"/>
        </w:rPr>
        <w:t>目标实现评分11分</w:t>
      </w:r>
    </w:p>
    <w:p>
      <w:pPr>
        <w:widowControl/>
        <w:wordWrap/>
        <w:adjustRightInd w:val="0"/>
        <w:snapToGrid w:val="0"/>
        <w:spacing w:line="560" w:lineRule="exact"/>
        <w:ind w:right="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zh-CN" w:eastAsia="zh-CN" w:bidi="ar-SA"/>
        </w:rPr>
        <w:t>目标完成：该项指标得分=完成绩效目标数量指标的部门预算特定目标类项目数量</w:t>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zh-CN" w:eastAsia="zh-CN" w:bidi="ar-SA"/>
        </w:rPr>
        <w:t>÷部门预算特定目标类项目总数</w:t>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zh-CN" w:eastAsia="zh-CN" w:bidi="ar-SA"/>
        </w:rPr>
        <w:t>×100%×4=4分。</w:t>
      </w:r>
    </w:p>
    <w:p>
      <w:pPr>
        <w:widowControl/>
        <w:wordWrap/>
        <w:adjustRightInd w:val="0"/>
        <w:snapToGrid w:val="0"/>
        <w:spacing w:line="560" w:lineRule="exact"/>
        <w:ind w:left="0" w:leftChars="0" w:right="0" w:firstLine="640" w:firstLineChars="20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目标偏离：我院特定目标类项目绩效目标实际完成值偏离预期指标30%以内的有</w:t>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zh-CN" w:eastAsia="zh-CN" w:bidi="ar-SA"/>
        </w:rPr>
        <w:t>个，该项指标得分=已完成预期指标值的数量指标中偏离度在30%内的指标个数</w:t>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zh-CN" w:eastAsia="zh-CN" w:bidi="ar-SA"/>
        </w:rPr>
        <w:t>÷已完成预期指标值的数量指标个数</w:t>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zh-CN" w:eastAsia="zh-CN" w:bidi="ar-SA"/>
        </w:rPr>
        <w:t>×100%×4=4分。</w:t>
      </w:r>
    </w:p>
    <w:p>
      <w:pPr>
        <w:widowControl/>
        <w:wordWrap/>
        <w:adjustRightInd w:val="0"/>
        <w:snapToGrid w:val="0"/>
        <w:spacing w:line="560" w:lineRule="exact"/>
        <w:ind w:left="0" w:leftChars="0" w:right="0" w:firstLine="640" w:firstLineChars="20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实现效果：该项指标得分=完成绩效目标效益指标的部门预算特定目标类项目数量</w:t>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zh-CN" w:eastAsia="zh-CN" w:bidi="ar-SA"/>
        </w:rPr>
        <w:t>÷部门预算特定目标类项目总数</w:t>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zh-CN" w:eastAsia="zh-CN" w:bidi="ar-SA"/>
        </w:rPr>
        <w:t>×100%×3=3分。</w:t>
      </w:r>
    </w:p>
    <w:p>
      <w:pPr>
        <w:widowControl/>
        <w:wordWrap/>
        <w:adjustRightInd w:val="0"/>
        <w:snapToGrid w:val="0"/>
        <w:spacing w:line="560" w:lineRule="exact"/>
        <w:ind w:left="0" w:leftChars="0" w:right="0" w:firstLine="643" w:firstLineChars="200"/>
        <w:contextualSpacing/>
        <w:jc w:val="both"/>
        <w:textAlignment w:val="auto"/>
        <w:outlineLvl w:val="9"/>
        <w:rPr>
          <w:rFonts w:hint="eastAsia" w:ascii="仿宋_GB2312" w:hAnsi="仿宋_GB2312" w:eastAsia="仿宋_GB2312" w:cs="仿宋_GB2312"/>
          <w:sz w:val="32"/>
          <w:szCs w:val="32"/>
        </w:rPr>
      </w:pPr>
      <w:r>
        <w:rPr>
          <w:rFonts w:hint="eastAsia" w:ascii="Times New Roman" w:hAnsi="Times New Roman" w:eastAsia="楷体_GB2312" w:cs="Times New Roman"/>
          <w:b/>
          <w:bCs/>
          <w:color w:val="000000"/>
          <w:kern w:val="0"/>
          <w:sz w:val="32"/>
          <w:szCs w:val="32"/>
          <w:highlight w:val="none"/>
          <w:shd w:val="clear" w:color="auto" w:fill="FFFFFF"/>
          <w:lang w:val="zh-CN" w:eastAsia="zh-CN"/>
        </w:rPr>
        <w:t>（三）</w:t>
      </w:r>
      <w:r>
        <w:rPr>
          <w:rFonts w:ascii="Times New Roman" w:hAnsi="Times New Roman" w:eastAsia="楷体_GB2312"/>
          <w:kern w:val="0"/>
          <w:sz w:val="32"/>
          <w:szCs w:val="32"/>
          <w:shd w:val="clear" w:color="auto" w:fill="FFFFFF"/>
          <w:lang w:val="zh-CN"/>
        </w:rPr>
        <w:t>重点领域绩效分析</w:t>
      </w:r>
    </w:p>
    <w:p>
      <w:pPr>
        <w:widowControl/>
        <w:wordWrap/>
        <w:adjustRightInd w:val="0"/>
        <w:snapToGrid w:val="0"/>
        <w:spacing w:line="560" w:lineRule="exact"/>
        <w:ind w:left="0" w:leftChars="0" w:right="0" w:firstLine="640" w:firstLineChars="200"/>
        <w:contextualSpacing/>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我院当年实施政府采购金额</w:t>
      </w:r>
      <w:r>
        <w:rPr>
          <w:rFonts w:hint="eastAsia" w:ascii="仿宋_GB2312" w:hAnsi="仿宋_GB2312" w:eastAsia="仿宋_GB2312" w:cs="仿宋_GB2312"/>
          <w:sz w:val="32"/>
          <w:szCs w:val="32"/>
          <w:lang w:val="en-US" w:eastAsia="zh-CN"/>
        </w:rPr>
        <w:t>168.87</w:t>
      </w:r>
      <w:r>
        <w:rPr>
          <w:rFonts w:hint="eastAsia" w:ascii="仿宋_GB2312" w:hAnsi="仿宋_GB2312" w:eastAsia="仿宋_GB2312" w:cs="仿宋_GB2312"/>
          <w:sz w:val="32"/>
          <w:szCs w:val="32"/>
          <w:lang w:val="zh-CN"/>
        </w:rPr>
        <w:t>万元，其中采购货物</w:t>
      </w:r>
      <w:r>
        <w:rPr>
          <w:rFonts w:hint="eastAsia" w:ascii="仿宋_GB2312" w:hAnsi="仿宋_GB2312" w:eastAsia="仿宋_GB2312" w:cs="仿宋_GB2312"/>
          <w:sz w:val="32"/>
          <w:szCs w:val="32"/>
          <w:lang w:val="en-US" w:eastAsia="zh-CN"/>
        </w:rPr>
        <w:t>11.81</w:t>
      </w:r>
      <w:r>
        <w:rPr>
          <w:rFonts w:hint="eastAsia" w:ascii="仿宋_GB2312" w:hAnsi="仿宋_GB2312" w:eastAsia="仿宋_GB2312" w:cs="仿宋_GB2312"/>
          <w:sz w:val="32"/>
          <w:szCs w:val="32"/>
        </w:rPr>
        <w:t>万元，政府购买服务（卷宗扫描及数据加工外包服务、物业管理服务项目）</w:t>
      </w:r>
      <w:r>
        <w:rPr>
          <w:rFonts w:hint="eastAsia" w:ascii="仿宋_GB2312" w:hAnsi="仿宋_GB2312" w:eastAsia="仿宋_GB2312" w:cs="仿宋_GB2312"/>
          <w:sz w:val="32"/>
          <w:szCs w:val="32"/>
          <w:lang w:val="en-US" w:eastAsia="zh-CN"/>
        </w:rPr>
        <w:t>157.06</w:t>
      </w:r>
      <w:r>
        <w:rPr>
          <w:rFonts w:hint="eastAsia" w:ascii="仿宋_GB2312" w:hAnsi="仿宋_GB2312" w:eastAsia="仿宋_GB2312" w:cs="仿宋_GB2312"/>
          <w:sz w:val="32"/>
          <w:szCs w:val="32"/>
        </w:rPr>
        <w:t>万元。其中，有关采购货物类项目均执行完毕并验收合格，资金支付及时，良好的保障了办案各项设备的使用；政府购买服务包括卷宗扫描及数据加工外包服务项目和续签物业管理服务，均为跨年度实施项目，我院已按照项目序时进度及合同约定进行款项支付。</w:t>
      </w:r>
    </w:p>
    <w:p>
      <w:pPr>
        <w:widowControl/>
        <w:adjustRightInd w:val="0"/>
        <w:snapToGrid w:val="0"/>
        <w:spacing w:line="560" w:lineRule="exact"/>
        <w:contextualSpacing/>
        <w:rPr>
          <w:rFonts w:hint="eastAsia" w:ascii="Times New Roman" w:hAnsi="Times New Roman" w:eastAsia="楷体_GB2312" w:cs="Times New Roman"/>
          <w:b/>
          <w:bCs/>
          <w:color w:val="000000"/>
          <w:kern w:val="0"/>
          <w:sz w:val="32"/>
          <w:szCs w:val="32"/>
          <w:highlight w:val="none"/>
          <w:shd w:val="clear" w:color="auto" w:fill="FFFFFF"/>
          <w:lang w:val="zh-CN" w:eastAsia="zh-CN"/>
        </w:rPr>
      </w:pPr>
      <w:r>
        <w:rPr>
          <w:rFonts w:hint="eastAsia" w:ascii="Times New Roman" w:hAnsi="Times New Roman" w:eastAsia="楷体_GB2312" w:cs="Times New Roman"/>
          <w:b/>
          <w:bCs/>
          <w:color w:val="000000"/>
          <w:kern w:val="0"/>
          <w:sz w:val="32"/>
          <w:szCs w:val="32"/>
          <w:highlight w:val="none"/>
          <w:shd w:val="clear" w:color="auto" w:fill="FFFFFF"/>
          <w:lang w:val="en-US" w:eastAsia="zh-CN"/>
        </w:rPr>
        <w:t xml:space="preserve">   </w:t>
      </w:r>
      <w:r>
        <w:rPr>
          <w:rFonts w:hint="eastAsia" w:ascii="Times New Roman" w:hAnsi="Times New Roman" w:eastAsia="楷体_GB2312" w:cs="Times New Roman"/>
          <w:b/>
          <w:bCs/>
          <w:color w:val="000000"/>
          <w:kern w:val="0"/>
          <w:sz w:val="32"/>
          <w:szCs w:val="32"/>
          <w:highlight w:val="none"/>
          <w:shd w:val="clear" w:color="auto" w:fill="FFFFFF"/>
          <w:lang w:val="zh-CN" w:eastAsia="zh-CN"/>
        </w:rPr>
        <w:t>（四）绩效结果应用情况</w:t>
      </w:r>
    </w:p>
    <w:p>
      <w:pPr>
        <w:widowControl w:val="0"/>
        <w:numPr>
          <w:numId w:val="0"/>
        </w:numPr>
        <w:wordWrap/>
        <w:adjustRightInd w:val="0"/>
        <w:snapToGrid w:val="0"/>
        <w:spacing w:line="560" w:lineRule="exact"/>
        <w:ind w:left="0" w:leftChars="0" w:right="0"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zh-CN"/>
        </w:rPr>
        <w:t>1.绩效结果内部应用</w:t>
      </w:r>
    </w:p>
    <w:p>
      <w:pPr>
        <w:widowControl/>
        <w:wordWrap/>
        <w:adjustRightInd w:val="0"/>
        <w:snapToGrid w:val="0"/>
        <w:spacing w:line="560" w:lineRule="exact"/>
        <w:ind w:left="0" w:leftChars="0" w:right="0" w:firstLine="420" w:firstLineChars="200"/>
        <w:contextualSpacing/>
        <w:jc w:val="both"/>
        <w:textAlignment w:val="auto"/>
        <w:outlineLvl w:val="9"/>
        <w:rPr>
          <w:rFonts w:hint="eastAsia" w:ascii="仿宋_GB2312" w:hAnsi="宋体" w:cs="宋体"/>
          <w:color w:val="000000"/>
          <w:kern w:val="0"/>
          <w:szCs w:val="32"/>
          <w:shd w:val="clear" w:color="auto" w:fill="FFFFFF"/>
        </w:rPr>
      </w:pPr>
      <w:r>
        <w:rPr>
          <w:rFonts w:hint="eastAsia" w:ascii="仿宋_GB2312" w:hAnsi="宋体" w:cs="宋体"/>
          <w:color w:val="000000"/>
          <w:kern w:val="0"/>
          <w:szCs w:val="32"/>
          <w:shd w:val="clear" w:color="auto" w:fill="FFFFFF"/>
        </w:rPr>
        <w:t xml:space="preserve">  </w:t>
      </w:r>
      <w:r>
        <w:rPr>
          <w:rFonts w:hint="eastAsia" w:ascii="仿宋_GB2312" w:hAnsi="仿宋_GB2312" w:eastAsia="仿宋_GB2312" w:cs="仿宋_GB2312"/>
          <w:color w:val="auto"/>
          <w:kern w:val="2"/>
          <w:sz w:val="32"/>
          <w:szCs w:val="32"/>
          <w:lang w:val="zh-CN" w:eastAsia="zh-CN" w:bidi="ar-SA"/>
        </w:rPr>
        <w:t>建立《广元市中级人民法院预算绩效管理暂行办法》、《四川省广元市中级人民法院绩效评价结果应用办法》等制度，完善绩效管理考评机制，将各部门绩效自评纳入考核体系，提升各部门绩效考核工作积极性和主动性，增强预算绩效管理意识。</w:t>
      </w:r>
    </w:p>
    <w:p>
      <w:pPr>
        <w:widowControl w:val="0"/>
        <w:numPr>
          <w:numId w:val="0"/>
        </w:numPr>
        <w:wordWrap/>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zh-CN"/>
        </w:rPr>
        <w:t>2.绩效自评信息公开</w:t>
      </w:r>
    </w:p>
    <w:p>
      <w:pPr>
        <w:widowControl/>
        <w:wordWrap/>
        <w:adjustRightInd w:val="0"/>
        <w:snapToGrid w:val="0"/>
        <w:spacing w:line="560" w:lineRule="exact"/>
        <w:ind w:left="0" w:leftChars="0" w:right="0" w:firstLine="640" w:firstLineChars="20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在门户网站上及时、规范公开部门整体绩效自评和项目绩效自评情况，接受社会监督，提升预算绩效管理工作水平，提高财政资金使用效益。</w:t>
      </w:r>
    </w:p>
    <w:p>
      <w:pPr>
        <w:widowControl w:val="0"/>
        <w:numPr>
          <w:numId w:val="0"/>
        </w:numPr>
        <w:wordWrap/>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zh-CN"/>
        </w:rPr>
        <w:t>3.绩效结果问题整改</w:t>
      </w:r>
    </w:p>
    <w:p>
      <w:pPr>
        <w:widowControl/>
        <w:wordWrap/>
        <w:adjustRightInd w:val="0"/>
        <w:snapToGrid w:val="0"/>
        <w:spacing w:line="560" w:lineRule="exact"/>
        <w:ind w:left="0" w:leftChars="0" w:right="0" w:firstLine="640" w:firstLineChars="20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加强部门绩效管理，并及时将绩效管理及评价结果反馈给各评价部门及项目负责部门，督促积极整改、完善存在问题，并作为下年预算申报的参考依据。</w:t>
      </w:r>
    </w:p>
    <w:p>
      <w:pPr>
        <w:widowControl w:val="0"/>
        <w:numPr>
          <w:numId w:val="0"/>
        </w:numPr>
        <w:wordWrap/>
        <w:adjustRightInd w:val="0"/>
        <w:snapToGrid w:val="0"/>
        <w:spacing w:line="560" w:lineRule="exact"/>
        <w:ind w:left="0" w:leftChars="0" w:right="0" w:firstLine="640" w:firstLineChars="200"/>
        <w:contextualSpacing/>
        <w:jc w:val="both"/>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zh-CN"/>
        </w:rPr>
        <w:t>4.绩效结果应用反馈</w:t>
      </w:r>
    </w:p>
    <w:p>
      <w:pPr>
        <w:wordWrap/>
        <w:snapToGrid w:val="0"/>
        <w:spacing w:line="560" w:lineRule="exact"/>
        <w:ind w:left="0" w:leftChars="0" w:right="0" w:firstLine="640" w:firstLineChars="200"/>
        <w:jc w:val="both"/>
        <w:textAlignment w:val="auto"/>
        <w:outlineLvl w:val="9"/>
        <w:rPr>
          <w:rFonts w:hint="eastAsia" w:ascii="仿宋_GB2312"/>
          <w:color w:val="000000"/>
          <w:kern w:val="0"/>
          <w:szCs w:val="32"/>
          <w:shd w:val="clear" w:color="auto" w:fill="FFFFFF"/>
          <w:lang w:val="zh-CN"/>
        </w:rPr>
      </w:pPr>
      <w:r>
        <w:rPr>
          <w:rFonts w:hint="eastAsia" w:ascii="仿宋_GB2312" w:hAnsi="仿宋_GB2312" w:eastAsia="仿宋_GB2312" w:cs="仿宋_GB2312"/>
          <w:color w:val="auto"/>
          <w:kern w:val="2"/>
          <w:sz w:val="32"/>
          <w:szCs w:val="32"/>
          <w:lang w:val="zh-CN" w:eastAsia="zh-CN" w:bidi="ar-SA"/>
        </w:rPr>
        <w:t>有效落实财政、审计等提出的绩效评价结果应用的意见和建议，并及时向督察部门反馈应用绩效结果，促进绩效管理工作提质增效。</w:t>
      </w:r>
    </w:p>
    <w:p>
      <w:pPr>
        <w:widowControl/>
        <w:numPr>
          <w:numId w:val="0"/>
        </w:numPr>
        <w:wordWrap/>
        <w:adjustRightInd w:val="0"/>
        <w:snapToGrid w:val="0"/>
        <w:spacing w:line="578" w:lineRule="exact"/>
        <w:ind w:firstLine="640" w:firstLineChars="200"/>
        <w:contextualSpacing/>
        <w:jc w:val="left"/>
        <w:textAlignment w:val="auto"/>
        <w:outlineLvl w:val="9"/>
        <w:rPr>
          <w:rFonts w:hint="eastAsia" w:eastAsia="黑体" w:cs="Times New Roman"/>
          <w:color w:val="000000"/>
          <w:kern w:val="0"/>
          <w:sz w:val="32"/>
          <w:szCs w:val="32"/>
          <w:highlight w:val="none"/>
          <w:shd w:val="clear" w:color="auto" w:fill="FFFFFF"/>
          <w:lang w:val="zh-CN"/>
        </w:rPr>
      </w:pPr>
      <w:r>
        <w:rPr>
          <w:rFonts w:hint="eastAsia" w:eastAsia="黑体" w:cs="Times New Roman"/>
          <w:color w:val="000000"/>
          <w:kern w:val="0"/>
          <w:sz w:val="32"/>
          <w:szCs w:val="32"/>
          <w:highlight w:val="none"/>
          <w:shd w:val="clear" w:color="auto" w:fill="FFFFFF"/>
          <w:lang w:val="zh-CN"/>
        </w:rPr>
        <w:t>四、评价结论及建议</w:t>
      </w:r>
    </w:p>
    <w:p>
      <w:pPr>
        <w:widowControl/>
        <w:wordWrap/>
        <w:adjustRightInd w:val="0"/>
        <w:snapToGrid w:val="0"/>
        <w:spacing w:line="578" w:lineRule="exact"/>
        <w:ind w:firstLine="643" w:firstLineChars="200"/>
        <w:contextualSpacing/>
        <w:jc w:val="left"/>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（一）评价结论</w:t>
      </w:r>
    </w:p>
    <w:p>
      <w:pPr>
        <w:wordWrap/>
        <w:snapToGrid w:val="0"/>
        <w:spacing w:line="560" w:lineRule="exact"/>
        <w:ind w:left="0" w:leftChars="0" w:right="0" w:firstLine="640" w:firstLineChars="200"/>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按照绩效评价相关文件要求，我院积极开展预算绩效评价工作，对部门整体支出和相关项目展开了绩效自评，以绩效评价实时跟踪监控预算执行情况，及时纠正项目资金使用偏差，保障预算执行力度，优化资金使用效率。</w:t>
      </w:r>
    </w:p>
    <w:p>
      <w:pPr>
        <w:wordWrap/>
        <w:snapToGrid w:val="0"/>
        <w:spacing w:line="560" w:lineRule="exact"/>
        <w:ind w:left="0" w:leftChars="0" w:right="0" w:firstLine="640" w:firstLineChars="200"/>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通过本次整体支出绩效自评，评价得分为93.</w:t>
      </w:r>
      <w:r>
        <w:rPr>
          <w:rFonts w:hint="eastAsia" w:ascii="仿宋_GB2312" w:hAnsi="仿宋_GB2312" w:eastAsia="仿宋_GB2312" w:cs="仿宋_GB2312"/>
          <w:color w:val="auto"/>
          <w:kern w:val="2"/>
          <w:sz w:val="32"/>
          <w:szCs w:val="32"/>
          <w:lang w:val="en-US" w:eastAsia="zh-CN" w:bidi="ar-SA"/>
        </w:rPr>
        <w:t>24</w:t>
      </w:r>
      <w:r>
        <w:rPr>
          <w:rFonts w:hint="eastAsia" w:ascii="仿宋_GB2312" w:hAnsi="仿宋_GB2312" w:eastAsia="仿宋_GB2312" w:cs="仿宋_GB2312"/>
          <w:color w:val="auto"/>
          <w:kern w:val="2"/>
          <w:sz w:val="32"/>
          <w:szCs w:val="32"/>
          <w:lang w:val="zh-CN" w:eastAsia="zh-CN" w:bidi="ar-SA"/>
        </w:rPr>
        <w:t>分。</w:t>
      </w:r>
    </w:p>
    <w:p>
      <w:pPr>
        <w:widowControl/>
        <w:wordWrap/>
        <w:adjustRightInd w:val="0"/>
        <w:snapToGrid w:val="0"/>
        <w:spacing w:line="560" w:lineRule="exact"/>
        <w:ind w:left="0" w:leftChars="0" w:right="0" w:firstLine="643" w:firstLineChars="200"/>
        <w:contextualSpacing/>
        <w:jc w:val="left"/>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（二）存在问题</w:t>
      </w:r>
    </w:p>
    <w:p>
      <w:pPr>
        <w:widowControl/>
        <w:wordWrap/>
        <w:adjustRightInd w:val="0"/>
        <w:snapToGrid w:val="0"/>
        <w:spacing w:line="560" w:lineRule="exact"/>
        <w:ind w:left="0" w:leftChars="0" w:right="0" w:firstLine="420" w:firstLineChars="200"/>
        <w:contextualSpacing/>
        <w:jc w:val="both"/>
        <w:textAlignment w:val="auto"/>
        <w:outlineLvl w:val="9"/>
        <w:rPr>
          <w:rFonts w:hint="eastAsia" w:ascii="仿宋_GB2312" w:hAnsi="仿宋_GB2312" w:eastAsia="仿宋_GB2312" w:cs="仿宋_GB2312"/>
          <w:color w:val="auto"/>
          <w:kern w:val="2"/>
          <w:sz w:val="32"/>
          <w:szCs w:val="32"/>
          <w:lang w:val="zh-CN" w:eastAsia="zh-CN" w:bidi="ar-SA"/>
        </w:rPr>
      </w:pPr>
      <w:r>
        <w:rPr>
          <w:rFonts w:hint="eastAsia" w:ascii="仿宋_GB2312"/>
          <w:szCs w:val="32"/>
        </w:rPr>
        <w:t xml:space="preserve">  </w:t>
      </w:r>
      <w:r>
        <w:rPr>
          <w:rFonts w:hint="eastAsia" w:ascii="仿宋_GB2312" w:hAnsi="仿宋_GB2312" w:eastAsia="仿宋_GB2312" w:cs="仿宋_GB2312"/>
          <w:color w:val="auto"/>
          <w:kern w:val="2"/>
          <w:sz w:val="32"/>
          <w:szCs w:val="32"/>
          <w:lang w:val="zh-CN" w:eastAsia="zh-CN" w:bidi="ar-SA"/>
        </w:rPr>
        <w:t>绩效管理意识薄弱。部门内部预算资金绩效管理意识淡薄，联动性不足，普遍认为财政资金预算和使用是财务部门的分内工作，对部门内实施的项目绩效监控和管理能动性不充分，个别项目推进较为缓慢。</w:t>
      </w:r>
    </w:p>
    <w:p>
      <w:pPr>
        <w:widowControl/>
        <w:wordWrap/>
        <w:adjustRightInd w:val="0"/>
        <w:snapToGrid w:val="0"/>
        <w:spacing w:line="578" w:lineRule="exact"/>
        <w:ind w:firstLine="643" w:firstLineChars="200"/>
        <w:contextualSpacing/>
        <w:jc w:val="left"/>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eastAsia="zh-CN"/>
        </w:rPr>
      </w:pPr>
      <w:r>
        <w:rPr>
          <w:rFonts w:hint="eastAsia" w:ascii="Times New Roman" w:hAnsi="Times New Roman" w:eastAsia="楷体_GB2312" w:cs="Times New Roman"/>
          <w:b/>
          <w:bCs/>
          <w:color w:val="000000"/>
          <w:kern w:val="0"/>
          <w:sz w:val="32"/>
          <w:szCs w:val="32"/>
          <w:highlight w:val="none"/>
          <w:shd w:val="clear" w:color="auto" w:fill="FFFFFF"/>
          <w:lang w:val="zh-CN" w:eastAsia="zh-CN"/>
        </w:rPr>
        <w:t>（三）改进建议</w:t>
      </w:r>
    </w:p>
    <w:p>
      <w:pPr>
        <w:pStyle w:val="28"/>
        <w:wordWrap/>
        <w:spacing w:line="360" w:lineRule="auto"/>
        <w:ind w:right="0" w:firstLine="704" w:firstLineChars="220"/>
        <w:jc w:val="both"/>
        <w:textAlignment w:val="auto"/>
        <w:rPr>
          <w:rFonts w:hint="eastAsia" w:ascii="仿宋_GB2312" w:eastAsia="仿宋_GB2312"/>
          <w:sz w:val="32"/>
          <w:szCs w:val="32"/>
        </w:rPr>
      </w:pPr>
      <w:r>
        <w:rPr>
          <w:rFonts w:hint="eastAsia" w:ascii="楷体_GB2312" w:hAnsi="楷体_GB2312" w:eastAsia="楷体_GB2312" w:cs="楷体_GB2312"/>
          <w:color w:val="000000"/>
          <w:kern w:val="0"/>
          <w:sz w:val="32"/>
          <w:szCs w:val="32"/>
          <w:highlight w:val="none"/>
          <w:shd w:val="clear" w:color="auto" w:fill="FFFFFF"/>
          <w:lang w:val="zh-CN" w:eastAsia="zh-CN" w:bidi="ar-SA"/>
        </w:rPr>
        <w:t>1.加强预算控制力，细化预算编制工作。</w:t>
      </w:r>
      <w:r>
        <w:rPr>
          <w:rFonts w:hint="eastAsia" w:ascii="仿宋_GB2312" w:eastAsia="仿宋_GB2312"/>
          <w:sz w:val="32"/>
          <w:szCs w:val="32"/>
        </w:rPr>
        <w:t>进一步加强部门预算管理意识，严格遵守预算编制的相关制度和要求，认真做好编制前的准备工作，根据单位的年度工作重点和项目专项工作规划合理安排公用经费和项目资金，本着“厉行节约、保障运转”的原则编制单位预算，提高预算编制的科学性、有限性、严谨性和可控性。强化对部门预算执行情况的监督，加强对基本支出资金的合法性、合规性、效益性进行跟踪监督，增强预算约束力与控制力。</w:t>
      </w:r>
    </w:p>
    <w:p>
      <w:pPr>
        <w:pStyle w:val="2"/>
        <w:wordWrap/>
        <w:spacing w:after="0" w:line="360" w:lineRule="auto"/>
        <w:ind w:left="0" w:leftChars="0" w:right="0" w:firstLine="640" w:firstLineChars="200"/>
        <w:jc w:val="both"/>
        <w:textAlignment w:val="auto"/>
        <w:rPr>
          <w:rFonts w:hint="eastAsia" w:ascii="仿宋_GB2312" w:hAnsi="Calibri" w:eastAsia="仿宋_GB2312" w:cs="Calibri"/>
          <w:kern w:val="2"/>
          <w:sz w:val="32"/>
          <w:szCs w:val="32"/>
          <w:lang w:val="en-US" w:eastAsia="zh-CN" w:bidi="ar-SA"/>
        </w:rPr>
      </w:pPr>
      <w:r>
        <w:rPr>
          <w:rFonts w:hint="eastAsia" w:ascii="楷体_GB2312" w:hAnsi="楷体_GB2312" w:eastAsia="楷体_GB2312" w:cs="楷体_GB2312"/>
          <w:color w:val="000000"/>
          <w:kern w:val="0"/>
          <w:sz w:val="32"/>
          <w:szCs w:val="32"/>
          <w:highlight w:val="none"/>
          <w:shd w:val="clear" w:color="auto" w:fill="FFFFFF"/>
          <w:lang w:val="zh-CN" w:eastAsia="zh-CN" w:bidi="ar-SA"/>
        </w:rPr>
        <w:t>2.加强预算绩效监控，加快预算执行进度。</w:t>
      </w:r>
      <w:r>
        <w:rPr>
          <w:rFonts w:hint="eastAsia" w:ascii="仿宋_GB2312" w:hAnsi="Calibri" w:eastAsia="仿宋_GB2312" w:cs="Calibri"/>
          <w:kern w:val="2"/>
          <w:sz w:val="32"/>
          <w:szCs w:val="32"/>
          <w:lang w:val="en-US" w:eastAsia="zh-CN" w:bidi="ar-SA"/>
        </w:rPr>
        <w:t>切实加强单位内部各部门预算绩效管理宣传工作，牢固树立绩效管理理念和花钱必问效意识，明确“谁花钱谁负责”的原则，进一步落实项目绩效监管，稳步推进项目执行进度，对偏离绩效目标的项目及时纠偏，统筹推进项目资金支付进度，提高财政资金使用效益。</w:t>
      </w:r>
    </w:p>
    <w:p>
      <w:pPr>
        <w:ind w:firstLine="420" w:firstLineChars="200"/>
      </w:pPr>
    </w:p>
    <w:p>
      <w:pPr>
        <w:pStyle w:val="2"/>
        <w:spacing w:line="540" w:lineRule="exact"/>
        <w:ind w:left="0" w:leftChars="0" w:firstLine="0" w:firstLineChars="0"/>
      </w:pPr>
    </w:p>
    <w:p>
      <w:pPr>
        <w:pStyle w:val="2"/>
        <w:spacing w:line="540" w:lineRule="exact"/>
        <w:ind w:left="640" w:firstLine="640"/>
      </w:pPr>
      <w:r>
        <w:rPr>
          <w:rFonts w:hint="eastAsia"/>
          <w:lang w:val="en-US" w:eastAsia="zh-CN"/>
        </w:rPr>
        <w:t xml:space="preserve">    </w:t>
      </w:r>
    </w:p>
    <w:p>
      <w:pPr>
        <w:pStyle w:val="2"/>
        <w:wordWrap/>
        <w:spacing w:after="0" w:line="360" w:lineRule="auto"/>
        <w:ind w:left="0" w:leftChars="0" w:right="0" w:firstLine="0" w:firstLineChars="0"/>
        <w:jc w:val="right"/>
        <w:textAlignment w:val="auto"/>
        <w:rPr>
          <w:rFonts w:hint="eastAsia" w:ascii="仿宋_GB2312" w:hAnsi="Calibri" w:eastAsia="仿宋_GB2312" w:cs="Calibri"/>
          <w:kern w:val="2"/>
          <w:sz w:val="32"/>
          <w:szCs w:val="32"/>
          <w:lang w:val="en-US" w:eastAsia="zh-CN" w:bidi="ar-SA"/>
        </w:rPr>
      </w:pPr>
      <w:r>
        <w:rPr>
          <w:rFonts w:hint="eastAsia" w:ascii="仿宋_GB2312" w:hAnsi="Calibri" w:eastAsia="仿宋_GB2312" w:cs="Calibri"/>
          <w:kern w:val="2"/>
          <w:sz w:val="32"/>
          <w:szCs w:val="32"/>
          <w:lang w:val="en-US" w:eastAsia="zh-CN" w:bidi="ar-SA"/>
        </w:rPr>
        <w:t xml:space="preserve"> 四川省广元市中级人民法院     </w:t>
      </w:r>
    </w:p>
    <w:p>
      <w:pPr>
        <w:pStyle w:val="2"/>
        <w:wordWrap/>
        <w:spacing w:after="0" w:line="360" w:lineRule="auto"/>
        <w:ind w:left="0" w:leftChars="0" w:right="0" w:firstLine="0" w:firstLineChars="0"/>
        <w:jc w:val="center"/>
        <w:textAlignment w:val="auto"/>
        <w:rPr>
          <w:rFonts w:hint="eastAsia" w:ascii="仿宋_GB2312" w:hAnsi="Calibri" w:eastAsia="仿宋_GB2312" w:cs="Calibri"/>
          <w:kern w:val="2"/>
          <w:sz w:val="32"/>
          <w:szCs w:val="32"/>
          <w:lang w:val="en-US" w:eastAsia="zh-CN" w:bidi="ar-SA"/>
        </w:rPr>
        <w:sectPr>
          <w:pgSz w:w="11906" w:h="16838"/>
          <w:pgMar w:top="1440" w:right="1800" w:bottom="1440" w:left="1800" w:header="720" w:footer="720" w:gutter="0"/>
          <w:pgNumType w:fmt="decimal" w:start="1"/>
          <w:cols w:space="720" w:num="1"/>
          <w:docGrid w:type="lines" w:linePitch="312" w:charSpace="0"/>
        </w:sectPr>
      </w:pPr>
      <w:r>
        <w:rPr>
          <w:rFonts w:hint="eastAsia" w:eastAsia="仿宋_GB2312" w:cs="Calibri"/>
          <w:kern w:val="2"/>
          <w:sz w:val="32"/>
          <w:szCs w:val="32"/>
          <w:lang w:val="en-US" w:eastAsia="zh-CN" w:bidi="ar-SA"/>
        </w:rPr>
        <w:t xml:space="preserve">                           </w:t>
      </w:r>
      <w:r>
        <w:rPr>
          <w:rFonts w:hint="eastAsia" w:ascii="仿宋_GB2312" w:hAnsi="Calibri" w:eastAsia="仿宋_GB2312" w:cs="Calibri"/>
          <w:kern w:val="2"/>
          <w:sz w:val="32"/>
          <w:szCs w:val="32"/>
          <w:lang w:val="en-US" w:eastAsia="zh-CN" w:bidi="ar-SA"/>
        </w:rPr>
        <w:t>2025年4月10日</w:t>
      </w:r>
    </w:p>
    <w:p>
      <w:pPr>
        <w:pStyle w:val="2"/>
        <w:numPr>
          <w:numId w:val="0"/>
        </w:numPr>
        <w:wordWrap/>
        <w:spacing w:line="560" w:lineRule="exact"/>
        <w:ind w:left="0" w:leftChars="0" w:firstLine="0" w:firstLineChars="0"/>
        <w:jc w:val="left"/>
        <w:textAlignment w:val="auto"/>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zh-CN" w:eastAsia="zh-CN"/>
        </w:rPr>
        <w:t>附表：</w:t>
      </w:r>
    </w:p>
    <w:tbl>
      <w:tblPr>
        <w:tblStyle w:val="25"/>
        <w:tblW w:w="883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5"/>
        <w:gridCol w:w="426"/>
        <w:gridCol w:w="163"/>
        <w:gridCol w:w="939"/>
        <w:gridCol w:w="181"/>
        <w:gridCol w:w="781"/>
        <w:gridCol w:w="328"/>
        <w:gridCol w:w="797"/>
        <w:gridCol w:w="86"/>
        <w:gridCol w:w="10"/>
        <w:gridCol w:w="20"/>
        <w:gridCol w:w="80"/>
        <w:gridCol w:w="167"/>
        <w:gridCol w:w="93"/>
        <w:gridCol w:w="50"/>
        <w:gridCol w:w="10"/>
        <w:gridCol w:w="60"/>
        <w:gridCol w:w="10"/>
        <w:gridCol w:w="32"/>
        <w:gridCol w:w="18"/>
        <w:gridCol w:w="307"/>
        <w:gridCol w:w="443"/>
        <w:gridCol w:w="604"/>
        <w:gridCol w:w="72"/>
        <w:gridCol w:w="258"/>
        <w:gridCol w:w="496"/>
        <w:gridCol w:w="80"/>
        <w:gridCol w:w="105"/>
        <w:gridCol w:w="84"/>
        <w:gridCol w:w="231"/>
        <w:gridCol w:w="234"/>
        <w:gridCol w:w="50"/>
        <w:gridCol w:w="416"/>
        <w:gridCol w:w="1105"/>
        <w:gridCol w:w="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880" w:hRule="atLeast"/>
        </w:trPr>
        <w:tc>
          <w:tcPr>
            <w:tcW w:w="8820" w:type="dxa"/>
            <w:gridSpan w:val="3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四川省广元市中级人民法院部门</w:t>
            </w:r>
          </w:p>
        </w:tc>
        <w:tc>
          <w:tcPr>
            <w:tcW w:w="681" w:type="dxa"/>
            <w:gridSpan w:val="3"/>
            <w:tcBorders>
              <w:top w:val="nil"/>
              <w:left w:val="nil"/>
              <w:bottom w:val="nil"/>
              <w:right w:val="nil"/>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20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项目基本情况</w:t>
            </w: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1.项目年度目标完成情况</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项目年度目标</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严格执行相关政策，保障工资及时、足额发放或社保及时、足额缴纳，预算编制科学合理，减少结余资金。</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我院严格按照文件要求，做好干警工资发放相关工作，保证及时、足额发放工资福利。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9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2.项目实施内容及过程概述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我院严格按照文件要求，做好干警工资发放相关工作，保证及时、足额发放工资福利。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3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预算执行情况（10分）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年度预算数（万元）</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调整后预算数</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预算执行数</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预算执行率</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8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总额</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20.77</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20.77</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420"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其中：财政资金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20.77</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20.77</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财政专户管理资金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93"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单位资金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绩效指标（90分）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指标性质</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度量单位</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完成值</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发放（缴纳）覆盖率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足额保障率（参保率）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6616" w:type="dxa"/>
            <w:gridSpan w:val="2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评价结论</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我院严格按照文件要求，做好干警工资发放相关工作，保证及时、足额发放工资福利。自评100分。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存在问题</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改进措施</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558"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项目负责人：王倩</w:t>
            </w:r>
          </w:p>
        </w:tc>
        <w:tc>
          <w:tcPr>
            <w:tcW w:w="4262"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9"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415" w:type="dxa"/>
            <w:gridSpan w:val="1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2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47"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30"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81"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1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284"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880" w:hRule="atLeast"/>
        </w:trPr>
        <w:tc>
          <w:tcPr>
            <w:tcW w:w="8820" w:type="dxa"/>
            <w:gridSpan w:val="3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51080022R000006844873-退休“中人”一次性退休补贴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四川省广元市中级人民法院部门</w:t>
            </w:r>
          </w:p>
        </w:tc>
        <w:tc>
          <w:tcPr>
            <w:tcW w:w="681" w:type="dxa"/>
            <w:gridSpan w:val="3"/>
            <w:tcBorders>
              <w:top w:val="nil"/>
              <w:left w:val="nil"/>
              <w:bottom w:val="nil"/>
              <w:right w:val="nil"/>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20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项目基本情况</w:t>
            </w: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1.项目年度目标完成情况</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项目年度目标</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严格执行相关政策，保障工资及时、足额发放或社保及时、足额缴纳，预算编制科学合理，减少结余资金。</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我院严格按照文件要求，及时发放退休“中人”一次性退休补贴，保障退休人员福利。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9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2.项目实施内容及过程概述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我院严格按照文件要求，及时发放退休“中人”一次性退休补贴，保障退休人员福利。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3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预算执行情况（10分）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年度预算数（万元）</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调整后预算数</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预算执行数</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预算执行率</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8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总额</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21.00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21.00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420"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其中：财政资金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21.00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21.00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财政专户管理资金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93"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单位资金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绩效指标（90分）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指标性质</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度量单位</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完成值</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发放（缴纳）覆盖率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足额保障率（参保率）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6616" w:type="dxa"/>
            <w:gridSpan w:val="2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15" w:type="dxa"/>
            <w:gridSpan w:val="2"/>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284" w:type="dxa"/>
            <w:gridSpan w:val="2"/>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nil"/>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评价结论</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我院严格按照文件要求，及时发放退休“中人”一次性退休补贴，保障退休人员福利。自评100分。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存在问题</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改进措施</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558"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项目负责人：王倩</w:t>
            </w:r>
          </w:p>
        </w:tc>
        <w:tc>
          <w:tcPr>
            <w:tcW w:w="4262"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9"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415" w:type="dxa"/>
            <w:gridSpan w:val="1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2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47"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30"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81"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1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284"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880" w:hRule="atLeast"/>
        </w:trPr>
        <w:tc>
          <w:tcPr>
            <w:tcW w:w="8820" w:type="dxa"/>
            <w:gridSpan w:val="3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四川省广元市中级人民法院部门</w:t>
            </w:r>
          </w:p>
        </w:tc>
        <w:tc>
          <w:tcPr>
            <w:tcW w:w="681" w:type="dxa"/>
            <w:gridSpan w:val="3"/>
            <w:tcBorders>
              <w:top w:val="nil"/>
              <w:left w:val="nil"/>
              <w:bottom w:val="nil"/>
              <w:right w:val="nil"/>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20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项目基本情况</w:t>
            </w: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1.项目年度目标完成情况</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项目年度目标</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705"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提高预算编制质量，严格执行预算，保障单位日常运转。</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我院严格按照相关文件，做好公用经费执行工作，保障单位日常运转。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9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2.项目实施内容及过程概述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我院严格按照相关文件，做好公用经费执行工作，保障单位日常运转。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3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预算执行情况（10分）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年度预算数（万元）</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调整后预算数</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预算执行数</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预算执行率</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8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总额</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420"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其中：财政资金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财政专户管理资金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93"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单位资金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绩效指标（90分）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指标性质</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度量单位</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完成值</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科目调整次数</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次</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质量指标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预算编制准确率（计算方法为：∣（执行数-预算数）/预算数∣）</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528"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经济效益指标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“三公经费”控制率[计算方法为：（三公经费实际支出数/预算安排数]×100%）</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运转保障率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6616" w:type="dxa"/>
            <w:gridSpan w:val="2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评价结论</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我院严格按照相关文件，做好公用经费执行工作，保障单位日常运转。自评100分。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存在问题</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改进措施</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558"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项目负责人：王倩</w:t>
            </w:r>
          </w:p>
        </w:tc>
        <w:tc>
          <w:tcPr>
            <w:tcW w:w="4262"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9"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415" w:type="dxa"/>
            <w:gridSpan w:val="1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2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47"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30"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81"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1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284"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880" w:hRule="atLeast"/>
        </w:trPr>
        <w:tc>
          <w:tcPr>
            <w:tcW w:w="8820" w:type="dxa"/>
            <w:gridSpan w:val="3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四川省广元市中级人民法院部门</w:t>
            </w:r>
          </w:p>
        </w:tc>
        <w:tc>
          <w:tcPr>
            <w:tcW w:w="681" w:type="dxa"/>
            <w:gridSpan w:val="3"/>
            <w:tcBorders>
              <w:top w:val="nil"/>
              <w:left w:val="nil"/>
              <w:bottom w:val="nil"/>
              <w:right w:val="nil"/>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20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项目基本情况</w:t>
            </w: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1.项目年度目标完成情况</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项目年度目标</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705"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严格执行相关政策，保障工资及时、足额发放或社保及时、足额缴纳，预算编制科学合理，减少结余资金。</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我院及时、足额发放年度考核奖，完成预算执行。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9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2.项目实施内容及过程概述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我院及时、足额发放年度考核奖，完成预算执行。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3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预算执行情况（10分）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年度预算数（万元）</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调整后预算数</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预算执行数</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预算执行率</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8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总额</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185.35</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185.35</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420"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其中：财政资金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185.35</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185.35</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财政专户管理资金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93"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单位资金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绩效指标（90分）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指标性质</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度量单位</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完成值</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发放（缴纳）覆盖率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足额保障率（参保率）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6616" w:type="dxa"/>
            <w:gridSpan w:val="2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评价结论</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我院及时、足额发放年度考核奖，完成预算执行。自评100分。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存在问题</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改进措施</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558"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项目负责人：王倩</w:t>
            </w:r>
          </w:p>
        </w:tc>
        <w:tc>
          <w:tcPr>
            <w:tcW w:w="4262"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9"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415" w:type="dxa"/>
            <w:gridSpan w:val="1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2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47"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30"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81"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1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284"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880" w:hRule="atLeast"/>
        </w:trPr>
        <w:tc>
          <w:tcPr>
            <w:tcW w:w="8820" w:type="dxa"/>
            <w:gridSpan w:val="3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四川省广元市中级人民法院部门</w:t>
            </w:r>
          </w:p>
        </w:tc>
        <w:tc>
          <w:tcPr>
            <w:tcW w:w="681" w:type="dxa"/>
            <w:gridSpan w:val="3"/>
            <w:tcBorders>
              <w:top w:val="nil"/>
              <w:left w:val="nil"/>
              <w:bottom w:val="nil"/>
              <w:right w:val="nil"/>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20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项目基本情况</w:t>
            </w: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1.项目年度目标完成情况</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项目年度目标</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705"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严格执行相关政策，保障工资及时、足额发放或社保及时、足额缴纳，预算编制科学合理，减少结余资金。</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我院严格按照政策文件要求，及时缴纳干警五险两金，保障干警权益。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9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2.项目实施内容及过程概述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我院严格按照政策文件要求，及时缴纳干警五险两金，保障干警权益。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3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预算执行情况（10分）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年度预算数（万元）</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调整后预算数</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预算执行数</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预算执行率</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8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总额</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532.83</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621.53</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621.53</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420"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其中：财政资金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532.83</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621.53</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621.53</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财政专户管理资金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93"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单位资金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绩效指标（90分）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指标性质</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度量单位</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完成值</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发放（缴纳）覆盖率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足额保障率（参保率）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6616" w:type="dxa"/>
            <w:gridSpan w:val="2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评价结论</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我院严格按照政策文件要求，及时缴纳干警五险两金，保障干警权益。自评100分。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存在问题</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改进措施</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558"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项目负责人：王倩</w:t>
            </w:r>
          </w:p>
        </w:tc>
        <w:tc>
          <w:tcPr>
            <w:tcW w:w="4262"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9"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415" w:type="dxa"/>
            <w:gridSpan w:val="1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2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47"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30"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81"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1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284"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880" w:hRule="atLeast"/>
        </w:trPr>
        <w:tc>
          <w:tcPr>
            <w:tcW w:w="8820" w:type="dxa"/>
            <w:gridSpan w:val="3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四川省广元市中级人民法院部门</w:t>
            </w:r>
          </w:p>
        </w:tc>
        <w:tc>
          <w:tcPr>
            <w:tcW w:w="681" w:type="dxa"/>
            <w:gridSpan w:val="3"/>
            <w:tcBorders>
              <w:top w:val="nil"/>
              <w:left w:val="nil"/>
              <w:bottom w:val="nil"/>
              <w:right w:val="nil"/>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20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项目基本情况</w:t>
            </w: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1.项目年度目标完成情况</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项目年度目标</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严格执行相关政策，保障工资及时、足额发放或社保及时、足额缴纳，预算编制科学合理，减少结余资金。</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我院严格按照文件要求，做好干警工资发放相关工作，保证及时、足额发放工资福利。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9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2.项目实施内容及过程概述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我院严格按照文件要求，做好干警工资发放相关工作，保证及时、足额发放工资福利。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3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预算执行情况（10分）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年度预算数（万元）</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调整后预算数</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预算执行数</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预算执行率</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8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总额</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42.00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42.00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42.00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420"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其中：财政资金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42.00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42.00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42.00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财政专户管理资金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93"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单位资金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绩效指标（90分）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指标性质</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度量单位</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完成值</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发放（缴纳）覆盖率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足额保障率（参保率）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6616" w:type="dxa"/>
            <w:gridSpan w:val="2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评价结论</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我院严格按照文件要求，做好干警工资发放相关工作，保证及时、足额发放工资福利。自评100分。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存在问题</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改进措施</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558"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项目负责人：王倩</w:t>
            </w:r>
          </w:p>
        </w:tc>
        <w:tc>
          <w:tcPr>
            <w:tcW w:w="4262"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9"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415" w:type="dxa"/>
            <w:gridSpan w:val="1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2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47"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30"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81"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1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284"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880" w:hRule="atLeast"/>
        </w:trPr>
        <w:tc>
          <w:tcPr>
            <w:tcW w:w="8820" w:type="dxa"/>
            <w:gridSpan w:val="3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四川省广元市中级人民法院部门</w:t>
            </w:r>
          </w:p>
        </w:tc>
        <w:tc>
          <w:tcPr>
            <w:tcW w:w="681" w:type="dxa"/>
            <w:gridSpan w:val="3"/>
            <w:tcBorders>
              <w:top w:val="nil"/>
              <w:left w:val="nil"/>
              <w:bottom w:val="nil"/>
              <w:right w:val="nil"/>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20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项目基本情况</w:t>
            </w: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1.项目年度目标完成情况</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项目年度目标</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严格执行相关政策，保障工资及时、足额发放或社保及时、足额缴纳，预算编制科学合理，减少结余资金。</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我院严格按照文件要求，做好事业人员基础绩效奖发放相关工作，保障干警权益。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9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2.项目实施内容及过程概述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我院严格按照文件要求，做好事业人员基础绩效奖发放相关工作，保障干警权益。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3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预算执行情况（10分）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年度预算数（万元）</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调整后预算数</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预算执行数</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预算执行率</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8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总额</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17.95</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17.95</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17.95</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420"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其中：财政资金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17.95</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17.95</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17.95</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财政专户管理资金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93"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单位资金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绩效指标（90分）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指标性质</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度量单位</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完成值</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发放（缴纳）覆盖率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足额保障率（参保率）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6616" w:type="dxa"/>
            <w:gridSpan w:val="2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评价结论</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我院严格按照文件要求，做好事业人员基础绩效奖发放相关工作，保障干警权益。自评100分。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存在问题</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改进措施</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558"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项目负责人：王倩</w:t>
            </w:r>
          </w:p>
        </w:tc>
        <w:tc>
          <w:tcPr>
            <w:tcW w:w="4262"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9"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415" w:type="dxa"/>
            <w:gridSpan w:val="1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2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47"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30"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81"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1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284"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880" w:hRule="atLeast"/>
        </w:trPr>
        <w:tc>
          <w:tcPr>
            <w:tcW w:w="8820" w:type="dxa"/>
            <w:gridSpan w:val="3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51080024R000010824550-公务员基础绩效奖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四川省广元市中级人民法院部门</w:t>
            </w:r>
          </w:p>
        </w:tc>
        <w:tc>
          <w:tcPr>
            <w:tcW w:w="681" w:type="dxa"/>
            <w:gridSpan w:val="3"/>
            <w:tcBorders>
              <w:top w:val="nil"/>
              <w:left w:val="nil"/>
              <w:bottom w:val="nil"/>
              <w:right w:val="nil"/>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20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项目基本情况</w:t>
            </w: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1.项目年度目标完成情况</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项目年度目标</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705"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严格执行相关政策，保障工资及时、足额发放或社保及时、足额缴纳，预算编制科学合理，减少结余资金。</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我院严格按照文件要求，做好公务员基础绩效奖发放相关工作，保障干警权益。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9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2.项目实施内容及过程概述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我院严格按照文件要求，做好公务员基础绩效奖发放相关工作，保障干警权益。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3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预算执行情况（10分）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年度预算数（万元）</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调整后预算数</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预算执行数</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预算执行率</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8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总额</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427.24</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427.24</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427.24</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420"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其中：财政资金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427.24</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427.24</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427.24</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财政专户管理资金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93"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单位资金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绩效指标（90分）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指标性质</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度量单位</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完成值</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发放（缴纳）覆盖率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足额保障率（参保率）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6616" w:type="dxa"/>
            <w:gridSpan w:val="2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评价结论</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我院严格按照文件要求，做好公务员基础绩效奖发放相关工作，保障干警权益。自评100分。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存在问题</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改进措施</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558"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项目负责人：王倩</w:t>
            </w:r>
          </w:p>
        </w:tc>
        <w:tc>
          <w:tcPr>
            <w:tcW w:w="4262"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9"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415" w:type="dxa"/>
            <w:gridSpan w:val="1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2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47"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30"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81"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1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284"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880" w:hRule="atLeast"/>
        </w:trPr>
        <w:tc>
          <w:tcPr>
            <w:tcW w:w="8820" w:type="dxa"/>
            <w:gridSpan w:val="3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四川省广元市中级人民法院部门</w:t>
            </w:r>
          </w:p>
        </w:tc>
        <w:tc>
          <w:tcPr>
            <w:tcW w:w="681" w:type="dxa"/>
            <w:gridSpan w:val="3"/>
            <w:tcBorders>
              <w:top w:val="nil"/>
              <w:left w:val="nil"/>
              <w:bottom w:val="nil"/>
              <w:right w:val="nil"/>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20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项目基本情况</w:t>
            </w: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1.项目年度目标完成情况</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项目年度目标</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严格执行相关政策，保障工资及时、足额发放或社保及时、足额缴纳，预算编制科学合理，减少结余资金。</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我院严格按照文件要求，及时、足额发放退休人员生活补助，保障退休人员权益。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9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2.项目实施内容及过程概述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我院严格按照文件要求，及时、足额发放退休人员生活补助，保障退休人员权益。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3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预算执行情况（10分）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年度预算数（万元）</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调整后预算数</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预算执行数</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预算执行率</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8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总额</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194.04</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194.04</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194.04</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420"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其中：财政资金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194.04</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194.04</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194.04</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财政专户管理资金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93"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单位资金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绩效指标（90分）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指标性质</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度量单位</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完成值</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发放（缴纳）覆盖率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足额保障率（参保率）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6616" w:type="dxa"/>
            <w:gridSpan w:val="2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评价结论</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我院严格按照文件要求，及时、足额发放退休人员生活补助，保障退休人员权益。自评100分。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存在问题</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改进措施</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558"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项目负责人：王倩</w:t>
            </w:r>
          </w:p>
        </w:tc>
        <w:tc>
          <w:tcPr>
            <w:tcW w:w="4262"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9"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415" w:type="dxa"/>
            <w:gridSpan w:val="1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2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47"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30"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81"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1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284"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880" w:hRule="atLeast"/>
        </w:trPr>
        <w:tc>
          <w:tcPr>
            <w:tcW w:w="8820" w:type="dxa"/>
            <w:gridSpan w:val="3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51080024R000010828112-行政人员工资性支出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四川省广元市中级人民法院部门</w:t>
            </w:r>
          </w:p>
        </w:tc>
        <w:tc>
          <w:tcPr>
            <w:tcW w:w="681" w:type="dxa"/>
            <w:gridSpan w:val="3"/>
            <w:tcBorders>
              <w:top w:val="nil"/>
              <w:left w:val="nil"/>
              <w:bottom w:val="nil"/>
              <w:right w:val="nil"/>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20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项目基本情况</w:t>
            </w: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1.项目年度目标完成情况</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项目年度目标</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严格执行相关政策，保障工资及时、足额发放或社保及时、足额缴纳，预算编制科学合理，减少结余资金。</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我院严格按照文件要求，做好干警工资发放相关工作，保证及时、足额发放工资福利。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9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2.项目实施内容及过程概述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我院严格按照文件要求，做好干警工资发放相关工作，保证及时、足额发放工资福利。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3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预算执行情况（10分）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年度预算数（万元）</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调整后预算数</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预算执行数</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预算执行率</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8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总额</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1,129.41</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1,068.93</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1,068.93</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420"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其中：财政资金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1,129.41</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1,068.93</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1,068.93</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财政专户管理资金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93"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单位资金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绩效指标（90分）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指标性质</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度量单位</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完成值</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发放（缴纳）覆盖率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足额保障率（参保率）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6616" w:type="dxa"/>
            <w:gridSpan w:val="2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评价结论</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我院严格按照文件要求，做好干警工资发放相关工作，保证及时、足额发放工资福利。自评100分。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存在问题</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改进措施</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558"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项目负责人：王倩</w:t>
            </w:r>
          </w:p>
        </w:tc>
        <w:tc>
          <w:tcPr>
            <w:tcW w:w="4262"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9"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415" w:type="dxa"/>
            <w:gridSpan w:val="1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2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47"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30"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81"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1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284"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880" w:hRule="atLeast"/>
        </w:trPr>
        <w:tc>
          <w:tcPr>
            <w:tcW w:w="8820" w:type="dxa"/>
            <w:gridSpan w:val="3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四川省广元市中级人民法院部门</w:t>
            </w:r>
          </w:p>
        </w:tc>
        <w:tc>
          <w:tcPr>
            <w:tcW w:w="681" w:type="dxa"/>
            <w:gridSpan w:val="3"/>
            <w:tcBorders>
              <w:top w:val="nil"/>
              <w:left w:val="nil"/>
              <w:bottom w:val="nil"/>
              <w:right w:val="nil"/>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20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项目基本情况</w:t>
            </w: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1.项目年度目标完成情况</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项目年度目标</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严格执行相关政策，保障工资及时、足额发放或社保及时、足额缴纳，预算编制科学合理，减少结余资金。</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我院严格按照文件要求，做好人员经费预算执行相关工作，及时、足额发放工资福利。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9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2.项目实施内容及过程概述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我院严格按照文件要求，做好人员经费预算执行相关工作，及时、足额发放工资福利。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3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预算执行情况（10分）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年度预算数（万元）</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调整后预算数</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预算执行数</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预算执行率</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8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总额</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325.25</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325.25</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325.25</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420"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其中：财政资金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325.25</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325.25</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325.25</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财政专户管理资金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93"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单位资金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绩效指标（90分）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指标性质</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度量单位</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完成值</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发放（缴纳）覆盖率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足额保障率（参保率）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6616" w:type="dxa"/>
            <w:gridSpan w:val="2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评价结论</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我院严格按照文件要求，做好人员经费预算执行相关工作，及时、足额发放工资福利。自评100分。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存在问题</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改进措施</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558"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项目负责人：王倩</w:t>
            </w:r>
          </w:p>
        </w:tc>
        <w:tc>
          <w:tcPr>
            <w:tcW w:w="4262"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9"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415" w:type="dxa"/>
            <w:gridSpan w:val="1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2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47"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30"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81"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1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284"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880" w:hRule="atLeast"/>
        </w:trPr>
        <w:tc>
          <w:tcPr>
            <w:tcW w:w="8820" w:type="dxa"/>
            <w:gridSpan w:val="3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四川省广元市中级人民法院部门</w:t>
            </w:r>
          </w:p>
        </w:tc>
        <w:tc>
          <w:tcPr>
            <w:tcW w:w="681" w:type="dxa"/>
            <w:gridSpan w:val="3"/>
            <w:tcBorders>
              <w:top w:val="nil"/>
              <w:left w:val="nil"/>
              <w:bottom w:val="nil"/>
              <w:right w:val="nil"/>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20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项目基本情况</w:t>
            </w: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1.项目年度目标完成情况</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项目年度目标</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705"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提高预算编制质量，严格执行预算，保障单位日常运转。</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我院严格按照相关文件，做好公用经费预算执行工作，保障单位日常运转。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9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2.项目实施内容及过程概述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我院严格按照相关文件，做好公用经费预算执行工作，保障单位日常运转。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3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预算执行情况（10分）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年度预算数（万元）</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调整后预算数</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预算执行数</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预算执行率</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8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总额</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32.67</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32.67</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32.67</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420"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其中：财政资金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32.67</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32.67</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32.67</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财政专户管理资金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93"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单位资金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绩效指标（90分）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指标性质</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度量单位</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完成值</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科目调整次数</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次</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质量指标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预算编制准确率（计算方法为：∣（执行数-预算数）/预算数∣）</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528"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经济效益指标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“三公经费”控制率[计算方法为：（三公经费实际支出数/预算安排数]×100%）</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运转保障率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6616" w:type="dxa"/>
            <w:gridSpan w:val="2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评价结论</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我院严格按照相关文件，做好公用经费预算执行工作，保障单位日常运转。自评100分。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存在问题</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改进措施</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558"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项目负责人：王倩</w:t>
            </w:r>
          </w:p>
        </w:tc>
        <w:tc>
          <w:tcPr>
            <w:tcW w:w="4262"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9"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415" w:type="dxa"/>
            <w:gridSpan w:val="1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2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47"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30"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81"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1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284"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880" w:hRule="atLeast"/>
        </w:trPr>
        <w:tc>
          <w:tcPr>
            <w:tcW w:w="8820" w:type="dxa"/>
            <w:gridSpan w:val="3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四川省广元市中级人民法院部门</w:t>
            </w:r>
          </w:p>
        </w:tc>
        <w:tc>
          <w:tcPr>
            <w:tcW w:w="681" w:type="dxa"/>
            <w:gridSpan w:val="3"/>
            <w:tcBorders>
              <w:top w:val="nil"/>
              <w:left w:val="nil"/>
              <w:bottom w:val="nil"/>
              <w:right w:val="nil"/>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20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项目基本情况</w:t>
            </w: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1.项目年度目标完成情况</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项目年度目标</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705"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提高预算编制质量，严格执行预算，保障单位日常运转。</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我院严格按照相关文件，做好公用经费预算执行工作，保障单位日常运转。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9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2.项目实施内容及过程概述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我院严格按照相关文件，做好公用经费预算执行工作，保障单位日常运转。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3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预算执行情况（10分）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年度预算数（万元）</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调整后预算数</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预算执行数</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预算执行率</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8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总额</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178.50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178.50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173.53</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97.21%</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420"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其中：财政资金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178.50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178.50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173.53</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97.21%</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财政专户管理资金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93"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单位资金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绩效指标（90分）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指标性质</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度量单位</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完成值</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科目调整次数</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次</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质量指标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预算编制准确率（计算方法为：∣（执行数-预算数）/预算数∣）</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528"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经济效益指标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“三公经费”控制率[计算方法为：（三公经费实际支出数/预算安排数]×100%）</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运转保障率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6616" w:type="dxa"/>
            <w:gridSpan w:val="2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评价结论</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我院严格按照相关文件，做好公用经费预算执行工作，保障单位日常运转。自评100分。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存在问题</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改进措施</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558"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项目负责人：王倩</w:t>
            </w:r>
          </w:p>
        </w:tc>
        <w:tc>
          <w:tcPr>
            <w:tcW w:w="4262"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9"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415" w:type="dxa"/>
            <w:gridSpan w:val="1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2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47"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30"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81"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15"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284" w:type="dxa"/>
            <w:gridSpan w:val="2"/>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nil"/>
              <w:left w:val="nil"/>
              <w:bottom w:val="nil"/>
              <w:right w:val="nil"/>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880" w:hRule="atLeast"/>
        </w:trPr>
        <w:tc>
          <w:tcPr>
            <w:tcW w:w="8820" w:type="dxa"/>
            <w:gridSpan w:val="3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926" w:hRule="atLeast"/>
        </w:trPr>
        <w:tc>
          <w:tcPr>
            <w:tcW w:w="170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四川省广元市中级人民法院部门</w:t>
            </w:r>
          </w:p>
        </w:tc>
        <w:tc>
          <w:tcPr>
            <w:tcW w:w="681" w:type="dxa"/>
            <w:gridSpan w:val="3"/>
            <w:tcBorders>
              <w:top w:val="nil"/>
              <w:left w:val="nil"/>
              <w:bottom w:val="nil"/>
              <w:right w:val="nil"/>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20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项目基本情况</w:t>
            </w: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1.项目年度目标完成情况</w:t>
            </w: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项目年度目标</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705"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226"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提高预算编制质量，严格执行预算，保障单位日常运转。</w:t>
            </w:r>
          </w:p>
        </w:tc>
        <w:tc>
          <w:tcPr>
            <w:tcW w:w="288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我院严格按照相关文件，做好公用经费预算执行工作，保障单位日常运转。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9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2.项目实施内容及过程概述</w:t>
            </w:r>
          </w:p>
        </w:tc>
        <w:tc>
          <w:tcPr>
            <w:tcW w:w="7111" w:type="dxa"/>
            <w:gridSpan w:val="3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我院严格按照相关文件，做好公用经费预算执行工作，保障单位日常运转。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3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预算执行情况（10分）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年度预算数（万元）</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调整后预算数</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预算执行数</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预算执行率</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81"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总额</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150.15</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150.15</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150.15</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420"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其中：财政资金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150.15</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150.15</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150.15</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26"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财政专户管理资金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93"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单位资金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02"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6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绩效指标（90分）</w:t>
            </w:r>
          </w:p>
        </w:tc>
        <w:tc>
          <w:tcPr>
            <w:tcW w:w="128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指标性质</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度量单位</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完成值</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权重</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科目调整次数</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次</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227"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质量指标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预算编制准确率（计算方法为：∣（执行数-预算数）/预算数∣）</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1528"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经济效益指标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“三公经费”控制率[计算方法为：（三公经费实际支出数/预算安排数]×100%）</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74" w:hRule="atLeast"/>
        </w:trPr>
        <w:tc>
          <w:tcPr>
            <w:tcW w:w="4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2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415" w:type="dxa"/>
            <w:gridSpan w:val="1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运转保障率</w:t>
            </w:r>
          </w:p>
        </w:tc>
        <w:tc>
          <w:tcPr>
            <w:tcW w:w="3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0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3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6616" w:type="dxa"/>
            <w:gridSpan w:val="2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28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6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评价结论</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我院严格按照相关文件，做好公用经费预算执行工作，保障单位日常运转。自评100分。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存在问题</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642" w:hRule="atLeast"/>
        </w:trPr>
        <w:tc>
          <w:tcPr>
            <w:tcW w:w="4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改进措施</w:t>
            </w:r>
          </w:p>
        </w:tc>
        <w:tc>
          <w:tcPr>
            <w:tcW w:w="8394" w:type="dxa"/>
            <w:gridSpan w:val="3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Before w:val="1"/>
          <w:wBefore w:w="15" w:type="dxa"/>
          <w:trHeight w:val="356" w:hRule="atLeast"/>
        </w:trPr>
        <w:tc>
          <w:tcPr>
            <w:tcW w:w="4558" w:type="dxa"/>
            <w:gridSpan w:val="2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项目负责人：王倩</w:t>
            </w:r>
          </w:p>
        </w:tc>
        <w:tc>
          <w:tcPr>
            <w:tcW w:w="4262"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31" w:hRule="atLeast"/>
        </w:trPr>
        <w:tc>
          <w:tcPr>
            <w:tcW w:w="8751" w:type="dxa"/>
            <w:gridSpan w:val="34"/>
            <w:tcBorders>
              <w:top w:val="single" w:color="000000" w:sz="4" w:space="0"/>
              <w:left w:val="single" w:color="000000" w:sz="4" w:space="0"/>
              <w:bottom w:val="single" w:color="000000" w:sz="4" w:space="0"/>
              <w:right w:val="single" w:color="000000" w:sz="4" w:space="0"/>
            </w:tcBorders>
            <w:vAlign w:val="center"/>
          </w:tcPr>
          <w:p>
            <w:pPr>
              <w:pStyle w:val="2"/>
              <w:numPr>
                <w:numId w:val="0"/>
              </w:numPr>
              <w:wordWrap/>
              <w:spacing w:line="560" w:lineRule="exact"/>
              <w:ind w:left="0" w:leftChars="0" w:firstLine="0" w:firstLineChars="0"/>
              <w:jc w:val="left"/>
              <w:textAlignment w:val="auto"/>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SA"/>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项目名称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51080021T000000053497-维修维护费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11"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主管部门</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四川省广元市中级人民法院部门</w:t>
            </w:r>
          </w:p>
        </w:tc>
        <w:tc>
          <w:tcPr>
            <w:tcW w:w="1023" w:type="dxa"/>
            <w:gridSpan w:val="5"/>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实施单位 （盖章）</w:t>
            </w:r>
          </w:p>
        </w:tc>
        <w:tc>
          <w:tcPr>
            <w:tcW w:w="2036"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项目基本情况</w:t>
            </w: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1.项目年度目标完成情况</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项目年度目标</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8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保障办公楼及办公办案设施设备正常运行，推动法院工作顺利开展。</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项目实施相关人员能在较短时间内对设施设备进行维修维护，项目成果验收合格并能顺利投入使用，以保障院正常工作秩序。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6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2.项目实施内容及过程概述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各业务庭室及行装处资产管理员申报维修维护需求，行装处及分管领导严格审核项目实施可行性，并组织实施，待项目完成并验收合格后提请项目资金支付，行装处严格审核项目报销凭证，加快专项资金支付。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预算执行情况（10分）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年度预算数（万元）</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年初预算</w:t>
            </w:r>
          </w:p>
        </w:tc>
        <w:tc>
          <w:tcPr>
            <w:tcW w:w="122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调整后预算数</w:t>
            </w:r>
          </w:p>
        </w:tc>
        <w:tc>
          <w:tcPr>
            <w:tcW w:w="1966" w:type="dxa"/>
            <w:gridSpan w:val="1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预算执行数</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预算执行率</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0"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总额</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50.00</w:t>
            </w:r>
          </w:p>
        </w:tc>
        <w:tc>
          <w:tcPr>
            <w:tcW w:w="122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50.00</w:t>
            </w:r>
          </w:p>
        </w:tc>
        <w:tc>
          <w:tcPr>
            <w:tcW w:w="1966" w:type="dxa"/>
            <w:gridSpan w:val="1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38"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其中：财政资金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50.00</w:t>
            </w:r>
          </w:p>
        </w:tc>
        <w:tc>
          <w:tcPr>
            <w:tcW w:w="122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50.00</w:t>
            </w:r>
          </w:p>
        </w:tc>
        <w:tc>
          <w:tcPr>
            <w:tcW w:w="1966" w:type="dxa"/>
            <w:gridSpan w:val="1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财政专户管理资金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22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966" w:type="dxa"/>
            <w:gridSpan w:val="1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单位资金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22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966" w:type="dxa"/>
            <w:gridSpan w:val="1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27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其他资金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221" w:type="dxa"/>
            <w:gridSpan w:val="4"/>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966" w:type="dxa"/>
            <w:gridSpan w:val="14"/>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绩效指标（90分）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一级指标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二级指标</w:t>
            </w:r>
          </w:p>
        </w:tc>
        <w:tc>
          <w:tcPr>
            <w:tcW w:w="122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三级指标</w:t>
            </w:r>
          </w:p>
        </w:tc>
        <w:tc>
          <w:tcPr>
            <w:tcW w:w="4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指标性质</w:t>
            </w:r>
          </w:p>
        </w:tc>
        <w:tc>
          <w:tcPr>
            <w:tcW w:w="880" w:type="dxa"/>
            <w:gridSpan w:val="7"/>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指标值</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度量</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单位</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完成值</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8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产出指标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122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开展维修维护具体次数</w:t>
            </w:r>
          </w:p>
        </w:tc>
        <w:tc>
          <w:tcPr>
            <w:tcW w:w="4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80" w:type="dxa"/>
            <w:gridSpan w:val="7"/>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次</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质量指标</w:t>
            </w:r>
          </w:p>
        </w:tc>
        <w:tc>
          <w:tcPr>
            <w:tcW w:w="122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项目验收合格率</w:t>
            </w:r>
          </w:p>
        </w:tc>
        <w:tc>
          <w:tcPr>
            <w:tcW w:w="4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80" w:type="dxa"/>
            <w:gridSpan w:val="7"/>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时效指标</w:t>
            </w:r>
          </w:p>
        </w:tc>
        <w:tc>
          <w:tcPr>
            <w:tcW w:w="122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该项目完成时限</w:t>
            </w:r>
          </w:p>
        </w:tc>
        <w:tc>
          <w:tcPr>
            <w:tcW w:w="4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80" w:type="dxa"/>
            <w:gridSpan w:val="7"/>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301"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效益指标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社会效益指标</w:t>
            </w:r>
          </w:p>
        </w:tc>
        <w:tc>
          <w:tcPr>
            <w:tcW w:w="122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保障我院审判、执行等各项工作正常开展，畅通当事人诉求及维权渠道。</w:t>
            </w:r>
          </w:p>
        </w:tc>
        <w:tc>
          <w:tcPr>
            <w:tcW w:w="4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880" w:type="dxa"/>
            <w:gridSpan w:val="7"/>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40"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可持续影响指标</w:t>
            </w:r>
          </w:p>
        </w:tc>
        <w:tc>
          <w:tcPr>
            <w:tcW w:w="122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维护正常办公、办案秩序和司法环境，提升固定资金使用效益。</w:t>
            </w:r>
          </w:p>
        </w:tc>
        <w:tc>
          <w:tcPr>
            <w:tcW w:w="4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880" w:type="dxa"/>
            <w:gridSpan w:val="7"/>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服务对象满意度指标</w:t>
            </w:r>
          </w:p>
        </w:tc>
        <w:tc>
          <w:tcPr>
            <w:tcW w:w="122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法院干警对设备使用满意度</w:t>
            </w:r>
          </w:p>
        </w:tc>
        <w:tc>
          <w:tcPr>
            <w:tcW w:w="4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80" w:type="dxa"/>
            <w:gridSpan w:val="7"/>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92</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成本指标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经济成本指标</w:t>
            </w:r>
          </w:p>
        </w:tc>
        <w:tc>
          <w:tcPr>
            <w:tcW w:w="122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项目总成本</w:t>
            </w:r>
          </w:p>
        </w:tc>
        <w:tc>
          <w:tcPr>
            <w:tcW w:w="4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80" w:type="dxa"/>
            <w:gridSpan w:val="7"/>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万元</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715" w:type="dxa"/>
            <w:gridSpan w:val="2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合计</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70"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评价结论</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2024年，我院按照年初预算项目资金和绩效目标设置情况，顺利完成了该项目的实施和资金支付，自评得分为100分。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51"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存在问题</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91"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改进措施</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3993"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项目负责人：王倩</w:t>
            </w:r>
          </w:p>
        </w:tc>
        <w:tc>
          <w:tcPr>
            <w:tcW w:w="4758"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62"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2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6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9"/>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7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5"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98" w:hRule="atLeast"/>
        </w:trPr>
        <w:tc>
          <w:tcPr>
            <w:tcW w:w="8751" w:type="dxa"/>
            <w:gridSpan w:val="3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SA"/>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项目名称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51080021T000000053528-购买社会化服务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11"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主管部门</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四川省广元市中级人民法院部门</w:t>
            </w:r>
          </w:p>
        </w:tc>
        <w:tc>
          <w:tcPr>
            <w:tcW w:w="1023" w:type="dxa"/>
            <w:gridSpan w:val="5"/>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实施单位 （盖章）</w:t>
            </w:r>
          </w:p>
        </w:tc>
        <w:tc>
          <w:tcPr>
            <w:tcW w:w="2036"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项目基本情况</w:t>
            </w: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1.项目年度目标完成情况</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项目年度目标</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8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购买专业化服务，提供审判楼物业管理服务及电子卷宗扫描服务，保障法院工作有序开展。</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按进度完成对审判综合大楼的物业管理服务及对年度诉讼卷宗的扫描编目，数据加工等。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6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2.项目实施内容及过程概述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根据院机关运转需求及审判业务无纸化运行要求，我院通过政府采购完成对物业管理服务及卷宗扫描数据加工服务的采购，分别由行装处及立案庭对项目实施进行跟进，由督察室及机关纪委对项目实施进行监督，行装处根据项目实施部门报销情况，按合同支付相关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预算执行情况（10分）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年度预算数（万元）</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年初预算</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调整后预算数</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预算执行数</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预算执行率</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6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总额</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114.84</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114.84</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87.46</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76.15%</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该项目属于跨年项目，根据项目完成进度和合同约定，逐步完成资金支付。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38"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其中：财政资金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114.84</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114.84</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87.46</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76.15%</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财政专户管理资金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单位资金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其他资金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绩效指标（90分）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一级指标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二级指标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三级指标</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指标性质</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指标值</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度量单位</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完成值</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8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产出指标</w:t>
            </w:r>
          </w:p>
        </w:tc>
        <w:tc>
          <w:tcPr>
            <w:tcW w:w="96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完成电子卷宗扫描数量</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万页</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电子卷宗扫描服务人员数量</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人</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8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物业管理服务人员数量</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16</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人</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16</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完成项目个数</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个</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质量指标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项目验收合格率</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时效指标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社会化服务工作及时完成率</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301"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效益指标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社会效益指标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充分发挥社会化服务行业优势，辅助高效完成审判、执行等各项工作。</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40"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可持续影响指标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维护正常办公、办案秩序和环境，规范案件卷宗保管及储存。</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服务对象满意度指标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干警满意度</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802"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成本指标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经济成本指标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项目总成本</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万元</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72.46</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16</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该项目属于跨年项目，根据项目完成进度和合同约定，逐步完成资金支付。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715" w:type="dxa"/>
            <w:gridSpan w:val="2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合计</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94</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40"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评价结论</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该项目属于跨年度项目，2024年预算执行比例达72.46%，按照项目执行情况扣减4分，最后自评得分为94分。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97"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存在问题</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84"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改进措施</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3993"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项目负责人：王倩、王振茂</w:t>
            </w:r>
          </w:p>
        </w:tc>
        <w:tc>
          <w:tcPr>
            <w:tcW w:w="4758"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62"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2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6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9"/>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7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5"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41" w:hRule="atLeast"/>
        </w:trPr>
        <w:tc>
          <w:tcPr>
            <w:tcW w:w="8751" w:type="dxa"/>
            <w:gridSpan w:val="3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SA"/>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项目名称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51080021T000000054036-案件审判经费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11"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主管部门</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四川省广元市中级人民法院部门</w:t>
            </w:r>
          </w:p>
        </w:tc>
        <w:tc>
          <w:tcPr>
            <w:tcW w:w="1023" w:type="dxa"/>
            <w:gridSpan w:val="5"/>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实施单位 （盖章）</w:t>
            </w:r>
          </w:p>
        </w:tc>
        <w:tc>
          <w:tcPr>
            <w:tcW w:w="2036"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项目基本情况</w:t>
            </w: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1.项目年度目标完成情况</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项目年度目标</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8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　保障案件审判必需发生的各项经费，为案件当事人提供更加优质高效的司法服务，促使年度案件审理业务顺利完成，保护人民群众合法权益，推动法治化社会建设。</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受理诉讼案件2995件，结案2700件，结案率达92.15%，保障了审判业务工作的顺利推进。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6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2.项目实施内容及过程概述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按照案件审理过程中预计发生的各项必要开支，由各业务庭室申报报销，并由其分管院领导审批，行装处严格把关费用审核，严控不必要支出。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预算执行情况（10分）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年度预算数（万元）</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年初预算</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调整后预算数</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预算执行数</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预算执行率</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6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总额</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123.39</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123.39</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123.39</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38"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其中：财政资金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123.39</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123.39</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123.39</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财政专户管理资金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单位资金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其他资金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绩效指标（90分）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一级指标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二级指标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三级指标</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指标性质</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指标值</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度量单位</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完成值</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产出指标</w:t>
            </w:r>
          </w:p>
        </w:tc>
        <w:tc>
          <w:tcPr>
            <w:tcW w:w="96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年度内受理案件数量</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2800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件</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2995</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法官人均诉讼案件结案数量</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件</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93.44</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质量指标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审限内结案率</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80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87.83%</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时效指标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项目完成时限</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1</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702"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效益指标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社会效益指标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案件审判业务有效打击刑事犯罪，维护当事人合法权益，促进社会会公平正义，推动法治化社会建立。</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371"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可持续影响指标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保障我院审判业务所需各项经费，提升我院审判质效，维护当事人合法权益。</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服务对象满意度指标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当事人对案件审理的满意度</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80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85</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成本指标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经济成本指标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项目总成本</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123.388</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万元</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123.388</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715" w:type="dxa"/>
            <w:gridSpan w:val="2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合计</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40"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评价</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结论</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2024年，我院按照年初预算项目资金和绩效目标设置情况，顺利完成了该项目的实施和资金支付，自评得分为100分。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97"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存在</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问题</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改进</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措施</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3993"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项目负责人：杨陈、贺斌、任娓聪、苟小洲、唐瑞、覃斌、郁华冰、任佰安</w:t>
            </w:r>
          </w:p>
        </w:tc>
        <w:tc>
          <w:tcPr>
            <w:tcW w:w="4758"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70" w:hRule="atLeast"/>
        </w:trPr>
        <w:tc>
          <w:tcPr>
            <w:tcW w:w="604" w:type="dxa"/>
            <w:gridSpan w:val="3"/>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62"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2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6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9"/>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7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5"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391" w:hRule="atLeast"/>
        </w:trPr>
        <w:tc>
          <w:tcPr>
            <w:tcW w:w="8751" w:type="dxa"/>
            <w:gridSpan w:val="3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SA"/>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项目名称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51080021T000000054062-案件执行经费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11"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主管部门</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四川省广元市中级人民法院部门</w:t>
            </w:r>
          </w:p>
        </w:tc>
        <w:tc>
          <w:tcPr>
            <w:tcW w:w="1023" w:type="dxa"/>
            <w:gridSpan w:val="5"/>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实施单位 （盖章）</w:t>
            </w:r>
          </w:p>
        </w:tc>
        <w:tc>
          <w:tcPr>
            <w:tcW w:w="2036"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项目基本情况</w:t>
            </w: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1.项目年度目标完成情况</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项目年度目标</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8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保障年度内办理执行案件所需的相关经费，及时挽回当事人经济损失，保障当事人合法权益，维护社会和谐稳定。</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受理685件执行案件，完成666件执行案件结案，结案率达97.23%。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6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2.项目实施内容及过程概述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按照案件执行过程中预计发生的各项必要开支，由执行局申报报销，并由其分管院领导审批，行装处严格把关费用审核，严控不必要支出。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预算执行情况（10分）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年度预算数（万元）</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年初预算</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调整后预算数</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预算执行数</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预算执行率</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6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总额</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75.00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75.00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75.00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38"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其中：财政资金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75.00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75.00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75.00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财政专户管理资金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单位资金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其他资金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绩效指标（90分）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一级指标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二级指标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三级指标</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指标性质</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指标值</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度量单位</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完成值</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8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产出指标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年度内受理执行案件数量</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250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件</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685</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质量指标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结收比</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97.5</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97.23</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执行案件数量增加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执行完毕率</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28</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0.3749</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时效指标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平均结案时间</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82</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天</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59.64</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项目完成时限</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2348"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效益指标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社会效益指标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通过列入失信、黑名单等执行方式，惩戒失信人员，挽回当事人经济损失，维护当事人合法权益，促进社会公平正义，营造风清气正的良好生态环境。</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371"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可持续发展指标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保障我院案件执行业务所需各项经费，提升案件执行效率，维护当事人合法权益。</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服务对象满意度指标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当事人对执行工作满意度</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80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80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成本指标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经济成本指标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项目总成本</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75</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万元</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75</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715" w:type="dxa"/>
            <w:gridSpan w:val="2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合计</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99</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40"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评价</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结论</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2024年，我院按照年初预算项目资金和绩效目标设置情况，顺利完成了该项目的实施和资金支付，除收结比实际完成值较年初设定目标值低0.27%，扣减1分，最后自评得分为99分。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97"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存在</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问题</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由于执行案件数量增加，本年度结收比较上年有所下降。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04"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改进</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措施</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推进案件执行工作提质增效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3993"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项目负责人：向军</w:t>
            </w:r>
          </w:p>
        </w:tc>
        <w:tc>
          <w:tcPr>
            <w:tcW w:w="4758"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40" w:hRule="atLeast"/>
        </w:trPr>
        <w:tc>
          <w:tcPr>
            <w:tcW w:w="604" w:type="dxa"/>
            <w:gridSpan w:val="3"/>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62"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2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6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9"/>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7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5"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71" w:hRule="atLeast"/>
        </w:trPr>
        <w:tc>
          <w:tcPr>
            <w:tcW w:w="8751" w:type="dxa"/>
            <w:gridSpan w:val="3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SA"/>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项目名称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51080021T000000054073-司法救助（单列）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11"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主管部门</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四川省广元市中级人民法院部门</w:t>
            </w:r>
          </w:p>
        </w:tc>
        <w:tc>
          <w:tcPr>
            <w:tcW w:w="834" w:type="dxa"/>
            <w:gridSpan w:val="3"/>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实施单位 （盖章）</w:t>
            </w:r>
          </w:p>
        </w:tc>
        <w:tc>
          <w:tcPr>
            <w:tcW w:w="2225" w:type="dxa"/>
            <w:gridSpan w:val="7"/>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项目基本情况</w:t>
            </w: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1.项目年度目标完成情况</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项目年度目标</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8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通过对当事人缓交，减交或免交诉讼费的救济措施，减轻或者免除经济上确有困难的当事人的负担。</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该项目保障了司法过程中对困难群众的救助工作，有效维护当事人合法权益，保障社会公平正义，促进社会和谐稳定，彰显了法院司法为民的情怀。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6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2.项目实施内容及过程概述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该项目由当事人提交司法救助需求，行政庭根据司法救助规定和条件对当事人提交材料进行初审，并移交院司法救助领导小组分析研讨并审签，后提请行装进行项目资金支付，行装处严格审核项目报销凭证，加快专项资金支付，及时进行会计核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预算执行情况（10分）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年度预算数（万元）</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年初预算</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调整后预算数</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预算执行数</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预算执行率</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6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总额</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38"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其中：财政资金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财政专户管理资金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单位资金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其他资金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绩效指标（90分）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一级指标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二级指标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三级指标</w:t>
            </w:r>
          </w:p>
        </w:tc>
        <w:tc>
          <w:tcPr>
            <w:tcW w:w="586"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指标</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性质</w:t>
            </w:r>
          </w:p>
        </w:tc>
        <w:tc>
          <w:tcPr>
            <w:tcW w:w="800"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指标值</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度量单位</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完成值</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产出指标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司法救助人数</w:t>
            </w:r>
          </w:p>
        </w:tc>
        <w:tc>
          <w:tcPr>
            <w:tcW w:w="586"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00"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人</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7</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371"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质量指标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司法救助工作为司法工作中确有困难群众提供一定救助，保障了当事人合法权益。</w:t>
            </w:r>
          </w:p>
        </w:tc>
        <w:tc>
          <w:tcPr>
            <w:tcW w:w="586"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800"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时效指标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项目完成时限</w:t>
            </w:r>
          </w:p>
        </w:tc>
        <w:tc>
          <w:tcPr>
            <w:tcW w:w="586"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00"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40"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效益指标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社会效益指标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司法制度对弱势群体的关爱，营造健康向上的社会秩序</w:t>
            </w:r>
          </w:p>
        </w:tc>
        <w:tc>
          <w:tcPr>
            <w:tcW w:w="586"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800"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2018"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可持续发展指标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通过对当事人缓交，减交或免交诉讼费的救济措施，减轻或者免除经济上确有困难的当事人的负担，畅通当事人维权渠道。</w:t>
            </w:r>
          </w:p>
        </w:tc>
        <w:tc>
          <w:tcPr>
            <w:tcW w:w="586"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800"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服务对象满意度指标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救助人员满意度</w:t>
            </w:r>
          </w:p>
        </w:tc>
        <w:tc>
          <w:tcPr>
            <w:tcW w:w="586"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00"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95</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95</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成本指标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经济成本指标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项目总成本</w:t>
            </w:r>
          </w:p>
        </w:tc>
        <w:tc>
          <w:tcPr>
            <w:tcW w:w="586"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00"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万元</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715" w:type="dxa"/>
            <w:gridSpan w:val="2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合计</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40"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评价</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结论</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2024年，我院按照年初预算项目资金和绩效目标设置情况，顺利完成了该项目的实施和资金支付，自评得分为100分。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97"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存在</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问题</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84"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改进</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措施</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3993"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项目负责人：杨卫东</w:t>
            </w:r>
          </w:p>
        </w:tc>
        <w:tc>
          <w:tcPr>
            <w:tcW w:w="4758"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62"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2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6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9"/>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7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5"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1" w:hRule="atLeast"/>
        </w:trPr>
        <w:tc>
          <w:tcPr>
            <w:tcW w:w="8751" w:type="dxa"/>
            <w:gridSpan w:val="3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SA"/>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项目名称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51080022T000004933728-乡村振兴经费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11"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主管部门</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四川省广元市中级人民法院部门</w:t>
            </w:r>
          </w:p>
        </w:tc>
        <w:tc>
          <w:tcPr>
            <w:tcW w:w="1023" w:type="dxa"/>
            <w:gridSpan w:val="5"/>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实施单位 （盖章）</w:t>
            </w:r>
          </w:p>
        </w:tc>
        <w:tc>
          <w:tcPr>
            <w:tcW w:w="2036"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项目基本情况</w:t>
            </w: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1.项目年度目标完成情况</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项目年度目标</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8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根据我市乡村振兴的需求及规划，完成年度乡村振兴目标任务，提升对口帮扶乡村农户生活质量和水平。</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派驻院内4名干警驻村帮扶，保障其工作经费及生活补助，帮助完善对口乡村基础设施建设。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6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2.项目实施内容及过程概述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根据对口帮扶乡村及黑水法院的建设需求，我院政治部和机关党委组织召开帮扶对接会，形成帮扶方案及意见，提交党组会审议后，将资金拨付给相应单位，并由院机关督察室、院机关纪委、行装处组建工作小组对援助资金使用情况进行监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预算执行情况（10分）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年度预算数（万元）</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年初预算</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调整后预算数</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预算执行数</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预算执行率</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6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总额</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5.46</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5.46</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5.46</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38"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其中：财政资金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5.46</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5.46</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5.46</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财政专户管理资金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单位资金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其他资金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绩效指标（90分）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一级指标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二级指标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三级指标</w:t>
            </w:r>
          </w:p>
        </w:tc>
        <w:tc>
          <w:tcPr>
            <w:tcW w:w="456"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指标性质</w:t>
            </w:r>
          </w:p>
        </w:tc>
        <w:tc>
          <w:tcPr>
            <w:tcW w:w="93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指标值</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度量单位</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完成值</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产出指标</w:t>
            </w:r>
          </w:p>
        </w:tc>
        <w:tc>
          <w:tcPr>
            <w:tcW w:w="96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乡村振兴第一书记及队员人数</w:t>
            </w:r>
          </w:p>
        </w:tc>
        <w:tc>
          <w:tcPr>
            <w:tcW w:w="456"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93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3</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人</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帮扶乡镇个数</w:t>
            </w:r>
          </w:p>
        </w:tc>
        <w:tc>
          <w:tcPr>
            <w:tcW w:w="456"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93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个</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驻村帮扶人员经费保障标准</w:t>
            </w:r>
          </w:p>
        </w:tc>
        <w:tc>
          <w:tcPr>
            <w:tcW w:w="456"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93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18200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元/人年</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18200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质量指标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第一书记及队员参与驻村工作到位率</w:t>
            </w:r>
          </w:p>
        </w:tc>
        <w:tc>
          <w:tcPr>
            <w:tcW w:w="456"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93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时效指标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项目完成时限</w:t>
            </w:r>
          </w:p>
        </w:tc>
        <w:tc>
          <w:tcPr>
            <w:tcW w:w="456"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93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60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效益指标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社会效益指标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帮助完善对口乡村基础设施建设，规划乡村产业发展，提升对口帮扶乡村农户生活质量和水平。</w:t>
            </w:r>
          </w:p>
        </w:tc>
        <w:tc>
          <w:tcPr>
            <w:tcW w:w="456"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93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40"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可持续影响指标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巩固脱贫攻坚成果，解决地区、城乡、社会发展不平衡的问题。</w:t>
            </w:r>
          </w:p>
        </w:tc>
        <w:tc>
          <w:tcPr>
            <w:tcW w:w="456"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93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帮扶对象满意度指标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乡村振兴对口帮扶对象满意度</w:t>
            </w:r>
          </w:p>
        </w:tc>
        <w:tc>
          <w:tcPr>
            <w:tcW w:w="456"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93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95</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成本指标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经济成本指标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项目总成本</w:t>
            </w:r>
          </w:p>
        </w:tc>
        <w:tc>
          <w:tcPr>
            <w:tcW w:w="456"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93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54600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元</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54600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715" w:type="dxa"/>
            <w:gridSpan w:val="2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合计</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40"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评价结论</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2024年，我院按照年初预算项目资金和绩效目标设置情况，顺利完成了该项目的实施和资金支付，自评得分为100分。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97"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存在问题</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84"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改进措施</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3993"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项目负责人：曾杰</w:t>
            </w:r>
          </w:p>
        </w:tc>
        <w:tc>
          <w:tcPr>
            <w:tcW w:w="4758"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62"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2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6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9"/>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7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5"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61" w:hRule="atLeast"/>
        </w:trPr>
        <w:tc>
          <w:tcPr>
            <w:tcW w:w="8751" w:type="dxa"/>
            <w:gridSpan w:val="3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SA"/>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项目名称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51080023T000008278373-破产管理专项资金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11"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主管部门</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四川省广元市中级人民法院部门</w:t>
            </w:r>
          </w:p>
        </w:tc>
        <w:tc>
          <w:tcPr>
            <w:tcW w:w="1023" w:type="dxa"/>
            <w:gridSpan w:val="5"/>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实施单位 （盖章）</w:t>
            </w:r>
          </w:p>
        </w:tc>
        <w:tc>
          <w:tcPr>
            <w:tcW w:w="2036"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项目基本情况</w:t>
            </w: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1.项目年度目标完成情况</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项目年度目标</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8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保障破产管理人依法履行职责，提高破产案件审判效率和质量，优化营商环境。</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受理破产案件23件，结案13件，核定援助破产管理人13家，顺利完成破产管理援助目标任务。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6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2.项目实施内容及过程概述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由民三庭提供援助依据和标准，并组织专项会议商讨，并报分管院领导复审。行装处严格审核项目资金支付，院督察室监督资金支出全过程。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预算执行情况（10分）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年度预算数（万元）</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年初预算</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调整后预算数</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预算执行数</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预算执行率</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6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总额</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38"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其中：财政资金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财政专户管理资金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单位资金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其他资金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绩效指标（90分）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一级指标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二级指标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三级指标</w:t>
            </w:r>
          </w:p>
        </w:tc>
        <w:tc>
          <w:tcPr>
            <w:tcW w:w="516"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指标性质</w:t>
            </w:r>
          </w:p>
        </w:tc>
        <w:tc>
          <w:tcPr>
            <w:tcW w:w="870"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指标值</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度量单位</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完成值</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8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产出指标</w:t>
            </w:r>
          </w:p>
        </w:tc>
        <w:tc>
          <w:tcPr>
            <w:tcW w:w="96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帮助无产可破市场主体</w:t>
            </w:r>
          </w:p>
        </w:tc>
        <w:tc>
          <w:tcPr>
            <w:tcW w:w="516"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70"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个</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13</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8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提供破产管理人帮助人数</w:t>
            </w:r>
          </w:p>
        </w:tc>
        <w:tc>
          <w:tcPr>
            <w:tcW w:w="516"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70"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人</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13</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60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质量指标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通过支付或垫付破产案件相关费用或补偿管理人报酬，及时帮助破产企业顺利退出市场。</w:t>
            </w:r>
          </w:p>
        </w:tc>
        <w:tc>
          <w:tcPr>
            <w:tcW w:w="516"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870"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时效指标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该项目完成时限</w:t>
            </w:r>
          </w:p>
        </w:tc>
        <w:tc>
          <w:tcPr>
            <w:tcW w:w="516"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70"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40"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效益指标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社会效益指标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强化企业破产保障，促进经济转型升级，进一步优化营商环境。</w:t>
            </w:r>
          </w:p>
        </w:tc>
        <w:tc>
          <w:tcPr>
            <w:tcW w:w="516"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870"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60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可持续影响指标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加快“无产可破”、“少产多破”等破产案件的启动、处置难题，提高管理人积极性。</w:t>
            </w:r>
          </w:p>
        </w:tc>
        <w:tc>
          <w:tcPr>
            <w:tcW w:w="516"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870"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破产管理人满意度</w:t>
            </w:r>
          </w:p>
        </w:tc>
        <w:tc>
          <w:tcPr>
            <w:tcW w:w="516"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70"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92</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成本指标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经济成本指标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项目资金使用成本</w:t>
            </w:r>
          </w:p>
        </w:tc>
        <w:tc>
          <w:tcPr>
            <w:tcW w:w="516"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70"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万元</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715" w:type="dxa"/>
            <w:gridSpan w:val="2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合计</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30"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评价</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结论</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2024年，我院按照年初预算项目资金和绩效目标设置情况，顺利完成了该项目的实施和资金支付，自评得分为100分。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7"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存在</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问题</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84"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改进</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措施</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3993"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项目负责人：任娓聪</w:t>
            </w:r>
          </w:p>
        </w:tc>
        <w:tc>
          <w:tcPr>
            <w:tcW w:w="4758"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62"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2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6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9"/>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7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5"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21" w:hRule="atLeast"/>
        </w:trPr>
        <w:tc>
          <w:tcPr>
            <w:tcW w:w="8751" w:type="dxa"/>
            <w:gridSpan w:val="3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SA"/>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项目名称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51080023T000008458582-聘用制书记员及辅警工作经费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11"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主管部门</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四川省广元市中级人民法院部门</w:t>
            </w:r>
          </w:p>
        </w:tc>
        <w:tc>
          <w:tcPr>
            <w:tcW w:w="1023" w:type="dxa"/>
            <w:gridSpan w:val="5"/>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实施单位 （盖章）</w:t>
            </w:r>
          </w:p>
        </w:tc>
        <w:tc>
          <w:tcPr>
            <w:tcW w:w="2036"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项目基本情况</w:t>
            </w: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1.项目年度目标完成情况</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项目年度目标</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8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保障聘用制书记员及辅警工作经费及保险，有利于法院审判，执行，综合工作的顺利开展，更好地维护法院工作正常运行。</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保障了聘用时书记员及辅警的工资发放及保险、公积金的汇缴，合法保障其劳动权益，更好的服务于审执工作开展。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6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2.项目实施内容及过程概述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按照聘用制书记员及辅警人员数量，按时发放工资及缴纳保险费等，保障干警合法权益，提升干警工作积极性。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预算执行情况（10分）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年度预算数（万元）</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年初预算</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调整后预算数</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预算执行数</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预算执行率</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6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总额</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305.00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305.00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305.00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38"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其中：财政资金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305.00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305.00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305.00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财政专户管理资金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单位资金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其他资金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绩效指标（90分）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一级指标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二级指标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三级指标</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指标性质</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指标值</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度量单位</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完成值</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产出指标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保障我院聘用制书记员及辅警人数</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61</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人</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61</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371"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质量指标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及时足额保障我院聘用干警工资、保险等各项经费，提升干警工作积极性。</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时效指标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该项目完成时间</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1</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60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效益指标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社会效益指标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该项目的实施，有利于提升我院案件办理质效，维护当事人合法权益，推动法治社会建设。</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911"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可持续影响指标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聘用人员经费的及时保障，提升聘用干警工作积极性，以辅助完成我院审判、执行等各项工作，提升案件审判质效</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服务对象满意度指标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聘用人员满意度</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95</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成本指标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经济成本指标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该项目实施成本</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305</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万元</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305</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715" w:type="dxa"/>
            <w:gridSpan w:val="2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合计</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40"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评价结论</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2024年，我院按照年初预算项目资金和绩效目标设置情况，顺利完成了该项目的实施和资金支付，自评得分为100分。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97"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存在问题</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84"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改进措施</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3993"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项目负责人：王倩</w:t>
            </w:r>
          </w:p>
        </w:tc>
        <w:tc>
          <w:tcPr>
            <w:tcW w:w="4758"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350" w:hRule="atLeast"/>
        </w:trPr>
        <w:tc>
          <w:tcPr>
            <w:tcW w:w="604" w:type="dxa"/>
            <w:gridSpan w:val="3"/>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62"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2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6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9"/>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7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5"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51" w:hRule="atLeast"/>
        </w:trPr>
        <w:tc>
          <w:tcPr>
            <w:tcW w:w="8751" w:type="dxa"/>
            <w:gridSpan w:val="3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SA"/>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项目名称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51080023T000009778955-代管卷宗扫描及数据加工外包服务项目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11"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主管部门</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四川省广元市中级人民法院部门</w:t>
            </w:r>
          </w:p>
        </w:tc>
        <w:tc>
          <w:tcPr>
            <w:tcW w:w="1023" w:type="dxa"/>
            <w:gridSpan w:val="5"/>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实施单位 （盖章）</w:t>
            </w:r>
          </w:p>
        </w:tc>
        <w:tc>
          <w:tcPr>
            <w:tcW w:w="2036"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项目基本情况</w:t>
            </w: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1.项目年度目标完成情况</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项目年度目标</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8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完成全市两级法院案件卷宗的电子化扫描及数据加工</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卷宗扫描服务提升了干警办案质效，实现减负增效的同时保证社会效益最大化，推动审判执行工作高质效开展。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6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2.项目实施内容及过程概述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为全市两级法院政府采购项目，结转上年度县级法院资金19.6万元，统筹本年度资金20万元。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预算执行情况（10分）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年度预算数（万元）</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年初预算</w:t>
            </w:r>
          </w:p>
        </w:tc>
        <w:tc>
          <w:tcPr>
            <w:tcW w:w="1241"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调整后预算数</w:t>
            </w:r>
          </w:p>
        </w:tc>
        <w:tc>
          <w:tcPr>
            <w:tcW w:w="1946"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预算执行数</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预算执行率</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6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总额</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241"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39.60</w:t>
            </w:r>
          </w:p>
        </w:tc>
        <w:tc>
          <w:tcPr>
            <w:tcW w:w="1946"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19.60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49.49%</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跨年项目，支付了上年度项目尾款，本年度尾款结转至下年度，待项目验收合格后支付。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38"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其中：财政资金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241"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946"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财政专户管理资金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241"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946"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单位资金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241"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39.60</w:t>
            </w:r>
          </w:p>
        </w:tc>
        <w:tc>
          <w:tcPr>
            <w:tcW w:w="1946"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19.60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49.49%</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其他资金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241" w:type="dxa"/>
            <w:gridSpan w:val="5"/>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946" w:type="dxa"/>
            <w:gridSpan w:val="13"/>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绩效指标（90分）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一级指标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二级指标</w:t>
            </w:r>
          </w:p>
        </w:tc>
        <w:tc>
          <w:tcPr>
            <w:tcW w:w="1241"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三级指标</w:t>
            </w:r>
          </w:p>
        </w:tc>
        <w:tc>
          <w:tcPr>
            <w:tcW w:w="520"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指标性质</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指标值</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度量单位</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完成值</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8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产出指标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1241"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完成案件卷宗扫描数量</w:t>
            </w:r>
          </w:p>
        </w:tc>
        <w:tc>
          <w:tcPr>
            <w:tcW w:w="520"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万页</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＞5</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9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质量指标</w:t>
            </w:r>
          </w:p>
        </w:tc>
        <w:tc>
          <w:tcPr>
            <w:tcW w:w="1241"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案件卷宗电子化扫描及数据加工验收合格率</w:t>
            </w:r>
          </w:p>
        </w:tc>
        <w:tc>
          <w:tcPr>
            <w:tcW w:w="520"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98</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99</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8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时效指标</w:t>
            </w:r>
          </w:p>
        </w:tc>
        <w:tc>
          <w:tcPr>
            <w:tcW w:w="1241"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扫描及数据加工服务期限</w:t>
            </w:r>
          </w:p>
        </w:tc>
        <w:tc>
          <w:tcPr>
            <w:tcW w:w="520"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12</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月</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12</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2217"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效益指标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社会效益指标</w:t>
            </w:r>
          </w:p>
        </w:tc>
        <w:tc>
          <w:tcPr>
            <w:tcW w:w="1241"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该项目有利于该项目的实施，协助我院高效完成审判、执行等各类卷宗的扫描和归档工作，利于案件卷宗的长期保存和及时查询，更好的服务于民。</w:t>
            </w:r>
          </w:p>
        </w:tc>
        <w:tc>
          <w:tcPr>
            <w:tcW w:w="520"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40"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可持续发展指标</w:t>
            </w:r>
          </w:p>
        </w:tc>
        <w:tc>
          <w:tcPr>
            <w:tcW w:w="1241"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该项目符合时代需求，推动法院司法活动规范化、现代化。</w:t>
            </w:r>
          </w:p>
        </w:tc>
        <w:tc>
          <w:tcPr>
            <w:tcW w:w="520"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1241"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案件承办人对案件卷宗电子化扫描满意度</w:t>
            </w:r>
          </w:p>
        </w:tc>
        <w:tc>
          <w:tcPr>
            <w:tcW w:w="520"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90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成本指标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经济成本指标</w:t>
            </w:r>
          </w:p>
        </w:tc>
        <w:tc>
          <w:tcPr>
            <w:tcW w:w="1241"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该项目支出成本</w:t>
            </w:r>
          </w:p>
        </w:tc>
        <w:tc>
          <w:tcPr>
            <w:tcW w:w="520"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万元</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19.6</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715" w:type="dxa"/>
            <w:gridSpan w:val="2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合计</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40"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评价结论</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卷宗扫描服务提升了干警办案质效，实现减负增效的同时保证社会效益最大化，推动审判执行工作高质效开展，项目自评为100分。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97"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存在问题</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84"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改进措施</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3993"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项目负责人：王振茂</w:t>
            </w:r>
          </w:p>
        </w:tc>
        <w:tc>
          <w:tcPr>
            <w:tcW w:w="4758"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62"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2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6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9"/>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7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5"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21" w:hRule="atLeast"/>
        </w:trPr>
        <w:tc>
          <w:tcPr>
            <w:tcW w:w="8751" w:type="dxa"/>
            <w:gridSpan w:val="3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SA"/>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项目名称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51080024T000011035654-法警法定工作日之外加班补贴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11"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主管部门</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四川省广元市中级人民法院部门</w:t>
            </w:r>
          </w:p>
        </w:tc>
        <w:tc>
          <w:tcPr>
            <w:tcW w:w="1023" w:type="dxa"/>
            <w:gridSpan w:val="5"/>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实施单位 （盖章）</w:t>
            </w:r>
          </w:p>
        </w:tc>
        <w:tc>
          <w:tcPr>
            <w:tcW w:w="2036"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项目基本情况</w:t>
            </w: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1.项目年度目标完成情况</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项目年度目标</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8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保障11名法警法定工作日之外加班福利，实现从优待警的工作目标。</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保障11名法警法定工作日之外加班福利，支出加班补贴9.37万元。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6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2.项目实施内容及过程概述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根据法警法定工作日之外实际加班情况，准确核算加班补贴并进行公示，经领导审批后及时完成资金支付，保障了我院11名法警法定工作日之外加班福利，提升了法警工作积极性，为我院安保、庭审、羁押等工作提供安全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预算执行情况（10分）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年度预算数（万元）</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年初预算</w:t>
            </w:r>
          </w:p>
        </w:tc>
        <w:tc>
          <w:tcPr>
            <w:tcW w:w="1321"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调整后预算数</w:t>
            </w:r>
          </w:p>
        </w:tc>
        <w:tc>
          <w:tcPr>
            <w:tcW w:w="1866" w:type="dxa"/>
            <w:gridSpan w:val="1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预算执行数</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预算执行率</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6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总额</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9.37</w:t>
            </w:r>
          </w:p>
        </w:tc>
        <w:tc>
          <w:tcPr>
            <w:tcW w:w="1321"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9.37</w:t>
            </w:r>
          </w:p>
        </w:tc>
        <w:tc>
          <w:tcPr>
            <w:tcW w:w="1866" w:type="dxa"/>
            <w:gridSpan w:val="1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9.37</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38"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其中：财政资金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9.37</w:t>
            </w:r>
          </w:p>
        </w:tc>
        <w:tc>
          <w:tcPr>
            <w:tcW w:w="1321"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9.37</w:t>
            </w:r>
          </w:p>
        </w:tc>
        <w:tc>
          <w:tcPr>
            <w:tcW w:w="1866" w:type="dxa"/>
            <w:gridSpan w:val="1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9.37</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财政专户管理资金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321"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866" w:type="dxa"/>
            <w:gridSpan w:val="1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单位资金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321"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866" w:type="dxa"/>
            <w:gridSpan w:val="1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其他资金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321" w:type="dxa"/>
            <w:gridSpan w:val="6"/>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866" w:type="dxa"/>
            <w:gridSpan w:val="1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34"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绩效指标（90分）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一级指标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二级指标</w:t>
            </w:r>
          </w:p>
        </w:tc>
        <w:tc>
          <w:tcPr>
            <w:tcW w:w="1321"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三级指标</w:t>
            </w:r>
          </w:p>
        </w:tc>
        <w:tc>
          <w:tcPr>
            <w:tcW w:w="44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指标性质</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指标值</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度量单位</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完成值</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27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产出指标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1321"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发放补贴人数</w:t>
            </w:r>
          </w:p>
        </w:tc>
        <w:tc>
          <w:tcPr>
            <w:tcW w:w="44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11</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人</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11</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质量指标</w:t>
            </w:r>
          </w:p>
        </w:tc>
        <w:tc>
          <w:tcPr>
            <w:tcW w:w="1321"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加班补贴发放及时率</w:t>
            </w:r>
          </w:p>
        </w:tc>
        <w:tc>
          <w:tcPr>
            <w:tcW w:w="44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3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时效指标</w:t>
            </w:r>
          </w:p>
        </w:tc>
        <w:tc>
          <w:tcPr>
            <w:tcW w:w="1321"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项目完成时限</w:t>
            </w:r>
          </w:p>
        </w:tc>
        <w:tc>
          <w:tcPr>
            <w:tcW w:w="44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371"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效益指标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社会效益指标</w:t>
            </w:r>
          </w:p>
        </w:tc>
        <w:tc>
          <w:tcPr>
            <w:tcW w:w="1321"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辅助案件审判及执行工作更好的开展，为我院安保、庭审、羁押等工作提供安全保障。</w:t>
            </w:r>
          </w:p>
        </w:tc>
        <w:tc>
          <w:tcPr>
            <w:tcW w:w="44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60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可持续影响指标</w:t>
            </w:r>
          </w:p>
        </w:tc>
        <w:tc>
          <w:tcPr>
            <w:tcW w:w="1321"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保障我院法警工作日之外的加班福利，提升法警工作积极性，维护我院正常办公办案秩序。</w:t>
            </w:r>
          </w:p>
        </w:tc>
        <w:tc>
          <w:tcPr>
            <w:tcW w:w="44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服务对象满意度指标</w:t>
            </w:r>
          </w:p>
        </w:tc>
        <w:tc>
          <w:tcPr>
            <w:tcW w:w="1321"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干警满意度</w:t>
            </w:r>
          </w:p>
        </w:tc>
        <w:tc>
          <w:tcPr>
            <w:tcW w:w="44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98</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成本指标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经济成本指标</w:t>
            </w:r>
          </w:p>
        </w:tc>
        <w:tc>
          <w:tcPr>
            <w:tcW w:w="1321" w:type="dxa"/>
            <w:gridSpan w:val="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项目总成本</w:t>
            </w:r>
          </w:p>
        </w:tc>
        <w:tc>
          <w:tcPr>
            <w:tcW w:w="44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93720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元</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93720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715" w:type="dxa"/>
            <w:gridSpan w:val="2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合计</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90"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评价</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结论</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2024年，我院按照年初预算项目资金和绩效目标设置情况，顺利完成了该项目的实施和资金支付，自评得分为100分。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7"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存在</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问题</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64"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改进</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措施</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3993"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项目负责人：李平山</w:t>
            </w:r>
          </w:p>
        </w:tc>
        <w:tc>
          <w:tcPr>
            <w:tcW w:w="4758"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62"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2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6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9"/>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7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5"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08" w:hRule="atLeast"/>
        </w:trPr>
        <w:tc>
          <w:tcPr>
            <w:tcW w:w="8751" w:type="dxa"/>
            <w:gridSpan w:val="3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SA"/>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项目名称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51080024T000011119670-专线网络租赁维护费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11"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主管部门</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四川省广元市中级人民法院部门</w:t>
            </w:r>
          </w:p>
        </w:tc>
        <w:tc>
          <w:tcPr>
            <w:tcW w:w="1023" w:type="dxa"/>
            <w:gridSpan w:val="5"/>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实施单位 （盖章）</w:t>
            </w:r>
          </w:p>
        </w:tc>
        <w:tc>
          <w:tcPr>
            <w:tcW w:w="2036"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项目基本情况</w:t>
            </w: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1.项目年度目标完成情况</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项目年度目标</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8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18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保障案件审判、执行专线网络有序运行，促进法院司法工作顺利开展。</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该项目及时保障了我院各专线网络顺畅运行，有效提升案件办理质效，促进司法公开透明。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06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2.项目实施内容及过程概述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由各业务庭室申报专线网络租赁和维护等费用报销，并由其分管院领导审批后，交由行装处完成项目费用支付，并及时进行会计核算。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预算执行情况（10分）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年度预算数（万元）</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年初预算</w:t>
            </w:r>
          </w:p>
        </w:tc>
        <w:tc>
          <w:tcPr>
            <w:tcW w:w="1211"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调整后预算数</w:t>
            </w:r>
          </w:p>
        </w:tc>
        <w:tc>
          <w:tcPr>
            <w:tcW w:w="1976" w:type="dxa"/>
            <w:gridSpan w:val="1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预算执行数</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预算执行率</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6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总额</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55.00</w:t>
            </w:r>
          </w:p>
        </w:tc>
        <w:tc>
          <w:tcPr>
            <w:tcW w:w="1211"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55.00</w:t>
            </w:r>
          </w:p>
        </w:tc>
        <w:tc>
          <w:tcPr>
            <w:tcW w:w="1976" w:type="dxa"/>
            <w:gridSpan w:val="1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55.00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38"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其中：财政资金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55.00</w:t>
            </w:r>
          </w:p>
        </w:tc>
        <w:tc>
          <w:tcPr>
            <w:tcW w:w="1211"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55.00</w:t>
            </w:r>
          </w:p>
        </w:tc>
        <w:tc>
          <w:tcPr>
            <w:tcW w:w="1976" w:type="dxa"/>
            <w:gridSpan w:val="1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55.00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财政专户管理资金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211"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976" w:type="dxa"/>
            <w:gridSpan w:val="1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45"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单位资金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211"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976" w:type="dxa"/>
            <w:gridSpan w:val="1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39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其他资金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211" w:type="dxa"/>
            <w:gridSpan w:val="3"/>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976" w:type="dxa"/>
            <w:gridSpan w:val="15"/>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绩效指标（90分）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一级指标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二级指标</w:t>
            </w:r>
          </w:p>
        </w:tc>
        <w:tc>
          <w:tcPr>
            <w:tcW w:w="1211"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三级指标</w:t>
            </w:r>
          </w:p>
        </w:tc>
        <w:tc>
          <w:tcPr>
            <w:tcW w:w="49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指标性质</w:t>
            </w:r>
          </w:p>
        </w:tc>
        <w:tc>
          <w:tcPr>
            <w:tcW w:w="8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指标值</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度量单位</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完成值</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产出指标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1211"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专项网络租赁数量</w:t>
            </w:r>
          </w:p>
        </w:tc>
        <w:tc>
          <w:tcPr>
            <w:tcW w:w="49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条</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质量指标</w:t>
            </w:r>
          </w:p>
        </w:tc>
        <w:tc>
          <w:tcPr>
            <w:tcW w:w="1211"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网络通讯通畅度</w:t>
            </w:r>
          </w:p>
        </w:tc>
        <w:tc>
          <w:tcPr>
            <w:tcW w:w="49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95</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98</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时效指标</w:t>
            </w:r>
          </w:p>
        </w:tc>
        <w:tc>
          <w:tcPr>
            <w:tcW w:w="1211"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项目完成时限</w:t>
            </w:r>
          </w:p>
        </w:tc>
        <w:tc>
          <w:tcPr>
            <w:tcW w:w="49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911"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效益指标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社会效益指标</w:t>
            </w:r>
          </w:p>
        </w:tc>
        <w:tc>
          <w:tcPr>
            <w:tcW w:w="1211"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提升案件办理质效，促进司法公开透明，着力解决执行难等问题，及时有效维护当事人合法权益，促进社会公平正义。</w:t>
            </w:r>
          </w:p>
        </w:tc>
        <w:tc>
          <w:tcPr>
            <w:tcW w:w="49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8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702"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可持续影响指标</w:t>
            </w:r>
          </w:p>
        </w:tc>
        <w:tc>
          <w:tcPr>
            <w:tcW w:w="1211"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畅通当事人维权和诉求渠道，推动法治化宣传，提升了当事人和代理人的办事效率，推动信息化法治建设。</w:t>
            </w:r>
          </w:p>
        </w:tc>
        <w:tc>
          <w:tcPr>
            <w:tcW w:w="49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8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服务对象满意度指标</w:t>
            </w:r>
          </w:p>
        </w:tc>
        <w:tc>
          <w:tcPr>
            <w:tcW w:w="1211"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法院工作人员对各项网络运行满意度</w:t>
            </w:r>
          </w:p>
        </w:tc>
        <w:tc>
          <w:tcPr>
            <w:tcW w:w="49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成本指标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经济成本指标</w:t>
            </w:r>
          </w:p>
        </w:tc>
        <w:tc>
          <w:tcPr>
            <w:tcW w:w="1211"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项目总成本</w:t>
            </w:r>
          </w:p>
        </w:tc>
        <w:tc>
          <w:tcPr>
            <w:tcW w:w="490"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81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550000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元</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550000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715" w:type="dxa"/>
            <w:gridSpan w:val="2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合计</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00"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评价</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结论</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2024年，我院按照年初预算项目资金和绩效目标设置情况，顺利完成了该项目的实施和资金支付，自评得分为100分。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07"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存在</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问题</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4"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u w:val="none"/>
                <w:lang w:val="en-US" w:eastAsia="zh-CN" w:bidi="ar-SA"/>
              </w:rPr>
            </w:pPr>
            <w:r>
              <w:rPr>
                <w:rFonts w:hint="eastAsia" w:ascii="宋体" w:hAnsi="宋体" w:eastAsia="宋体" w:cs="宋体"/>
                <w:i w:val="0"/>
                <w:color w:val="000000"/>
                <w:kern w:val="0"/>
                <w:sz w:val="18"/>
                <w:szCs w:val="18"/>
                <w:u w:val="none"/>
                <w:lang w:val="en-US" w:eastAsia="zh-CN" w:bidi="ar-SA"/>
              </w:rPr>
              <w:t>改进</w:t>
            </w:r>
          </w:p>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措施</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3993"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项目负责人：陈锐</w:t>
            </w:r>
          </w:p>
        </w:tc>
        <w:tc>
          <w:tcPr>
            <w:tcW w:w="4758"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财务负责人：王倩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169" w:hRule="atLeast"/>
        </w:trPr>
        <w:tc>
          <w:tcPr>
            <w:tcW w:w="604" w:type="dxa"/>
            <w:gridSpan w:val="3"/>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62"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2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36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9"/>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67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023" w:type="dxa"/>
            <w:gridSpan w:val="5"/>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5"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66" w:type="dxa"/>
            <w:gridSpan w:val="2"/>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1105" w:type="dxa"/>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1" w:hRule="atLeast"/>
        </w:trPr>
        <w:tc>
          <w:tcPr>
            <w:tcW w:w="8751" w:type="dxa"/>
            <w:gridSpan w:val="3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SA"/>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项目名称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51080025T000012635332-代管国产专用设备采购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1" w:hRule="atLeast"/>
        </w:trPr>
        <w:tc>
          <w:tcPr>
            <w:tcW w:w="154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主管部门</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四川省广元市中级人民法院部门</w:t>
            </w:r>
          </w:p>
        </w:tc>
        <w:tc>
          <w:tcPr>
            <w:tcW w:w="754" w:type="dxa"/>
            <w:gridSpan w:val="2"/>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实施单位 （盖章）</w:t>
            </w:r>
          </w:p>
        </w:tc>
        <w:tc>
          <w:tcPr>
            <w:tcW w:w="2305" w:type="dxa"/>
            <w:gridSpan w:val="8"/>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四川省广元市中级人民法院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项目基本情况</w:t>
            </w: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1.项目年度目标完成情况</w:t>
            </w: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项目年度目标</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0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4149" w:type="dxa"/>
            <w:gridSpan w:val="2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完成刑庭办理交办案件所需专用设备的采购，包含专用台式电脑2台，专用笔记本电脑5台。</w:t>
            </w:r>
          </w:p>
        </w:tc>
        <w:tc>
          <w:tcPr>
            <w:tcW w:w="3059"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通过政府采购流程，及时完成了专用设备采购。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8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2.项目实施内容及过程概述</w:t>
            </w:r>
          </w:p>
        </w:tc>
        <w:tc>
          <w:tcPr>
            <w:tcW w:w="7208" w:type="dxa"/>
            <w:gridSpan w:val="30"/>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通过政府采购流程，完成专用台式电脑2台，专用笔记本电脑5台采购，并及时完成项目资金支付。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预算执行情况（10分）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年度预算数（万元）</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年初预算</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调整后预算数</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预算执行数</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预算执行率</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66"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总额</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4.23</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4.13</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97.63%</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SA"/>
              </w:rPr>
              <w:t>预算执行率未达100%的主要原因是政府采购结余资金无法进行支付。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38"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其中：财政资金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财政专户管理资金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95"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单位资金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0.00</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4.23</w:t>
            </w: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4.13</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97.63%</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其他资金</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2062" w:type="dxa"/>
            <w:gridSpan w:val="16"/>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10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绩效指标（90分）</w:t>
            </w: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一级指标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二级指标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三级指标</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指标性质</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指标值</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度量单位</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完成值</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权重</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得分</w:t>
            </w:r>
          </w:p>
        </w:tc>
        <w:tc>
          <w:tcPr>
            <w:tcW w:w="1105"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8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产出指标</w:t>
            </w:r>
          </w:p>
        </w:tc>
        <w:tc>
          <w:tcPr>
            <w:tcW w:w="96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数量指标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采购专用笔记本电脑数量</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台</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5</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689"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采购专用台式电脑数量</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台</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质量指标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采购专用设备经检验符合专案使用标准</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符合</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符合</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时效指标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框架协议采购时间</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45</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天</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45</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效益指标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经济效益指标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保障交办专案高效有序审理</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定性</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级</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优</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724"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满意度指标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服务对象满意度指标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刑事审判庭使用专用设备满意度</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80</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90</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53" w:hRule="atLeast"/>
        </w:trPr>
        <w:tc>
          <w:tcPr>
            <w:tcW w:w="604"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宋体" w:hAnsi="宋体" w:eastAsia="宋体" w:cs="宋体"/>
                <w:i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成本指标</w:t>
            </w:r>
          </w:p>
        </w:tc>
        <w:tc>
          <w:tcPr>
            <w:tcW w:w="96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经济成本指标</w:t>
            </w:r>
          </w:p>
        </w:tc>
        <w:tc>
          <w:tcPr>
            <w:tcW w:w="11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采购成本</w:t>
            </w:r>
          </w:p>
        </w:tc>
        <w:tc>
          <w:tcPr>
            <w:tcW w:w="36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w:t>
            </w:r>
          </w:p>
        </w:tc>
        <w:tc>
          <w:tcPr>
            <w:tcW w:w="1023" w:type="dxa"/>
            <w:gridSpan w:val="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4.23</w:t>
            </w:r>
          </w:p>
        </w:tc>
        <w:tc>
          <w:tcPr>
            <w:tcW w:w="67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万元</w:t>
            </w:r>
          </w:p>
        </w:tc>
        <w:tc>
          <w:tcPr>
            <w:tcW w:w="102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4.13</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480" w:hRule="atLeast"/>
        </w:trPr>
        <w:tc>
          <w:tcPr>
            <w:tcW w:w="6715" w:type="dxa"/>
            <w:gridSpan w:val="29"/>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合计</w:t>
            </w:r>
          </w:p>
        </w:tc>
        <w:tc>
          <w:tcPr>
            <w:tcW w:w="46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4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100</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40"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评价结论</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2024年，我院按照年初预算项目资金和绩效目标设置情况，顺利完成了该项目的实施和资金支付，自评得分为100分。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897"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存在问题</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986" w:hRule="atLeast"/>
        </w:trPr>
        <w:tc>
          <w:tcPr>
            <w:tcW w:w="604" w:type="dxa"/>
            <w:gridSpan w:val="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SA"/>
              </w:rPr>
              <w:t>改进措施</w:t>
            </w:r>
          </w:p>
        </w:tc>
        <w:tc>
          <w:tcPr>
            <w:tcW w:w="8147" w:type="dxa"/>
            <w:gridSpan w:val="3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SA"/>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84" w:type="dxa"/>
          <w:trHeight w:val="500" w:hRule="atLeast"/>
        </w:trPr>
        <w:tc>
          <w:tcPr>
            <w:tcW w:w="3993" w:type="dxa"/>
            <w:gridSpan w:val="13"/>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项目负责人：王倩</w:t>
            </w:r>
          </w:p>
        </w:tc>
        <w:tc>
          <w:tcPr>
            <w:tcW w:w="4758"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SA"/>
              </w:rPr>
              <w:t>财务负责人：王倩</w:t>
            </w:r>
          </w:p>
        </w:tc>
      </w:tr>
    </w:tbl>
    <w:p>
      <w:pPr>
        <w:rPr>
          <w:rFonts w:hint="eastAsia" w:ascii="黑体" w:hAnsi="黑体" w:eastAsia="黑体" w:cs="黑体"/>
          <w:color w:val="auto"/>
          <w:sz w:val="32"/>
          <w:szCs w:val="32"/>
          <w:highlight w:val="none"/>
          <w:lang w:val="en-US" w:eastAsia="zh-CN"/>
        </w:rPr>
      </w:pPr>
      <w:r>
        <w:rPr>
          <w:rFonts w:hint="eastAsia" w:ascii="黑体" w:hAnsi="黑体" w:eastAsia="黑体" w:cs="黑体"/>
          <w:color w:val="auto"/>
          <w:kern w:val="0"/>
          <w:sz w:val="32"/>
          <w:szCs w:val="32"/>
          <w:highlight w:val="none"/>
          <w:shd w:val="clear" w:color="auto" w:fill="FFFFFF"/>
          <w:lang w:val="zh-CN"/>
        </w:rPr>
        <w:br w:type="page"/>
      </w:r>
      <w:r>
        <w:rPr>
          <w:rFonts w:hint="eastAsia" w:ascii="黑体" w:hAnsi="黑体" w:eastAsia="黑体" w:cs="黑体"/>
          <w:color w:val="auto"/>
          <w:kern w:val="0"/>
          <w:sz w:val="32"/>
          <w:szCs w:val="32"/>
          <w:highlight w:val="none"/>
          <w:shd w:val="clear" w:color="auto" w:fill="FFFFFF"/>
          <w:lang w:val="zh-CN"/>
        </w:rPr>
        <w:t>附件</w:t>
      </w:r>
    </w:p>
    <w:p>
      <w:pPr>
        <w:pStyle w:val="36"/>
        <w:spacing w:beforeLines="0" w:afterLines="0"/>
        <w:ind w:firstLine="883" w:firstLineChars="20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四川省广元市中级人民法院</w:t>
      </w:r>
    </w:p>
    <w:p>
      <w:pPr>
        <w:pStyle w:val="36"/>
        <w:spacing w:beforeLines="0" w:afterLines="0"/>
        <w:ind w:firstLine="883" w:firstLineChars="20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2024年案件审判经费预算项目</w:t>
      </w:r>
    </w:p>
    <w:p>
      <w:pPr>
        <w:pStyle w:val="36"/>
        <w:spacing w:beforeLines="0" w:afterLines="0"/>
        <w:ind w:firstLine="883" w:firstLineChars="200"/>
        <w:jc w:val="center"/>
        <w:rPr>
          <w:rFonts w:hint="eastAsia" w:ascii="宋体" w:hAnsi="宋体"/>
          <w:color w:val="auto"/>
          <w:kern w:val="2"/>
          <w:sz w:val="32"/>
        </w:rPr>
      </w:pPr>
      <w:r>
        <w:rPr>
          <w:rFonts w:hint="eastAsia" w:ascii="黑体" w:hAnsi="黑体" w:eastAsia="黑体"/>
          <w:b/>
          <w:color w:val="auto"/>
          <w:kern w:val="2"/>
          <w:sz w:val="44"/>
          <w:lang w:val="en-US"/>
        </w:rPr>
        <w:t>支出绩效评价报告</w:t>
      </w:r>
    </w:p>
    <w:p>
      <w:pPr>
        <w:adjustRightInd w:val="0"/>
        <w:snapToGrid w:val="0"/>
        <w:spacing w:beforeLines="0" w:afterLines="0" w:line="360" w:lineRule="auto"/>
        <w:ind w:firstLine="643" w:firstLineChars="200"/>
        <w:rPr>
          <w:rFonts w:hint="eastAsia" w:ascii="黑体" w:hAnsi="宋体" w:eastAsia="黑体"/>
          <w:b/>
          <w:sz w:val="32"/>
          <w:lang w:val="zh-CN"/>
        </w:rPr>
      </w:pPr>
      <w:r>
        <w:rPr>
          <w:rFonts w:hint="eastAsia" w:ascii="黑体" w:hAnsi="宋体" w:eastAsia="黑体"/>
          <w:b/>
          <w:sz w:val="32"/>
        </w:rPr>
        <w:t>一、</w:t>
      </w:r>
      <w:r>
        <w:rPr>
          <w:rFonts w:hint="eastAsia" w:ascii="黑体" w:hAnsi="宋体" w:eastAsia="黑体"/>
          <w:b/>
          <w:sz w:val="32"/>
          <w:lang w:val="zh-CN"/>
        </w:rPr>
        <w:t>项目概况</w:t>
      </w:r>
    </w:p>
    <w:p>
      <w:pPr>
        <w:widowControl/>
        <w:numPr>
          <w:numId w:val="0"/>
        </w:numPr>
        <w:adjustRightInd w:val="0"/>
        <w:snapToGrid w:val="0"/>
        <w:spacing w:beforeLines="0" w:afterLines="0" w:line="360" w:lineRule="auto"/>
        <w:ind w:firstLine="643" w:firstLineChars="200"/>
        <w:jc w:val="left"/>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（一）设立背景及基本情况。</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广元市</w:t>
      </w:r>
      <w:r>
        <w:rPr>
          <w:rFonts w:hint="eastAsia" w:eastAsia="仿宋_GB2312"/>
          <w:sz w:val="32"/>
        </w:rPr>
        <w:t>中级人民法院是独立核算的一级预算部门，</w:t>
      </w:r>
      <w:r>
        <w:rPr>
          <w:rFonts w:hint="eastAsia" w:eastAsia="仿宋_GB2312"/>
          <w:sz w:val="32"/>
          <w:lang w:val="zh-CN"/>
        </w:rPr>
        <w:t>负责法院案件审判经费项目年初预算的编制和绩效目标的设置，确保项目预算的科学性、合理性、可行性。负责推进项目执行以及项目实施过程管理，包括项目进度监控、成本控制、风险预警、资金支付、财务核算等。项目完成后的决算编审、绩效目标考核和项目自评，以及其他与项目相关工作。</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rPr>
        <w:t>根据我院案件审判各项业务开展实际，保障案件审判过程中发生的办公费、印刷费、宣传费、邮电费等各项费用，提升了我院案件审理质效，保障了当事人合法权益，维护了公平正义的社会环境。根据往年该项目实施情况及本年需求，2024年案件审判</w:t>
      </w:r>
      <w:r>
        <w:rPr>
          <w:rFonts w:hint="eastAsia" w:eastAsia="仿宋_GB2312"/>
          <w:sz w:val="32"/>
          <w:lang w:val="zh-CN"/>
        </w:rPr>
        <w:t>经费项目资金</w:t>
      </w:r>
      <w:r>
        <w:rPr>
          <w:rFonts w:hint="eastAsia" w:eastAsia="仿宋_GB2312"/>
          <w:sz w:val="32"/>
        </w:rPr>
        <w:t>123.39万元。</w:t>
      </w:r>
    </w:p>
    <w:p>
      <w:pPr>
        <w:numPr>
          <w:ilvl w:val="0"/>
          <w:numId w:val="5"/>
        </w:numPr>
        <w:adjustRightInd w:val="0"/>
        <w:snapToGrid w:val="0"/>
        <w:spacing w:beforeLines="0" w:afterLines="0" w:line="360" w:lineRule="auto"/>
        <w:ind w:firstLine="643" w:firstLineChars="200"/>
        <w:rPr>
          <w:rFonts w:hint="eastAsia" w:ascii="楷体_GB2312" w:hAnsi="宋体" w:eastAsia="楷体_GB2312"/>
          <w:b/>
          <w:color w:val="auto"/>
          <w:sz w:val="32"/>
        </w:rPr>
      </w:pPr>
      <w:r>
        <w:rPr>
          <w:rFonts w:hint="eastAsia" w:ascii="楷体_GB2312" w:hAnsi="宋体" w:eastAsia="楷体_GB2312"/>
          <w:b/>
          <w:color w:val="auto"/>
          <w:sz w:val="32"/>
        </w:rPr>
        <w:t>实施目的及支持方向。</w:t>
      </w:r>
    </w:p>
    <w:p>
      <w:pPr>
        <w:adjustRightInd w:val="0"/>
        <w:snapToGrid w:val="0"/>
        <w:spacing w:beforeLines="0" w:afterLines="0" w:line="360" w:lineRule="auto"/>
        <w:ind w:firstLine="640" w:firstLineChars="200"/>
        <w:rPr>
          <w:rFonts w:hint="eastAsia"/>
          <w:sz w:val="32"/>
          <w:lang w:val="zh-CN"/>
        </w:rPr>
      </w:pPr>
      <w:r>
        <w:rPr>
          <w:rFonts w:hint="eastAsia" w:ascii="仿宋_GB2312" w:hAnsi="仿宋_GB2312" w:eastAsia="仿宋_GB2312"/>
          <w:color w:val="auto"/>
          <w:kern w:val="0"/>
          <w:sz w:val="32"/>
          <w:shd w:val="clear" w:color="auto" w:fill="FFFFFF"/>
        </w:rPr>
        <w:t xml:space="preserve"> </w:t>
      </w:r>
      <w:r>
        <w:rPr>
          <w:rFonts w:hint="eastAsia" w:eastAsia="仿宋_GB2312"/>
          <w:sz w:val="32"/>
        </w:rPr>
        <w:t>案件审判</w:t>
      </w:r>
      <w:r>
        <w:rPr>
          <w:rFonts w:hint="eastAsia" w:eastAsia="仿宋_GB2312"/>
          <w:sz w:val="32"/>
          <w:lang w:val="zh-CN"/>
        </w:rPr>
        <w:t>经费项目预算编制立足上年项目执行情况和当年工作实际，绩效目标和项目指标编制科学、合理。</w:t>
      </w:r>
    </w:p>
    <w:p>
      <w:pPr>
        <w:adjustRightInd w:val="0"/>
        <w:snapToGrid w:val="0"/>
        <w:spacing w:beforeLines="0" w:afterLines="0" w:line="360" w:lineRule="auto"/>
        <w:ind w:firstLine="640" w:firstLineChars="200"/>
        <w:rPr>
          <w:rFonts w:hint="eastAsia" w:ascii="仿宋_GB2312" w:hAnsi="宋体" w:eastAsia="仿宋_GB2312"/>
          <w:sz w:val="32"/>
          <w:lang w:val="zh-CN"/>
        </w:rPr>
      </w:pPr>
      <w:r>
        <w:rPr>
          <w:rFonts w:hint="eastAsia" w:eastAsia="仿宋_GB2312"/>
          <w:sz w:val="32"/>
        </w:rPr>
        <w:t xml:space="preserve"> </w:t>
      </w:r>
      <w:r>
        <w:rPr>
          <w:rFonts w:hint="eastAsia" w:eastAsia="仿宋_GB2312"/>
          <w:sz w:val="32"/>
          <w:lang w:val="zh-CN"/>
        </w:rPr>
        <w:t>项目资金来源系财政全额拨款的一般公共预算资金，按照我院财务管理办法及专项资金管理细则，实行专款专用。项目的所有经费开支均经过项目责任人、财务负责人、分管院领导的审批签字，并在对应的科目进行专项核算。</w:t>
      </w:r>
    </w:p>
    <w:p>
      <w:pPr>
        <w:widowControl/>
        <w:numPr>
          <w:ilvl w:val="0"/>
          <w:numId w:val="5"/>
        </w:numPr>
        <w:adjustRightInd w:val="0"/>
        <w:snapToGrid w:val="0"/>
        <w:spacing w:beforeLines="0" w:afterLines="0" w:line="360" w:lineRule="auto"/>
        <w:ind w:firstLine="643" w:firstLineChars="200"/>
        <w:jc w:val="left"/>
        <w:rPr>
          <w:rFonts w:hint="eastAsia" w:ascii="楷体_GB2312" w:hAnsi="宋体" w:eastAsia="楷体_GB2312"/>
          <w:b/>
          <w:color w:val="auto"/>
          <w:sz w:val="32"/>
          <w:lang w:val="zh-CN"/>
        </w:rPr>
      </w:pPr>
      <w:r>
        <w:rPr>
          <w:rFonts w:hint="eastAsia" w:ascii="楷体_GB2312" w:hAnsi="宋体" w:eastAsia="楷体_GB2312"/>
          <w:b/>
          <w:color w:val="auto"/>
          <w:sz w:val="32"/>
        </w:rPr>
        <w:t>预算安排及分配管理</w:t>
      </w:r>
      <w:r>
        <w:rPr>
          <w:rFonts w:hint="eastAsia" w:ascii="楷体_GB2312" w:hAnsi="宋体" w:eastAsia="楷体_GB2312"/>
          <w:b/>
          <w:color w:val="auto"/>
          <w:sz w:val="32"/>
          <w:lang w:val="zh-CN"/>
        </w:rPr>
        <w:t>。</w:t>
      </w:r>
    </w:p>
    <w:p>
      <w:pPr>
        <w:adjustRightInd w:val="0"/>
        <w:snapToGrid w:val="0"/>
        <w:spacing w:beforeLines="0" w:afterLines="0" w:line="360" w:lineRule="auto"/>
        <w:ind w:firstLine="640" w:firstLineChars="200"/>
        <w:rPr>
          <w:rFonts w:hint="eastAsia" w:eastAsia="仿宋_GB2312"/>
          <w:sz w:val="32"/>
          <w:lang w:val="zh-CN"/>
        </w:rPr>
      </w:pPr>
      <w:r>
        <w:rPr>
          <w:rFonts w:hint="eastAsia" w:eastAsia="仿宋_GB2312"/>
          <w:sz w:val="32"/>
          <w:lang w:val="zh-CN"/>
        </w:rPr>
        <w:t>案件审判经费项目</w:t>
      </w:r>
      <w:r>
        <w:rPr>
          <w:rFonts w:hint="eastAsia" w:eastAsia="仿宋_GB2312"/>
          <w:sz w:val="32"/>
        </w:rPr>
        <w:t>报送人代会通过后批复</w:t>
      </w:r>
      <w:r>
        <w:rPr>
          <w:rFonts w:hint="eastAsia" w:ascii="仿宋_GB2312" w:hAnsi="仿宋_GB2312" w:eastAsia="仿宋_GB2312"/>
          <w:color w:val="auto"/>
          <w:kern w:val="0"/>
          <w:sz w:val="32"/>
          <w:shd w:val="clear" w:color="auto" w:fill="FFFFFF"/>
          <w:lang w:val="zh-CN"/>
        </w:rPr>
        <w:t>预算为一般</w:t>
      </w:r>
      <w:r>
        <w:rPr>
          <w:rFonts w:hint="eastAsia" w:eastAsia="仿宋_GB2312"/>
          <w:sz w:val="32"/>
          <w:lang w:val="zh-CN"/>
        </w:rPr>
        <w:t>公共预算资金</w:t>
      </w:r>
      <w:r>
        <w:rPr>
          <w:rFonts w:hint="eastAsia" w:eastAsia="仿宋_GB2312"/>
          <w:sz w:val="32"/>
        </w:rPr>
        <w:t>123.39万元，</w:t>
      </w:r>
      <w:r>
        <w:rPr>
          <w:rFonts w:hint="eastAsia" w:eastAsia="仿宋_GB2312"/>
          <w:sz w:val="32"/>
          <w:lang w:val="zh-CN"/>
        </w:rPr>
        <w:t>资金分配严格按照预算安排，主要用于保障案件审判过程中发生的办公费、印刷费、差旅费、宣传费、邮电费等各项费用。</w:t>
      </w:r>
    </w:p>
    <w:p>
      <w:pPr>
        <w:keepLines/>
        <w:numPr>
          <w:numId w:val="0"/>
        </w:numPr>
        <w:adjustRightInd w:val="0"/>
        <w:snapToGrid w:val="0"/>
        <w:spacing w:beforeLines="0" w:afterLines="0" w:line="360" w:lineRule="auto"/>
        <w:ind w:leftChars="200"/>
        <w:rPr>
          <w:rFonts w:hint="eastAsia" w:eastAsia="仿宋_GB2312"/>
          <w:sz w:val="32"/>
          <w:lang w:val="zh-CN"/>
        </w:rPr>
      </w:pPr>
      <w:r>
        <w:rPr>
          <w:rFonts w:hint="eastAsia" w:ascii="楷体_GB2312" w:hAnsi="宋体" w:eastAsia="楷体_GB2312"/>
          <w:b/>
          <w:color w:val="auto"/>
          <w:sz w:val="32"/>
          <w:lang w:val="zh-CN"/>
        </w:rPr>
        <w:t>（四）项目绩效目标设置。</w:t>
      </w:r>
    </w:p>
    <w:p>
      <w:pPr>
        <w:keepLines/>
        <w:numPr>
          <w:numId w:val="0"/>
        </w:numPr>
        <w:adjustRightInd w:val="0"/>
        <w:snapToGrid w:val="0"/>
        <w:spacing w:beforeLines="0" w:afterLines="0" w:line="360" w:lineRule="auto"/>
        <w:ind w:firstLine="642"/>
        <w:rPr>
          <w:rFonts w:hint="eastAsia" w:eastAsia="仿宋_GB2312"/>
          <w:sz w:val="32"/>
        </w:rPr>
      </w:pPr>
      <w:r>
        <w:rPr>
          <w:rFonts w:hint="eastAsia" w:eastAsia="仿宋_GB2312"/>
          <w:sz w:val="32"/>
          <w:lang w:val="zh-CN"/>
        </w:rPr>
        <w:t>202</w:t>
      </w:r>
      <w:r>
        <w:rPr>
          <w:rFonts w:hint="eastAsia" w:eastAsia="仿宋_GB2312"/>
          <w:sz w:val="32"/>
        </w:rPr>
        <w:t>4</w:t>
      </w:r>
      <w:r>
        <w:rPr>
          <w:rFonts w:hint="eastAsia" w:eastAsia="仿宋_GB2312"/>
          <w:sz w:val="32"/>
          <w:lang w:val="zh-CN"/>
        </w:rPr>
        <w:t>年案件审判经费项目资金用于保障案件审判过程中发生的办公费、印刷费、差旅费、调查费、公告费、宣传费、邮电费等各项费用开支，促使审判业务工作顺利开展，</w:t>
      </w:r>
      <w:r>
        <w:rPr>
          <w:rFonts w:hint="eastAsia" w:eastAsia="仿宋_GB2312"/>
          <w:sz w:val="32"/>
        </w:rPr>
        <w:t>保障当事人合法权益，维护公平正义的社会环境。</w:t>
      </w:r>
    </w:p>
    <w:p>
      <w:pPr>
        <w:keepLines/>
        <w:numPr>
          <w:numId w:val="0"/>
        </w:numPr>
        <w:adjustRightInd w:val="0"/>
        <w:snapToGrid w:val="0"/>
        <w:spacing w:beforeLines="0" w:afterLines="0" w:line="360" w:lineRule="auto"/>
        <w:ind w:firstLine="642"/>
        <w:rPr>
          <w:rFonts w:hint="eastAsia" w:eastAsia="仿宋_GB2312"/>
          <w:sz w:val="32"/>
        </w:rPr>
      </w:pPr>
      <w:r>
        <w:rPr>
          <w:rFonts w:hint="eastAsia" w:eastAsia="仿宋_GB2312"/>
          <w:sz w:val="32"/>
          <w:lang w:val="zh-CN"/>
        </w:rPr>
        <w:t>该项目预算执行情况自评权重为</w:t>
      </w:r>
      <w:r>
        <w:rPr>
          <w:rFonts w:hint="eastAsia" w:eastAsia="仿宋_GB2312"/>
          <w:sz w:val="32"/>
        </w:rPr>
        <w:t>10%，满分为10分，其余产出指标、效益指标、成本指标，满意度指标绩效目标设置权重为90%，具体明细见下表：</w:t>
      </w:r>
    </w:p>
    <w:tbl>
      <w:tblPr>
        <w:tblStyle w:val="25"/>
        <w:tblW w:w="9999" w:type="dxa"/>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4"/>
        <w:gridCol w:w="2052"/>
        <w:gridCol w:w="1775"/>
        <w:gridCol w:w="2264"/>
        <w:gridCol w:w="521"/>
        <w:gridCol w:w="1677"/>
        <w:gridCol w:w="521"/>
        <w:gridCol w:w="5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2" w:hRule="atLeast"/>
        </w:trPr>
        <w:tc>
          <w:tcPr>
            <w:tcW w:w="684" w:type="dxa"/>
            <w:vMerge w:val="restart"/>
            <w:tcBorders>
              <w:top w:val="single" w:color="000000" w:sz="6" w:space="0"/>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绩效指标（90分）</w:t>
            </w:r>
          </w:p>
        </w:tc>
        <w:tc>
          <w:tcPr>
            <w:tcW w:w="2052"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一级指标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二级指标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三级指标</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指标性质</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指标值</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度量单位</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 w:hRule="atLeast"/>
        </w:trPr>
        <w:tc>
          <w:tcPr>
            <w:tcW w:w="684" w:type="dxa"/>
            <w:vMerge w:val="continue"/>
            <w:tcBorders>
              <w:top w:val="nil"/>
              <w:left w:val="single" w:color="000000" w:sz="6" w:space="0"/>
              <w:bottom w:val="nil"/>
              <w:right w:val="single" w:color="auto" w:sz="4"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restart"/>
            <w:tcBorders>
              <w:top w:val="single" w:color="000000" w:sz="6" w:space="0"/>
              <w:left w:val="single" w:color="auto" w:sz="4"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产出指标</w:t>
            </w:r>
          </w:p>
        </w:tc>
        <w:tc>
          <w:tcPr>
            <w:tcW w:w="1775" w:type="dxa"/>
            <w:vMerge w:val="restart"/>
            <w:tcBorders>
              <w:top w:val="single" w:color="000000" w:sz="6" w:space="0"/>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数量指标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年度内受理案件数量</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2800</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件</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2" w:hRule="atLeast"/>
        </w:trPr>
        <w:tc>
          <w:tcPr>
            <w:tcW w:w="684" w:type="dxa"/>
            <w:vMerge w:val="continue"/>
            <w:tcBorders>
              <w:top w:val="nil"/>
              <w:left w:val="single" w:color="000000" w:sz="6" w:space="0"/>
              <w:bottom w:val="nil"/>
              <w:right w:val="single" w:color="auto" w:sz="4"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continue"/>
            <w:tcBorders>
              <w:top w:val="nil"/>
              <w:left w:val="single" w:color="auto" w:sz="4"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1775" w:type="dxa"/>
            <w:vMerge w:val="continue"/>
            <w:tcBorders>
              <w:top w:val="nil"/>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法官人均诉讼案件结案数量</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70</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件</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 w:hRule="atLeast"/>
        </w:trPr>
        <w:tc>
          <w:tcPr>
            <w:tcW w:w="684" w:type="dxa"/>
            <w:vMerge w:val="continue"/>
            <w:tcBorders>
              <w:top w:val="nil"/>
              <w:left w:val="single" w:color="000000" w:sz="6" w:space="0"/>
              <w:bottom w:val="single" w:color="auto" w:sz="4" w:space="0"/>
              <w:right w:val="single" w:color="auto" w:sz="4"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continue"/>
            <w:tcBorders>
              <w:top w:val="nil"/>
              <w:left w:val="single" w:color="auto" w:sz="4"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质量指标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审限内结案率</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80</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 w:hRule="atLeast"/>
        </w:trPr>
        <w:tc>
          <w:tcPr>
            <w:tcW w:w="684" w:type="dxa"/>
            <w:vMerge w:val="continue"/>
            <w:tcBorders>
              <w:top w:val="single" w:color="auto" w:sz="4" w:space="0"/>
              <w:left w:val="single" w:color="000000" w:sz="6" w:space="0"/>
              <w:bottom w:val="single" w:color="auto" w:sz="4" w:space="0"/>
              <w:right w:val="single" w:color="auto" w:sz="4"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continue"/>
            <w:tcBorders>
              <w:top w:val="single" w:color="auto" w:sz="4" w:space="0"/>
              <w:left w:val="single" w:color="auto" w:sz="4"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时效指标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项目完成时限</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年</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0" w:hRule="atLeast"/>
        </w:trPr>
        <w:tc>
          <w:tcPr>
            <w:tcW w:w="684" w:type="dxa"/>
            <w:vMerge w:val="continue"/>
            <w:tcBorders>
              <w:top w:val="single" w:color="auto" w:sz="4" w:space="0"/>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restart"/>
            <w:tcBorders>
              <w:top w:val="single" w:color="auto" w:sz="4" w:space="0"/>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效益指标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社会效益指标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案件审判业务有效打击刑事犯罪，维护当事人合法权益，促进社会会公平正义，推动法治化社会建立。</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定性</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优</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级</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4" w:hRule="atLeast"/>
        </w:trPr>
        <w:tc>
          <w:tcPr>
            <w:tcW w:w="684" w:type="dxa"/>
            <w:vMerge w:val="continue"/>
            <w:tcBorders>
              <w:top w:val="single" w:color="auto" w:sz="4" w:space="0"/>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continue"/>
            <w:tcBorders>
              <w:top w:val="single" w:color="auto" w:sz="4" w:space="0"/>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可持续影响指标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保障我院审判业务所需各项经费，提升我院审判质效，维护当事人合法权益。</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定性</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优</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级</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2" w:hRule="atLeast"/>
        </w:trPr>
        <w:tc>
          <w:tcPr>
            <w:tcW w:w="684" w:type="dxa"/>
            <w:vMerge w:val="continue"/>
            <w:tcBorders>
              <w:top w:val="single" w:color="auto" w:sz="4" w:space="0"/>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tcBorders>
              <w:top w:val="single" w:color="auto" w:sz="4"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满意度指标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服务对象满意度指标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当事人对案件审理的满意度</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80</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 w:hRule="atLeast"/>
        </w:trPr>
        <w:tc>
          <w:tcPr>
            <w:tcW w:w="684" w:type="dxa"/>
            <w:vMerge w:val="continue"/>
            <w:tcBorders>
              <w:top w:val="single" w:color="auto" w:sz="4" w:space="0"/>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成本指标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经济成本指标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项目总成本</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123.39</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万元</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20</w:t>
            </w:r>
          </w:p>
        </w:tc>
      </w:tr>
    </w:tbl>
    <w:p>
      <w:pPr>
        <w:pStyle w:val="2"/>
        <w:spacing w:beforeLines="0" w:afterLines="0"/>
        <w:ind w:left="0" w:leftChars="0" w:firstLine="0" w:firstLineChars="0"/>
        <w:rPr>
          <w:rFonts w:hint="eastAsia"/>
          <w:sz w:val="32"/>
          <w:lang w:val="zh-CN"/>
        </w:rPr>
      </w:pP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我院对于该项目的申报内容与实际业务的开展相关且符合工作实际，申报的绩效目标易于考核，合理可行，操作性强。项目绩效自评采用中期监控和年终绩效考核相结合的方式进行。项目绩效自评由项目实施的民事、行政、刑事等业务部门分别报送年度内具体工作开展情况，并对项目的实施情况总结并自评，督察室监督审核工作的完成进度并进行项目验收，行装处负责统计相关项目工作的资金支付情况，并通过共同研讨、数据对比等方法对该项目进行自评打分。</w:t>
      </w:r>
    </w:p>
    <w:p>
      <w:pPr>
        <w:adjustRightInd w:val="0"/>
        <w:snapToGrid w:val="0"/>
        <w:spacing w:beforeLines="0" w:afterLines="0" w:line="360" w:lineRule="auto"/>
        <w:ind w:firstLine="643" w:firstLineChars="200"/>
        <w:rPr>
          <w:rFonts w:hint="eastAsia" w:ascii="黑体" w:hAnsi="宋体" w:eastAsia="黑体"/>
          <w:b/>
          <w:sz w:val="32"/>
        </w:rPr>
      </w:pPr>
      <w:r>
        <w:rPr>
          <w:rFonts w:hint="eastAsia" w:ascii="黑体" w:hAnsi="宋体" w:eastAsia="黑体"/>
          <w:b/>
          <w:sz w:val="32"/>
        </w:rPr>
        <w:t>二、评价实施</w:t>
      </w:r>
    </w:p>
    <w:p>
      <w:pPr>
        <w:spacing w:beforeLines="0" w:afterLines="0" w:line="360" w:lineRule="auto"/>
        <w:ind w:firstLine="640"/>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（一）评价目的。</w:t>
      </w:r>
    </w:p>
    <w:p>
      <w:pPr>
        <w:spacing w:beforeLines="0" w:afterLines="0" w:line="360" w:lineRule="auto"/>
        <w:ind w:firstLine="640"/>
        <w:rPr>
          <w:rFonts w:hint="eastAsia"/>
          <w:sz w:val="32"/>
        </w:rPr>
      </w:pPr>
      <w:r>
        <w:rPr>
          <w:rFonts w:hint="eastAsia" w:eastAsia="仿宋_GB2312"/>
          <w:sz w:val="32"/>
        </w:rPr>
        <w:t>通过项目绩效自评要实现对案件审判经费</w:t>
      </w:r>
      <w:r>
        <w:rPr>
          <w:rFonts w:hint="eastAsia" w:eastAsia="仿宋_GB2312"/>
          <w:sz w:val="32"/>
          <w:lang w:val="zh-CN"/>
        </w:rPr>
        <w:t>项目资金效益的监督及项目目标实现度的管理，促进财政资金发挥更大的效益，保障案件审判过程中发生的办公费、印刷费、差旅费、调查费、公告费、宣传费、邮电费等各项费用开支，促使审判业务工作顺利开展，维护社会公平正义</w:t>
      </w:r>
      <w:r>
        <w:rPr>
          <w:rFonts w:hint="eastAsia" w:eastAsia="仿宋_GB2312"/>
          <w:sz w:val="32"/>
        </w:rPr>
        <w:t>。</w:t>
      </w:r>
    </w:p>
    <w:p>
      <w:pPr>
        <w:numPr>
          <w:ilvl w:val="0"/>
          <w:numId w:val="6"/>
        </w:numPr>
        <w:adjustRightInd w:val="0"/>
        <w:snapToGrid w:val="0"/>
        <w:spacing w:beforeLines="0" w:afterLines="0" w:line="360" w:lineRule="auto"/>
        <w:ind w:firstLine="643" w:firstLineChars="200"/>
        <w:rPr>
          <w:rFonts w:hint="eastAsia" w:ascii="楷体_GB2312" w:hAnsi="宋体" w:eastAsia="楷体_GB2312"/>
          <w:b/>
          <w:color w:val="auto"/>
          <w:sz w:val="32"/>
          <w:lang w:val="zh-CN"/>
        </w:rPr>
      </w:pPr>
      <w:r>
        <w:rPr>
          <w:rFonts w:hint="eastAsia" w:ascii="楷体_GB2312" w:hAnsi="宋体" w:eastAsia="楷体_GB2312"/>
          <w:b/>
          <w:color w:val="auto"/>
          <w:sz w:val="32"/>
          <w:lang w:val="zh-CN"/>
        </w:rPr>
        <w:t>预设问题及评价重点。</w:t>
      </w:r>
    </w:p>
    <w:p>
      <w:pPr>
        <w:numPr>
          <w:numId w:val="0"/>
        </w:numPr>
        <w:adjustRightInd w:val="0"/>
        <w:snapToGrid w:val="0"/>
        <w:spacing w:beforeLines="0" w:afterLines="0" w:line="360" w:lineRule="auto"/>
        <w:rPr>
          <w:rFonts w:hint="eastAsia"/>
          <w:sz w:val="32"/>
          <w:lang w:val="zh-CN"/>
        </w:rPr>
      </w:pPr>
      <w:r>
        <w:rPr>
          <w:rFonts w:hint="eastAsia" w:eastAsia="仿宋_GB2312"/>
          <w:sz w:val="32"/>
        </w:rPr>
        <w:t xml:space="preserve">    </w:t>
      </w:r>
      <w:r>
        <w:rPr>
          <w:rFonts w:hint="eastAsia" w:eastAsia="仿宋_GB2312"/>
          <w:sz w:val="32"/>
          <w:lang w:val="zh-CN"/>
        </w:rPr>
        <w:t>该项目资金为一般公共预算财政拨款收入安排，市财政局通过预算对我院下达此专项资金</w:t>
      </w:r>
      <w:r>
        <w:rPr>
          <w:rFonts w:hint="eastAsia" w:eastAsia="仿宋_GB2312"/>
          <w:sz w:val="32"/>
        </w:rPr>
        <w:t>123.39万元，</w:t>
      </w:r>
      <w:r>
        <w:rPr>
          <w:rFonts w:hint="eastAsia" w:eastAsia="仿宋_GB2312"/>
          <w:sz w:val="32"/>
          <w:lang w:val="zh-CN"/>
        </w:rPr>
        <w:t>资金及时到位，资金到位率100%，到位及时率100%，预算执行率</w:t>
      </w:r>
      <w:r>
        <w:rPr>
          <w:rFonts w:hint="eastAsia" w:eastAsia="仿宋_GB2312"/>
          <w:sz w:val="32"/>
        </w:rPr>
        <w:t>100%。顺利完成了该项目的实施和资金支付。</w:t>
      </w:r>
      <w:r>
        <w:rPr>
          <w:rFonts w:hint="eastAsia" w:eastAsia="仿宋_GB2312"/>
          <w:sz w:val="32"/>
          <w:lang w:val="zh-CN"/>
        </w:rPr>
        <w:t>项目实行专项核算，资金支付合规、合法，无超预算和范围支付情况，无截留、挤占、挪用专项资金现象，无虚列项目成本、无进行大额现金支付现象，项目资金使用均按规定标准执行。</w:t>
      </w:r>
    </w:p>
    <w:p>
      <w:pPr>
        <w:numPr>
          <w:ilvl w:val="0"/>
          <w:numId w:val="6"/>
        </w:numPr>
        <w:adjustRightInd w:val="0"/>
        <w:snapToGrid w:val="0"/>
        <w:spacing w:beforeLines="0" w:afterLines="0" w:line="360" w:lineRule="auto"/>
        <w:ind w:firstLine="643" w:firstLineChars="200"/>
        <w:rPr>
          <w:rFonts w:hint="eastAsia" w:ascii="楷体_GB2312" w:hAnsi="宋体" w:eastAsia="楷体_GB2312"/>
          <w:b/>
          <w:color w:val="auto"/>
          <w:sz w:val="32"/>
          <w:lang w:val="zh-CN"/>
        </w:rPr>
      </w:pPr>
      <w:r>
        <w:rPr>
          <w:rFonts w:hint="eastAsia" w:ascii="楷体_GB2312" w:hAnsi="宋体" w:eastAsia="楷体_GB2312"/>
          <w:b/>
          <w:color w:val="auto"/>
          <w:sz w:val="32"/>
          <w:lang w:val="zh-CN"/>
        </w:rPr>
        <w:t>评价选点。</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rPr>
        <w:t>选取20笔与案件审判相关的大额支出作为评价样本，核查资金支出方向及审批手续，调研该案件取得的社会效益</w:t>
      </w:r>
      <w:r>
        <w:rPr>
          <w:rFonts w:hint="eastAsia" w:eastAsia="仿宋_GB2312"/>
          <w:sz w:val="32"/>
          <w:lang w:val="zh-CN"/>
        </w:rPr>
        <w:t>。</w:t>
      </w:r>
    </w:p>
    <w:p>
      <w:pPr>
        <w:numPr>
          <w:ilvl w:val="0"/>
          <w:numId w:val="6"/>
        </w:numPr>
        <w:spacing w:beforeLines="0" w:afterLines="0" w:line="360" w:lineRule="auto"/>
        <w:ind w:firstLine="643" w:firstLineChars="200"/>
        <w:rPr>
          <w:rFonts w:hint="eastAsia" w:ascii="楷体_GB2312" w:hAnsi="宋体" w:eastAsia="楷体_GB2312"/>
          <w:b/>
          <w:color w:val="auto"/>
          <w:sz w:val="32"/>
          <w:lang w:val="zh-CN"/>
        </w:rPr>
      </w:pPr>
      <w:r>
        <w:rPr>
          <w:rFonts w:hint="eastAsia" w:ascii="楷体_GB2312" w:hAnsi="宋体" w:eastAsia="楷体_GB2312"/>
          <w:b/>
          <w:color w:val="auto"/>
          <w:sz w:val="32"/>
          <w:lang w:val="zh-CN"/>
        </w:rPr>
        <w:t>评价方法。</w:t>
      </w:r>
    </w:p>
    <w:p>
      <w:pPr>
        <w:numPr>
          <w:numId w:val="0"/>
        </w:numPr>
        <w:spacing w:beforeLines="0" w:afterLines="0" w:line="360" w:lineRule="auto"/>
        <w:rPr>
          <w:rFonts w:hint="eastAsia" w:eastAsia="仿宋_GB2312"/>
          <w:sz w:val="32"/>
        </w:rPr>
      </w:pPr>
      <w:r>
        <w:rPr>
          <w:rFonts w:hint="eastAsia" w:eastAsia="仿宋_GB2312"/>
          <w:sz w:val="32"/>
        </w:rPr>
        <w:t xml:space="preserve">    根据项目情况和评价重点，采用单位自评法、座谈调研法用来收集相关材料和开展具体评价的方法。</w:t>
      </w:r>
    </w:p>
    <w:p>
      <w:p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rPr>
        <w:t xml:space="preserve">     </w:t>
      </w:r>
      <w:r>
        <w:rPr>
          <w:rFonts w:hint="eastAsia" w:ascii="楷体_GB2312" w:hAnsi="宋体" w:eastAsia="楷体_GB2312"/>
          <w:b/>
          <w:color w:val="auto"/>
          <w:sz w:val="32"/>
          <w:lang w:val="zh-CN"/>
        </w:rPr>
        <w:t>（五）评价组织。</w:t>
      </w:r>
    </w:p>
    <w:p>
      <w:pPr>
        <w:adjustRightInd w:val="0"/>
        <w:snapToGrid w:val="0"/>
        <w:spacing w:beforeLines="0" w:afterLines="0" w:line="360" w:lineRule="auto"/>
        <w:ind w:firstLine="640" w:firstLineChars="200"/>
        <w:rPr>
          <w:rFonts w:hint="eastAsia"/>
          <w:sz w:val="32"/>
        </w:rPr>
      </w:pPr>
      <w:r>
        <w:rPr>
          <w:rFonts w:hint="eastAsia" w:eastAsia="仿宋_GB2312"/>
          <w:sz w:val="32"/>
        </w:rPr>
        <w:t>绩效评价小组以常务副院长为组长，各业务部门、行装处、督查室部门领导为组员组成；绩效评价工作小组由各部门内勤及财务人员组成。采取“谁申报项目，谁负责绩效评价”的原则，由项目部门</w:t>
      </w:r>
      <w:r>
        <w:rPr>
          <w:rFonts w:hint="eastAsia" w:eastAsia="仿宋_GB2312"/>
          <w:sz w:val="32"/>
          <w:lang w:val="zh-CN"/>
        </w:rPr>
        <w:t>（各业务庭室部门领导）</w:t>
      </w:r>
      <w:r>
        <w:rPr>
          <w:rFonts w:hint="eastAsia" w:eastAsia="仿宋_GB2312"/>
          <w:sz w:val="32"/>
        </w:rPr>
        <w:t>牵头，召集工作小组对项目进行初评，然后呈报至领导小组复核。根据财政专项项目管理办法及财政资金管理要求，</w:t>
      </w:r>
      <w:r>
        <w:rPr>
          <w:rFonts w:hint="eastAsia" w:eastAsia="仿宋_GB2312"/>
          <w:sz w:val="32"/>
          <w:lang w:val="zh-CN"/>
        </w:rPr>
        <w:t>行装处严格审核项目报销凭证，加快专项资金支付，及时进行会计核算。</w:t>
      </w:r>
      <w:r>
        <w:rPr>
          <w:rFonts w:hint="eastAsia" w:eastAsia="仿宋_GB2312"/>
          <w:sz w:val="32"/>
        </w:rPr>
        <w:t>督察室进行定期监督，做到了专款专用，执行有力，且没有超预算和范围、违规报销行为，没有滞留、截流、挤占、挪用项目资金的现象。</w:t>
      </w:r>
    </w:p>
    <w:p>
      <w:pPr>
        <w:numPr>
          <w:ilvl w:val="0"/>
          <w:numId w:val="7"/>
        </w:numPr>
        <w:adjustRightInd w:val="0"/>
        <w:snapToGrid w:val="0"/>
        <w:spacing w:beforeLines="0" w:afterLines="0" w:line="360" w:lineRule="auto"/>
        <w:ind w:firstLine="643" w:firstLineChars="200"/>
        <w:rPr>
          <w:rFonts w:hint="eastAsia" w:ascii="仿宋_GB2312" w:hAnsi="宋体" w:eastAsia="仿宋_GB2312"/>
          <w:b/>
          <w:color w:val="auto"/>
          <w:sz w:val="32"/>
          <w:lang w:val="zh-CN"/>
        </w:rPr>
      </w:pPr>
      <w:r>
        <w:rPr>
          <w:rFonts w:hint="eastAsia" w:ascii="黑体" w:hAnsi="宋体" w:eastAsia="黑体"/>
          <w:b/>
          <w:color w:val="auto"/>
          <w:sz w:val="32"/>
        </w:rPr>
        <w:t>绩效分析</w:t>
      </w:r>
      <w:r>
        <w:rPr>
          <w:rFonts w:hint="eastAsia" w:ascii="仿宋_GB2312" w:hAnsi="宋体" w:eastAsia="仿宋_GB2312"/>
          <w:b/>
          <w:color w:val="auto"/>
          <w:sz w:val="32"/>
          <w:lang w:val="zh-CN"/>
        </w:rPr>
        <w:tab/>
      </w:r>
    </w:p>
    <w:p>
      <w:pPr>
        <w:numPr>
          <w:numId w:val="0"/>
        </w:numPr>
        <w:adjustRightInd w:val="0"/>
        <w:snapToGrid w:val="0"/>
        <w:spacing w:beforeLines="0" w:afterLines="0" w:line="360" w:lineRule="auto"/>
        <w:ind w:leftChars="200"/>
        <w:rPr>
          <w:rFonts w:hint="eastAsia" w:ascii="楷体_GB2312" w:hAnsi="宋体" w:eastAsia="楷体_GB2312"/>
          <w:b/>
          <w:color w:val="auto"/>
          <w:sz w:val="32"/>
        </w:rPr>
      </w:pPr>
      <w:r>
        <w:rPr>
          <w:rFonts w:hint="eastAsia" w:ascii="楷体_GB2312" w:hAnsi="宋体" w:eastAsia="楷体_GB2312"/>
          <w:b/>
          <w:color w:val="auto"/>
          <w:sz w:val="32"/>
          <w:lang w:val="zh-CN"/>
        </w:rPr>
        <w:t>（一）</w:t>
      </w:r>
      <w:r>
        <w:rPr>
          <w:rFonts w:hint="eastAsia" w:ascii="楷体_GB2312" w:hAnsi="宋体" w:eastAsia="楷体_GB2312"/>
          <w:b/>
          <w:color w:val="auto"/>
          <w:sz w:val="32"/>
        </w:rPr>
        <w:t>通用指标</w:t>
      </w:r>
      <w:r>
        <w:rPr>
          <w:rFonts w:hint="eastAsia" w:eastAsia="楷体_GB2312"/>
          <w:b/>
          <w:color w:val="000000"/>
          <w:kern w:val="0"/>
          <w:sz w:val="32"/>
          <w:shd w:val="clear" w:color="auto" w:fill="FFFFFF"/>
          <w:lang w:val="zh-CN"/>
        </w:rPr>
        <w:t>绩效得分</w:t>
      </w:r>
      <w:r>
        <w:rPr>
          <w:rFonts w:hint="eastAsia" w:eastAsia="楷体_GB2312"/>
          <w:b/>
          <w:color w:val="000000"/>
          <w:kern w:val="0"/>
          <w:sz w:val="32"/>
          <w:shd w:val="clear" w:color="auto" w:fill="FFFFFF"/>
        </w:rPr>
        <w:t>54分</w:t>
      </w:r>
      <w:r>
        <w:rPr>
          <w:rFonts w:hint="eastAsia" w:eastAsia="楷体_GB2312"/>
          <w:b/>
          <w:color w:val="000000"/>
          <w:kern w:val="0"/>
          <w:sz w:val="32"/>
          <w:shd w:val="clear" w:color="auto" w:fill="FFFFFF"/>
          <w:lang w:val="zh-CN"/>
        </w:rPr>
        <w:t>。</w:t>
      </w:r>
    </w:p>
    <w:p>
      <w:p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1.项目决策评分为18分。</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决策程序：</w:t>
      </w:r>
      <w:r>
        <w:rPr>
          <w:rFonts w:hint="eastAsia" w:eastAsia="仿宋_GB2312"/>
          <w:sz w:val="32"/>
        </w:rPr>
        <w:t>根据</w:t>
      </w:r>
      <w:r>
        <w:rPr>
          <w:rFonts w:hint="eastAsia" w:eastAsia="仿宋_GB2312"/>
          <w:sz w:val="32"/>
          <w:lang w:val="zh-CN"/>
        </w:rPr>
        <w:t>我院审判职能职责定位</w:t>
      </w:r>
      <w:r>
        <w:rPr>
          <w:rFonts w:hint="eastAsia" w:eastAsia="仿宋_GB2312"/>
          <w:sz w:val="32"/>
        </w:rPr>
        <w:t>，</w:t>
      </w:r>
      <w:r>
        <w:rPr>
          <w:rFonts w:hint="eastAsia" w:eastAsia="仿宋_GB2312"/>
          <w:sz w:val="32"/>
          <w:lang w:val="zh-CN"/>
        </w:rPr>
        <w:t>项目设立有必要，立项依据充分，</w:t>
      </w:r>
      <w:r>
        <w:rPr>
          <w:rFonts w:hint="eastAsia" w:eastAsia="仿宋_GB2312"/>
          <w:sz w:val="32"/>
        </w:rPr>
        <w:t>安排</w:t>
      </w:r>
      <w:r>
        <w:rPr>
          <w:rFonts w:hint="eastAsia" w:eastAsia="仿宋_GB2312"/>
          <w:sz w:val="32"/>
          <w:lang w:val="zh-CN"/>
        </w:rPr>
        <w:t>项目资金预算</w:t>
      </w:r>
      <w:r>
        <w:rPr>
          <w:rFonts w:hint="eastAsia" w:eastAsia="仿宋_GB2312"/>
          <w:sz w:val="32"/>
        </w:rPr>
        <w:t>123.39</w:t>
      </w:r>
      <w:r>
        <w:rPr>
          <w:rFonts w:hint="eastAsia" w:eastAsia="仿宋_GB2312"/>
          <w:sz w:val="32"/>
          <w:lang w:val="zh-CN"/>
        </w:rPr>
        <w:t>万元合理，符合资金管理基本规范和决策程序要求，故该项评分为</w:t>
      </w:r>
      <w:r>
        <w:rPr>
          <w:rFonts w:hint="eastAsia" w:eastAsia="仿宋_GB2312"/>
          <w:sz w:val="32"/>
        </w:rPr>
        <w:t>6分</w:t>
      </w:r>
      <w:r>
        <w:rPr>
          <w:rFonts w:hint="eastAsia" w:eastAsia="仿宋_GB2312"/>
          <w:sz w:val="32"/>
          <w:lang w:val="zh-CN"/>
        </w:rPr>
        <w:t>。</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规划论证：该项目规划符合省高院及市委市政府有关决策部署安排，预算申报前，充分征求了相关部门论证了项目必要性、前瞻性、合理性和可行性，充分调研了近三年诉讼案件的增长趋势，项目总体绩效目标设置合理，绩效目标规范完整、量化细化，预算匹配度较好，故此项评分为</w:t>
      </w:r>
      <w:r>
        <w:rPr>
          <w:rFonts w:hint="eastAsia" w:eastAsia="仿宋_GB2312"/>
          <w:sz w:val="32"/>
        </w:rPr>
        <w:t>6分。</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资金投向：案件审判经费项目预算资金主要是用于</w:t>
      </w:r>
      <w:r>
        <w:rPr>
          <w:rFonts w:hint="eastAsia" w:eastAsia="仿宋_GB2312"/>
          <w:sz w:val="32"/>
        </w:rPr>
        <w:t>保障案件审理所必要发生的办公经费、</w:t>
      </w:r>
      <w:r>
        <w:rPr>
          <w:rFonts w:hint="eastAsia" w:eastAsia="仿宋_GB2312"/>
          <w:sz w:val="32"/>
          <w:lang w:val="zh-CN"/>
        </w:rPr>
        <w:t>印刷费、差旅费、调查费、公告费、宣传费、邮电费</w:t>
      </w:r>
      <w:r>
        <w:rPr>
          <w:rFonts w:hint="eastAsia" w:eastAsia="仿宋_GB2312"/>
          <w:sz w:val="32"/>
        </w:rPr>
        <w:t>等，使案件审理工作得以有序开展</w:t>
      </w:r>
      <w:r>
        <w:rPr>
          <w:rFonts w:hint="eastAsia" w:eastAsia="仿宋_GB2312"/>
          <w:sz w:val="32"/>
          <w:lang w:val="zh-CN"/>
        </w:rPr>
        <w:t>，属于法院主要职能之一，是重点领域的重点任务，与法院总体规划相匹配，故此项评分为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项目管理评分为18分。</w:t>
      </w:r>
    </w:p>
    <w:p>
      <w:pPr>
        <w:numPr>
          <w:numId w:val="0"/>
        </w:numPr>
        <w:adjustRightInd w:val="0"/>
        <w:snapToGrid w:val="0"/>
        <w:spacing w:beforeLines="0" w:afterLines="0" w:line="360" w:lineRule="auto"/>
        <w:ind w:firstLine="640"/>
        <w:rPr>
          <w:rFonts w:hint="eastAsia" w:eastAsia="仿宋_GB2312"/>
          <w:sz w:val="32"/>
        </w:rPr>
      </w:pPr>
      <w:r>
        <w:rPr>
          <w:rFonts w:hint="eastAsia" w:eastAsia="仿宋_GB2312"/>
          <w:sz w:val="32"/>
        </w:rPr>
        <w:t>制度办法：</w:t>
      </w:r>
      <w:r>
        <w:rPr>
          <w:rFonts w:hint="eastAsia" w:eastAsia="仿宋_GB2312"/>
          <w:sz w:val="32"/>
          <w:lang w:val="zh-CN"/>
        </w:rPr>
        <w:t>我院按部门职责分工明确，严格遵循工作计划稳步推进实施。完善各项内部控制与考核制度，建立较为完善的财务管理制度《广元市中级人民法院财务管理制度》、《广元市中级人民法院预算管理制度》，且严格执行。</w:t>
      </w:r>
      <w:r>
        <w:rPr>
          <w:rFonts w:hint="eastAsia" w:eastAsia="仿宋_GB2312"/>
          <w:sz w:val="32"/>
        </w:rPr>
        <w:t>并在资金使用过程中严格按照办案业务经费开支范围及开支要求，做到超范围不支出，故此项评分为2分。</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lang w:val="zh-CN"/>
        </w:rPr>
        <w:t>分配管理：此项目预算资金分配上严格按照管理办法和案件审理经费开支程序执行，决策程序符合三重一大要求，资金支付及时高效。且在项目申报前期，充分调研了近三年诉讼案件的增长趋势，在资金分配上根据比例进行合理划分。项目做到了财政资金专款专用，资金支付有相关审批程序和合规手续，账务处理及时，会计核算规范。项目管理人员及督察部门对项目实施全过程监控，对偏离预算执行的项目及时纠偏和调整，财务报销严格执行财务审批程序。故此项评分为</w:t>
      </w:r>
      <w:r>
        <w:rPr>
          <w:rFonts w:hint="eastAsia" w:eastAsia="仿宋_GB2312"/>
          <w:sz w:val="32"/>
        </w:rPr>
        <w:t>10分。</w:t>
      </w:r>
    </w:p>
    <w:p>
      <w:p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eastAsia="仿宋_GB2312"/>
          <w:sz w:val="32"/>
          <w:lang w:val="zh-CN"/>
        </w:rPr>
        <w:t>绩效监管：该项目全面完成了事前评估、绩效目标设置、绩效监控、绩效督促、问题整改等预算绩效管理工作，评分为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项目实施评分为9分。</w:t>
      </w:r>
    </w:p>
    <w:p>
      <w:pPr>
        <w:numPr>
          <w:numId w:val="0"/>
        </w:numPr>
        <w:adjustRightInd w:val="0"/>
        <w:snapToGrid w:val="0"/>
        <w:spacing w:beforeLines="0" w:afterLines="0" w:line="360" w:lineRule="auto"/>
        <w:ind w:firstLine="640"/>
        <w:rPr>
          <w:rFonts w:hint="eastAsia" w:ascii="仿宋_GB2312" w:eastAsia="仿宋_GB2312"/>
          <w:sz w:val="32"/>
        </w:rPr>
      </w:pPr>
      <w:r>
        <w:rPr>
          <w:rFonts w:hint="eastAsia" w:ascii="仿宋_GB2312" w:eastAsia="仿宋_GB2312"/>
          <w:sz w:val="32"/>
          <w:lang w:val="zh-CN"/>
        </w:rPr>
        <w:t>预算执行：该项目预算执行进度好，该项指标得分</w:t>
      </w:r>
      <w:r>
        <w:rPr>
          <w:rFonts w:hint="eastAsia" w:ascii="仿宋_GB2312" w:eastAsia="仿宋_GB2312"/>
          <w:sz w:val="32"/>
        </w:rPr>
        <w:t>=财政资金拨付率100%*100%*3+单位资金使用率100%*100%*3=6分。</w:t>
      </w:r>
    </w:p>
    <w:p>
      <w:pPr>
        <w:widowControl w:val="0"/>
        <w:numPr>
          <w:numId w:val="0"/>
        </w:numPr>
        <w:wordWrap/>
        <w:adjustRightInd w:val="0"/>
        <w:snapToGrid w:val="0"/>
        <w:spacing w:beforeLines="0" w:afterLines="0" w:line="560" w:lineRule="exact"/>
        <w:ind w:firstLine="640"/>
        <w:textAlignment w:val="auto"/>
        <w:rPr>
          <w:rFonts w:hint="eastAsia" w:ascii="楷体_GB2312" w:hAnsi="楷体_GB2312" w:eastAsia="楷体_GB2312"/>
          <w:color w:val="auto"/>
          <w:sz w:val="32"/>
        </w:rPr>
      </w:pPr>
      <w:r>
        <w:rPr>
          <w:rFonts w:hint="eastAsia" w:ascii="仿宋_GB2312" w:eastAsia="仿宋_GB2312"/>
          <w:sz w:val="32"/>
          <w:lang w:val="zh-CN"/>
        </w:rPr>
        <w:t>资金使用：该项目资金使用拨付，项目实施符合财务管理制度。事前</w:t>
      </w:r>
      <w:r>
        <w:rPr>
          <w:rFonts w:hint="eastAsia" w:eastAsia="仿宋_GB2312"/>
          <w:sz w:val="32"/>
          <w:lang w:val="zh-CN"/>
        </w:rPr>
        <w:t>严格审核项目实施可行性与合理性，</w:t>
      </w:r>
      <w:r>
        <w:rPr>
          <w:rFonts w:hint="eastAsia" w:ascii="仿宋_GB2312" w:eastAsia="仿宋_GB2312"/>
          <w:sz w:val="32"/>
          <w:lang w:val="zh-CN"/>
        </w:rPr>
        <w:t>按照案件审理过程中预计发生的各项必要开支，由各业务庭室申报报销，并由其分管院领导审批，行装处严格把关费用审核，严控不必要支出</w:t>
      </w:r>
      <w:r>
        <w:rPr>
          <w:rFonts w:hint="eastAsia" w:eastAsia="仿宋_GB2312"/>
          <w:sz w:val="32"/>
          <w:lang w:val="zh-CN"/>
        </w:rPr>
        <w:t>，及时进行会计核算，院督察室定期对项目经费使用效益进行监督。行装处严格审核项目报销凭证，加快专项资金支付，及时进行会计核算。故该项评分为</w:t>
      </w:r>
      <w:r>
        <w:rPr>
          <w:rFonts w:hint="eastAsia" w:eastAsia="仿宋_GB2312"/>
          <w:sz w:val="32"/>
        </w:rPr>
        <w:t>3分。</w:t>
      </w:r>
    </w:p>
    <w:p>
      <w:pPr>
        <w:widowControl w:val="0"/>
        <w:numPr>
          <w:ilvl w:val="0"/>
          <w:numId w:val="8"/>
        </w:numPr>
        <w:wordWrap/>
        <w:adjustRightInd w:val="0"/>
        <w:snapToGrid w:val="0"/>
        <w:spacing w:beforeLines="0" w:afterLines="0" w:line="560" w:lineRule="exact"/>
        <w:ind w:firstLine="640" w:firstLineChars="200"/>
        <w:textAlignment w:val="auto"/>
        <w:rPr>
          <w:rFonts w:hint="eastAsia" w:ascii="楷体_GB2312" w:hAnsi="楷体_GB2312" w:eastAsia="楷体_GB2312"/>
          <w:color w:val="auto"/>
          <w:sz w:val="32"/>
        </w:rPr>
      </w:pPr>
      <w:r>
        <w:rPr>
          <w:rFonts w:hint="eastAsia" w:ascii="楷体_GB2312" w:hAnsi="楷体_GB2312" w:eastAsia="楷体_GB2312"/>
          <w:color w:val="auto"/>
          <w:sz w:val="32"/>
        </w:rPr>
        <w:t>项目结果评分为9分。</w:t>
      </w:r>
    </w:p>
    <w:p>
      <w:pPr>
        <w:widowControl w:val="0"/>
        <w:numPr>
          <w:numId w:val="0"/>
        </w:numPr>
        <w:wordWrap/>
        <w:adjustRightInd w:val="0"/>
        <w:snapToGrid w:val="0"/>
        <w:spacing w:beforeLines="0" w:afterLines="0" w:line="560" w:lineRule="exact"/>
        <w:ind w:firstLine="640"/>
        <w:textAlignment w:val="auto"/>
        <w:rPr>
          <w:rFonts w:hint="eastAsia" w:eastAsia="仿宋_GB2312"/>
          <w:color w:val="auto"/>
          <w:sz w:val="32"/>
        </w:rPr>
      </w:pPr>
      <w:r>
        <w:rPr>
          <w:rFonts w:hint="eastAsia" w:eastAsia="仿宋_GB2312"/>
          <w:color w:val="auto"/>
          <w:sz w:val="32"/>
        </w:rPr>
        <w:t>目标完成：该项目已100%完成预算支出，较好地保障了</w:t>
      </w:r>
      <w:r>
        <w:rPr>
          <w:rFonts w:hint="eastAsia" w:eastAsia="仿宋_GB2312"/>
          <w:sz w:val="32"/>
        </w:rPr>
        <w:t>案件审理时各项必要费用的开支，保障本年度受理的2995件诉讼案件经费开支充足，</w:t>
      </w:r>
      <w:r>
        <w:rPr>
          <w:rFonts w:hint="eastAsia" w:eastAsia="仿宋_GB2312"/>
          <w:color w:val="auto"/>
          <w:sz w:val="32"/>
        </w:rPr>
        <w:t>顺利达成此项目设置的绩效目标，评分为6分。</w:t>
      </w:r>
    </w:p>
    <w:p>
      <w:pPr>
        <w:widowControl w:val="0"/>
        <w:numPr>
          <w:numId w:val="0"/>
        </w:numPr>
        <w:wordWrap/>
        <w:adjustRightInd w:val="0"/>
        <w:snapToGrid w:val="0"/>
        <w:spacing w:beforeLines="0" w:afterLines="0" w:line="560" w:lineRule="exact"/>
        <w:ind w:firstLine="640"/>
        <w:textAlignment w:val="auto"/>
        <w:rPr>
          <w:rFonts w:hint="eastAsia" w:eastAsia="仿宋_GB2312"/>
          <w:sz w:val="32"/>
        </w:rPr>
      </w:pPr>
      <w:r>
        <w:rPr>
          <w:rFonts w:hint="eastAsia" w:eastAsia="仿宋_GB2312"/>
          <w:sz w:val="32"/>
        </w:rPr>
        <w:t>完成时效：该项目于2024年12月31日前完成资金的支付，评分为3分。</w:t>
      </w:r>
    </w:p>
    <w:p>
      <w:pPr>
        <w:spacing w:beforeLines="0" w:afterLines="0" w:line="360" w:lineRule="auto"/>
        <w:ind w:firstLine="643" w:firstLineChars="200"/>
        <w:rPr>
          <w:rFonts w:hint="eastAsia" w:ascii="楷体_GB2312" w:hAnsi="楷体_GB2312" w:eastAsia="楷体_GB2312"/>
          <w:color w:val="auto"/>
          <w:sz w:val="32"/>
          <w:lang w:val="zh-CN"/>
        </w:rPr>
      </w:pPr>
      <w:r>
        <w:rPr>
          <w:rFonts w:hint="eastAsia" w:ascii="楷体_GB2312" w:hAnsi="宋体" w:eastAsia="楷体_GB2312"/>
          <w:b/>
          <w:color w:val="auto"/>
          <w:sz w:val="32"/>
          <w:lang w:val="zh-CN"/>
        </w:rPr>
        <w:t>（二）</w:t>
      </w:r>
      <w:r>
        <w:rPr>
          <w:rFonts w:hint="eastAsia" w:ascii="楷体_GB2312" w:hAnsi="宋体" w:eastAsia="楷体_GB2312"/>
          <w:b/>
          <w:color w:val="auto"/>
          <w:sz w:val="32"/>
        </w:rPr>
        <w:t>专用指标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30分</w:t>
      </w:r>
      <w:r>
        <w:rPr>
          <w:rFonts w:hint="eastAsia" w:eastAsia="楷体_GB2312"/>
          <w:b/>
          <w:color w:val="000000"/>
          <w:kern w:val="0"/>
          <w:sz w:val="32"/>
          <w:shd w:val="clear" w:color="auto" w:fill="FFFFFF"/>
          <w:lang w:val="zh-CN"/>
        </w:rPr>
        <w:t>。</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1.产业发展。</w:t>
      </w:r>
      <w:r>
        <w:rPr>
          <w:rFonts w:hint="eastAsia" w:eastAsia="仿宋_GB2312"/>
          <w:color w:val="auto"/>
          <w:sz w:val="32"/>
        </w:rPr>
        <w:t xml:space="preserve">不涉及。 </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2.</w:t>
      </w:r>
      <w:r>
        <w:rPr>
          <w:rFonts w:hint="eastAsia" w:ascii="楷体_GB2312" w:hAnsi="楷体_GB2312" w:eastAsia="楷体_GB2312"/>
          <w:color w:val="auto"/>
          <w:sz w:val="32"/>
          <w:lang w:val="zh-CN"/>
        </w:rPr>
        <w:t>民生保障。</w:t>
      </w:r>
      <w:r>
        <w:rPr>
          <w:rFonts w:hint="eastAsia" w:eastAsia="仿宋_GB2312"/>
          <w:color w:val="auto"/>
          <w:sz w:val="32"/>
          <w:lang w:val="zh-CN"/>
        </w:rPr>
        <w:t>保障了审判业务工作的顺利推进，促进案件审判的高质量审理，维护社会公平正义与社会稳定</w:t>
      </w:r>
      <w:r>
        <w:rPr>
          <w:rFonts w:hint="eastAsia" w:eastAsia="仿宋_GB2312"/>
          <w:color w:val="auto"/>
          <w:sz w:val="32"/>
        </w:rPr>
        <w:t>。该项评分为15分。</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3.基础设施。</w:t>
      </w:r>
      <w:r>
        <w:rPr>
          <w:rFonts w:hint="eastAsia" w:eastAsia="仿宋_GB2312"/>
          <w:color w:val="auto"/>
          <w:sz w:val="32"/>
        </w:rPr>
        <w:t>不涉及。</w:t>
      </w:r>
    </w:p>
    <w:p>
      <w:pPr>
        <w:spacing w:beforeLines="0" w:afterLines="0" w:line="360" w:lineRule="auto"/>
        <w:ind w:firstLine="640" w:firstLineChars="200"/>
        <w:rPr>
          <w:rFonts w:hint="eastAsia" w:ascii="楷体_GB2312" w:hAnsi="楷体_GB2312" w:eastAsia="楷体_GB2312"/>
          <w:color w:val="auto"/>
          <w:sz w:val="32"/>
          <w:lang w:val="zh-CN"/>
        </w:rPr>
      </w:pPr>
      <w:r>
        <w:rPr>
          <w:rFonts w:hint="eastAsia" w:ascii="楷体_GB2312" w:hAnsi="楷体_GB2312" w:eastAsia="楷体_GB2312"/>
          <w:color w:val="auto"/>
          <w:sz w:val="32"/>
        </w:rPr>
        <w:t>4.</w:t>
      </w:r>
      <w:r>
        <w:rPr>
          <w:rFonts w:hint="eastAsia" w:ascii="楷体_GB2312" w:hAnsi="楷体_GB2312" w:eastAsia="楷体_GB2312"/>
          <w:color w:val="auto"/>
          <w:sz w:val="32"/>
          <w:lang w:val="zh-CN"/>
        </w:rPr>
        <w:t>行政运转。</w:t>
      </w:r>
      <w:r>
        <w:rPr>
          <w:rFonts w:hint="eastAsia" w:eastAsia="仿宋_GB2312"/>
          <w:sz w:val="32"/>
          <w:lang w:val="zh-CN"/>
        </w:rPr>
        <w:t>项目资金实行专款专用，用途符合案件审判专项资金各项开支范围、支出审批手续齐全，充分发挥法院司法职能，该项评分为</w:t>
      </w:r>
      <w:r>
        <w:rPr>
          <w:rFonts w:hint="eastAsia" w:eastAsia="仿宋_GB2312"/>
          <w:sz w:val="32"/>
        </w:rPr>
        <w:t>15分</w:t>
      </w:r>
      <w:r>
        <w:rPr>
          <w:rFonts w:hint="eastAsia" w:eastAsia="仿宋_GB2312"/>
          <w:sz w:val="32"/>
          <w:lang w:val="zh-CN"/>
        </w:rPr>
        <w:t>。</w:t>
      </w:r>
    </w:p>
    <w:p>
      <w:pPr>
        <w:numPr>
          <w:numId w:val="0"/>
        </w:numPr>
        <w:adjustRightInd w:val="0"/>
        <w:snapToGrid w:val="0"/>
        <w:spacing w:beforeLines="0" w:afterLines="0" w:line="360" w:lineRule="auto"/>
        <w:ind w:firstLine="643" w:firstLineChars="200"/>
        <w:rPr>
          <w:rFonts w:hint="eastAsia"/>
          <w:b/>
          <w:color w:val="000000"/>
          <w:kern w:val="0"/>
          <w:sz w:val="32"/>
          <w:shd w:val="clear" w:color="auto" w:fill="FFFFFF"/>
          <w:lang w:val="zh-CN"/>
        </w:rPr>
      </w:pPr>
      <w:r>
        <w:rPr>
          <w:rFonts w:hint="eastAsia" w:ascii="楷体_GB2312" w:hAnsi="宋体" w:eastAsia="楷体_GB2312"/>
          <w:b/>
          <w:color w:val="auto"/>
          <w:sz w:val="32"/>
          <w:lang w:val="zh-CN"/>
        </w:rPr>
        <w:t>（三）</w:t>
      </w:r>
      <w:r>
        <w:rPr>
          <w:rFonts w:hint="eastAsia" w:ascii="楷体_GB2312" w:hAnsi="宋体" w:eastAsia="楷体_GB2312"/>
          <w:b/>
          <w:color w:val="auto"/>
          <w:sz w:val="32"/>
        </w:rPr>
        <w:t>个性指标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16分</w:t>
      </w:r>
      <w:r>
        <w:rPr>
          <w:rFonts w:hint="eastAsia" w:eastAsia="楷体_GB2312"/>
          <w:b/>
          <w:color w:val="000000"/>
          <w:kern w:val="0"/>
          <w:sz w:val="32"/>
          <w:shd w:val="clear" w:color="auto" w:fill="FFFFFF"/>
          <w:lang w:val="zh-CN"/>
        </w:rPr>
        <w:t>。</w:t>
      </w:r>
    </w:p>
    <w:p>
      <w:pPr>
        <w:numPr>
          <w:numId w:val="0"/>
        </w:numPr>
        <w:adjustRightInd w:val="0"/>
        <w:snapToGrid w:val="0"/>
        <w:spacing w:beforeLines="0" w:afterLines="0" w:line="360" w:lineRule="auto"/>
        <w:ind w:firstLine="640" w:firstLineChars="200"/>
        <w:rPr>
          <w:rFonts w:hint="eastAsia"/>
          <w:sz w:val="32"/>
          <w:lang w:val="zh-CN"/>
        </w:rPr>
      </w:pPr>
      <w:r>
        <w:rPr>
          <w:rFonts w:hint="eastAsia" w:eastAsia="仿宋_GB2312"/>
          <w:sz w:val="32"/>
        </w:rPr>
        <w:t>年初设定的绩效目标均已达成，取得良好的效用，个性指标评分为16分。</w:t>
      </w:r>
    </w:p>
    <w:tbl>
      <w:tblPr>
        <w:tblStyle w:val="25"/>
        <w:tblW w:w="897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10"/>
        <w:gridCol w:w="851"/>
        <w:gridCol w:w="913"/>
        <w:gridCol w:w="1765"/>
        <w:gridCol w:w="852"/>
        <w:gridCol w:w="777"/>
        <w:gridCol w:w="820"/>
        <w:gridCol w:w="939"/>
        <w:gridCol w:w="631"/>
        <w:gridCol w:w="6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3" w:hRule="atLeast"/>
          <w:jc w:val="center"/>
        </w:trPr>
        <w:tc>
          <w:tcPr>
            <w:tcW w:w="810"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绩效指标（90分）</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一级指标</w:t>
            </w:r>
          </w:p>
        </w:tc>
        <w:tc>
          <w:tcPr>
            <w:tcW w:w="91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二级指标</w:t>
            </w:r>
          </w:p>
        </w:tc>
        <w:tc>
          <w:tcPr>
            <w:tcW w:w="176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三级指标</w:t>
            </w:r>
          </w:p>
        </w:tc>
        <w:tc>
          <w:tcPr>
            <w:tcW w:w="85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指标性质</w:t>
            </w:r>
          </w:p>
        </w:tc>
        <w:tc>
          <w:tcPr>
            <w:tcW w:w="7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指标值</w:t>
            </w:r>
          </w:p>
        </w:tc>
        <w:tc>
          <w:tcPr>
            <w:tcW w:w="82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度量单位</w:t>
            </w:r>
          </w:p>
        </w:tc>
        <w:tc>
          <w:tcPr>
            <w:tcW w:w="9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完成值</w:t>
            </w:r>
          </w:p>
        </w:tc>
        <w:tc>
          <w:tcPr>
            <w:tcW w:w="63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权重</w:t>
            </w:r>
          </w:p>
        </w:tc>
        <w:tc>
          <w:tcPr>
            <w:tcW w:w="61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jc w:val="center"/>
        </w:trPr>
        <w:tc>
          <w:tcPr>
            <w:tcW w:w="81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产出指标</w:t>
            </w:r>
          </w:p>
        </w:tc>
        <w:tc>
          <w:tcPr>
            <w:tcW w:w="913"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数量指标</w:t>
            </w:r>
          </w:p>
        </w:tc>
        <w:tc>
          <w:tcPr>
            <w:tcW w:w="176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年度内受理案件数量</w:t>
            </w:r>
          </w:p>
        </w:tc>
        <w:tc>
          <w:tcPr>
            <w:tcW w:w="85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2800</w:t>
            </w:r>
          </w:p>
        </w:tc>
        <w:tc>
          <w:tcPr>
            <w:tcW w:w="82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件</w:t>
            </w:r>
          </w:p>
        </w:tc>
        <w:tc>
          <w:tcPr>
            <w:tcW w:w="9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2995</w:t>
            </w:r>
          </w:p>
        </w:tc>
        <w:tc>
          <w:tcPr>
            <w:tcW w:w="63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c>
          <w:tcPr>
            <w:tcW w:w="61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49" w:hRule="atLeast"/>
          <w:jc w:val="center"/>
        </w:trPr>
        <w:tc>
          <w:tcPr>
            <w:tcW w:w="81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1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76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法官人均诉讼案件结案数量</w:t>
            </w:r>
          </w:p>
        </w:tc>
        <w:tc>
          <w:tcPr>
            <w:tcW w:w="85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70</w:t>
            </w:r>
          </w:p>
        </w:tc>
        <w:tc>
          <w:tcPr>
            <w:tcW w:w="82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件</w:t>
            </w:r>
          </w:p>
        </w:tc>
        <w:tc>
          <w:tcPr>
            <w:tcW w:w="9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93.44</w:t>
            </w:r>
          </w:p>
        </w:tc>
        <w:tc>
          <w:tcPr>
            <w:tcW w:w="63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c>
          <w:tcPr>
            <w:tcW w:w="61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3" w:hRule="atLeast"/>
          <w:jc w:val="center"/>
        </w:trPr>
        <w:tc>
          <w:tcPr>
            <w:tcW w:w="81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1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质量指标</w:t>
            </w:r>
          </w:p>
        </w:tc>
        <w:tc>
          <w:tcPr>
            <w:tcW w:w="176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审限内结案率</w:t>
            </w:r>
          </w:p>
        </w:tc>
        <w:tc>
          <w:tcPr>
            <w:tcW w:w="85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80</w:t>
            </w:r>
          </w:p>
        </w:tc>
        <w:tc>
          <w:tcPr>
            <w:tcW w:w="82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9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0.8783</w:t>
            </w:r>
          </w:p>
        </w:tc>
        <w:tc>
          <w:tcPr>
            <w:tcW w:w="63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c>
          <w:tcPr>
            <w:tcW w:w="61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3" w:hRule="atLeast"/>
          <w:jc w:val="center"/>
        </w:trPr>
        <w:tc>
          <w:tcPr>
            <w:tcW w:w="81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1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时效指标</w:t>
            </w:r>
          </w:p>
        </w:tc>
        <w:tc>
          <w:tcPr>
            <w:tcW w:w="176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项目完成时限</w:t>
            </w:r>
          </w:p>
        </w:tc>
        <w:tc>
          <w:tcPr>
            <w:tcW w:w="85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w:t>
            </w:r>
          </w:p>
        </w:tc>
        <w:tc>
          <w:tcPr>
            <w:tcW w:w="82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年</w:t>
            </w:r>
          </w:p>
        </w:tc>
        <w:tc>
          <w:tcPr>
            <w:tcW w:w="9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1</w:t>
            </w:r>
          </w:p>
        </w:tc>
        <w:tc>
          <w:tcPr>
            <w:tcW w:w="63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c>
          <w:tcPr>
            <w:tcW w:w="61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63" w:hRule="atLeast"/>
          <w:jc w:val="center"/>
        </w:trPr>
        <w:tc>
          <w:tcPr>
            <w:tcW w:w="81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效益指标</w:t>
            </w:r>
          </w:p>
        </w:tc>
        <w:tc>
          <w:tcPr>
            <w:tcW w:w="91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社会效益指标</w:t>
            </w:r>
          </w:p>
        </w:tc>
        <w:tc>
          <w:tcPr>
            <w:tcW w:w="176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案件审判业务有效打击刑事犯罪，维护当事人合法权益，促进社会会公平正义，推动法治化社会建立。</w:t>
            </w:r>
          </w:p>
        </w:tc>
        <w:tc>
          <w:tcPr>
            <w:tcW w:w="85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7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82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9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优</w:t>
            </w:r>
          </w:p>
        </w:tc>
        <w:tc>
          <w:tcPr>
            <w:tcW w:w="63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c>
          <w:tcPr>
            <w:tcW w:w="61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58" w:hRule="atLeast"/>
          <w:jc w:val="center"/>
        </w:trPr>
        <w:tc>
          <w:tcPr>
            <w:tcW w:w="81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1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可持续影响指标</w:t>
            </w:r>
          </w:p>
        </w:tc>
        <w:tc>
          <w:tcPr>
            <w:tcW w:w="176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保障我院审判业务所需各项经费，提升我院审判质效，维护当事人合法权益。</w:t>
            </w:r>
          </w:p>
        </w:tc>
        <w:tc>
          <w:tcPr>
            <w:tcW w:w="85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7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82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9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优</w:t>
            </w:r>
          </w:p>
        </w:tc>
        <w:tc>
          <w:tcPr>
            <w:tcW w:w="63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c>
          <w:tcPr>
            <w:tcW w:w="61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53" w:hRule="atLeast"/>
          <w:jc w:val="center"/>
        </w:trPr>
        <w:tc>
          <w:tcPr>
            <w:tcW w:w="81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满意度指标</w:t>
            </w:r>
          </w:p>
        </w:tc>
        <w:tc>
          <w:tcPr>
            <w:tcW w:w="91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服务对象满意度指标</w:t>
            </w:r>
          </w:p>
        </w:tc>
        <w:tc>
          <w:tcPr>
            <w:tcW w:w="176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当事人对案件审理的满意度</w:t>
            </w:r>
          </w:p>
        </w:tc>
        <w:tc>
          <w:tcPr>
            <w:tcW w:w="85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80</w:t>
            </w:r>
          </w:p>
        </w:tc>
        <w:tc>
          <w:tcPr>
            <w:tcW w:w="82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9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85</w:t>
            </w:r>
          </w:p>
        </w:tc>
        <w:tc>
          <w:tcPr>
            <w:tcW w:w="63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c>
          <w:tcPr>
            <w:tcW w:w="61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58" w:hRule="atLeast"/>
          <w:jc w:val="center"/>
        </w:trPr>
        <w:tc>
          <w:tcPr>
            <w:tcW w:w="81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成本指标</w:t>
            </w:r>
          </w:p>
        </w:tc>
        <w:tc>
          <w:tcPr>
            <w:tcW w:w="91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经济成本指标</w:t>
            </w:r>
          </w:p>
        </w:tc>
        <w:tc>
          <w:tcPr>
            <w:tcW w:w="176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项目总成本</w:t>
            </w:r>
          </w:p>
        </w:tc>
        <w:tc>
          <w:tcPr>
            <w:tcW w:w="85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123.39</w:t>
            </w:r>
          </w:p>
        </w:tc>
        <w:tc>
          <w:tcPr>
            <w:tcW w:w="82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万元</w:t>
            </w:r>
          </w:p>
        </w:tc>
        <w:tc>
          <w:tcPr>
            <w:tcW w:w="9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123.39</w:t>
            </w:r>
          </w:p>
        </w:tc>
        <w:tc>
          <w:tcPr>
            <w:tcW w:w="63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20</w:t>
            </w:r>
          </w:p>
        </w:tc>
        <w:tc>
          <w:tcPr>
            <w:tcW w:w="61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20</w:t>
            </w:r>
          </w:p>
        </w:tc>
      </w:tr>
    </w:tbl>
    <w:p>
      <w:pPr>
        <w:widowControl w:val="0"/>
        <w:wordWrap/>
        <w:adjustRightInd/>
        <w:snapToGrid/>
        <w:spacing w:line="50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、评价结论</w:t>
      </w:r>
    </w:p>
    <w:p>
      <w:pPr>
        <w:widowControl w:val="0"/>
        <w:wordWrap/>
        <w:adjustRightInd/>
        <w:snapToGrid/>
        <w:spacing w:line="5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该项目自评得分为100分。该项目决策符合国家政策方针，项目预算执行进度推进有力，项目监督管控及时有效，项目资金支付合理合规。</w:t>
      </w:r>
      <w:r>
        <w:rPr>
          <w:rFonts w:hint="eastAsia" w:ascii="仿宋_GB2312" w:hAnsi="仿宋_GB2312" w:eastAsia="仿宋_GB2312" w:cs="仿宋_GB2312"/>
          <w:sz w:val="32"/>
          <w:szCs w:val="32"/>
          <w:lang w:val="zh-CN"/>
        </w:rPr>
        <w:t>通过项目的实施，保障了案件审判过程中发生的办公费、印刷费、差旅费、调查费、公告费、宣传费、邮电费等各项费用开支，促使审判业务工作顺利开展，</w:t>
      </w:r>
      <w:r>
        <w:rPr>
          <w:rFonts w:hint="eastAsia" w:ascii="仿宋_GB2312" w:hAnsi="仿宋_GB2312" w:eastAsia="仿宋_GB2312" w:cs="仿宋_GB2312"/>
          <w:sz w:val="32"/>
          <w:szCs w:val="32"/>
        </w:rPr>
        <w:t>保障当事人合法权益，维护公平正义的社会环境。</w:t>
      </w:r>
    </w:p>
    <w:p>
      <w:pPr>
        <w:widowControl w:val="0"/>
        <w:wordWrap/>
        <w:adjustRightInd/>
        <w:snapToGrid/>
        <w:spacing w:line="50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五、存在主要问题</w:t>
      </w:r>
    </w:p>
    <w:p>
      <w:pPr>
        <w:widowControl w:val="0"/>
        <w:wordWrap/>
        <w:adjustRightInd/>
        <w:snapToGrid/>
        <w:spacing w:line="50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widowControl w:val="0"/>
        <w:wordWrap/>
        <w:adjustRightInd/>
        <w:snapToGrid/>
        <w:spacing w:line="500" w:lineRule="exact"/>
        <w:ind w:left="0" w:leftChars="0" w:firstLine="640" w:firstLineChars="200"/>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六、改进建议</w:t>
      </w:r>
    </w:p>
    <w:p>
      <w:pPr>
        <w:pStyle w:val="34"/>
        <w:widowControl/>
        <w:wordWrap/>
        <w:adjustRightInd/>
        <w:snapToGrid/>
        <w:spacing w:before="0" w:beforeLines="0" w:after="0" w:afterLines="0"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kern w:val="0"/>
          <w:sz w:val="32"/>
          <w:szCs w:val="32"/>
        </w:rPr>
        <w:t>无。</w:t>
      </w:r>
    </w:p>
    <w:p>
      <w:pPr>
        <w:pStyle w:val="36"/>
        <w:spacing w:beforeLines="0" w:afterLines="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br w:type="page"/>
      </w:r>
      <w:r>
        <w:rPr>
          <w:rFonts w:hint="eastAsia" w:ascii="黑体" w:hAnsi="黑体" w:eastAsia="黑体"/>
          <w:b/>
          <w:color w:val="auto"/>
          <w:kern w:val="2"/>
          <w:sz w:val="44"/>
          <w:lang w:val="en-US"/>
        </w:rPr>
        <w:t>四川省广元市中级人民法院</w:t>
      </w:r>
    </w:p>
    <w:p>
      <w:pPr>
        <w:pStyle w:val="36"/>
        <w:spacing w:beforeLines="0" w:afterLines="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2024年案件执行经费预算项目</w:t>
      </w:r>
    </w:p>
    <w:p>
      <w:pPr>
        <w:pStyle w:val="36"/>
        <w:spacing w:beforeLines="0" w:afterLines="0"/>
        <w:jc w:val="center"/>
        <w:rPr>
          <w:rFonts w:hint="eastAsia" w:ascii="宋体" w:hAnsi="宋体"/>
          <w:color w:val="auto"/>
          <w:kern w:val="2"/>
          <w:sz w:val="32"/>
        </w:rPr>
      </w:pPr>
      <w:r>
        <w:rPr>
          <w:rFonts w:hint="eastAsia" w:ascii="黑体" w:hAnsi="黑体" w:eastAsia="黑体"/>
          <w:b/>
          <w:color w:val="auto"/>
          <w:kern w:val="2"/>
          <w:sz w:val="44"/>
          <w:lang w:val="en-US"/>
        </w:rPr>
        <w:t>支出绩效评价报告</w:t>
      </w:r>
    </w:p>
    <w:p>
      <w:pPr>
        <w:adjustRightInd w:val="0"/>
        <w:snapToGrid w:val="0"/>
        <w:spacing w:beforeLines="0" w:afterLines="0" w:line="360" w:lineRule="auto"/>
        <w:ind w:firstLine="643" w:firstLineChars="200"/>
        <w:rPr>
          <w:rFonts w:hint="eastAsia" w:ascii="黑体" w:hAnsi="宋体" w:eastAsia="黑体"/>
          <w:b/>
          <w:sz w:val="32"/>
          <w:lang w:val="zh-CN"/>
        </w:rPr>
      </w:pPr>
      <w:r>
        <w:rPr>
          <w:rFonts w:hint="eastAsia" w:ascii="黑体" w:hAnsi="宋体" w:eastAsia="黑体"/>
          <w:b/>
          <w:sz w:val="32"/>
        </w:rPr>
        <w:t>一、</w:t>
      </w:r>
      <w:r>
        <w:rPr>
          <w:rFonts w:hint="eastAsia" w:ascii="黑体" w:hAnsi="宋体" w:eastAsia="黑体"/>
          <w:b/>
          <w:sz w:val="32"/>
          <w:lang w:val="zh-CN"/>
        </w:rPr>
        <w:t>项目概况</w:t>
      </w:r>
    </w:p>
    <w:p>
      <w:pPr>
        <w:widowControl/>
        <w:numPr>
          <w:numId w:val="0"/>
        </w:numPr>
        <w:adjustRightInd w:val="0"/>
        <w:snapToGrid w:val="0"/>
        <w:spacing w:beforeLines="0" w:afterLines="0" w:line="360" w:lineRule="auto"/>
        <w:ind w:firstLine="643" w:firstLineChars="200"/>
        <w:jc w:val="left"/>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（一）设立背景及基本情况。</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广元市</w:t>
      </w:r>
      <w:r>
        <w:rPr>
          <w:rFonts w:hint="eastAsia" w:eastAsia="仿宋_GB2312"/>
          <w:sz w:val="32"/>
        </w:rPr>
        <w:t>中级人民法院是独立核算的一级预算部门，</w:t>
      </w:r>
      <w:r>
        <w:rPr>
          <w:rFonts w:hint="eastAsia" w:eastAsia="仿宋_GB2312"/>
          <w:sz w:val="32"/>
          <w:lang w:val="zh-CN"/>
        </w:rPr>
        <w:t>负责法院案件执行经费项目年初预算的编制和绩效目标的设置，确保项目预算的科学性、合理性、可行性。负责推进项目执行以及项目实施过程管理，包括项目进度监控、成本控制、风险预警、资金支付、财务核算等。项目完成后的决算编审、绩效目标考核和项目自评，以及其他与项目相关工作。</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rPr>
        <w:t>根据我院案件执行各项业务开展实际，保障案件执行过程中发生的办公费、印刷费、宣传费、邮电费等各项费用，提升了我院案件执行质效，保障了当事人合法权益，维护了公平正义的社会环境。根据往年该项目实施情况及本年需求，2023年案件执行</w:t>
      </w:r>
      <w:r>
        <w:rPr>
          <w:rFonts w:hint="eastAsia" w:eastAsia="仿宋_GB2312"/>
          <w:sz w:val="32"/>
          <w:lang w:val="zh-CN"/>
        </w:rPr>
        <w:t>经费项目资金</w:t>
      </w:r>
      <w:r>
        <w:rPr>
          <w:rFonts w:hint="eastAsia" w:eastAsia="仿宋_GB2312"/>
          <w:sz w:val="32"/>
        </w:rPr>
        <w:t>75万元。</w:t>
      </w:r>
    </w:p>
    <w:p>
      <w:pPr>
        <w:numPr>
          <w:numId w:val="0"/>
        </w:numPr>
        <w:adjustRightInd w:val="0"/>
        <w:snapToGrid w:val="0"/>
        <w:spacing w:beforeLines="0" w:afterLines="0" w:line="360" w:lineRule="auto"/>
        <w:rPr>
          <w:rFonts w:hint="eastAsia" w:ascii="楷体_GB2312" w:hAnsi="宋体" w:eastAsia="楷体_GB2312"/>
          <w:b/>
          <w:color w:val="auto"/>
          <w:sz w:val="32"/>
        </w:rPr>
      </w:pPr>
      <w:r>
        <w:rPr>
          <w:rFonts w:hint="eastAsia" w:ascii="楷体_GB2312" w:hAnsi="宋体" w:eastAsia="楷体_GB2312"/>
          <w:b/>
          <w:color w:val="auto"/>
          <w:sz w:val="32"/>
          <w:lang w:val="en-US" w:eastAsia="zh-CN"/>
        </w:rPr>
        <w:t xml:space="preserve">    （二）</w:t>
      </w:r>
      <w:r>
        <w:rPr>
          <w:rFonts w:hint="eastAsia" w:ascii="楷体_GB2312" w:hAnsi="宋体" w:eastAsia="楷体_GB2312"/>
          <w:b/>
          <w:color w:val="auto"/>
          <w:sz w:val="32"/>
        </w:rPr>
        <w:t>实施目的及支持方向。</w:t>
      </w:r>
    </w:p>
    <w:p>
      <w:pPr>
        <w:adjustRightInd w:val="0"/>
        <w:snapToGrid w:val="0"/>
        <w:spacing w:beforeLines="0" w:afterLines="0" w:line="360" w:lineRule="auto"/>
        <w:ind w:firstLine="640" w:firstLineChars="200"/>
        <w:rPr>
          <w:rFonts w:hint="eastAsia"/>
          <w:sz w:val="32"/>
          <w:lang w:val="zh-CN"/>
        </w:rPr>
      </w:pPr>
      <w:r>
        <w:rPr>
          <w:rFonts w:hint="eastAsia" w:ascii="仿宋_GB2312" w:hAnsi="仿宋_GB2312" w:eastAsia="仿宋_GB2312"/>
          <w:color w:val="auto"/>
          <w:kern w:val="0"/>
          <w:sz w:val="32"/>
          <w:shd w:val="clear" w:color="auto" w:fill="FFFFFF"/>
        </w:rPr>
        <w:t xml:space="preserve"> </w:t>
      </w:r>
      <w:r>
        <w:rPr>
          <w:rFonts w:hint="eastAsia" w:eastAsia="仿宋_GB2312"/>
          <w:sz w:val="32"/>
        </w:rPr>
        <w:t>案件执行</w:t>
      </w:r>
      <w:r>
        <w:rPr>
          <w:rFonts w:hint="eastAsia" w:eastAsia="仿宋_GB2312"/>
          <w:sz w:val="32"/>
          <w:lang w:val="zh-CN"/>
        </w:rPr>
        <w:t>经费项目预算编制立足上年项目执行情况和当年工作实际，绩效目标和项目指标编制科学、合理。</w:t>
      </w:r>
    </w:p>
    <w:p>
      <w:pPr>
        <w:adjustRightInd w:val="0"/>
        <w:snapToGrid w:val="0"/>
        <w:spacing w:beforeLines="0" w:afterLines="0" w:line="360" w:lineRule="auto"/>
        <w:ind w:firstLine="640" w:firstLineChars="200"/>
        <w:rPr>
          <w:rFonts w:hint="eastAsia" w:ascii="仿宋_GB2312" w:hAnsi="宋体" w:eastAsia="仿宋_GB2312"/>
          <w:sz w:val="32"/>
          <w:lang w:val="zh-CN"/>
        </w:rPr>
      </w:pPr>
      <w:r>
        <w:rPr>
          <w:rFonts w:hint="eastAsia" w:eastAsia="仿宋_GB2312"/>
          <w:sz w:val="32"/>
          <w:lang w:val="zh-CN"/>
        </w:rPr>
        <w:t>项目资金来源系财政全额拨款的一般公共预算资金，按照我院财务管理办法及专项资金管理细则，实行专款专用。项目的所有经费开支均经过项目责任人、财务负责人、分管院领导的审批签字，并在对应的科目进行专项核算。</w:t>
      </w:r>
    </w:p>
    <w:p>
      <w:pPr>
        <w:widowControl/>
        <w:numPr>
          <w:numId w:val="0"/>
        </w:numPr>
        <w:adjustRightInd w:val="0"/>
        <w:snapToGrid w:val="0"/>
        <w:spacing w:beforeLines="0" w:afterLines="0" w:line="360" w:lineRule="auto"/>
        <w:jc w:val="left"/>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（三）</w:t>
      </w:r>
      <w:r>
        <w:rPr>
          <w:rFonts w:hint="eastAsia" w:ascii="楷体_GB2312" w:hAnsi="宋体" w:eastAsia="楷体_GB2312"/>
          <w:b/>
          <w:color w:val="auto"/>
          <w:sz w:val="32"/>
        </w:rPr>
        <w:t>预算安排及分配管理</w:t>
      </w:r>
      <w:r>
        <w:rPr>
          <w:rFonts w:hint="eastAsia" w:ascii="楷体_GB2312" w:hAnsi="宋体" w:eastAsia="楷体_GB2312"/>
          <w:b/>
          <w:color w:val="auto"/>
          <w:sz w:val="32"/>
          <w:lang w:val="zh-CN"/>
        </w:rPr>
        <w:t>。</w:t>
      </w:r>
    </w:p>
    <w:p>
      <w:pPr>
        <w:adjustRightInd w:val="0"/>
        <w:snapToGrid w:val="0"/>
        <w:spacing w:beforeLines="0" w:afterLines="0" w:line="360" w:lineRule="auto"/>
        <w:ind w:firstLine="640" w:firstLineChars="200"/>
        <w:rPr>
          <w:rFonts w:hint="eastAsia" w:eastAsia="仿宋_GB2312"/>
          <w:sz w:val="32"/>
          <w:lang w:val="zh-CN"/>
        </w:rPr>
      </w:pPr>
      <w:r>
        <w:rPr>
          <w:rFonts w:hint="eastAsia" w:eastAsia="仿宋_GB2312"/>
          <w:sz w:val="32"/>
          <w:lang w:val="zh-CN"/>
        </w:rPr>
        <w:t>案件执行经费项目</w:t>
      </w:r>
      <w:r>
        <w:rPr>
          <w:rFonts w:hint="eastAsia" w:eastAsia="仿宋_GB2312"/>
          <w:sz w:val="32"/>
        </w:rPr>
        <w:t>报送人代会通过后批复</w:t>
      </w:r>
      <w:r>
        <w:rPr>
          <w:rFonts w:hint="eastAsia" w:ascii="仿宋_GB2312" w:hAnsi="仿宋_GB2312" w:eastAsia="仿宋_GB2312"/>
          <w:color w:val="auto"/>
          <w:kern w:val="0"/>
          <w:sz w:val="32"/>
          <w:shd w:val="clear" w:color="auto" w:fill="FFFFFF"/>
          <w:lang w:val="zh-CN"/>
        </w:rPr>
        <w:t>预算为一般</w:t>
      </w:r>
      <w:r>
        <w:rPr>
          <w:rFonts w:hint="eastAsia" w:eastAsia="仿宋_GB2312"/>
          <w:sz w:val="32"/>
          <w:lang w:val="zh-CN"/>
        </w:rPr>
        <w:t>公共预算资金</w:t>
      </w:r>
      <w:r>
        <w:rPr>
          <w:rFonts w:hint="eastAsia" w:eastAsia="仿宋_GB2312"/>
          <w:sz w:val="32"/>
        </w:rPr>
        <w:t>75万元，</w:t>
      </w:r>
      <w:r>
        <w:rPr>
          <w:rFonts w:hint="eastAsia" w:eastAsia="仿宋_GB2312"/>
          <w:sz w:val="32"/>
          <w:lang w:val="zh-CN"/>
        </w:rPr>
        <w:t>资金分配严格按照预算安排，主要用于保障案件执行过程中发生的办公费、印刷费、差旅费、公告费、邮电费等各项费用。</w:t>
      </w:r>
    </w:p>
    <w:p>
      <w:pPr>
        <w:keepLines/>
        <w:numPr>
          <w:numId w:val="0"/>
        </w:numPr>
        <w:adjustRightInd w:val="0"/>
        <w:snapToGrid w:val="0"/>
        <w:spacing w:beforeLines="0" w:afterLines="0" w:line="360" w:lineRule="auto"/>
        <w:rPr>
          <w:rFonts w:hint="eastAsia" w:eastAsia="仿宋_GB2312"/>
          <w:sz w:val="32"/>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（四）项目绩效目标设置。</w:t>
      </w:r>
    </w:p>
    <w:p>
      <w:pPr>
        <w:keepLines/>
        <w:numPr>
          <w:numId w:val="0"/>
        </w:numPr>
        <w:adjustRightInd w:val="0"/>
        <w:snapToGrid w:val="0"/>
        <w:spacing w:beforeLines="0" w:afterLines="0" w:line="360" w:lineRule="auto"/>
        <w:ind w:firstLine="642"/>
        <w:rPr>
          <w:rFonts w:hint="eastAsia" w:eastAsia="仿宋_GB2312"/>
          <w:sz w:val="32"/>
        </w:rPr>
      </w:pPr>
      <w:r>
        <w:rPr>
          <w:rFonts w:hint="eastAsia" w:eastAsia="仿宋_GB2312"/>
          <w:sz w:val="32"/>
          <w:lang w:val="zh-CN"/>
        </w:rPr>
        <w:t>202</w:t>
      </w:r>
      <w:r>
        <w:rPr>
          <w:rFonts w:hint="eastAsia" w:eastAsia="仿宋_GB2312"/>
          <w:sz w:val="32"/>
        </w:rPr>
        <w:t>4</w:t>
      </w:r>
      <w:r>
        <w:rPr>
          <w:rFonts w:hint="eastAsia" w:eastAsia="仿宋_GB2312"/>
          <w:sz w:val="32"/>
          <w:lang w:val="zh-CN"/>
        </w:rPr>
        <w:t>年案件执行经费项目资金用于保障案件执行过程中发生的办公费、印刷费、差旅费、调查费、公告费、宣传费、邮电费等各项费用开支，促使执行业务工作顺利开展，</w:t>
      </w:r>
      <w:r>
        <w:rPr>
          <w:rFonts w:hint="eastAsia" w:eastAsia="仿宋_GB2312"/>
          <w:sz w:val="32"/>
        </w:rPr>
        <w:t>保障当事人合法权益，维护公平正义的社会环境。</w:t>
      </w:r>
    </w:p>
    <w:p>
      <w:pPr>
        <w:keepLines/>
        <w:numPr>
          <w:numId w:val="0"/>
        </w:numPr>
        <w:adjustRightInd w:val="0"/>
        <w:snapToGrid w:val="0"/>
        <w:spacing w:beforeLines="0" w:afterLines="0" w:line="360" w:lineRule="auto"/>
        <w:ind w:firstLine="642"/>
        <w:rPr>
          <w:rFonts w:hint="eastAsia" w:eastAsia="仿宋_GB2312"/>
          <w:sz w:val="32"/>
        </w:rPr>
      </w:pPr>
      <w:r>
        <w:rPr>
          <w:rFonts w:hint="eastAsia" w:eastAsia="仿宋_GB2312"/>
          <w:sz w:val="32"/>
          <w:lang w:val="zh-CN"/>
        </w:rPr>
        <w:t>该项目预算执行情况自评权重为</w:t>
      </w:r>
      <w:r>
        <w:rPr>
          <w:rFonts w:hint="eastAsia" w:eastAsia="仿宋_GB2312"/>
          <w:sz w:val="32"/>
        </w:rPr>
        <w:t>10%，满分为10分，其余产出指标、效益指标、成本指标，满意度指标绩效目标设置权重为90%，具体明细见下表：</w:t>
      </w:r>
    </w:p>
    <w:tbl>
      <w:tblPr>
        <w:tblStyle w:val="25"/>
        <w:tblW w:w="814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02"/>
        <w:gridCol w:w="851"/>
        <w:gridCol w:w="978"/>
        <w:gridCol w:w="2054"/>
        <w:gridCol w:w="845"/>
        <w:gridCol w:w="828"/>
        <w:gridCol w:w="838"/>
        <w:gridCol w:w="7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1002" w:type="dxa"/>
            <w:vMerge w:val="restart"/>
            <w:tcBorders>
              <w:top w:val="single" w:color="000000" w:sz="4" w:space="0"/>
              <w:left w:val="single" w:color="000000" w:sz="4" w:space="0"/>
              <w:bottom w:val="nil"/>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绩效指标（90分）</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一级指标</w:t>
            </w:r>
          </w:p>
        </w:tc>
        <w:tc>
          <w:tcPr>
            <w:tcW w:w="97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二级指标</w:t>
            </w:r>
          </w:p>
        </w:tc>
        <w:tc>
          <w:tcPr>
            <w:tcW w:w="205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三级指标</w:t>
            </w:r>
          </w:p>
        </w:tc>
        <w:tc>
          <w:tcPr>
            <w:tcW w:w="84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指标性质</w:t>
            </w:r>
          </w:p>
        </w:tc>
        <w:tc>
          <w:tcPr>
            <w:tcW w:w="82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指标值</w:t>
            </w:r>
          </w:p>
        </w:tc>
        <w:tc>
          <w:tcPr>
            <w:tcW w:w="83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度量单位</w:t>
            </w:r>
          </w:p>
        </w:tc>
        <w:tc>
          <w:tcPr>
            <w:tcW w:w="74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1002"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产出指标</w:t>
            </w:r>
          </w:p>
        </w:tc>
        <w:tc>
          <w:tcPr>
            <w:tcW w:w="97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数量指标</w:t>
            </w:r>
          </w:p>
        </w:tc>
        <w:tc>
          <w:tcPr>
            <w:tcW w:w="205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年度内受理执行案件数量</w:t>
            </w:r>
          </w:p>
        </w:tc>
        <w:tc>
          <w:tcPr>
            <w:tcW w:w="84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2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250</w:t>
            </w:r>
          </w:p>
        </w:tc>
        <w:tc>
          <w:tcPr>
            <w:tcW w:w="83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件</w:t>
            </w:r>
          </w:p>
        </w:tc>
        <w:tc>
          <w:tcPr>
            <w:tcW w:w="74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1002"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78"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质量指标</w:t>
            </w:r>
          </w:p>
        </w:tc>
        <w:tc>
          <w:tcPr>
            <w:tcW w:w="205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结收比</w:t>
            </w:r>
          </w:p>
        </w:tc>
        <w:tc>
          <w:tcPr>
            <w:tcW w:w="84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2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97.5</w:t>
            </w:r>
          </w:p>
        </w:tc>
        <w:tc>
          <w:tcPr>
            <w:tcW w:w="83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4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1002"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78"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205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执行完毕率</w:t>
            </w:r>
          </w:p>
        </w:tc>
        <w:tc>
          <w:tcPr>
            <w:tcW w:w="84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2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28</w:t>
            </w:r>
          </w:p>
        </w:tc>
        <w:tc>
          <w:tcPr>
            <w:tcW w:w="83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4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1002"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78"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时效指标</w:t>
            </w:r>
          </w:p>
        </w:tc>
        <w:tc>
          <w:tcPr>
            <w:tcW w:w="205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平均结案时间</w:t>
            </w:r>
          </w:p>
        </w:tc>
        <w:tc>
          <w:tcPr>
            <w:tcW w:w="84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2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82</w:t>
            </w:r>
          </w:p>
        </w:tc>
        <w:tc>
          <w:tcPr>
            <w:tcW w:w="83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天</w:t>
            </w:r>
          </w:p>
        </w:tc>
        <w:tc>
          <w:tcPr>
            <w:tcW w:w="74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10" w:hRule="atLeast"/>
          <w:jc w:val="center"/>
        </w:trPr>
        <w:tc>
          <w:tcPr>
            <w:tcW w:w="1002"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78"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205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项目完成时限</w:t>
            </w:r>
          </w:p>
        </w:tc>
        <w:tc>
          <w:tcPr>
            <w:tcW w:w="84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2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w:t>
            </w:r>
          </w:p>
        </w:tc>
        <w:tc>
          <w:tcPr>
            <w:tcW w:w="83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年</w:t>
            </w:r>
          </w:p>
        </w:tc>
        <w:tc>
          <w:tcPr>
            <w:tcW w:w="74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1002"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效益指标</w:t>
            </w:r>
          </w:p>
        </w:tc>
        <w:tc>
          <w:tcPr>
            <w:tcW w:w="97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社会效益指标</w:t>
            </w:r>
          </w:p>
        </w:tc>
        <w:tc>
          <w:tcPr>
            <w:tcW w:w="205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通过列入失信、黑名单等执行方式，惩戒失信人员，挽回当事人经济损失，维护当事人合法权益，促进社会公平正义，营造风清气正的良好生态环境。</w:t>
            </w:r>
          </w:p>
        </w:tc>
        <w:tc>
          <w:tcPr>
            <w:tcW w:w="84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82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83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74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1002"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7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可持续发展指标</w:t>
            </w:r>
          </w:p>
        </w:tc>
        <w:tc>
          <w:tcPr>
            <w:tcW w:w="205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保障我院案件执行业务所需各项经费，提升案件执行效率，维护当事人合法权益。</w:t>
            </w:r>
          </w:p>
        </w:tc>
        <w:tc>
          <w:tcPr>
            <w:tcW w:w="84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82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83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74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1002"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满意度指标</w:t>
            </w:r>
          </w:p>
        </w:tc>
        <w:tc>
          <w:tcPr>
            <w:tcW w:w="97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服务对象满意度指标</w:t>
            </w:r>
          </w:p>
        </w:tc>
        <w:tc>
          <w:tcPr>
            <w:tcW w:w="205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当事人对执行工作满意度</w:t>
            </w:r>
          </w:p>
        </w:tc>
        <w:tc>
          <w:tcPr>
            <w:tcW w:w="84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2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80</w:t>
            </w:r>
          </w:p>
        </w:tc>
        <w:tc>
          <w:tcPr>
            <w:tcW w:w="83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4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1002" w:type="dxa"/>
            <w:vMerge w:val="continue"/>
            <w:tcBorders>
              <w:top w:val="nil"/>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成本指标</w:t>
            </w:r>
          </w:p>
        </w:tc>
        <w:tc>
          <w:tcPr>
            <w:tcW w:w="97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经济成本指标</w:t>
            </w:r>
          </w:p>
        </w:tc>
        <w:tc>
          <w:tcPr>
            <w:tcW w:w="205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项目总成本</w:t>
            </w:r>
          </w:p>
        </w:tc>
        <w:tc>
          <w:tcPr>
            <w:tcW w:w="84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w:t>
            </w:r>
          </w:p>
        </w:tc>
        <w:tc>
          <w:tcPr>
            <w:tcW w:w="82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75</w:t>
            </w:r>
          </w:p>
        </w:tc>
        <w:tc>
          <w:tcPr>
            <w:tcW w:w="83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万元</w:t>
            </w:r>
          </w:p>
        </w:tc>
        <w:tc>
          <w:tcPr>
            <w:tcW w:w="74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20</w:t>
            </w:r>
          </w:p>
        </w:tc>
      </w:tr>
    </w:tbl>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我院对于该项目的申报内容与实际业务的开展相关且符合工作实际，申报的绩效目标易于考核，合理可行，操作性强。项目绩效自评采用中期监控和年终绩效考核相结合的方式进行。项目绩效自评由项目实施的执行局报送年度内具体工作开展情况，并对项目的实施情况总结并自评，督察室监督审核工作的完成进度并进行项目验收，行装处负责统计相关项目工作的资金支付情况，并通过共同研讨、数据对比等方法对该项目进行自评打分。</w:t>
      </w:r>
    </w:p>
    <w:p>
      <w:pPr>
        <w:adjustRightInd w:val="0"/>
        <w:snapToGrid w:val="0"/>
        <w:spacing w:beforeLines="0" w:afterLines="0" w:line="360" w:lineRule="auto"/>
        <w:ind w:firstLine="643" w:firstLineChars="200"/>
        <w:rPr>
          <w:rFonts w:hint="eastAsia" w:ascii="黑体" w:hAnsi="宋体" w:eastAsia="黑体"/>
          <w:b/>
          <w:sz w:val="32"/>
        </w:rPr>
      </w:pPr>
      <w:r>
        <w:rPr>
          <w:rFonts w:hint="eastAsia" w:ascii="黑体" w:hAnsi="宋体" w:eastAsia="黑体"/>
          <w:b/>
          <w:sz w:val="32"/>
        </w:rPr>
        <w:t>二、评价实施</w:t>
      </w:r>
    </w:p>
    <w:p>
      <w:pPr>
        <w:spacing w:beforeLines="0" w:afterLines="0" w:line="360" w:lineRule="auto"/>
        <w:ind w:firstLine="640"/>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（一）评价目的。</w:t>
      </w:r>
    </w:p>
    <w:p>
      <w:pPr>
        <w:spacing w:beforeLines="0" w:afterLines="0" w:line="360" w:lineRule="auto"/>
        <w:ind w:firstLine="640"/>
        <w:rPr>
          <w:rFonts w:hint="eastAsia"/>
          <w:sz w:val="32"/>
        </w:rPr>
      </w:pPr>
      <w:r>
        <w:rPr>
          <w:rFonts w:hint="eastAsia" w:eastAsia="仿宋_GB2312"/>
          <w:sz w:val="32"/>
        </w:rPr>
        <w:t>通过项目绩效自评要实现对案件执行经费</w:t>
      </w:r>
      <w:r>
        <w:rPr>
          <w:rFonts w:hint="eastAsia" w:eastAsia="仿宋_GB2312"/>
          <w:sz w:val="32"/>
          <w:lang w:val="zh-CN"/>
        </w:rPr>
        <w:t>项目资金效益的监督及项目目标实现度的管理，促进财政资金发挥更大的效益，保障案件执行过程中发生的办公费、印刷费、差旅费、调查费、公告费、宣传费、邮电费等各项费用开支，促使执行业务工作顺利开展，保障当事人合法权益，维护社会公平正义</w:t>
      </w:r>
      <w:r>
        <w:rPr>
          <w:rFonts w:hint="eastAsia" w:eastAsia="仿宋_GB2312"/>
          <w:sz w:val="32"/>
        </w:rPr>
        <w:t>。</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（二）</w:t>
      </w:r>
      <w:r>
        <w:rPr>
          <w:rFonts w:hint="eastAsia" w:ascii="楷体_GB2312" w:hAnsi="宋体" w:eastAsia="楷体_GB2312"/>
          <w:b/>
          <w:color w:val="auto"/>
          <w:sz w:val="32"/>
          <w:lang w:val="zh-CN"/>
        </w:rPr>
        <w:t>预设问题及评价重点。</w:t>
      </w:r>
    </w:p>
    <w:p>
      <w:pPr>
        <w:numPr>
          <w:numId w:val="0"/>
        </w:numPr>
        <w:adjustRightInd w:val="0"/>
        <w:snapToGrid w:val="0"/>
        <w:spacing w:beforeLines="0" w:afterLines="0" w:line="360" w:lineRule="auto"/>
        <w:rPr>
          <w:rFonts w:hint="eastAsia"/>
          <w:sz w:val="32"/>
          <w:lang w:val="zh-CN"/>
        </w:rPr>
      </w:pPr>
      <w:r>
        <w:rPr>
          <w:rFonts w:hint="eastAsia" w:eastAsia="仿宋_GB2312"/>
          <w:sz w:val="32"/>
        </w:rPr>
        <w:t xml:space="preserve">    </w:t>
      </w:r>
      <w:r>
        <w:rPr>
          <w:rFonts w:hint="eastAsia" w:eastAsia="仿宋_GB2312"/>
          <w:sz w:val="32"/>
          <w:lang w:val="zh-CN"/>
        </w:rPr>
        <w:t>该项目资金为一般公共预算财政拨款收入安排，市财政局通过预算对我院下达此专项资金</w:t>
      </w:r>
      <w:r>
        <w:rPr>
          <w:rFonts w:hint="eastAsia" w:eastAsia="仿宋_GB2312"/>
          <w:sz w:val="32"/>
        </w:rPr>
        <w:t>75万元，</w:t>
      </w:r>
      <w:r>
        <w:rPr>
          <w:rFonts w:hint="eastAsia" w:eastAsia="仿宋_GB2312"/>
          <w:sz w:val="32"/>
          <w:lang w:val="zh-CN"/>
        </w:rPr>
        <w:t>资金及时到位，资金到位率100%，到位及时率100%，预算执行率</w:t>
      </w:r>
      <w:r>
        <w:rPr>
          <w:rFonts w:hint="eastAsia" w:eastAsia="仿宋_GB2312"/>
          <w:sz w:val="32"/>
        </w:rPr>
        <w:t>100%。顺利完成了该项目的实施和资金支付。</w:t>
      </w:r>
      <w:r>
        <w:rPr>
          <w:rFonts w:hint="eastAsia" w:eastAsia="仿宋_GB2312"/>
          <w:sz w:val="32"/>
          <w:lang w:val="zh-CN"/>
        </w:rPr>
        <w:t>项目实行专项核算，资金支付合规、合法，无超预算和范围支付情况，无截留、挤占、挪用专项资金现象，无虚列项目成本、无进行大额现金支付现象，项目资金使用均按规定标准执行。</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（三）</w:t>
      </w:r>
      <w:r>
        <w:rPr>
          <w:rFonts w:hint="eastAsia" w:ascii="楷体_GB2312" w:hAnsi="宋体" w:eastAsia="楷体_GB2312"/>
          <w:b/>
          <w:color w:val="auto"/>
          <w:sz w:val="32"/>
          <w:lang w:val="zh-CN"/>
        </w:rPr>
        <w:t>评价选点。</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rPr>
        <w:t>选取20笔与案件执行相关的大额支出作为评价样本，核查资金支出方向及审批手续，调研该案件取得的社会效益</w:t>
      </w:r>
      <w:r>
        <w:rPr>
          <w:rFonts w:hint="eastAsia" w:eastAsia="仿宋_GB2312"/>
          <w:sz w:val="32"/>
          <w:lang w:val="zh-CN"/>
        </w:rPr>
        <w:t>。</w:t>
      </w:r>
    </w:p>
    <w:p>
      <w:pPr>
        <w:numPr>
          <w:numId w:val="0"/>
        </w:num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（四）</w:t>
      </w:r>
      <w:r>
        <w:rPr>
          <w:rFonts w:hint="eastAsia" w:ascii="楷体_GB2312" w:hAnsi="宋体" w:eastAsia="楷体_GB2312"/>
          <w:b/>
          <w:color w:val="auto"/>
          <w:sz w:val="32"/>
          <w:lang w:val="zh-CN"/>
        </w:rPr>
        <w:t>评价方法。</w:t>
      </w:r>
    </w:p>
    <w:p>
      <w:pPr>
        <w:numPr>
          <w:numId w:val="0"/>
        </w:numPr>
        <w:spacing w:beforeLines="0" w:afterLines="0" w:line="360" w:lineRule="auto"/>
        <w:rPr>
          <w:rFonts w:hint="eastAsia" w:eastAsia="仿宋_GB2312"/>
          <w:sz w:val="32"/>
        </w:rPr>
      </w:pPr>
      <w:r>
        <w:rPr>
          <w:rFonts w:hint="eastAsia" w:eastAsia="仿宋_GB2312"/>
          <w:sz w:val="32"/>
        </w:rPr>
        <w:t xml:space="preserve">    根据项目情况和评价重点，采用单位自评法、座谈调研法用来收集相关材料和开展具体评价的方法。</w:t>
      </w:r>
    </w:p>
    <w:p>
      <w:p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rPr>
        <w:t xml:space="preserve">    </w:t>
      </w:r>
      <w:r>
        <w:rPr>
          <w:rFonts w:hint="eastAsia" w:ascii="楷体_GB2312" w:hAnsi="宋体" w:eastAsia="楷体_GB2312"/>
          <w:b/>
          <w:color w:val="auto"/>
          <w:sz w:val="32"/>
          <w:lang w:val="zh-CN"/>
        </w:rPr>
        <w:t>（五）评价组织。</w:t>
      </w:r>
    </w:p>
    <w:p>
      <w:pPr>
        <w:adjustRightInd w:val="0"/>
        <w:snapToGrid w:val="0"/>
        <w:spacing w:beforeLines="0" w:afterLines="0" w:line="360" w:lineRule="auto"/>
        <w:ind w:firstLine="640" w:firstLineChars="200"/>
        <w:rPr>
          <w:rFonts w:hint="eastAsia"/>
          <w:sz w:val="32"/>
        </w:rPr>
      </w:pPr>
      <w:r>
        <w:rPr>
          <w:rFonts w:hint="eastAsia" w:eastAsia="仿宋_GB2312"/>
          <w:sz w:val="32"/>
        </w:rPr>
        <w:t>绩效评价领导小组以常务副院长为组长，各业务部门、行装处、督查室部门领导为组员组成；绩效评价工作小组由各部门内勤及财务人员组成。采取“谁申报项目，谁负责绩效评价”的原则，由项目部门</w:t>
      </w:r>
      <w:r>
        <w:rPr>
          <w:rFonts w:hint="eastAsia" w:eastAsia="仿宋_GB2312"/>
          <w:sz w:val="32"/>
          <w:lang w:val="zh-CN"/>
        </w:rPr>
        <w:t>（执行局）</w:t>
      </w:r>
      <w:r>
        <w:rPr>
          <w:rFonts w:hint="eastAsia" w:eastAsia="仿宋_GB2312"/>
          <w:sz w:val="32"/>
        </w:rPr>
        <w:t>牵头，召集工作小组对项目进行初评，然后呈报至领导小组复核。根据财政专项项目管理办法及财政资金管理要求，</w:t>
      </w:r>
      <w:r>
        <w:rPr>
          <w:rFonts w:hint="eastAsia" w:eastAsia="仿宋_GB2312"/>
          <w:sz w:val="32"/>
          <w:lang w:val="zh-CN"/>
        </w:rPr>
        <w:t>行装处严格审核项目报销凭证，加快专项资金支付，及时进行会计核算。</w:t>
      </w:r>
      <w:r>
        <w:rPr>
          <w:rFonts w:hint="eastAsia" w:eastAsia="仿宋_GB2312"/>
          <w:sz w:val="32"/>
        </w:rPr>
        <w:t>督察室进行定期监督，做到了专款专用，执行有力，且没有超预算和范围、违规报销行为，没有滞留、截流、挤占、挪用项目资金的现象。</w:t>
      </w:r>
    </w:p>
    <w:p>
      <w:pPr>
        <w:numPr>
          <w:numId w:val="0"/>
        </w:numPr>
        <w:adjustRightInd w:val="0"/>
        <w:snapToGrid w:val="0"/>
        <w:spacing w:beforeLines="0" w:afterLines="0" w:line="360" w:lineRule="auto"/>
        <w:ind w:leftChars="200"/>
        <w:rPr>
          <w:rFonts w:hint="eastAsia" w:ascii="仿宋_GB2312" w:hAnsi="宋体" w:eastAsia="仿宋_GB2312"/>
          <w:b/>
          <w:color w:val="auto"/>
          <w:sz w:val="32"/>
          <w:lang w:val="zh-CN"/>
        </w:rPr>
      </w:pPr>
      <w:r>
        <w:rPr>
          <w:rFonts w:hint="eastAsia" w:ascii="黑体" w:hAnsi="宋体" w:eastAsia="黑体"/>
          <w:b/>
          <w:color w:val="auto"/>
          <w:sz w:val="32"/>
        </w:rPr>
        <w:t>三、绩效分析</w:t>
      </w:r>
      <w:r>
        <w:rPr>
          <w:rFonts w:hint="eastAsia" w:ascii="仿宋_GB2312" w:hAnsi="宋体" w:eastAsia="仿宋_GB2312"/>
          <w:b/>
          <w:color w:val="auto"/>
          <w:sz w:val="32"/>
          <w:lang w:val="zh-CN"/>
        </w:rPr>
        <w:tab/>
      </w:r>
    </w:p>
    <w:p>
      <w:pPr>
        <w:numPr>
          <w:numId w:val="0"/>
        </w:numPr>
        <w:adjustRightInd w:val="0"/>
        <w:snapToGrid w:val="0"/>
        <w:spacing w:beforeLines="0" w:afterLines="0" w:line="360" w:lineRule="auto"/>
        <w:ind w:leftChars="200"/>
        <w:rPr>
          <w:rFonts w:hint="eastAsia" w:ascii="楷体_GB2312" w:hAnsi="宋体" w:eastAsia="楷体_GB2312"/>
          <w:b/>
          <w:color w:val="auto"/>
          <w:sz w:val="32"/>
        </w:rPr>
      </w:pPr>
      <w:r>
        <w:rPr>
          <w:rFonts w:hint="eastAsia" w:ascii="楷体_GB2312" w:hAnsi="宋体" w:eastAsia="楷体_GB2312"/>
          <w:b/>
          <w:color w:val="auto"/>
          <w:sz w:val="32"/>
          <w:lang w:val="zh-CN"/>
        </w:rPr>
        <w:t>（一）</w:t>
      </w:r>
      <w:r>
        <w:rPr>
          <w:rFonts w:hint="eastAsia" w:ascii="楷体_GB2312" w:hAnsi="宋体" w:eastAsia="楷体_GB2312"/>
          <w:b/>
          <w:color w:val="auto"/>
          <w:sz w:val="32"/>
        </w:rPr>
        <w:t>通用指标</w:t>
      </w:r>
      <w:r>
        <w:rPr>
          <w:rFonts w:hint="eastAsia" w:eastAsia="楷体_GB2312"/>
          <w:b/>
          <w:color w:val="000000"/>
          <w:kern w:val="0"/>
          <w:sz w:val="32"/>
          <w:shd w:val="clear" w:color="auto" w:fill="FFFFFF"/>
          <w:lang w:val="zh-CN"/>
        </w:rPr>
        <w:t>绩效得分</w:t>
      </w:r>
      <w:r>
        <w:rPr>
          <w:rFonts w:hint="eastAsia" w:eastAsia="楷体_GB2312"/>
          <w:b/>
          <w:color w:val="000000"/>
          <w:kern w:val="0"/>
          <w:sz w:val="32"/>
          <w:shd w:val="clear" w:color="auto" w:fill="FFFFFF"/>
        </w:rPr>
        <w:t>54分</w:t>
      </w:r>
      <w:r>
        <w:rPr>
          <w:rFonts w:hint="eastAsia" w:eastAsia="楷体_GB2312"/>
          <w:b/>
          <w:color w:val="000000"/>
          <w:kern w:val="0"/>
          <w:sz w:val="32"/>
          <w:shd w:val="clear" w:color="auto" w:fill="FFFFFF"/>
          <w:lang w:val="zh-CN"/>
        </w:rPr>
        <w:t>。</w:t>
      </w:r>
    </w:p>
    <w:p>
      <w:p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1.项目决策评分为18分。</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决策程序：</w:t>
      </w:r>
      <w:r>
        <w:rPr>
          <w:rFonts w:hint="eastAsia" w:eastAsia="仿宋_GB2312"/>
          <w:sz w:val="32"/>
        </w:rPr>
        <w:t>根据</w:t>
      </w:r>
      <w:r>
        <w:rPr>
          <w:rFonts w:hint="eastAsia" w:eastAsia="仿宋_GB2312"/>
          <w:sz w:val="32"/>
          <w:lang w:val="zh-CN"/>
        </w:rPr>
        <w:t>我院审判职能职责定位</w:t>
      </w:r>
      <w:r>
        <w:rPr>
          <w:rFonts w:hint="eastAsia" w:eastAsia="仿宋_GB2312"/>
          <w:sz w:val="32"/>
        </w:rPr>
        <w:t>，</w:t>
      </w:r>
      <w:r>
        <w:rPr>
          <w:rFonts w:hint="eastAsia" w:eastAsia="仿宋_GB2312"/>
          <w:sz w:val="32"/>
          <w:lang w:val="zh-CN"/>
        </w:rPr>
        <w:t>项目设立有必要，立项依据充分，</w:t>
      </w:r>
      <w:r>
        <w:rPr>
          <w:rFonts w:hint="eastAsia" w:eastAsia="仿宋_GB2312"/>
          <w:sz w:val="32"/>
        </w:rPr>
        <w:t>安排</w:t>
      </w:r>
      <w:r>
        <w:rPr>
          <w:rFonts w:hint="eastAsia" w:eastAsia="仿宋_GB2312"/>
          <w:sz w:val="32"/>
          <w:lang w:val="zh-CN"/>
        </w:rPr>
        <w:t>项目资金预算</w:t>
      </w:r>
      <w:r>
        <w:rPr>
          <w:rFonts w:hint="eastAsia" w:eastAsia="仿宋_GB2312"/>
          <w:sz w:val="32"/>
        </w:rPr>
        <w:t>75</w:t>
      </w:r>
      <w:r>
        <w:rPr>
          <w:rFonts w:hint="eastAsia" w:eastAsia="仿宋_GB2312"/>
          <w:sz w:val="32"/>
          <w:lang w:val="zh-CN"/>
        </w:rPr>
        <w:t>万元合理，符合资金管理基本规范和决策程序要求，故该项评分为</w:t>
      </w:r>
      <w:r>
        <w:rPr>
          <w:rFonts w:hint="eastAsia" w:eastAsia="仿宋_GB2312"/>
          <w:sz w:val="32"/>
        </w:rPr>
        <w:t>6分</w:t>
      </w:r>
      <w:r>
        <w:rPr>
          <w:rFonts w:hint="eastAsia" w:eastAsia="仿宋_GB2312"/>
          <w:sz w:val="32"/>
          <w:lang w:val="zh-CN"/>
        </w:rPr>
        <w:t>。</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规划论证：该项目规划符合法院主要职能职责定位，预算申报前，充分征求了执行部门意见，论证了项目必要性、前瞻性、合理性和可行性，调研了近三年执行案件的增长趋势和执行案件平均成本，项目总体绩效目标设置合理，绩效目标规范完整、量化细化，预算匹配度较好，故此项评分为</w:t>
      </w:r>
      <w:r>
        <w:rPr>
          <w:rFonts w:hint="eastAsia" w:eastAsia="仿宋_GB2312"/>
          <w:sz w:val="32"/>
        </w:rPr>
        <w:t>6分。</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资金投向：案件执行经费项目预算资金主要是用于</w:t>
      </w:r>
      <w:r>
        <w:rPr>
          <w:rFonts w:hint="eastAsia" w:eastAsia="仿宋_GB2312"/>
          <w:sz w:val="32"/>
        </w:rPr>
        <w:t>保障执行案件活动中所必要发生的办公经费、</w:t>
      </w:r>
      <w:r>
        <w:rPr>
          <w:rFonts w:hint="eastAsia" w:eastAsia="仿宋_GB2312"/>
          <w:sz w:val="32"/>
          <w:lang w:val="zh-CN"/>
        </w:rPr>
        <w:t>印刷费、差旅费、调查费、公告费、宣传费、邮电费</w:t>
      </w:r>
      <w:r>
        <w:rPr>
          <w:rFonts w:hint="eastAsia" w:eastAsia="仿宋_GB2312"/>
          <w:sz w:val="32"/>
        </w:rPr>
        <w:t>等，使案件执行工作得以有序开展</w:t>
      </w:r>
      <w:r>
        <w:rPr>
          <w:rFonts w:hint="eastAsia" w:eastAsia="仿宋_GB2312"/>
          <w:sz w:val="32"/>
          <w:lang w:val="zh-CN"/>
        </w:rPr>
        <w:t>，属于法院主要职能之一，是重点领域的重点任务，与法院主责主业要求相匹配，故此项评分为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项目管理评分为18分。</w:t>
      </w:r>
    </w:p>
    <w:p>
      <w:pPr>
        <w:numPr>
          <w:numId w:val="0"/>
        </w:numPr>
        <w:adjustRightInd w:val="0"/>
        <w:snapToGrid w:val="0"/>
        <w:spacing w:beforeLines="0" w:afterLines="0" w:line="360" w:lineRule="auto"/>
        <w:ind w:firstLine="640"/>
        <w:rPr>
          <w:rFonts w:hint="eastAsia" w:eastAsia="仿宋_GB2312"/>
          <w:sz w:val="32"/>
        </w:rPr>
      </w:pPr>
      <w:r>
        <w:rPr>
          <w:rFonts w:hint="eastAsia" w:eastAsia="仿宋_GB2312"/>
          <w:sz w:val="32"/>
        </w:rPr>
        <w:t>制度办法：</w:t>
      </w:r>
      <w:r>
        <w:rPr>
          <w:rFonts w:hint="eastAsia" w:eastAsia="仿宋_GB2312"/>
          <w:sz w:val="32"/>
          <w:lang w:val="zh-CN"/>
        </w:rPr>
        <w:t>我院按部门职责分工明确，严格遵循工作计划稳步推进实施。完善各项内部控制与考核制度，建立较为完善的财务管理制度《广元市中级人民法院财务管理制度》、《广元市中级人民法院预算管理制度》，且严格执行。</w:t>
      </w:r>
      <w:r>
        <w:rPr>
          <w:rFonts w:hint="eastAsia" w:eastAsia="仿宋_GB2312"/>
          <w:sz w:val="32"/>
        </w:rPr>
        <w:t>并在资金使用过程中严格按照办案业务经费开支范围及开支要求，做到超范围不支出，故此项评分为2分。</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lang w:val="zh-CN"/>
        </w:rPr>
        <w:t>分配管理：此项目预算资金分配上严格按照管理办法和案件执行经费开支程序执行，决策程序符合三重一大要求，资金支付及时高效。且在项目申报前期，充分调研了近三年执行案件的增长趋势和案件办理平均成本，在资金分配上根据比例进行合理划分。项目做到了财政资金专款专用，资金支付有相关审批程序和合规手续，账务处理及时，会计核算规范。项目管理人员及督察部门对项目实施全过程监控，对偏离预算执行的项目及时纠偏和调整，财务报销严格执行财务审批程序。故此项评分为</w:t>
      </w:r>
      <w:r>
        <w:rPr>
          <w:rFonts w:hint="eastAsia" w:eastAsia="仿宋_GB2312"/>
          <w:sz w:val="32"/>
        </w:rPr>
        <w:t>10分。</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绩效监管：该项目全面完成了事前评估、绩效目标设置、绩效监控、绩效督促、问题整改等预算绩效管理工作，评分为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项目实施评分为9分。</w:t>
      </w:r>
    </w:p>
    <w:p>
      <w:pPr>
        <w:numPr>
          <w:numId w:val="0"/>
        </w:numPr>
        <w:adjustRightInd w:val="0"/>
        <w:snapToGrid w:val="0"/>
        <w:spacing w:beforeLines="0" w:afterLines="0" w:line="360" w:lineRule="auto"/>
        <w:ind w:firstLine="640"/>
        <w:rPr>
          <w:rFonts w:hint="eastAsia" w:ascii="仿宋_GB2312" w:eastAsia="仿宋_GB2312"/>
          <w:sz w:val="32"/>
        </w:rPr>
      </w:pPr>
      <w:r>
        <w:rPr>
          <w:rFonts w:hint="eastAsia" w:ascii="仿宋_GB2312" w:eastAsia="仿宋_GB2312"/>
          <w:sz w:val="32"/>
          <w:lang w:val="zh-CN"/>
        </w:rPr>
        <w:t>预算执行：该项目预算执行进度好，该项指标得分</w:t>
      </w:r>
      <w:r>
        <w:rPr>
          <w:rFonts w:hint="eastAsia" w:ascii="仿宋_GB2312" w:eastAsia="仿宋_GB2312"/>
          <w:sz w:val="32"/>
        </w:rPr>
        <w:t>=财政资金拨付率100%*100%*3+单位资金使用率100%*100%*3=6分。</w:t>
      </w:r>
    </w:p>
    <w:p>
      <w:pPr>
        <w:adjustRightInd w:val="0"/>
        <w:snapToGrid w:val="0"/>
        <w:spacing w:beforeLines="0" w:afterLines="0" w:line="360" w:lineRule="auto"/>
        <w:ind w:firstLine="640" w:firstLineChars="200"/>
        <w:rPr>
          <w:rFonts w:hint="eastAsia" w:eastAsia="仿宋_GB2312"/>
          <w:color w:val="auto"/>
          <w:sz w:val="32"/>
        </w:rPr>
      </w:pPr>
      <w:r>
        <w:rPr>
          <w:rFonts w:hint="eastAsia" w:ascii="仿宋_GB2312" w:eastAsia="仿宋_GB2312"/>
          <w:sz w:val="32"/>
          <w:lang w:val="zh-CN"/>
        </w:rPr>
        <w:t>资金使用：该项目资金使用拨付，项目实施符合财务管理制度。事前</w:t>
      </w:r>
      <w:r>
        <w:rPr>
          <w:rFonts w:hint="eastAsia" w:eastAsia="仿宋_GB2312"/>
          <w:sz w:val="32"/>
          <w:lang w:val="zh-CN"/>
        </w:rPr>
        <w:t>严格审核项目实施可行性与合理性，</w:t>
      </w:r>
      <w:r>
        <w:rPr>
          <w:rFonts w:hint="eastAsia" w:ascii="仿宋_GB2312" w:eastAsia="仿宋_GB2312"/>
          <w:sz w:val="32"/>
          <w:lang w:val="zh-CN"/>
        </w:rPr>
        <w:t>按照案件执行过程中预计发生的各项必要开支，由执行局申报报销，并由其分管院领导审批，行装处严格把关费用审核，严控不必要支出</w:t>
      </w:r>
      <w:r>
        <w:rPr>
          <w:rFonts w:hint="eastAsia" w:eastAsia="仿宋_GB2312"/>
          <w:sz w:val="32"/>
          <w:lang w:val="zh-CN"/>
        </w:rPr>
        <w:t>，及时进行会计核算，院督察室定期对项目经费使用效益进行监督。行装处严格审核项目报销凭证，加快专项资金支付，及时进行会计核算。故该项评分为</w:t>
      </w:r>
      <w:r>
        <w:rPr>
          <w:rFonts w:hint="eastAsia" w:eastAsia="仿宋_GB2312"/>
          <w:sz w:val="32"/>
        </w:rPr>
        <w:t>3分。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项目结果评分为9分。</w:t>
      </w:r>
    </w:p>
    <w:p>
      <w:pPr>
        <w:numPr>
          <w:numId w:val="0"/>
        </w:numPr>
        <w:adjustRightInd w:val="0"/>
        <w:snapToGrid w:val="0"/>
        <w:spacing w:beforeLines="0" w:afterLines="0" w:line="360" w:lineRule="auto"/>
        <w:ind w:firstLine="640"/>
        <w:rPr>
          <w:rFonts w:hint="eastAsia" w:eastAsia="仿宋_GB2312"/>
          <w:color w:val="auto"/>
          <w:sz w:val="32"/>
        </w:rPr>
      </w:pPr>
      <w:r>
        <w:rPr>
          <w:rFonts w:hint="eastAsia" w:eastAsia="仿宋_GB2312"/>
          <w:color w:val="auto"/>
          <w:sz w:val="32"/>
        </w:rPr>
        <w:t>目标完成：该项目已100%完成预算支出，较好地保障了</w:t>
      </w:r>
      <w:r>
        <w:rPr>
          <w:rFonts w:hint="eastAsia" w:eastAsia="仿宋_GB2312"/>
          <w:sz w:val="32"/>
        </w:rPr>
        <w:t>案件执行业务中各项必要费用的开支，最大限度保障了执行申请人的合法权益，</w:t>
      </w:r>
      <w:r>
        <w:rPr>
          <w:rFonts w:hint="eastAsia" w:eastAsia="仿宋_GB2312"/>
          <w:color w:val="auto"/>
          <w:sz w:val="32"/>
        </w:rPr>
        <w:t>顺利达成此项目设置的绩效目标，评分为6分。</w:t>
      </w:r>
    </w:p>
    <w:p>
      <w:pPr>
        <w:numPr>
          <w:numId w:val="0"/>
        </w:numPr>
        <w:adjustRightInd w:val="0"/>
        <w:snapToGrid w:val="0"/>
        <w:spacing w:beforeLines="0" w:afterLines="0" w:line="360" w:lineRule="auto"/>
        <w:ind w:firstLine="640"/>
        <w:rPr>
          <w:rFonts w:hint="eastAsia" w:eastAsia="仿宋_GB2312"/>
          <w:color w:val="auto"/>
          <w:sz w:val="32"/>
        </w:rPr>
      </w:pPr>
      <w:r>
        <w:rPr>
          <w:rFonts w:hint="eastAsia" w:eastAsia="仿宋_GB2312"/>
          <w:sz w:val="32"/>
        </w:rPr>
        <w:t>完成时效：该项目于2024年12月31日前审结完成666件执行案件，完成资金拨付，评分为3分。</w:t>
      </w:r>
    </w:p>
    <w:p>
      <w:pPr>
        <w:spacing w:beforeLines="0" w:afterLines="0" w:line="360" w:lineRule="auto"/>
        <w:rPr>
          <w:rFonts w:hint="eastAsia" w:ascii="楷体_GB2312" w:hAnsi="楷体_GB2312" w:eastAsia="楷体_GB2312"/>
          <w:color w:val="auto"/>
          <w:sz w:val="32"/>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（二）</w:t>
      </w:r>
      <w:r>
        <w:rPr>
          <w:rFonts w:hint="eastAsia" w:ascii="楷体_GB2312" w:hAnsi="宋体" w:eastAsia="楷体_GB2312"/>
          <w:b/>
          <w:color w:val="auto"/>
          <w:sz w:val="32"/>
        </w:rPr>
        <w:t>专用指标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30分</w:t>
      </w:r>
      <w:r>
        <w:rPr>
          <w:rFonts w:hint="eastAsia" w:eastAsia="楷体_GB2312"/>
          <w:b/>
          <w:color w:val="000000"/>
          <w:kern w:val="0"/>
          <w:sz w:val="32"/>
          <w:shd w:val="clear" w:color="auto" w:fill="FFFFFF"/>
          <w:lang w:val="zh-CN"/>
        </w:rPr>
        <w:t>。</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1.产业发展。</w:t>
      </w:r>
      <w:r>
        <w:rPr>
          <w:rFonts w:hint="eastAsia" w:eastAsia="仿宋_GB2312"/>
          <w:color w:val="auto"/>
          <w:sz w:val="32"/>
        </w:rPr>
        <w:t xml:space="preserve">不涉及。 </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2.</w:t>
      </w:r>
      <w:r>
        <w:rPr>
          <w:rFonts w:hint="eastAsia" w:ascii="楷体_GB2312" w:hAnsi="楷体_GB2312" w:eastAsia="楷体_GB2312"/>
          <w:color w:val="auto"/>
          <w:sz w:val="32"/>
          <w:lang w:val="zh-CN"/>
        </w:rPr>
        <w:t>民生保障。</w:t>
      </w:r>
      <w:r>
        <w:rPr>
          <w:rFonts w:hint="eastAsia" w:eastAsia="仿宋_GB2312"/>
          <w:color w:val="auto"/>
          <w:sz w:val="32"/>
          <w:lang w:val="zh-CN"/>
        </w:rPr>
        <w:t>保障了执行业务工作的顺利推进，促进案件执行的高质量推进，保障了执行申请人合法权益，维护了社会和谐稳定</w:t>
      </w:r>
      <w:r>
        <w:rPr>
          <w:rFonts w:hint="eastAsia" w:eastAsia="仿宋_GB2312"/>
          <w:color w:val="auto"/>
          <w:sz w:val="32"/>
        </w:rPr>
        <w:t>。该项评分为15分。</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3.基础设施。</w:t>
      </w:r>
      <w:r>
        <w:rPr>
          <w:rFonts w:hint="eastAsia" w:eastAsia="仿宋_GB2312"/>
          <w:color w:val="auto"/>
          <w:sz w:val="32"/>
        </w:rPr>
        <w:t>不涉及。</w:t>
      </w:r>
    </w:p>
    <w:p>
      <w:pPr>
        <w:spacing w:beforeLines="0" w:afterLines="0" w:line="360" w:lineRule="auto"/>
        <w:ind w:firstLine="640" w:firstLineChars="200"/>
        <w:rPr>
          <w:rFonts w:hint="eastAsia" w:ascii="楷体_GB2312" w:hAnsi="楷体_GB2312" w:eastAsia="楷体_GB2312"/>
          <w:color w:val="auto"/>
          <w:sz w:val="32"/>
          <w:lang w:val="zh-CN"/>
        </w:rPr>
      </w:pPr>
      <w:r>
        <w:rPr>
          <w:rFonts w:hint="eastAsia" w:ascii="楷体_GB2312" w:hAnsi="楷体_GB2312" w:eastAsia="楷体_GB2312"/>
          <w:color w:val="auto"/>
          <w:sz w:val="32"/>
        </w:rPr>
        <w:t>4.</w:t>
      </w:r>
      <w:r>
        <w:rPr>
          <w:rFonts w:hint="eastAsia" w:ascii="楷体_GB2312" w:hAnsi="楷体_GB2312" w:eastAsia="楷体_GB2312"/>
          <w:color w:val="auto"/>
          <w:sz w:val="32"/>
          <w:lang w:val="zh-CN"/>
        </w:rPr>
        <w:t>行政运转。</w:t>
      </w:r>
      <w:r>
        <w:rPr>
          <w:rFonts w:hint="eastAsia" w:eastAsia="仿宋_GB2312"/>
          <w:sz w:val="32"/>
          <w:lang w:val="zh-CN"/>
        </w:rPr>
        <w:t>项目资金实行专款专用，用途符合案件执行专项资金各项开支范围、支出审批手续齐全，充分发挥法院司法职能，该项评分为</w:t>
      </w:r>
      <w:r>
        <w:rPr>
          <w:rFonts w:hint="eastAsia" w:eastAsia="仿宋_GB2312"/>
          <w:sz w:val="32"/>
        </w:rPr>
        <w:t>15分</w:t>
      </w:r>
      <w:r>
        <w:rPr>
          <w:rFonts w:hint="eastAsia" w:eastAsia="仿宋_GB2312"/>
          <w:sz w:val="32"/>
          <w:lang w:val="zh-CN"/>
        </w:rPr>
        <w:t>。</w:t>
      </w:r>
    </w:p>
    <w:p>
      <w:pPr>
        <w:numPr>
          <w:numId w:val="0"/>
        </w:numPr>
        <w:adjustRightInd w:val="0"/>
        <w:snapToGrid w:val="0"/>
        <w:spacing w:beforeLines="0" w:afterLines="0" w:line="360" w:lineRule="auto"/>
        <w:ind w:firstLine="643" w:firstLineChars="200"/>
        <w:rPr>
          <w:rFonts w:hint="eastAsia"/>
          <w:b/>
          <w:color w:val="000000"/>
          <w:kern w:val="0"/>
          <w:sz w:val="32"/>
          <w:shd w:val="clear" w:color="auto" w:fill="FFFFFF"/>
          <w:lang w:val="zh-CN"/>
        </w:rPr>
      </w:pPr>
      <w:r>
        <w:rPr>
          <w:rFonts w:hint="eastAsia" w:ascii="楷体_GB2312" w:hAnsi="宋体" w:eastAsia="楷体_GB2312"/>
          <w:b/>
          <w:color w:val="auto"/>
          <w:sz w:val="32"/>
          <w:lang w:val="zh-CN"/>
        </w:rPr>
        <w:t>（三）</w:t>
      </w:r>
      <w:r>
        <w:rPr>
          <w:rFonts w:hint="eastAsia" w:ascii="楷体_GB2312" w:hAnsi="宋体" w:eastAsia="楷体_GB2312"/>
          <w:b/>
          <w:color w:val="auto"/>
          <w:sz w:val="32"/>
        </w:rPr>
        <w:t>个性指标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16分</w:t>
      </w:r>
      <w:r>
        <w:rPr>
          <w:rFonts w:hint="eastAsia" w:eastAsia="楷体_GB2312"/>
          <w:b/>
          <w:color w:val="000000"/>
          <w:kern w:val="0"/>
          <w:sz w:val="32"/>
          <w:shd w:val="clear" w:color="auto" w:fill="FFFFFF"/>
          <w:lang w:val="zh-CN"/>
        </w:rPr>
        <w:t>。</w:t>
      </w:r>
    </w:p>
    <w:p>
      <w:pPr>
        <w:numPr>
          <w:numId w:val="0"/>
        </w:numPr>
        <w:adjustRightInd w:val="0"/>
        <w:snapToGrid w:val="0"/>
        <w:spacing w:beforeLines="0" w:afterLines="0" w:line="360" w:lineRule="auto"/>
        <w:ind w:firstLine="640" w:firstLineChars="200"/>
        <w:rPr>
          <w:rFonts w:hint="eastAsia"/>
          <w:sz w:val="32"/>
          <w:lang w:val="zh-CN"/>
        </w:rPr>
      </w:pPr>
      <w:r>
        <w:rPr>
          <w:rFonts w:hint="eastAsia" w:eastAsia="仿宋_GB2312"/>
          <w:sz w:val="32"/>
        </w:rPr>
        <w:t>年初设定的绩效目标中，质量指标接收比设置为≥97.5%，实际完成指标值为97.23%，其他指标均已达成，并取得良好的效果，个性指标评分为15分。</w:t>
      </w:r>
    </w:p>
    <w:tbl>
      <w:tblPr>
        <w:tblStyle w:val="25"/>
        <w:tblW w:w="9199"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5"/>
        <w:gridCol w:w="849"/>
        <w:gridCol w:w="1119"/>
        <w:gridCol w:w="1829"/>
        <w:gridCol w:w="792"/>
        <w:gridCol w:w="851"/>
        <w:gridCol w:w="844"/>
        <w:gridCol w:w="897"/>
        <w:gridCol w:w="612"/>
        <w:gridCol w:w="6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restart"/>
            <w:tcBorders>
              <w:top w:val="single" w:color="000000" w:sz="4" w:space="0"/>
              <w:left w:val="single" w:color="000000" w:sz="4" w:space="0"/>
              <w:bottom w:val="nil"/>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绩效指标（90分）</w:t>
            </w:r>
          </w:p>
        </w:tc>
        <w:tc>
          <w:tcPr>
            <w:tcW w:w="8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一级指标</w:t>
            </w:r>
          </w:p>
        </w:tc>
        <w:tc>
          <w:tcPr>
            <w:tcW w:w="111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二级指标</w:t>
            </w:r>
          </w:p>
        </w:tc>
        <w:tc>
          <w:tcPr>
            <w:tcW w:w="18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三级指标</w:t>
            </w:r>
          </w:p>
        </w:tc>
        <w:tc>
          <w:tcPr>
            <w:tcW w:w="79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指标性质</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指标值</w:t>
            </w:r>
          </w:p>
        </w:tc>
        <w:tc>
          <w:tcPr>
            <w:tcW w:w="84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度量单位</w:t>
            </w:r>
          </w:p>
        </w:tc>
        <w:tc>
          <w:tcPr>
            <w:tcW w:w="89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完成值</w:t>
            </w:r>
          </w:p>
        </w:tc>
        <w:tc>
          <w:tcPr>
            <w:tcW w:w="61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权重</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2" w:hRule="atLeast"/>
          <w:jc w:val="center"/>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49" w:type="dxa"/>
            <w:vMerge w:val="restart"/>
            <w:tcBorders>
              <w:top w:val="single" w:color="000000" w:sz="4" w:space="0"/>
              <w:left w:val="single" w:color="000000" w:sz="4" w:space="0"/>
              <w:bottom w:val="nil"/>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产出指标</w:t>
            </w:r>
          </w:p>
        </w:tc>
        <w:tc>
          <w:tcPr>
            <w:tcW w:w="111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数量指标</w:t>
            </w:r>
          </w:p>
        </w:tc>
        <w:tc>
          <w:tcPr>
            <w:tcW w:w="18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年度内受理执行案件数量</w:t>
            </w:r>
          </w:p>
        </w:tc>
        <w:tc>
          <w:tcPr>
            <w:tcW w:w="79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250</w:t>
            </w:r>
          </w:p>
        </w:tc>
        <w:tc>
          <w:tcPr>
            <w:tcW w:w="84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件</w:t>
            </w:r>
          </w:p>
        </w:tc>
        <w:tc>
          <w:tcPr>
            <w:tcW w:w="89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685</w:t>
            </w:r>
          </w:p>
        </w:tc>
        <w:tc>
          <w:tcPr>
            <w:tcW w:w="61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10</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49"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119" w:type="dxa"/>
            <w:vMerge w:val="restart"/>
            <w:tcBorders>
              <w:top w:val="single" w:color="000000" w:sz="4" w:space="0"/>
              <w:left w:val="single" w:color="000000" w:sz="4" w:space="0"/>
              <w:bottom w:val="nil"/>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质量指标</w:t>
            </w:r>
          </w:p>
        </w:tc>
        <w:tc>
          <w:tcPr>
            <w:tcW w:w="18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结收比</w:t>
            </w:r>
          </w:p>
        </w:tc>
        <w:tc>
          <w:tcPr>
            <w:tcW w:w="79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97.5</w:t>
            </w:r>
          </w:p>
        </w:tc>
        <w:tc>
          <w:tcPr>
            <w:tcW w:w="84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9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97.23</w:t>
            </w:r>
          </w:p>
        </w:tc>
        <w:tc>
          <w:tcPr>
            <w:tcW w:w="61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10</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49"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119" w:type="dxa"/>
            <w:vMerge w:val="continue"/>
            <w:tcBorders>
              <w:top w:val="nil"/>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8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执行完毕率</w:t>
            </w:r>
          </w:p>
        </w:tc>
        <w:tc>
          <w:tcPr>
            <w:tcW w:w="79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28</w:t>
            </w:r>
          </w:p>
        </w:tc>
        <w:tc>
          <w:tcPr>
            <w:tcW w:w="84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9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37.49</w:t>
            </w:r>
          </w:p>
        </w:tc>
        <w:tc>
          <w:tcPr>
            <w:tcW w:w="61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10</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49"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119" w:type="dxa"/>
            <w:vMerge w:val="restart"/>
            <w:tcBorders>
              <w:top w:val="single" w:color="000000" w:sz="4" w:space="0"/>
              <w:left w:val="single" w:color="000000" w:sz="4" w:space="0"/>
              <w:bottom w:val="nil"/>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时效指标</w:t>
            </w:r>
          </w:p>
        </w:tc>
        <w:tc>
          <w:tcPr>
            <w:tcW w:w="18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平均结案时间</w:t>
            </w:r>
          </w:p>
        </w:tc>
        <w:tc>
          <w:tcPr>
            <w:tcW w:w="79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82</w:t>
            </w:r>
          </w:p>
        </w:tc>
        <w:tc>
          <w:tcPr>
            <w:tcW w:w="84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天</w:t>
            </w:r>
          </w:p>
        </w:tc>
        <w:tc>
          <w:tcPr>
            <w:tcW w:w="89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59.64</w:t>
            </w:r>
          </w:p>
        </w:tc>
        <w:tc>
          <w:tcPr>
            <w:tcW w:w="61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5</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10" w:hRule="atLeast"/>
          <w:jc w:val="center"/>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49" w:type="dxa"/>
            <w:vMerge w:val="continue"/>
            <w:tcBorders>
              <w:top w:val="nil"/>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119" w:type="dxa"/>
            <w:vMerge w:val="continue"/>
            <w:tcBorders>
              <w:top w:val="nil"/>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8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项目完成时限</w:t>
            </w:r>
          </w:p>
        </w:tc>
        <w:tc>
          <w:tcPr>
            <w:tcW w:w="79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w:t>
            </w:r>
          </w:p>
        </w:tc>
        <w:tc>
          <w:tcPr>
            <w:tcW w:w="84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年</w:t>
            </w:r>
          </w:p>
        </w:tc>
        <w:tc>
          <w:tcPr>
            <w:tcW w:w="89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w:t>
            </w:r>
          </w:p>
        </w:tc>
        <w:tc>
          <w:tcPr>
            <w:tcW w:w="61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5</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效益指标</w:t>
            </w:r>
          </w:p>
        </w:tc>
        <w:tc>
          <w:tcPr>
            <w:tcW w:w="111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社会效益指标</w:t>
            </w:r>
          </w:p>
        </w:tc>
        <w:tc>
          <w:tcPr>
            <w:tcW w:w="18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通过列入失信、黑名单等执行方式，惩戒失信人员，挽回当事人经济损失，维护当事人合法权益，促进社会公平正义，营造风清气正的良好生态环境。</w:t>
            </w:r>
          </w:p>
        </w:tc>
        <w:tc>
          <w:tcPr>
            <w:tcW w:w="79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84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89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优</w:t>
            </w:r>
          </w:p>
        </w:tc>
        <w:tc>
          <w:tcPr>
            <w:tcW w:w="61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10</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nil"/>
              <w:left w:val="single" w:color="000000" w:sz="4" w:space="0"/>
              <w:bottom w:val="single" w:color="auto"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49"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11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可持续发展指标</w:t>
            </w:r>
          </w:p>
        </w:tc>
        <w:tc>
          <w:tcPr>
            <w:tcW w:w="18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保障我院案件执行业务所需各项经费，提升案件执行效率，维护当事人合法权益。</w:t>
            </w:r>
          </w:p>
        </w:tc>
        <w:tc>
          <w:tcPr>
            <w:tcW w:w="79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84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89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优</w:t>
            </w:r>
          </w:p>
        </w:tc>
        <w:tc>
          <w:tcPr>
            <w:tcW w:w="61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auto" w:sz="4" w:space="0"/>
              <w:left w:val="single" w:color="000000" w:sz="4" w:space="0"/>
              <w:bottom w:val="single" w:color="auto"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满意度指标</w:t>
            </w:r>
          </w:p>
        </w:tc>
        <w:tc>
          <w:tcPr>
            <w:tcW w:w="111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服务对象满意度指标</w:t>
            </w:r>
          </w:p>
        </w:tc>
        <w:tc>
          <w:tcPr>
            <w:tcW w:w="18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当事人对执行工作满意度</w:t>
            </w:r>
          </w:p>
        </w:tc>
        <w:tc>
          <w:tcPr>
            <w:tcW w:w="79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80</w:t>
            </w:r>
          </w:p>
        </w:tc>
        <w:tc>
          <w:tcPr>
            <w:tcW w:w="84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9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80</w:t>
            </w:r>
          </w:p>
        </w:tc>
        <w:tc>
          <w:tcPr>
            <w:tcW w:w="61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auto" w:sz="4" w:space="0"/>
              <w:left w:val="single" w:color="000000" w:sz="4" w:space="0"/>
              <w:bottom w:val="single" w:color="auto"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成本指标</w:t>
            </w:r>
          </w:p>
        </w:tc>
        <w:tc>
          <w:tcPr>
            <w:tcW w:w="111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经济成本指标</w:t>
            </w:r>
          </w:p>
        </w:tc>
        <w:tc>
          <w:tcPr>
            <w:tcW w:w="18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项目总成本</w:t>
            </w:r>
          </w:p>
        </w:tc>
        <w:tc>
          <w:tcPr>
            <w:tcW w:w="79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75</w:t>
            </w:r>
          </w:p>
        </w:tc>
        <w:tc>
          <w:tcPr>
            <w:tcW w:w="84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万元</w:t>
            </w:r>
          </w:p>
        </w:tc>
        <w:tc>
          <w:tcPr>
            <w:tcW w:w="89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75</w:t>
            </w:r>
          </w:p>
        </w:tc>
        <w:tc>
          <w:tcPr>
            <w:tcW w:w="61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20</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20</w:t>
            </w:r>
          </w:p>
        </w:tc>
      </w:tr>
    </w:tbl>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rPr>
      </w:pPr>
      <w:r>
        <w:rPr>
          <w:rFonts w:hint="eastAsia" w:ascii="黑体" w:hAnsi="宋体" w:eastAsia="黑体"/>
          <w:b/>
          <w:color w:val="auto"/>
          <w:sz w:val="32"/>
          <w:lang w:eastAsia="zh-CN"/>
        </w:rPr>
        <w:t>四</w:t>
      </w:r>
      <w:r>
        <w:rPr>
          <w:rFonts w:hint="eastAsia" w:ascii="黑体" w:hAnsi="宋体" w:eastAsia="黑体"/>
          <w:b/>
          <w:color w:val="auto"/>
          <w:sz w:val="32"/>
        </w:rPr>
        <w:t>、评价结论</w:t>
      </w:r>
    </w:p>
    <w:p>
      <w:pPr>
        <w:keepLines/>
        <w:numPr>
          <w:numId w:val="0"/>
        </w:numPr>
        <w:adjustRightInd w:val="0"/>
        <w:snapToGrid w:val="0"/>
        <w:spacing w:beforeLines="0" w:afterLines="0" w:line="360" w:lineRule="auto"/>
        <w:ind w:firstLine="642"/>
        <w:rPr>
          <w:rFonts w:hint="eastAsia" w:eastAsia="仿宋_GB2312"/>
          <w:sz w:val="32"/>
        </w:rPr>
      </w:pPr>
      <w:r>
        <w:rPr>
          <w:rFonts w:hint="eastAsia" w:eastAsia="仿宋_GB2312"/>
          <w:sz w:val="32"/>
        </w:rPr>
        <w:t>该项目自评得分为99分。该项目决策符合国家政策方针，项目预算执行进度推进有力，项目监督管控及时有效，项目资金支付合理合规。</w:t>
      </w:r>
      <w:r>
        <w:rPr>
          <w:rFonts w:hint="eastAsia" w:eastAsia="仿宋_GB2312"/>
          <w:sz w:val="32"/>
          <w:lang w:val="zh-CN"/>
        </w:rPr>
        <w:t>通过项目的实施，受理了</w:t>
      </w:r>
      <w:r>
        <w:rPr>
          <w:rFonts w:hint="eastAsia" w:eastAsia="仿宋_GB2312"/>
          <w:sz w:val="32"/>
        </w:rPr>
        <w:t>685</w:t>
      </w:r>
      <w:r>
        <w:rPr>
          <w:rFonts w:hint="eastAsia" w:eastAsia="仿宋_GB2312"/>
          <w:sz w:val="32"/>
          <w:lang w:val="zh-CN"/>
        </w:rPr>
        <w:t>件执行案件，完成</w:t>
      </w:r>
      <w:r>
        <w:rPr>
          <w:rFonts w:hint="eastAsia" w:eastAsia="仿宋_GB2312"/>
          <w:sz w:val="32"/>
        </w:rPr>
        <w:t>666</w:t>
      </w:r>
      <w:r>
        <w:rPr>
          <w:rFonts w:hint="eastAsia" w:eastAsia="仿宋_GB2312"/>
          <w:sz w:val="32"/>
          <w:lang w:val="zh-CN"/>
        </w:rPr>
        <w:t>件执行案件结案，结案率达</w:t>
      </w:r>
      <w:r>
        <w:rPr>
          <w:rFonts w:hint="eastAsia" w:eastAsia="仿宋_GB2312"/>
          <w:sz w:val="32"/>
        </w:rPr>
        <w:t>97.23</w:t>
      </w:r>
      <w:r>
        <w:rPr>
          <w:rFonts w:hint="eastAsia" w:eastAsia="仿宋_GB2312"/>
          <w:sz w:val="32"/>
          <w:lang w:val="zh-CN"/>
        </w:rPr>
        <w:t>%，挽回当事人经济损失，保障当事人合法权益，营造风清气正的司法环境。</w:t>
      </w: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eastAsia="zh-CN"/>
        </w:rPr>
      </w:pPr>
      <w:r>
        <w:rPr>
          <w:rFonts w:hint="eastAsia" w:ascii="黑体" w:hAnsi="宋体" w:eastAsia="黑体"/>
          <w:b/>
          <w:color w:val="auto"/>
          <w:sz w:val="32"/>
          <w:lang w:eastAsia="zh-CN"/>
        </w:rPr>
        <w:t>五、存在主要问题</w:t>
      </w:r>
    </w:p>
    <w:p>
      <w:pPr>
        <w:pStyle w:val="8"/>
        <w:numPr>
          <w:numId w:val="0"/>
        </w:numPr>
        <w:tabs>
          <w:tab w:val="left" w:pos="2160"/>
        </w:tabs>
        <w:spacing w:beforeLines="0" w:afterLines="0" w:line="360" w:lineRule="auto"/>
        <w:ind w:firstLine="640" w:firstLineChars="200"/>
        <w:rPr>
          <w:rFonts w:hint="eastAsia" w:ascii="黑体" w:hAnsi="黑体" w:eastAsia="黑体"/>
          <w:kern w:val="2"/>
          <w:sz w:val="32"/>
          <w:lang w:eastAsia="zh-CN"/>
        </w:rPr>
      </w:pPr>
      <w:r>
        <w:rPr>
          <w:rFonts w:hint="eastAsia" w:ascii="仿宋_GB2312" w:hAnsi="仿宋_GB2312" w:eastAsia="仿宋_GB2312"/>
          <w:sz w:val="32"/>
          <w:lang w:eastAsia="zh-CN"/>
        </w:rPr>
        <w:t>无。</w:t>
      </w: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val="zh-CN" w:eastAsia="zh-CN"/>
        </w:rPr>
      </w:pPr>
      <w:r>
        <w:rPr>
          <w:rFonts w:hint="eastAsia" w:ascii="黑体" w:hAnsi="宋体" w:eastAsia="黑体"/>
          <w:b/>
          <w:color w:val="auto"/>
          <w:sz w:val="32"/>
          <w:lang w:val="zh-CN" w:eastAsia="zh-CN"/>
        </w:rPr>
        <w:t>六、改进建议</w:t>
      </w:r>
    </w:p>
    <w:p>
      <w:pPr>
        <w:pStyle w:val="34"/>
        <w:widowControl/>
        <w:spacing w:before="0" w:beforeLines="0" w:after="0" w:afterLines="0" w:line="360" w:lineRule="auto"/>
        <w:ind w:firstLine="640" w:firstLineChars="200"/>
        <w:rPr>
          <w:rFonts w:hint="default" w:eastAsia="仿宋_GB2312"/>
          <w:sz w:val="32"/>
        </w:rPr>
      </w:pPr>
      <w:r>
        <w:rPr>
          <w:rFonts w:hint="eastAsia" w:ascii="仿宋_GB2312" w:hAnsi="仿宋_GB2312" w:eastAsia="仿宋_GB2312"/>
          <w:b w:val="0"/>
          <w:kern w:val="0"/>
          <w:sz w:val="32"/>
        </w:rPr>
        <w:t>无。</w:t>
      </w:r>
    </w:p>
    <w:p>
      <w:pPr>
        <w:pStyle w:val="36"/>
        <w:spacing w:beforeLines="0" w:afterLines="0"/>
        <w:ind w:firstLine="883" w:firstLineChars="20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四川省广元市中级人民法院</w:t>
      </w:r>
    </w:p>
    <w:p>
      <w:pPr>
        <w:pStyle w:val="36"/>
        <w:spacing w:beforeLines="0" w:afterLines="0"/>
        <w:ind w:firstLine="883" w:firstLineChars="20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2024年法警法定工作日之外加班补贴</w:t>
      </w:r>
    </w:p>
    <w:p>
      <w:pPr>
        <w:pStyle w:val="36"/>
        <w:spacing w:beforeLines="0" w:afterLines="0"/>
        <w:ind w:firstLine="883" w:firstLineChars="200"/>
        <w:jc w:val="center"/>
        <w:rPr>
          <w:rFonts w:hint="eastAsia" w:ascii="宋体" w:hAnsi="宋体"/>
          <w:color w:val="auto"/>
          <w:kern w:val="2"/>
          <w:sz w:val="32"/>
        </w:rPr>
      </w:pPr>
      <w:r>
        <w:rPr>
          <w:rFonts w:hint="eastAsia" w:ascii="黑体" w:hAnsi="黑体" w:eastAsia="黑体"/>
          <w:b/>
          <w:color w:val="auto"/>
          <w:kern w:val="2"/>
          <w:sz w:val="44"/>
          <w:lang w:val="en-US"/>
        </w:rPr>
        <w:t>预算项目支出绩效评价报告</w:t>
      </w:r>
    </w:p>
    <w:p>
      <w:pPr>
        <w:adjustRightInd w:val="0"/>
        <w:snapToGrid w:val="0"/>
        <w:spacing w:beforeLines="0" w:afterLines="0" w:line="360" w:lineRule="auto"/>
        <w:ind w:firstLine="643" w:firstLineChars="200"/>
        <w:rPr>
          <w:rFonts w:hint="eastAsia" w:ascii="黑体" w:hAnsi="宋体" w:eastAsia="黑体"/>
          <w:b/>
          <w:sz w:val="32"/>
          <w:lang w:val="zh-CN"/>
        </w:rPr>
      </w:pPr>
      <w:r>
        <w:rPr>
          <w:rFonts w:hint="eastAsia" w:ascii="黑体" w:hAnsi="宋体" w:eastAsia="黑体"/>
          <w:b/>
          <w:sz w:val="32"/>
        </w:rPr>
        <w:t>一、</w:t>
      </w:r>
      <w:r>
        <w:rPr>
          <w:rFonts w:hint="eastAsia" w:ascii="黑体" w:hAnsi="宋体" w:eastAsia="黑体"/>
          <w:b/>
          <w:sz w:val="32"/>
          <w:lang w:val="zh-CN"/>
        </w:rPr>
        <w:t>项目概况</w:t>
      </w:r>
    </w:p>
    <w:p>
      <w:pPr>
        <w:widowControl/>
        <w:numPr>
          <w:numId w:val="0"/>
        </w:numPr>
        <w:adjustRightInd w:val="0"/>
        <w:snapToGrid w:val="0"/>
        <w:spacing w:beforeLines="0" w:afterLines="0" w:line="360" w:lineRule="auto"/>
        <w:ind w:firstLine="643" w:firstLineChars="200"/>
        <w:jc w:val="left"/>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（一）设立背景及基本情况。</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广元市</w:t>
      </w:r>
      <w:r>
        <w:rPr>
          <w:rFonts w:hint="eastAsia" w:eastAsia="仿宋_GB2312"/>
          <w:sz w:val="32"/>
        </w:rPr>
        <w:t>中级人民法院是独立核算的一级预算部门，</w:t>
      </w:r>
      <w:r>
        <w:rPr>
          <w:rFonts w:hint="eastAsia" w:eastAsia="仿宋_GB2312"/>
          <w:sz w:val="32"/>
          <w:lang w:val="zh-CN"/>
        </w:rPr>
        <w:t>负责法院法警法定工作日之外加班补贴项目年初预算的编制和绩效目标的设置，确保项目预算的科学性、合理性、可行性。负责推进项目执行以及项目实施过程管理，包括项目进度监控、成本控制、风险预警、资金支付、财务核算等。项目完成后的决算编审、绩效目标考核和项目自评，以及其他与项目相关工作。</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rPr>
        <w:t>我院现有法警11人，加班费按照每人每月不超过710元的发放标准，申报2024年</w:t>
      </w:r>
      <w:r>
        <w:rPr>
          <w:rFonts w:hint="eastAsia" w:eastAsia="仿宋_GB2312"/>
          <w:sz w:val="32"/>
          <w:lang w:val="zh-CN"/>
        </w:rPr>
        <w:t>法警法定工作日之外加班补贴项目资金</w:t>
      </w:r>
      <w:r>
        <w:rPr>
          <w:rFonts w:hint="eastAsia" w:eastAsia="仿宋_GB2312"/>
          <w:sz w:val="32"/>
        </w:rPr>
        <w:t>9.37万元。</w:t>
      </w:r>
    </w:p>
    <w:p>
      <w:pPr>
        <w:numPr>
          <w:numId w:val="0"/>
        </w:numPr>
        <w:adjustRightInd w:val="0"/>
        <w:snapToGrid w:val="0"/>
        <w:spacing w:beforeLines="0" w:afterLines="0" w:line="360" w:lineRule="auto"/>
        <w:rPr>
          <w:rFonts w:hint="eastAsia" w:ascii="楷体_GB2312" w:hAnsi="宋体" w:eastAsia="楷体_GB2312"/>
          <w:b/>
          <w:color w:val="auto"/>
          <w:sz w:val="32"/>
        </w:rPr>
      </w:pPr>
      <w:r>
        <w:rPr>
          <w:rFonts w:hint="eastAsia" w:ascii="楷体_GB2312" w:hAnsi="宋体" w:eastAsia="楷体_GB2312"/>
          <w:b/>
          <w:color w:val="auto"/>
          <w:sz w:val="32"/>
          <w:lang w:val="en-US" w:eastAsia="zh-CN"/>
        </w:rPr>
        <w:t xml:space="preserve">     （二）</w:t>
      </w:r>
      <w:r>
        <w:rPr>
          <w:rFonts w:hint="eastAsia" w:ascii="楷体_GB2312" w:hAnsi="宋体" w:eastAsia="楷体_GB2312"/>
          <w:b/>
          <w:color w:val="auto"/>
          <w:sz w:val="32"/>
        </w:rPr>
        <w:t>实施目的及支持方向。</w:t>
      </w:r>
    </w:p>
    <w:p>
      <w:pPr>
        <w:adjustRightInd w:val="0"/>
        <w:snapToGrid w:val="0"/>
        <w:spacing w:beforeLines="0" w:afterLines="0" w:line="360" w:lineRule="auto"/>
        <w:ind w:firstLine="640" w:firstLineChars="200"/>
        <w:rPr>
          <w:rFonts w:hint="eastAsia"/>
          <w:sz w:val="32"/>
          <w:lang w:val="zh-CN"/>
        </w:rPr>
      </w:pPr>
      <w:r>
        <w:rPr>
          <w:rFonts w:hint="eastAsia" w:ascii="仿宋_GB2312" w:hAnsi="仿宋_GB2312" w:eastAsia="仿宋_GB2312"/>
          <w:color w:val="auto"/>
          <w:kern w:val="0"/>
          <w:sz w:val="32"/>
          <w:shd w:val="clear" w:color="auto" w:fill="FFFFFF"/>
        </w:rPr>
        <w:t xml:space="preserve"> </w:t>
      </w:r>
      <w:r>
        <w:rPr>
          <w:rFonts w:hint="eastAsia" w:eastAsia="仿宋_GB2312"/>
          <w:sz w:val="32"/>
          <w:lang w:val="zh-CN"/>
        </w:rPr>
        <w:t>法警法定工作日之外加班补贴项目预算编制立足本单位实有法警人数及加班费发放要求和标准，绩效目标和项目指标编制科学、合理。</w:t>
      </w:r>
    </w:p>
    <w:p>
      <w:pPr>
        <w:adjustRightInd w:val="0"/>
        <w:snapToGrid w:val="0"/>
        <w:spacing w:beforeLines="0" w:afterLines="0" w:line="360" w:lineRule="auto"/>
        <w:ind w:firstLine="640" w:firstLineChars="200"/>
        <w:rPr>
          <w:rFonts w:hint="eastAsia" w:ascii="仿宋_GB2312" w:hAnsi="宋体" w:eastAsia="仿宋_GB2312"/>
          <w:sz w:val="32"/>
          <w:lang w:val="zh-CN"/>
        </w:rPr>
      </w:pPr>
      <w:r>
        <w:rPr>
          <w:rFonts w:hint="eastAsia" w:eastAsia="仿宋_GB2312"/>
          <w:sz w:val="32"/>
        </w:rPr>
        <w:t xml:space="preserve"> </w:t>
      </w:r>
      <w:r>
        <w:rPr>
          <w:rFonts w:hint="eastAsia" w:eastAsia="仿宋_GB2312"/>
          <w:sz w:val="32"/>
          <w:lang w:val="zh-CN"/>
        </w:rPr>
        <w:t>项目资金来源系财政全额拨款的一般公共预算资金，按照我院财务管理办法及专项资金管理细则，实行专款专用。项目的所有经费开支均经过项目责任人、财务负责人、分管院领导的审批签字，并在对应的科目进行专项核算。</w:t>
      </w:r>
    </w:p>
    <w:p>
      <w:pPr>
        <w:widowControl/>
        <w:numPr>
          <w:numId w:val="0"/>
        </w:numPr>
        <w:adjustRightInd w:val="0"/>
        <w:snapToGrid w:val="0"/>
        <w:spacing w:beforeLines="0" w:afterLines="0" w:line="360" w:lineRule="auto"/>
        <w:jc w:val="left"/>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（三）</w:t>
      </w:r>
      <w:r>
        <w:rPr>
          <w:rFonts w:hint="eastAsia" w:ascii="楷体_GB2312" w:hAnsi="宋体" w:eastAsia="楷体_GB2312"/>
          <w:b/>
          <w:color w:val="auto"/>
          <w:sz w:val="32"/>
        </w:rPr>
        <w:t>预算安排及分配管理</w:t>
      </w:r>
      <w:r>
        <w:rPr>
          <w:rFonts w:hint="eastAsia" w:ascii="楷体_GB2312" w:hAnsi="宋体" w:eastAsia="楷体_GB2312"/>
          <w:b/>
          <w:color w:val="auto"/>
          <w:sz w:val="32"/>
          <w:lang w:val="zh-CN"/>
        </w:rPr>
        <w:t>。</w:t>
      </w:r>
    </w:p>
    <w:p>
      <w:pPr>
        <w:adjustRightInd w:val="0"/>
        <w:snapToGrid w:val="0"/>
        <w:spacing w:beforeLines="0" w:afterLines="0" w:line="360" w:lineRule="auto"/>
        <w:ind w:firstLine="640" w:firstLineChars="200"/>
        <w:rPr>
          <w:rFonts w:hint="eastAsia" w:eastAsia="仿宋_GB2312"/>
          <w:sz w:val="32"/>
          <w:lang w:val="zh-CN"/>
        </w:rPr>
      </w:pPr>
      <w:r>
        <w:rPr>
          <w:rFonts w:hint="eastAsia" w:eastAsia="仿宋_GB2312"/>
          <w:sz w:val="32"/>
          <w:lang w:val="zh-CN"/>
        </w:rPr>
        <w:t>法警法定工作日之外加班补贴项目</w:t>
      </w:r>
      <w:r>
        <w:rPr>
          <w:rFonts w:hint="eastAsia" w:eastAsia="仿宋_GB2312"/>
          <w:sz w:val="32"/>
        </w:rPr>
        <w:t>报送人代会通过后批复</w:t>
      </w:r>
      <w:r>
        <w:rPr>
          <w:rFonts w:hint="eastAsia" w:ascii="仿宋_GB2312" w:hAnsi="仿宋_GB2312" w:eastAsia="仿宋_GB2312"/>
          <w:color w:val="auto"/>
          <w:kern w:val="0"/>
          <w:sz w:val="32"/>
          <w:shd w:val="clear" w:color="auto" w:fill="FFFFFF"/>
          <w:lang w:val="zh-CN"/>
        </w:rPr>
        <w:t>预算为一般</w:t>
      </w:r>
      <w:r>
        <w:rPr>
          <w:rFonts w:hint="eastAsia" w:eastAsia="仿宋_GB2312"/>
          <w:sz w:val="32"/>
          <w:lang w:val="zh-CN"/>
        </w:rPr>
        <w:t>公共预算资金</w:t>
      </w:r>
      <w:r>
        <w:rPr>
          <w:rFonts w:hint="eastAsia" w:eastAsia="仿宋_GB2312"/>
          <w:sz w:val="32"/>
        </w:rPr>
        <w:t>9.37万元，</w:t>
      </w:r>
      <w:r>
        <w:rPr>
          <w:rFonts w:hint="eastAsia" w:eastAsia="仿宋_GB2312"/>
          <w:sz w:val="32"/>
          <w:lang w:val="zh-CN"/>
        </w:rPr>
        <w:t>资金分配严格按照预算安排，法警法定工作日之外加班补贴项目资金分配严格按照预算安排，主要用于保障11名法警法定工作日之外加班福利，实现从优待警的工作目标。</w:t>
      </w:r>
    </w:p>
    <w:p>
      <w:pPr>
        <w:keepLines/>
        <w:numPr>
          <w:numId w:val="0"/>
        </w:numPr>
        <w:adjustRightInd w:val="0"/>
        <w:snapToGrid w:val="0"/>
        <w:spacing w:beforeLines="0" w:afterLines="0" w:line="360" w:lineRule="auto"/>
        <w:ind w:leftChars="200"/>
        <w:rPr>
          <w:rFonts w:hint="eastAsia" w:eastAsia="仿宋_GB2312"/>
          <w:sz w:val="32"/>
          <w:lang w:val="zh-CN"/>
        </w:rPr>
      </w:pPr>
      <w:r>
        <w:rPr>
          <w:rFonts w:hint="eastAsia" w:ascii="楷体_GB2312" w:hAnsi="宋体" w:eastAsia="楷体_GB2312"/>
          <w:b/>
          <w:color w:val="auto"/>
          <w:sz w:val="32"/>
          <w:lang w:val="zh-CN"/>
        </w:rPr>
        <w:t>（四）项目绩效目标设置。</w:t>
      </w:r>
    </w:p>
    <w:p>
      <w:pPr>
        <w:keepLines/>
        <w:numPr>
          <w:numId w:val="0"/>
        </w:numPr>
        <w:adjustRightInd w:val="0"/>
        <w:snapToGrid w:val="0"/>
        <w:spacing w:beforeLines="0" w:afterLines="0" w:line="360" w:lineRule="auto"/>
        <w:ind w:firstLine="642"/>
        <w:rPr>
          <w:rFonts w:hint="eastAsia" w:eastAsia="仿宋_GB2312"/>
          <w:sz w:val="32"/>
        </w:rPr>
      </w:pPr>
      <w:r>
        <w:rPr>
          <w:rFonts w:hint="eastAsia" w:eastAsia="仿宋_GB2312"/>
          <w:sz w:val="32"/>
          <w:lang w:val="zh-CN"/>
        </w:rPr>
        <w:t>202</w:t>
      </w:r>
      <w:r>
        <w:rPr>
          <w:rFonts w:hint="eastAsia" w:eastAsia="仿宋_GB2312"/>
          <w:sz w:val="32"/>
        </w:rPr>
        <w:t>4</w:t>
      </w:r>
      <w:r>
        <w:rPr>
          <w:rFonts w:hint="eastAsia" w:eastAsia="仿宋_GB2312"/>
          <w:sz w:val="32"/>
          <w:lang w:val="zh-CN"/>
        </w:rPr>
        <w:t>年法警法定工作日之外加班补贴项目资金用于保障11名法警法定工作日之外加班福利，提升法警工作积极性，为我院安保、庭审、羁押等工作提供安全保障</w:t>
      </w:r>
      <w:r>
        <w:rPr>
          <w:rFonts w:hint="eastAsia" w:eastAsia="仿宋_GB2312"/>
          <w:sz w:val="32"/>
        </w:rPr>
        <w:t>。</w:t>
      </w:r>
    </w:p>
    <w:p>
      <w:pPr>
        <w:keepLines/>
        <w:numPr>
          <w:numId w:val="0"/>
        </w:numPr>
        <w:adjustRightInd w:val="0"/>
        <w:snapToGrid w:val="0"/>
        <w:spacing w:beforeLines="0" w:afterLines="0" w:line="360" w:lineRule="auto"/>
        <w:ind w:firstLine="642"/>
        <w:rPr>
          <w:rFonts w:hint="eastAsia" w:eastAsia="仿宋_GB2312"/>
          <w:sz w:val="32"/>
        </w:rPr>
      </w:pPr>
      <w:r>
        <w:rPr>
          <w:rFonts w:hint="eastAsia" w:eastAsia="仿宋_GB2312"/>
          <w:sz w:val="32"/>
          <w:lang w:val="zh-CN"/>
        </w:rPr>
        <w:t>该项目预算执行情况自评权重为</w:t>
      </w:r>
      <w:r>
        <w:rPr>
          <w:rFonts w:hint="eastAsia" w:eastAsia="仿宋_GB2312"/>
          <w:sz w:val="32"/>
        </w:rPr>
        <w:t>10%，满分为10分，其余产出指标、效益指标、成本指标，满意度指标绩效目标设置权重为90%，具体明细见下表：</w:t>
      </w:r>
    </w:p>
    <w:tbl>
      <w:tblPr>
        <w:tblStyle w:val="25"/>
        <w:tblW w:w="9999" w:type="dxa"/>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4"/>
        <w:gridCol w:w="2052"/>
        <w:gridCol w:w="1775"/>
        <w:gridCol w:w="2264"/>
        <w:gridCol w:w="521"/>
        <w:gridCol w:w="1677"/>
        <w:gridCol w:w="521"/>
        <w:gridCol w:w="5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2" w:hRule="atLeast"/>
        </w:trPr>
        <w:tc>
          <w:tcPr>
            <w:tcW w:w="684" w:type="dxa"/>
            <w:vMerge w:val="restart"/>
            <w:tcBorders>
              <w:top w:val="single" w:color="000000" w:sz="6" w:space="0"/>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绩效指标</w:t>
            </w:r>
          </w:p>
        </w:tc>
        <w:tc>
          <w:tcPr>
            <w:tcW w:w="2052"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一级指标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二级指标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三级指标</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指标性质</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指标值</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度量单位</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 w:hRule="atLeast"/>
        </w:trPr>
        <w:tc>
          <w:tcPr>
            <w:tcW w:w="684" w:type="dxa"/>
            <w:vMerge w:val="continue"/>
            <w:tcBorders>
              <w:top w:val="nil"/>
              <w:left w:val="single" w:color="000000" w:sz="6" w:space="0"/>
              <w:bottom w:val="nil"/>
              <w:right w:val="single" w:color="auto" w:sz="4"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restart"/>
            <w:tcBorders>
              <w:top w:val="single" w:color="000000" w:sz="6" w:space="0"/>
              <w:left w:val="single" w:color="auto" w:sz="4"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产出指标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数量指标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发放补贴人数</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11</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人</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 w:hRule="atLeast"/>
        </w:trPr>
        <w:tc>
          <w:tcPr>
            <w:tcW w:w="684" w:type="dxa"/>
            <w:vMerge w:val="continue"/>
            <w:tcBorders>
              <w:top w:val="nil"/>
              <w:left w:val="single" w:color="000000" w:sz="6" w:space="0"/>
              <w:bottom w:val="nil"/>
              <w:right w:val="single" w:color="auto" w:sz="4"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continue"/>
            <w:tcBorders>
              <w:top w:val="nil"/>
              <w:left w:val="single" w:color="auto" w:sz="4"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 xml:space="preserve">     质量指标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加班补贴发放及时率</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100</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 w:hRule="atLeast"/>
        </w:trPr>
        <w:tc>
          <w:tcPr>
            <w:tcW w:w="684" w:type="dxa"/>
            <w:vMerge w:val="continue"/>
            <w:tcBorders>
              <w:top w:val="nil"/>
              <w:left w:val="single" w:color="000000" w:sz="6" w:space="0"/>
              <w:bottom w:val="single" w:color="auto" w:sz="4" w:space="0"/>
              <w:right w:val="single" w:color="auto" w:sz="4"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continue"/>
            <w:tcBorders>
              <w:top w:val="nil"/>
              <w:left w:val="single" w:color="auto" w:sz="4"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时效指标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项目完成时限</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年</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4" w:hRule="atLeast"/>
        </w:trPr>
        <w:tc>
          <w:tcPr>
            <w:tcW w:w="684" w:type="dxa"/>
            <w:vMerge w:val="continue"/>
            <w:tcBorders>
              <w:top w:val="single" w:color="auto" w:sz="4" w:space="0"/>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restart"/>
            <w:tcBorders>
              <w:top w:val="single" w:color="000000" w:sz="6" w:space="0"/>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效益指标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社会效益指标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辅助案件审判及执行工作更好的开展，为我院安保、庭审、羁押等工作提供安全保障。</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定性</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优</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级</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4" w:hRule="atLeast"/>
        </w:trPr>
        <w:tc>
          <w:tcPr>
            <w:tcW w:w="684" w:type="dxa"/>
            <w:vMerge w:val="continue"/>
            <w:tcBorders>
              <w:top w:val="nil"/>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continue"/>
            <w:tcBorders>
              <w:top w:val="nil"/>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可持续影响指标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保障我院法警工作日之外的加班福利，提升法警工作积极性，维护我院正常办公办案秩序。</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定性</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优</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级</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2" w:hRule="atLeast"/>
        </w:trPr>
        <w:tc>
          <w:tcPr>
            <w:tcW w:w="684" w:type="dxa"/>
            <w:vMerge w:val="continue"/>
            <w:tcBorders>
              <w:top w:val="nil"/>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满意度指标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服务对象满意度指标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干警满意度</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90</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 w:hRule="atLeast"/>
        </w:trPr>
        <w:tc>
          <w:tcPr>
            <w:tcW w:w="684" w:type="dxa"/>
            <w:vMerge w:val="continue"/>
            <w:tcBorders>
              <w:top w:val="nil"/>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成本指标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经济成本指标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项目总成本</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93720</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元</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20</w:t>
            </w:r>
          </w:p>
        </w:tc>
      </w:tr>
    </w:tbl>
    <w:p>
      <w:pPr>
        <w:pStyle w:val="2"/>
        <w:spacing w:beforeLines="0" w:afterLines="0"/>
        <w:ind w:left="0" w:leftChars="0" w:firstLine="0" w:firstLineChars="0"/>
        <w:rPr>
          <w:rFonts w:hint="eastAsia"/>
          <w:sz w:val="32"/>
          <w:lang w:val="zh-CN"/>
        </w:rPr>
      </w:pP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我院对于该项目的申报内容与实际业务的开展相关且符合工作实际，申报的绩效目标易于考核，合理可行，操作性强。项目绩效自评采用中期监控和年终绩效考核相结合的方式进行。项目绩效自评由项目实施的业务部门法警队报送年度内具体工作开展情况，并对项目的实施情况总结并自评，督察室监督审核工作的完成进度并进行项目验收，行装处负责统计相关项目工作的资金支付情况，并通过共同研讨、数据对比等方法对该项目进行自评打分。</w:t>
      </w:r>
    </w:p>
    <w:p>
      <w:pPr>
        <w:adjustRightInd w:val="0"/>
        <w:snapToGrid w:val="0"/>
        <w:spacing w:beforeLines="0" w:afterLines="0" w:line="360" w:lineRule="auto"/>
        <w:ind w:firstLine="643" w:firstLineChars="200"/>
        <w:rPr>
          <w:rFonts w:hint="eastAsia" w:ascii="黑体" w:hAnsi="宋体" w:eastAsia="黑体"/>
          <w:b/>
          <w:sz w:val="32"/>
        </w:rPr>
      </w:pPr>
      <w:r>
        <w:rPr>
          <w:rFonts w:hint="eastAsia" w:ascii="黑体" w:hAnsi="宋体" w:eastAsia="黑体"/>
          <w:b/>
          <w:sz w:val="32"/>
        </w:rPr>
        <w:t>二、评价实施</w:t>
      </w:r>
    </w:p>
    <w:p>
      <w:pPr>
        <w:spacing w:beforeLines="0" w:afterLines="0" w:line="360" w:lineRule="auto"/>
        <w:ind w:firstLine="640"/>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（一）评价目的。</w:t>
      </w:r>
    </w:p>
    <w:p>
      <w:pPr>
        <w:spacing w:beforeLines="0" w:afterLines="0" w:line="360" w:lineRule="auto"/>
        <w:ind w:firstLine="640"/>
        <w:rPr>
          <w:rFonts w:hint="eastAsia"/>
          <w:sz w:val="32"/>
        </w:rPr>
      </w:pPr>
      <w:r>
        <w:rPr>
          <w:rFonts w:hint="eastAsia" w:eastAsia="仿宋_GB2312"/>
          <w:sz w:val="32"/>
        </w:rPr>
        <w:t>通过项目绩效自评要实现对</w:t>
      </w:r>
      <w:r>
        <w:rPr>
          <w:rFonts w:hint="eastAsia" w:eastAsia="仿宋_GB2312"/>
          <w:sz w:val="32"/>
          <w:lang w:val="zh-CN"/>
        </w:rPr>
        <w:t>法警法定工作日之外加班补贴项目资金效益的监督及项目目标实现度的管理，促进财政资金发挥更大的效益，保障11名法警法定工作日之外加班福利，提升法警工作积极性，实现从优待警的目标</w:t>
      </w:r>
      <w:r>
        <w:rPr>
          <w:rFonts w:hint="eastAsia" w:eastAsia="仿宋_GB2312"/>
          <w:sz w:val="32"/>
        </w:rPr>
        <w:t>。</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（二）</w:t>
      </w:r>
      <w:r>
        <w:rPr>
          <w:rFonts w:hint="eastAsia" w:ascii="楷体_GB2312" w:hAnsi="宋体" w:eastAsia="楷体_GB2312"/>
          <w:b/>
          <w:color w:val="auto"/>
          <w:sz w:val="32"/>
          <w:lang w:val="zh-CN"/>
        </w:rPr>
        <w:t>预设问题及评价重点。</w:t>
      </w:r>
    </w:p>
    <w:p>
      <w:pPr>
        <w:numPr>
          <w:numId w:val="0"/>
        </w:numPr>
        <w:adjustRightInd w:val="0"/>
        <w:snapToGrid w:val="0"/>
        <w:spacing w:beforeLines="0" w:afterLines="0" w:line="360" w:lineRule="auto"/>
        <w:rPr>
          <w:rFonts w:hint="eastAsia"/>
          <w:sz w:val="32"/>
          <w:lang w:val="zh-CN"/>
        </w:rPr>
      </w:pPr>
      <w:r>
        <w:rPr>
          <w:rFonts w:hint="eastAsia" w:eastAsia="仿宋_GB2312"/>
          <w:sz w:val="32"/>
        </w:rPr>
        <w:t xml:space="preserve">    </w:t>
      </w:r>
      <w:r>
        <w:rPr>
          <w:rFonts w:hint="eastAsia" w:eastAsia="仿宋_GB2312"/>
          <w:sz w:val="32"/>
          <w:lang w:val="zh-CN"/>
        </w:rPr>
        <w:t>该项目资金为一般公共预算财政拨款收入安排，市财政局通过预算对我院下达此专项资金</w:t>
      </w:r>
      <w:r>
        <w:rPr>
          <w:rFonts w:hint="eastAsia" w:eastAsia="仿宋_GB2312"/>
          <w:sz w:val="32"/>
        </w:rPr>
        <w:t>9.37万元，</w:t>
      </w:r>
      <w:r>
        <w:rPr>
          <w:rFonts w:hint="eastAsia" w:eastAsia="仿宋_GB2312"/>
          <w:sz w:val="32"/>
          <w:lang w:val="zh-CN"/>
        </w:rPr>
        <w:t>资金及时到位，资金到位率100%，到位及时率100%，预算执行率</w:t>
      </w:r>
      <w:r>
        <w:rPr>
          <w:rFonts w:hint="eastAsia" w:eastAsia="仿宋_GB2312"/>
          <w:sz w:val="32"/>
        </w:rPr>
        <w:t>100%。顺利完成了该项目的实施和资金支付。</w:t>
      </w:r>
      <w:r>
        <w:rPr>
          <w:rFonts w:hint="eastAsia" w:eastAsia="仿宋_GB2312"/>
          <w:sz w:val="32"/>
          <w:lang w:val="zh-CN"/>
        </w:rPr>
        <w:t>项目实行专项核算，资金支付合规、合法，无超预算和范围支付情况，无截留、挤占、挪用专项资金现象，无虚列项目成本、无进行大额现金支付现象，项目资金使用均按规定标准执行。</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（三）</w:t>
      </w:r>
      <w:r>
        <w:rPr>
          <w:rFonts w:hint="eastAsia" w:ascii="楷体_GB2312" w:hAnsi="宋体" w:eastAsia="楷体_GB2312"/>
          <w:b/>
          <w:color w:val="auto"/>
          <w:sz w:val="32"/>
          <w:lang w:val="zh-CN"/>
        </w:rPr>
        <w:t>评价选点。</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rPr>
        <w:t>选取4笔</w:t>
      </w:r>
      <w:r>
        <w:rPr>
          <w:rFonts w:hint="eastAsia" w:eastAsia="仿宋_GB2312"/>
          <w:sz w:val="32"/>
          <w:lang w:val="zh-CN"/>
        </w:rPr>
        <w:t>法警法定工作日之外加班费支出</w:t>
      </w:r>
      <w:r>
        <w:rPr>
          <w:rFonts w:hint="eastAsia" w:eastAsia="仿宋_GB2312"/>
          <w:sz w:val="32"/>
        </w:rPr>
        <w:t>作为评价样本，核查资金支出方向及审批手续，及加班情况是否进行公示等</w:t>
      </w:r>
      <w:r>
        <w:rPr>
          <w:rFonts w:hint="eastAsia" w:eastAsia="仿宋_GB2312"/>
          <w:sz w:val="32"/>
          <w:lang w:val="zh-CN"/>
        </w:rPr>
        <w:t>。</w:t>
      </w:r>
    </w:p>
    <w:p>
      <w:pPr>
        <w:numPr>
          <w:numId w:val="0"/>
        </w:num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（四）</w:t>
      </w:r>
      <w:r>
        <w:rPr>
          <w:rFonts w:hint="eastAsia" w:ascii="楷体_GB2312" w:hAnsi="宋体" w:eastAsia="楷体_GB2312"/>
          <w:b/>
          <w:color w:val="auto"/>
          <w:sz w:val="32"/>
          <w:lang w:val="zh-CN"/>
        </w:rPr>
        <w:t>评价方法。</w:t>
      </w:r>
    </w:p>
    <w:p>
      <w:pPr>
        <w:numPr>
          <w:numId w:val="0"/>
        </w:numPr>
        <w:spacing w:beforeLines="0" w:afterLines="0" w:line="360" w:lineRule="auto"/>
        <w:rPr>
          <w:rFonts w:hint="eastAsia" w:eastAsia="仿宋_GB2312"/>
          <w:sz w:val="32"/>
        </w:rPr>
      </w:pPr>
      <w:r>
        <w:rPr>
          <w:rFonts w:hint="eastAsia" w:eastAsia="仿宋_GB2312"/>
          <w:sz w:val="32"/>
        </w:rPr>
        <w:t xml:space="preserve">    根据项目情况和评价重点，采用单位自评法、座谈调研法用来收集相关材料和开展具体评价的方法。</w:t>
      </w:r>
    </w:p>
    <w:p>
      <w:p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rPr>
        <w:t xml:space="preserve">     </w:t>
      </w:r>
      <w:r>
        <w:rPr>
          <w:rFonts w:hint="eastAsia" w:ascii="楷体_GB2312" w:hAnsi="宋体" w:eastAsia="楷体_GB2312"/>
          <w:b/>
          <w:color w:val="auto"/>
          <w:sz w:val="32"/>
          <w:lang w:val="zh-CN"/>
        </w:rPr>
        <w:t>（五）评价组织。</w:t>
      </w:r>
    </w:p>
    <w:p>
      <w:pPr>
        <w:adjustRightInd w:val="0"/>
        <w:snapToGrid w:val="0"/>
        <w:spacing w:beforeLines="0" w:afterLines="0" w:line="360" w:lineRule="auto"/>
        <w:ind w:firstLine="640" w:firstLineChars="200"/>
        <w:rPr>
          <w:rFonts w:hint="eastAsia"/>
          <w:sz w:val="32"/>
        </w:rPr>
      </w:pPr>
      <w:r>
        <w:rPr>
          <w:rFonts w:hint="eastAsia" w:eastAsia="仿宋_GB2312"/>
          <w:sz w:val="32"/>
        </w:rPr>
        <w:t>绩效评价小组以常务副院长为组长，各业务部门、行装处、督查室部门领导为组员组成；绩效评价工作小组由各部门内勤及财务人员组成。采取“谁申报项目，谁负责绩效评价”的原则，由项目实施部门</w:t>
      </w:r>
      <w:r>
        <w:rPr>
          <w:rFonts w:hint="eastAsia" w:eastAsia="仿宋_GB2312"/>
          <w:sz w:val="32"/>
          <w:lang w:val="zh-CN"/>
        </w:rPr>
        <w:t>法警队</w:t>
      </w:r>
      <w:r>
        <w:rPr>
          <w:rFonts w:hint="eastAsia" w:eastAsia="仿宋_GB2312"/>
          <w:sz w:val="32"/>
        </w:rPr>
        <w:t>牵头，召集工作小组对项目进行初评，然后呈报至领导小组复核。根据财政专项项目管理办法及财政资金管理要求，</w:t>
      </w:r>
      <w:r>
        <w:rPr>
          <w:rFonts w:hint="eastAsia" w:eastAsia="仿宋_GB2312"/>
          <w:sz w:val="32"/>
          <w:lang w:val="zh-CN"/>
        </w:rPr>
        <w:t>行装处严格审核项目报销凭证，加快专项资金支付，及时进行会计核算。</w:t>
      </w:r>
      <w:r>
        <w:rPr>
          <w:rFonts w:hint="eastAsia" w:eastAsia="仿宋_GB2312"/>
          <w:sz w:val="32"/>
        </w:rPr>
        <w:t>督察室进行定期监督，做到了专款专用，执行有力，且没有超预算和范围、违规报销行为，没有滞留、截流、挤占、挪用项目资金的现象。</w:t>
      </w:r>
    </w:p>
    <w:p>
      <w:pPr>
        <w:numPr>
          <w:ilvl w:val="0"/>
          <w:numId w:val="7"/>
        </w:numPr>
        <w:adjustRightInd w:val="0"/>
        <w:snapToGrid w:val="0"/>
        <w:spacing w:beforeLines="0" w:afterLines="0" w:line="360" w:lineRule="auto"/>
        <w:ind w:firstLine="643" w:firstLineChars="200"/>
        <w:rPr>
          <w:rFonts w:hint="eastAsia" w:ascii="仿宋_GB2312" w:hAnsi="宋体" w:eastAsia="仿宋_GB2312"/>
          <w:b/>
          <w:color w:val="auto"/>
          <w:sz w:val="32"/>
          <w:lang w:val="zh-CN"/>
        </w:rPr>
      </w:pPr>
      <w:r>
        <w:rPr>
          <w:rFonts w:hint="eastAsia" w:ascii="黑体" w:hAnsi="宋体" w:eastAsia="黑体"/>
          <w:b/>
          <w:color w:val="auto"/>
          <w:sz w:val="32"/>
        </w:rPr>
        <w:t>绩效分析</w:t>
      </w:r>
      <w:r>
        <w:rPr>
          <w:rFonts w:hint="eastAsia" w:ascii="仿宋_GB2312" w:hAnsi="宋体" w:eastAsia="仿宋_GB2312"/>
          <w:b/>
          <w:color w:val="auto"/>
          <w:sz w:val="32"/>
          <w:lang w:val="zh-CN"/>
        </w:rPr>
        <w:tab/>
      </w:r>
    </w:p>
    <w:p>
      <w:pPr>
        <w:numPr>
          <w:numId w:val="0"/>
        </w:numPr>
        <w:adjustRightInd w:val="0"/>
        <w:snapToGrid w:val="0"/>
        <w:spacing w:beforeLines="0" w:afterLines="0" w:line="360" w:lineRule="auto"/>
        <w:ind w:leftChars="200"/>
        <w:rPr>
          <w:rFonts w:hint="eastAsia" w:ascii="楷体_GB2312" w:hAnsi="宋体" w:eastAsia="楷体_GB2312"/>
          <w:b/>
          <w:color w:val="auto"/>
          <w:sz w:val="32"/>
        </w:rPr>
      </w:pPr>
      <w:r>
        <w:rPr>
          <w:rFonts w:hint="eastAsia" w:ascii="楷体_GB2312" w:hAnsi="宋体" w:eastAsia="楷体_GB2312"/>
          <w:b/>
          <w:color w:val="auto"/>
          <w:sz w:val="32"/>
          <w:lang w:val="zh-CN"/>
        </w:rPr>
        <w:t>（一）</w:t>
      </w:r>
      <w:r>
        <w:rPr>
          <w:rFonts w:hint="eastAsia" w:ascii="楷体_GB2312" w:hAnsi="宋体" w:eastAsia="楷体_GB2312"/>
          <w:b/>
          <w:color w:val="auto"/>
          <w:sz w:val="32"/>
        </w:rPr>
        <w:t>通用指标</w:t>
      </w:r>
      <w:r>
        <w:rPr>
          <w:rFonts w:hint="eastAsia" w:eastAsia="楷体_GB2312"/>
          <w:b/>
          <w:color w:val="000000"/>
          <w:kern w:val="0"/>
          <w:sz w:val="32"/>
          <w:shd w:val="clear" w:color="auto" w:fill="FFFFFF"/>
          <w:lang w:val="zh-CN"/>
        </w:rPr>
        <w:t>绩效得分</w:t>
      </w:r>
      <w:r>
        <w:rPr>
          <w:rFonts w:hint="eastAsia" w:eastAsia="楷体_GB2312"/>
          <w:b/>
          <w:color w:val="000000"/>
          <w:kern w:val="0"/>
          <w:sz w:val="32"/>
          <w:shd w:val="clear" w:color="auto" w:fill="FFFFFF"/>
        </w:rPr>
        <w:t>54分</w:t>
      </w:r>
      <w:r>
        <w:rPr>
          <w:rFonts w:hint="eastAsia" w:eastAsia="楷体_GB2312"/>
          <w:b/>
          <w:color w:val="000000"/>
          <w:kern w:val="0"/>
          <w:sz w:val="32"/>
          <w:shd w:val="clear" w:color="auto" w:fill="FFFFFF"/>
          <w:lang w:val="zh-CN"/>
        </w:rPr>
        <w:t>。</w:t>
      </w:r>
    </w:p>
    <w:p>
      <w:p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1.项目决策评分为18分。</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决策程序：</w:t>
      </w:r>
      <w:r>
        <w:rPr>
          <w:rFonts w:hint="eastAsia" w:eastAsia="仿宋_GB2312"/>
          <w:sz w:val="32"/>
        </w:rPr>
        <w:t>根据</w:t>
      </w:r>
      <w:r>
        <w:rPr>
          <w:rFonts w:hint="eastAsia" w:eastAsia="仿宋_GB2312"/>
          <w:sz w:val="32"/>
          <w:lang w:val="zh-CN"/>
        </w:rPr>
        <w:t>我院法警人数及工作实际</w:t>
      </w:r>
      <w:r>
        <w:rPr>
          <w:rFonts w:hint="eastAsia" w:eastAsia="仿宋_GB2312"/>
          <w:sz w:val="32"/>
        </w:rPr>
        <w:t>，</w:t>
      </w:r>
      <w:r>
        <w:rPr>
          <w:rFonts w:hint="eastAsia" w:eastAsia="仿宋_GB2312"/>
          <w:sz w:val="32"/>
          <w:lang w:val="zh-CN"/>
        </w:rPr>
        <w:t>项目设立有必要，立项依据充分，</w:t>
      </w:r>
      <w:r>
        <w:rPr>
          <w:rFonts w:hint="eastAsia" w:eastAsia="仿宋_GB2312"/>
          <w:sz w:val="32"/>
        </w:rPr>
        <w:t>安排</w:t>
      </w:r>
      <w:r>
        <w:rPr>
          <w:rFonts w:hint="eastAsia" w:eastAsia="仿宋_GB2312"/>
          <w:sz w:val="32"/>
          <w:lang w:val="zh-CN"/>
        </w:rPr>
        <w:t>项目资金预算</w:t>
      </w:r>
      <w:r>
        <w:rPr>
          <w:rFonts w:hint="eastAsia" w:eastAsia="仿宋_GB2312"/>
          <w:sz w:val="32"/>
        </w:rPr>
        <w:t>9.37</w:t>
      </w:r>
      <w:r>
        <w:rPr>
          <w:rFonts w:hint="eastAsia" w:eastAsia="仿宋_GB2312"/>
          <w:sz w:val="32"/>
          <w:lang w:val="zh-CN"/>
        </w:rPr>
        <w:t>万元合理，符合资金管理基本规范和决策程序要求，故该项评分为</w:t>
      </w:r>
      <w:r>
        <w:rPr>
          <w:rFonts w:hint="eastAsia" w:eastAsia="仿宋_GB2312"/>
          <w:sz w:val="32"/>
        </w:rPr>
        <w:t>6分</w:t>
      </w:r>
      <w:r>
        <w:rPr>
          <w:rFonts w:hint="eastAsia" w:eastAsia="仿宋_GB2312"/>
          <w:sz w:val="32"/>
          <w:lang w:val="zh-CN"/>
        </w:rPr>
        <w:t>。</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规划论证：该项目规划符合省高院及市委市政府有关决策部署安排，预算申报前，充分征求了相关部门论证了项目必要性、前瞻性、合理性和可行性，项目总体绩效目标设置合理，绩效目标规范完整、量化细化，预算匹配度较好，故此项评分为</w:t>
      </w:r>
      <w:r>
        <w:rPr>
          <w:rFonts w:hint="eastAsia" w:eastAsia="仿宋_GB2312"/>
          <w:sz w:val="32"/>
        </w:rPr>
        <w:t>6分。</w:t>
      </w:r>
    </w:p>
    <w:p>
      <w:pPr>
        <w:spacing w:beforeLines="0" w:afterLines="0" w:line="360" w:lineRule="auto"/>
        <w:ind w:firstLine="640"/>
        <w:rPr>
          <w:rFonts w:hint="eastAsia" w:eastAsia="仿宋_GB2312"/>
          <w:sz w:val="32"/>
        </w:rPr>
      </w:pPr>
      <w:r>
        <w:rPr>
          <w:rFonts w:hint="eastAsia" w:eastAsia="仿宋_GB2312"/>
          <w:sz w:val="32"/>
          <w:lang w:val="zh-CN"/>
        </w:rPr>
        <w:t>资金投向：法警法定工作日之外加班补贴项目预算资金主要是用于保障11名法警法定工作日之外加班福利，以提升法警工作积极性</w:t>
      </w:r>
      <w:r>
        <w:rPr>
          <w:rFonts w:hint="eastAsia" w:eastAsia="仿宋_GB2312"/>
          <w:sz w:val="32"/>
        </w:rPr>
        <w:t>，</w:t>
      </w:r>
      <w:r>
        <w:rPr>
          <w:rFonts w:hint="eastAsia" w:eastAsia="仿宋_GB2312"/>
          <w:sz w:val="32"/>
          <w:lang w:val="zh-CN"/>
        </w:rPr>
        <w:t>属于法院重点领域的重点任务，与法院总体规划相匹配，故此项评分为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项目管理评分为18分。</w:t>
      </w:r>
    </w:p>
    <w:p>
      <w:pPr>
        <w:numPr>
          <w:numId w:val="0"/>
        </w:numPr>
        <w:adjustRightInd w:val="0"/>
        <w:snapToGrid w:val="0"/>
        <w:spacing w:beforeLines="0" w:afterLines="0" w:line="360" w:lineRule="auto"/>
        <w:ind w:firstLine="640"/>
        <w:rPr>
          <w:rFonts w:hint="eastAsia" w:eastAsia="仿宋_GB2312"/>
          <w:sz w:val="32"/>
        </w:rPr>
      </w:pPr>
      <w:r>
        <w:rPr>
          <w:rFonts w:hint="eastAsia" w:eastAsia="仿宋_GB2312"/>
          <w:sz w:val="32"/>
        </w:rPr>
        <w:t>制度办法：</w:t>
      </w:r>
      <w:r>
        <w:rPr>
          <w:rFonts w:hint="eastAsia" w:eastAsia="仿宋_GB2312"/>
          <w:sz w:val="32"/>
          <w:lang w:val="zh-CN"/>
        </w:rPr>
        <w:t>我院按部门职责分工明确，严格遵循工作计划稳步推进实施。完善各项内部控制与考核制度，建立较为完善的财务管理制度《广元市中级人民法院财务管理制度》、《广元市中级人民法院预算管理制度》，且严格执行。</w:t>
      </w:r>
      <w:r>
        <w:rPr>
          <w:rFonts w:hint="eastAsia" w:eastAsia="仿宋_GB2312"/>
          <w:sz w:val="32"/>
        </w:rPr>
        <w:t>资金使用过程中，严格按照</w:t>
      </w:r>
      <w:r>
        <w:rPr>
          <w:rFonts w:hint="eastAsia" w:eastAsia="仿宋_GB2312"/>
          <w:sz w:val="32"/>
          <w:lang w:val="zh-CN"/>
        </w:rPr>
        <w:t>《人力资源社会保障部</w:t>
      </w:r>
      <w:r>
        <w:rPr>
          <w:rFonts w:hint="eastAsia" w:eastAsia="仿宋_GB2312"/>
          <w:sz w:val="32"/>
        </w:rPr>
        <w:t xml:space="preserve"> 财政部关于执行人民警察法定工作日之外加班补贴有关问题的通知</w:t>
      </w:r>
      <w:r>
        <w:rPr>
          <w:rFonts w:hint="eastAsia" w:eastAsia="仿宋_GB2312"/>
          <w:sz w:val="32"/>
          <w:lang w:val="zh-CN"/>
        </w:rPr>
        <w:t>》之规定，对法警法定工作日之外实际加班天数按月核准</w:t>
      </w:r>
      <w:r>
        <w:rPr>
          <w:rFonts w:hint="eastAsia" w:eastAsia="仿宋_GB2312"/>
          <w:sz w:val="32"/>
        </w:rPr>
        <w:t>，并按照</w:t>
      </w:r>
      <w:r>
        <w:rPr>
          <w:rFonts w:hint="eastAsia" w:eastAsia="仿宋_GB2312"/>
          <w:sz w:val="32"/>
          <w:lang w:val="zh-CN"/>
        </w:rPr>
        <w:t>月人均</w:t>
      </w:r>
      <w:r>
        <w:rPr>
          <w:rFonts w:hint="eastAsia" w:eastAsia="仿宋_GB2312"/>
          <w:sz w:val="32"/>
        </w:rPr>
        <w:t>不超过710元的标准核予以发放，故此项评分为2分。</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lang w:val="zh-CN"/>
        </w:rPr>
        <w:t>分配管理：此项目预算资金分配上严格按照法警每月法定工作日之外实际加班天数和月人均</w:t>
      </w:r>
      <w:r>
        <w:rPr>
          <w:rFonts w:hint="eastAsia" w:eastAsia="仿宋_GB2312"/>
          <w:sz w:val="32"/>
        </w:rPr>
        <w:t>不超过710元的标准</w:t>
      </w:r>
      <w:r>
        <w:rPr>
          <w:rFonts w:hint="eastAsia" w:eastAsia="仿宋_GB2312"/>
          <w:sz w:val="32"/>
          <w:lang w:val="zh-CN"/>
        </w:rPr>
        <w:t>发放，资金支付及时高效。项目做到了财政资金专款专用，资金支付有相关审批程序和合规手续，账务处理及时，会计核算规范。项目管理人员及督察部门对项目实施全过程监控，对偏离预算执行的项目及时纠偏和调整，财务报销严格执行财务审批程序。故此项评分为</w:t>
      </w:r>
      <w:r>
        <w:rPr>
          <w:rFonts w:hint="eastAsia" w:eastAsia="仿宋_GB2312"/>
          <w:sz w:val="32"/>
        </w:rPr>
        <w:t>10分。</w:t>
      </w:r>
    </w:p>
    <w:p>
      <w:p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eastAsia="仿宋_GB2312"/>
          <w:sz w:val="32"/>
          <w:lang w:val="zh-CN"/>
        </w:rPr>
        <w:t>绩效监管：该项目全面完成了事前评估、绩效目标设置、绩效监控、绩效督促、问题整改等预算绩效管理工作，评分为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项目实施评分为9分。</w:t>
      </w:r>
    </w:p>
    <w:p>
      <w:pPr>
        <w:numPr>
          <w:numId w:val="0"/>
        </w:numPr>
        <w:adjustRightInd w:val="0"/>
        <w:snapToGrid w:val="0"/>
        <w:spacing w:beforeLines="0" w:afterLines="0" w:line="360" w:lineRule="auto"/>
        <w:ind w:firstLine="640"/>
        <w:rPr>
          <w:rFonts w:hint="eastAsia" w:ascii="仿宋_GB2312" w:eastAsia="仿宋_GB2312"/>
          <w:sz w:val="32"/>
        </w:rPr>
      </w:pPr>
      <w:r>
        <w:rPr>
          <w:rFonts w:hint="eastAsia" w:ascii="仿宋_GB2312" w:eastAsia="仿宋_GB2312"/>
          <w:sz w:val="32"/>
          <w:lang w:val="zh-CN"/>
        </w:rPr>
        <w:t>预算执行：该项目预算执行进度好，该项指标得分</w:t>
      </w:r>
      <w:r>
        <w:rPr>
          <w:rFonts w:hint="eastAsia" w:ascii="仿宋_GB2312" w:eastAsia="仿宋_GB2312"/>
          <w:sz w:val="32"/>
        </w:rPr>
        <w:t>=财政资金拨付率100%*100%*3+单位资金使用率100%*100%*3=6分。</w:t>
      </w:r>
    </w:p>
    <w:p>
      <w:pPr>
        <w:numPr>
          <w:numId w:val="0"/>
        </w:numPr>
        <w:adjustRightInd w:val="0"/>
        <w:snapToGrid w:val="0"/>
        <w:spacing w:beforeLines="0" w:afterLines="0" w:line="360" w:lineRule="auto"/>
        <w:ind w:firstLine="640"/>
        <w:rPr>
          <w:rFonts w:hint="eastAsia" w:ascii="楷体_GB2312" w:hAnsi="楷体_GB2312" w:eastAsia="楷体_GB2312"/>
          <w:color w:val="auto"/>
          <w:sz w:val="32"/>
        </w:rPr>
      </w:pPr>
      <w:r>
        <w:rPr>
          <w:rFonts w:hint="eastAsia" w:ascii="仿宋_GB2312" w:eastAsia="仿宋_GB2312"/>
          <w:sz w:val="32"/>
          <w:lang w:val="zh-CN"/>
        </w:rPr>
        <w:t>资金使用：该项目资金使用拨付，项目实施符合财务管理制度。事前</w:t>
      </w:r>
      <w:r>
        <w:rPr>
          <w:rFonts w:hint="eastAsia" w:eastAsia="仿宋_GB2312"/>
          <w:sz w:val="32"/>
          <w:lang w:val="zh-CN"/>
        </w:rPr>
        <w:t>严格审核项目实施可行性与合理性，</w:t>
      </w:r>
      <w:r>
        <w:rPr>
          <w:rFonts w:hint="eastAsia" w:ascii="仿宋_GB2312" w:eastAsia="仿宋_GB2312"/>
          <w:sz w:val="32"/>
          <w:lang w:val="zh-CN"/>
        </w:rPr>
        <w:t>由法警队申报每月实际加班天数，并由其分管院领导审批后报政治部审核，并在内网进行公示，公示期满后交由行装处进行支付</w:t>
      </w:r>
      <w:r>
        <w:rPr>
          <w:rFonts w:hint="eastAsia" w:eastAsia="仿宋_GB2312"/>
          <w:sz w:val="32"/>
          <w:lang w:val="zh-CN"/>
        </w:rPr>
        <w:t>，及时进行会计核算，院督察室定期对项目经费使用效益进行监督。行装处严格审核项目报销凭证，加快专项资金支付，及时进行会计核算。故该项评分为</w:t>
      </w:r>
      <w:r>
        <w:rPr>
          <w:rFonts w:hint="eastAsia" w:eastAsia="仿宋_GB2312"/>
          <w:sz w:val="32"/>
        </w:rPr>
        <w:t>3分。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项目结果评分为9分。</w:t>
      </w:r>
    </w:p>
    <w:p>
      <w:pPr>
        <w:numPr>
          <w:numId w:val="0"/>
        </w:numPr>
        <w:adjustRightInd w:val="0"/>
        <w:snapToGrid w:val="0"/>
        <w:spacing w:beforeLines="0" w:afterLines="0" w:line="360" w:lineRule="auto"/>
        <w:ind w:firstLine="640"/>
        <w:rPr>
          <w:rFonts w:hint="eastAsia" w:eastAsia="仿宋_GB2312"/>
          <w:color w:val="auto"/>
          <w:sz w:val="32"/>
        </w:rPr>
      </w:pPr>
      <w:r>
        <w:rPr>
          <w:rFonts w:hint="eastAsia" w:eastAsia="仿宋_GB2312"/>
          <w:color w:val="auto"/>
          <w:sz w:val="32"/>
        </w:rPr>
        <w:t>目标完成：该项目已100%完成预算支出，</w:t>
      </w:r>
      <w:r>
        <w:rPr>
          <w:rFonts w:hint="eastAsia" w:eastAsia="仿宋_GB2312"/>
          <w:sz w:val="32"/>
          <w:lang w:val="zh-CN"/>
        </w:rPr>
        <w:t>保障了11名法警法定工作日之外加班福利，</w:t>
      </w:r>
      <w:r>
        <w:rPr>
          <w:rFonts w:hint="eastAsia" w:eastAsia="仿宋_GB2312"/>
          <w:color w:val="auto"/>
          <w:sz w:val="32"/>
        </w:rPr>
        <w:t>顺利达成此项目设置的绩效目标，评分为6分。</w:t>
      </w:r>
    </w:p>
    <w:p>
      <w:pPr>
        <w:numPr>
          <w:numId w:val="0"/>
        </w:numPr>
        <w:adjustRightInd w:val="0"/>
        <w:snapToGrid w:val="0"/>
        <w:spacing w:beforeLines="0" w:afterLines="0" w:line="360" w:lineRule="auto"/>
        <w:ind w:firstLine="640"/>
        <w:rPr>
          <w:rFonts w:hint="eastAsia" w:eastAsia="仿宋_GB2312"/>
          <w:sz w:val="32"/>
        </w:rPr>
      </w:pPr>
      <w:r>
        <w:rPr>
          <w:rFonts w:hint="eastAsia" w:eastAsia="仿宋_GB2312"/>
          <w:sz w:val="32"/>
        </w:rPr>
        <w:t>完成时效：该项目于2024年12月31日前完成资金的支付，评分为3分。</w:t>
      </w:r>
    </w:p>
    <w:p>
      <w:pPr>
        <w:spacing w:beforeLines="0" w:afterLines="0" w:line="360" w:lineRule="auto"/>
        <w:ind w:firstLine="643" w:firstLineChars="200"/>
        <w:rPr>
          <w:rFonts w:hint="eastAsia" w:ascii="楷体_GB2312" w:hAnsi="楷体_GB2312" w:eastAsia="楷体_GB2312"/>
          <w:color w:val="auto"/>
          <w:sz w:val="32"/>
          <w:lang w:val="zh-CN"/>
        </w:rPr>
      </w:pPr>
      <w:r>
        <w:rPr>
          <w:rFonts w:hint="eastAsia" w:ascii="楷体_GB2312" w:hAnsi="宋体" w:eastAsia="楷体_GB2312"/>
          <w:b/>
          <w:color w:val="auto"/>
          <w:sz w:val="32"/>
          <w:lang w:val="zh-CN"/>
        </w:rPr>
        <w:t>（二）</w:t>
      </w:r>
      <w:r>
        <w:rPr>
          <w:rFonts w:hint="eastAsia" w:ascii="楷体_GB2312" w:hAnsi="宋体" w:eastAsia="楷体_GB2312"/>
          <w:b/>
          <w:color w:val="auto"/>
          <w:sz w:val="32"/>
        </w:rPr>
        <w:t>专用指标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30分</w:t>
      </w:r>
      <w:r>
        <w:rPr>
          <w:rFonts w:hint="eastAsia" w:eastAsia="楷体_GB2312"/>
          <w:b/>
          <w:color w:val="000000"/>
          <w:kern w:val="0"/>
          <w:sz w:val="32"/>
          <w:shd w:val="clear" w:color="auto" w:fill="FFFFFF"/>
          <w:lang w:val="zh-CN"/>
        </w:rPr>
        <w:t>。</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1.产业发展。</w:t>
      </w:r>
      <w:r>
        <w:rPr>
          <w:rFonts w:hint="eastAsia" w:eastAsia="仿宋_GB2312"/>
          <w:color w:val="auto"/>
          <w:sz w:val="32"/>
        </w:rPr>
        <w:t xml:space="preserve">不涉及。 </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2.</w:t>
      </w:r>
      <w:r>
        <w:rPr>
          <w:rFonts w:hint="eastAsia" w:ascii="楷体_GB2312" w:hAnsi="楷体_GB2312" w:eastAsia="楷体_GB2312"/>
          <w:color w:val="auto"/>
          <w:sz w:val="32"/>
          <w:lang w:val="zh-CN"/>
        </w:rPr>
        <w:t>民生保障。</w:t>
      </w:r>
      <w:r>
        <w:rPr>
          <w:rFonts w:hint="eastAsia" w:eastAsia="仿宋_GB2312"/>
          <w:color w:val="auto"/>
          <w:sz w:val="32"/>
          <w:lang w:val="zh-CN"/>
        </w:rPr>
        <w:t>保障了</w:t>
      </w:r>
      <w:r>
        <w:rPr>
          <w:rFonts w:hint="eastAsia" w:eastAsia="仿宋_GB2312"/>
          <w:sz w:val="32"/>
          <w:lang w:val="zh-CN"/>
        </w:rPr>
        <w:t>11名法警法定工作日之外加班福利，提升了法警工作积极性，实现了从优待警的目标</w:t>
      </w:r>
      <w:r>
        <w:rPr>
          <w:rFonts w:hint="eastAsia" w:eastAsia="仿宋_GB2312"/>
          <w:color w:val="auto"/>
          <w:sz w:val="32"/>
        </w:rPr>
        <w:t>。该项评分为15分。</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3.基础设施。</w:t>
      </w:r>
      <w:r>
        <w:rPr>
          <w:rFonts w:hint="eastAsia" w:eastAsia="仿宋_GB2312"/>
          <w:color w:val="auto"/>
          <w:sz w:val="32"/>
        </w:rPr>
        <w:t>不涉及。</w:t>
      </w:r>
    </w:p>
    <w:p>
      <w:pPr>
        <w:spacing w:beforeLines="0" w:afterLines="0" w:line="360" w:lineRule="auto"/>
        <w:ind w:firstLine="640" w:firstLineChars="200"/>
        <w:rPr>
          <w:rFonts w:hint="eastAsia" w:ascii="楷体_GB2312" w:hAnsi="楷体_GB2312" w:eastAsia="楷体_GB2312"/>
          <w:color w:val="auto"/>
          <w:sz w:val="32"/>
          <w:lang w:val="zh-CN"/>
        </w:rPr>
      </w:pPr>
      <w:r>
        <w:rPr>
          <w:rFonts w:hint="eastAsia" w:ascii="楷体_GB2312" w:hAnsi="楷体_GB2312" w:eastAsia="楷体_GB2312"/>
          <w:color w:val="auto"/>
          <w:sz w:val="32"/>
        </w:rPr>
        <w:t>4.</w:t>
      </w:r>
      <w:r>
        <w:rPr>
          <w:rFonts w:hint="eastAsia" w:ascii="楷体_GB2312" w:hAnsi="楷体_GB2312" w:eastAsia="楷体_GB2312"/>
          <w:color w:val="auto"/>
          <w:sz w:val="32"/>
          <w:lang w:val="zh-CN"/>
        </w:rPr>
        <w:t>行政运转。</w:t>
      </w:r>
      <w:r>
        <w:rPr>
          <w:rFonts w:hint="eastAsia" w:eastAsia="仿宋_GB2312"/>
          <w:sz w:val="32"/>
          <w:lang w:val="zh-CN"/>
        </w:rPr>
        <w:t>项目资金实行专款专用，用途符合专项资金各项开支范围、支出审批手续齐全，该项目为我院安保、庭审、羁押等工作提供安全保障。该项评分为</w:t>
      </w:r>
      <w:r>
        <w:rPr>
          <w:rFonts w:hint="eastAsia" w:eastAsia="仿宋_GB2312"/>
          <w:sz w:val="32"/>
        </w:rPr>
        <w:t>15分</w:t>
      </w:r>
      <w:r>
        <w:rPr>
          <w:rFonts w:hint="eastAsia" w:eastAsia="仿宋_GB2312"/>
          <w:sz w:val="32"/>
          <w:lang w:val="zh-CN"/>
        </w:rPr>
        <w:t>。</w:t>
      </w:r>
    </w:p>
    <w:p>
      <w:pPr>
        <w:numPr>
          <w:numId w:val="0"/>
        </w:numPr>
        <w:adjustRightInd w:val="0"/>
        <w:snapToGrid w:val="0"/>
        <w:spacing w:beforeLines="0" w:afterLines="0" w:line="360" w:lineRule="auto"/>
        <w:ind w:firstLine="643" w:firstLineChars="200"/>
        <w:rPr>
          <w:rFonts w:hint="eastAsia"/>
          <w:b/>
          <w:color w:val="000000"/>
          <w:kern w:val="0"/>
          <w:sz w:val="32"/>
          <w:shd w:val="clear" w:color="auto" w:fill="FFFFFF"/>
          <w:lang w:val="zh-CN"/>
        </w:rPr>
      </w:pPr>
      <w:r>
        <w:rPr>
          <w:rFonts w:hint="eastAsia" w:ascii="楷体_GB2312" w:hAnsi="宋体" w:eastAsia="楷体_GB2312"/>
          <w:b/>
          <w:color w:val="auto"/>
          <w:sz w:val="32"/>
          <w:lang w:val="zh-CN"/>
        </w:rPr>
        <w:t>（三）</w:t>
      </w:r>
      <w:r>
        <w:rPr>
          <w:rFonts w:hint="eastAsia" w:ascii="楷体_GB2312" w:hAnsi="宋体" w:eastAsia="楷体_GB2312"/>
          <w:b/>
          <w:color w:val="auto"/>
          <w:sz w:val="32"/>
        </w:rPr>
        <w:t>个性指标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16分</w:t>
      </w:r>
      <w:r>
        <w:rPr>
          <w:rFonts w:hint="eastAsia" w:eastAsia="楷体_GB2312"/>
          <w:b/>
          <w:color w:val="000000"/>
          <w:kern w:val="0"/>
          <w:sz w:val="32"/>
          <w:shd w:val="clear" w:color="auto" w:fill="FFFFFF"/>
          <w:lang w:val="zh-CN"/>
        </w:rPr>
        <w:t>。</w:t>
      </w:r>
    </w:p>
    <w:p>
      <w:pPr>
        <w:numPr>
          <w:numId w:val="0"/>
        </w:numPr>
        <w:adjustRightInd w:val="0"/>
        <w:snapToGrid w:val="0"/>
        <w:spacing w:beforeLines="0" w:afterLines="0" w:line="360" w:lineRule="auto"/>
        <w:ind w:firstLine="640" w:firstLineChars="200"/>
        <w:rPr>
          <w:rFonts w:hint="eastAsia"/>
          <w:sz w:val="32"/>
          <w:lang w:val="zh-CN"/>
        </w:rPr>
      </w:pPr>
      <w:r>
        <w:rPr>
          <w:rFonts w:hint="eastAsia" w:eastAsia="仿宋_GB2312"/>
          <w:sz w:val="32"/>
        </w:rPr>
        <w:t>年初设定的绩效目标均已达成，取得良好的效用，个性指标评分为16分。</w:t>
      </w:r>
    </w:p>
    <w:tbl>
      <w:tblPr>
        <w:tblStyle w:val="25"/>
        <w:tblW w:w="789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5"/>
        <w:gridCol w:w="803"/>
        <w:gridCol w:w="862"/>
        <w:gridCol w:w="1666"/>
        <w:gridCol w:w="804"/>
        <w:gridCol w:w="734"/>
        <w:gridCol w:w="774"/>
        <w:gridCol w:w="886"/>
        <w:gridCol w:w="5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绩效指标（90分）</w:t>
            </w:r>
          </w:p>
        </w:tc>
        <w:tc>
          <w:tcPr>
            <w:tcW w:w="80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一级指标</w:t>
            </w: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二级指标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三级指标</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指标性质</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指标值</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度量单位</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完成值</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8"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产出指标</w:t>
            </w: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数量指标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发放补贴人数</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11</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人</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11</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质量指标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加班补贴发放及时率</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100</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100</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时效指标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项目完成时限</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年</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1</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效益指标</w:t>
            </w: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社会效益指标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辅助案件审判及执行工作更好的开展，为我院安保、庭审、羁押等工作提供安全保障。</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优</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可持续影响指标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保障我院法警工作日之外的加班福利，提升法警工作积极性，维护我院正常办公办案秩序。</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优</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满意度指标</w:t>
            </w: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服务对象满意度指标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干警满意度</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90</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98</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成本指标</w:t>
            </w: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经济成本指标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项目总成本</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93720</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元</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93720</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20</w:t>
            </w:r>
          </w:p>
        </w:tc>
      </w:tr>
    </w:tbl>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eastAsia="zh-CN"/>
        </w:rPr>
      </w:pP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rPr>
      </w:pPr>
      <w:r>
        <w:rPr>
          <w:rFonts w:hint="eastAsia" w:ascii="黑体" w:hAnsi="宋体" w:eastAsia="黑体"/>
          <w:b/>
          <w:color w:val="auto"/>
          <w:sz w:val="32"/>
          <w:lang w:eastAsia="zh-CN"/>
        </w:rPr>
        <w:t>四</w:t>
      </w:r>
      <w:r>
        <w:rPr>
          <w:rFonts w:hint="eastAsia" w:ascii="黑体" w:hAnsi="宋体" w:eastAsia="黑体"/>
          <w:b/>
          <w:color w:val="auto"/>
          <w:sz w:val="32"/>
        </w:rPr>
        <w:t>、评价结论</w:t>
      </w:r>
    </w:p>
    <w:p>
      <w:pPr>
        <w:keepLines/>
        <w:numPr>
          <w:numId w:val="0"/>
        </w:numPr>
        <w:adjustRightInd w:val="0"/>
        <w:snapToGrid w:val="0"/>
        <w:spacing w:beforeLines="0" w:afterLines="0" w:line="360" w:lineRule="auto"/>
        <w:ind w:firstLine="642"/>
        <w:rPr>
          <w:rFonts w:hint="eastAsia" w:eastAsia="仿宋_GB2312"/>
          <w:sz w:val="32"/>
        </w:rPr>
      </w:pPr>
      <w:r>
        <w:rPr>
          <w:rFonts w:hint="eastAsia" w:eastAsia="仿宋_GB2312"/>
          <w:sz w:val="32"/>
        </w:rPr>
        <w:t>该项目自评得分为100分。该项目决策符合国家政策方针，项目预算执行进度推进有力，项目监督管控及时有效，项目资金支付合理合规。</w:t>
      </w:r>
      <w:r>
        <w:rPr>
          <w:rFonts w:hint="eastAsia" w:eastAsia="仿宋_GB2312"/>
          <w:sz w:val="32"/>
          <w:lang w:val="zh-CN"/>
        </w:rPr>
        <w:t>通过项目的实施，保障了我院11名法警法定工作日之外加班福利，提升了法警工作积极性，推动辅助我院案件审判及执行工作更好的开展，为我院安保、庭审、羁押等工作提供安全保障。</w:t>
      </w: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eastAsia="zh-CN"/>
        </w:rPr>
      </w:pPr>
      <w:r>
        <w:rPr>
          <w:rFonts w:hint="eastAsia" w:ascii="黑体" w:hAnsi="宋体" w:eastAsia="黑体"/>
          <w:b/>
          <w:color w:val="auto"/>
          <w:sz w:val="32"/>
          <w:lang w:eastAsia="zh-CN"/>
        </w:rPr>
        <w:t>五、存在主要问题</w:t>
      </w:r>
    </w:p>
    <w:p>
      <w:pPr>
        <w:pStyle w:val="8"/>
        <w:numPr>
          <w:numId w:val="0"/>
        </w:numPr>
        <w:tabs>
          <w:tab w:val="left" w:pos="2160"/>
        </w:tabs>
        <w:spacing w:beforeLines="0" w:afterLines="0" w:line="360" w:lineRule="auto"/>
        <w:ind w:firstLine="640" w:firstLineChars="200"/>
        <w:rPr>
          <w:rFonts w:hint="eastAsia" w:ascii="黑体" w:hAnsi="黑体" w:eastAsia="黑体"/>
          <w:kern w:val="2"/>
          <w:sz w:val="32"/>
          <w:lang w:eastAsia="zh-CN"/>
        </w:rPr>
      </w:pPr>
      <w:r>
        <w:rPr>
          <w:rFonts w:hint="eastAsia" w:ascii="仿宋_GB2312" w:hAnsi="仿宋_GB2312" w:eastAsia="仿宋_GB2312"/>
          <w:sz w:val="32"/>
          <w:lang w:eastAsia="zh-CN"/>
        </w:rPr>
        <w:t>无。</w:t>
      </w: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val="zh-CN" w:eastAsia="zh-CN"/>
        </w:rPr>
      </w:pPr>
      <w:r>
        <w:rPr>
          <w:rFonts w:hint="eastAsia" w:ascii="黑体" w:hAnsi="宋体" w:eastAsia="黑体"/>
          <w:b/>
          <w:color w:val="auto"/>
          <w:sz w:val="32"/>
          <w:lang w:val="zh-CN" w:eastAsia="zh-CN"/>
        </w:rPr>
        <w:t>六、改进建议</w:t>
      </w:r>
    </w:p>
    <w:p>
      <w:pPr>
        <w:pStyle w:val="34"/>
        <w:widowControl/>
        <w:spacing w:before="0" w:beforeLines="0" w:after="0" w:afterLines="0" w:line="360" w:lineRule="auto"/>
        <w:ind w:firstLine="640" w:firstLineChars="200"/>
        <w:rPr>
          <w:rFonts w:hint="default" w:eastAsia="仿宋_GB2312"/>
          <w:sz w:val="32"/>
        </w:rPr>
      </w:pPr>
      <w:r>
        <w:rPr>
          <w:rFonts w:hint="eastAsia" w:ascii="仿宋_GB2312" w:hAnsi="仿宋_GB2312" w:eastAsia="仿宋_GB2312"/>
          <w:b w:val="0"/>
          <w:kern w:val="0"/>
          <w:sz w:val="32"/>
        </w:rPr>
        <w:t>无。</w:t>
      </w:r>
    </w:p>
    <w:p>
      <w:pPr>
        <w:wordWrap/>
        <w:adjustRightInd/>
        <w:snapToGrid w:val="0"/>
        <w:spacing w:line="360" w:lineRule="auto"/>
        <w:ind w:left="0" w:leftChars="0" w:right="0" w:firstLine="420" w:firstLineChars="200"/>
        <w:textAlignment w:val="auto"/>
        <w:outlineLvl w:val="9"/>
        <w:rPr>
          <w:rFonts w:hint="eastAsia" w:ascii="Times New Roman" w:hAnsi="Times New Roman" w:cs="Times New Roman"/>
          <w:color w:val="000000"/>
          <w:kern w:val="0"/>
          <w:szCs w:val="32"/>
          <w:highlight w:val="none"/>
          <w:shd w:val="clear" w:color="auto" w:fill="FFFFFF"/>
          <w:lang w:val="en-US" w:eastAsia="zh-CN"/>
        </w:rPr>
      </w:pPr>
    </w:p>
    <w:p>
      <w:pPr>
        <w:pStyle w:val="2"/>
        <w:rPr>
          <w:rFonts w:hint="eastAsia" w:ascii="Times New Roman" w:hAnsi="Times New Roman" w:cs="Times New Roman"/>
          <w:color w:val="000000"/>
          <w:kern w:val="0"/>
          <w:szCs w:val="32"/>
          <w:highlight w:val="none"/>
          <w:shd w:val="clear" w:color="auto" w:fill="FFFFFF"/>
          <w:lang w:val="en-US" w:eastAsia="zh-CN"/>
        </w:rPr>
      </w:pPr>
    </w:p>
    <w:p>
      <w:pPr>
        <w:rPr>
          <w:rFonts w:hint="eastAsia" w:ascii="Times New Roman" w:hAnsi="Times New Roman" w:cs="Times New Roman"/>
          <w:color w:val="000000"/>
          <w:kern w:val="0"/>
          <w:szCs w:val="32"/>
          <w:highlight w:val="none"/>
          <w:shd w:val="clear" w:color="auto" w:fill="FFFFFF"/>
          <w:lang w:val="en-US" w:eastAsia="zh-CN"/>
        </w:rPr>
      </w:pPr>
    </w:p>
    <w:p>
      <w:pPr>
        <w:pStyle w:val="2"/>
        <w:rPr>
          <w:rFonts w:hint="eastAsia"/>
          <w:lang w:val="en-US" w:eastAsia="zh-CN"/>
        </w:rPr>
      </w:pPr>
    </w:p>
    <w:p>
      <w:pPr>
        <w:pStyle w:val="21"/>
        <w:widowControl w:val="0"/>
        <w:spacing w:before="0" w:beforeAutospacing="0" w:after="0" w:afterAutospacing="0" w:line="360" w:lineRule="auto"/>
        <w:ind w:left="0" w:leftChars="0" w:right="0"/>
        <w:jc w:val="center"/>
        <w:rPr>
          <w:rFonts w:hint="eastAsia" w:ascii="黑体" w:hAnsi="宋体" w:eastAsia="黑体" w:cs="黑体"/>
          <w:b/>
          <w:kern w:val="2"/>
          <w:sz w:val="44"/>
          <w:szCs w:val="44"/>
        </w:rPr>
      </w:pPr>
      <w:r>
        <w:rPr>
          <w:rFonts w:hint="eastAsia" w:ascii="黑体" w:hAnsi="宋体" w:eastAsia="黑体" w:cs="黑体"/>
          <w:b/>
          <w:color w:val="000000"/>
          <w:kern w:val="2"/>
          <w:sz w:val="44"/>
          <w:szCs w:val="44"/>
          <w:lang w:val="en-US" w:eastAsia="zh-CN" w:bidi="ar-SA"/>
        </w:rPr>
        <w:t>四川省广元市中级人民法院</w:t>
      </w:r>
    </w:p>
    <w:p>
      <w:pPr>
        <w:pStyle w:val="21"/>
        <w:widowControl w:val="0"/>
        <w:spacing w:before="0" w:beforeAutospacing="0" w:after="0" w:afterAutospacing="0" w:line="360" w:lineRule="auto"/>
        <w:ind w:left="0" w:leftChars="0" w:right="0"/>
        <w:jc w:val="center"/>
        <w:rPr>
          <w:rFonts w:hint="eastAsia" w:ascii="黑体" w:hAnsi="宋体" w:eastAsia="黑体" w:cs="黑体"/>
          <w:b/>
          <w:kern w:val="2"/>
          <w:sz w:val="44"/>
          <w:szCs w:val="44"/>
        </w:rPr>
      </w:pPr>
      <w:r>
        <w:rPr>
          <w:rFonts w:hint="eastAsia" w:ascii="黑体" w:hAnsi="宋体" w:eastAsia="黑体" w:cs="黑体"/>
          <w:b/>
          <w:color w:val="000000"/>
          <w:kern w:val="2"/>
          <w:sz w:val="44"/>
          <w:szCs w:val="44"/>
          <w:lang w:val="en-US" w:eastAsia="zh-CN" w:bidi="ar-SA"/>
        </w:rPr>
        <w:t>2024年购买社会化服务预算项目</w:t>
      </w:r>
    </w:p>
    <w:p>
      <w:pPr>
        <w:pStyle w:val="21"/>
        <w:widowControl w:val="0"/>
        <w:spacing w:before="0" w:beforeAutospacing="0" w:after="0" w:afterAutospacing="0" w:line="360" w:lineRule="auto"/>
        <w:ind w:left="0" w:leftChars="0" w:right="0"/>
        <w:jc w:val="center"/>
        <w:rPr>
          <w:rFonts w:hint="eastAsia" w:ascii="宋体" w:hAnsi="宋体" w:eastAsia="宋体" w:cs="Times New Roman"/>
          <w:b/>
          <w:kern w:val="2"/>
          <w:sz w:val="32"/>
          <w:szCs w:val="32"/>
        </w:rPr>
      </w:pPr>
      <w:r>
        <w:rPr>
          <w:rFonts w:hint="eastAsia" w:ascii="黑体" w:hAnsi="宋体" w:eastAsia="黑体" w:cs="黑体"/>
          <w:b/>
          <w:color w:val="000000"/>
          <w:kern w:val="2"/>
          <w:sz w:val="44"/>
          <w:szCs w:val="44"/>
          <w:lang w:val="en-US" w:eastAsia="zh-CN" w:bidi="ar-SA"/>
        </w:rPr>
        <w:t>支出绩效评价报告</w:t>
      </w:r>
    </w:p>
    <w:p>
      <w:pPr>
        <w:widowControl w:val="0"/>
        <w:adjustRightInd w:val="0"/>
        <w:snapToGrid w:val="0"/>
        <w:spacing w:before="0" w:beforeAutospacing="0" w:after="0" w:afterAutospacing="0" w:line="360" w:lineRule="auto"/>
        <w:ind w:left="0" w:leftChars="0" w:right="0" w:firstLine="643" w:firstLineChars="200"/>
        <w:jc w:val="both"/>
        <w:rPr>
          <w:rFonts w:hint="eastAsia" w:ascii="黑体" w:hAnsi="宋体" w:eastAsia="黑体" w:cs="Times New Roman"/>
          <w:b/>
          <w:kern w:val="2"/>
          <w:sz w:val="32"/>
          <w:szCs w:val="32"/>
        </w:rPr>
      </w:pPr>
      <w:r>
        <w:rPr>
          <w:rFonts w:hint="eastAsia" w:ascii="黑体" w:hAnsi="宋体" w:eastAsia="黑体" w:cs="Times New Roman"/>
          <w:b/>
          <w:color w:val="auto"/>
          <w:kern w:val="2"/>
          <w:sz w:val="32"/>
          <w:szCs w:val="32"/>
          <w:lang w:val="en-US" w:eastAsia="zh-CN" w:bidi="ar-SA"/>
        </w:rPr>
        <w:t>一、项目概况</w:t>
      </w:r>
    </w:p>
    <w:p>
      <w:pPr>
        <w:widowControl/>
        <w:adjustRightInd w:val="0"/>
        <w:snapToGrid w:val="0"/>
        <w:spacing w:before="0" w:beforeAutospacing="0" w:after="0" w:afterAutospacing="0" w:line="360" w:lineRule="auto"/>
        <w:ind w:left="0" w:leftChars="0" w:right="0" w:firstLine="643" w:firstLineChars="200"/>
        <w:contextualSpacing/>
        <w:jc w:val="left"/>
        <w:rPr>
          <w:rFonts w:hint="eastAsia" w:ascii="楷体_GB2312" w:hAnsi="宋体" w:eastAsia="楷体_GB2312" w:cs="Times New Roman"/>
          <w:b/>
          <w:kern w:val="2"/>
          <w:sz w:val="32"/>
          <w:szCs w:val="32"/>
        </w:rPr>
      </w:pPr>
      <w:r>
        <w:rPr>
          <w:rFonts w:hint="eastAsia" w:ascii="楷体_GB2312" w:hAnsi="宋体" w:eastAsia="楷体_GB2312" w:cs="Times New Roman"/>
          <w:b/>
          <w:color w:val="auto"/>
          <w:kern w:val="2"/>
          <w:sz w:val="32"/>
          <w:szCs w:val="32"/>
          <w:lang w:val="en-US" w:eastAsia="zh-CN" w:bidi="ar-SA"/>
        </w:rPr>
        <w:t>（一）设立背景及基本情况。</w:t>
      </w:r>
    </w:p>
    <w:p>
      <w:pPr>
        <w:widowControl w:val="0"/>
        <w:adjustRightInd w:val="0"/>
        <w:snapToGrid w:val="0"/>
        <w:spacing w:before="0" w:beforeAutospacing="0" w:after="0" w:afterAutospacing="0" w:line="360" w:lineRule="auto"/>
        <w:ind w:left="0" w:leftChars="0" w:right="0"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color w:val="auto"/>
          <w:kern w:val="2"/>
          <w:sz w:val="32"/>
          <w:szCs w:val="32"/>
          <w:lang w:val="en-US" w:eastAsia="zh-CN" w:bidi="ar-SA"/>
        </w:rPr>
        <w:t>广元市中级人民法院是独立核算的一级预算部门，负责购买社会化服务项目年初预算的编制和绩效目标的设置，确保项目预算的科学性、合理性、可行性；负责推进项目执行以及项目实施过程管理，包括项目进度监控、成本控制、风险预警、资金支付、财务核算等；项目完成后的决算编审、绩效目标考核和项目自评，以及其他与项目相关工作。</w:t>
      </w:r>
    </w:p>
    <w:p>
      <w:pPr>
        <w:widowControl w:val="0"/>
        <w:adjustRightInd w:val="0"/>
        <w:snapToGrid w:val="0"/>
        <w:spacing w:before="0" w:beforeAutospacing="0" w:after="0" w:afterAutospacing="0" w:line="360" w:lineRule="auto"/>
        <w:ind w:left="0" w:leftChars="0" w:right="0"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color w:val="auto"/>
          <w:kern w:val="2"/>
          <w:sz w:val="32"/>
          <w:szCs w:val="32"/>
          <w:lang w:val="en-US" w:eastAsia="zh-CN" w:bidi="ar-SA"/>
        </w:rPr>
        <w:t>根据《关于印发市级有关部门政府购买服务指导性目录的通知》广财综[2018]172</w:t>
      </w:r>
      <w:r>
        <w:rPr>
          <w:rFonts w:hint="eastAsia" w:ascii="仿宋_GB2312" w:hAnsi="Times New Roman" w:eastAsia="仿宋_GB2312" w:cs="仿宋_GB2312"/>
          <w:color w:val="auto"/>
          <w:kern w:val="2"/>
          <w:sz w:val="32"/>
          <w:szCs w:val="32"/>
          <w:lang w:val="en-US" w:eastAsia="zh-CN" w:bidi="ar-SA"/>
        </w:rPr>
        <w:t>号</w:t>
      </w:r>
      <w:r>
        <w:rPr>
          <w:rFonts w:hint="eastAsia" w:ascii="Times New Roman" w:hAnsi="Times New Roman" w:eastAsia="仿宋_GB2312" w:cs="Times New Roman"/>
          <w:color w:val="auto"/>
          <w:kern w:val="2"/>
          <w:sz w:val="32"/>
          <w:szCs w:val="32"/>
          <w:lang w:val="en-US" w:eastAsia="zh-CN" w:bidi="ar-SA"/>
        </w:rPr>
        <w:t>，加快推进政府购买服务改革，进一步规范购买社会化服务工作。2024年，我院根据往年购买社会化服务实施情况及本年项目开展实际情况，申报购买社会化服务项目资金90万元。</w:t>
      </w:r>
    </w:p>
    <w:p>
      <w:pPr>
        <w:widowControl w:val="0"/>
        <w:numPr>
          <w:ilvl w:val="0"/>
          <w:numId w:val="9"/>
        </w:numPr>
        <w:adjustRightInd w:val="0"/>
        <w:snapToGrid w:val="0"/>
        <w:spacing w:before="0" w:beforeAutospacing="0" w:after="0" w:afterAutospacing="0" w:line="360" w:lineRule="auto"/>
        <w:ind w:left="0" w:leftChars="0" w:right="0" w:firstLine="643" w:firstLineChars="200"/>
        <w:jc w:val="both"/>
        <w:rPr>
          <w:rFonts w:hint="eastAsia" w:ascii="楷体_GB2312" w:hAnsi="宋体" w:eastAsia="楷体_GB2312" w:cs="Times New Roman"/>
          <w:b/>
          <w:kern w:val="2"/>
          <w:sz w:val="32"/>
          <w:szCs w:val="32"/>
        </w:rPr>
      </w:pPr>
      <w:r>
        <w:rPr>
          <w:rFonts w:hint="eastAsia" w:ascii="楷体_GB2312" w:hAnsi="宋体" w:eastAsia="楷体_GB2312" w:cs="Times New Roman"/>
          <w:b/>
          <w:color w:val="auto"/>
          <w:kern w:val="2"/>
          <w:sz w:val="32"/>
          <w:szCs w:val="32"/>
          <w:lang w:val="en-US" w:eastAsia="zh-CN" w:bidi="ar-SA"/>
        </w:rPr>
        <w:t>实施目的及支持方向。</w:t>
      </w:r>
    </w:p>
    <w:p>
      <w:pPr>
        <w:widowControl w:val="0"/>
        <w:adjustRightInd w:val="0"/>
        <w:snapToGrid w:val="0"/>
        <w:spacing w:before="0" w:beforeAutospacing="0" w:after="0" w:afterAutospacing="0" w:line="360" w:lineRule="auto"/>
        <w:ind w:left="0" w:leftChars="0" w:right="0" w:firstLine="640" w:firstLineChars="200"/>
        <w:jc w:val="both"/>
        <w:rPr>
          <w:rFonts w:hint="eastAsia" w:ascii="Times New Roman" w:hAnsi="Times New Roman" w:eastAsia="仿宋_GB2312" w:cs="Times New Roman"/>
          <w:kern w:val="2"/>
          <w:sz w:val="32"/>
          <w:szCs w:val="32"/>
        </w:rPr>
      </w:pPr>
      <w:r>
        <w:rPr>
          <w:rFonts w:hint="eastAsia" w:ascii="仿宋_GB2312" w:hAnsi="Times New Roman" w:eastAsia="仿宋_GB2312" w:cs="仿宋_GB2312"/>
          <w:color w:val="auto"/>
          <w:kern w:val="0"/>
          <w:sz w:val="32"/>
          <w:szCs w:val="32"/>
          <w:shd w:val="clear" w:color="auto" w:fill="FFFFFF"/>
          <w:lang w:val="en-US" w:eastAsia="zh-CN" w:bidi="ar-SA"/>
        </w:rPr>
        <w:t xml:space="preserve"> </w:t>
      </w:r>
      <w:r>
        <w:rPr>
          <w:rFonts w:hint="eastAsia" w:ascii="Times New Roman" w:hAnsi="Times New Roman" w:eastAsia="仿宋_GB2312" w:cs="Times New Roman"/>
          <w:color w:val="auto"/>
          <w:kern w:val="2"/>
          <w:sz w:val="32"/>
          <w:szCs w:val="32"/>
          <w:lang w:val="en-US" w:eastAsia="zh-CN" w:bidi="ar-SA"/>
        </w:rPr>
        <w:t>购买社会化服务项目是一个长期性项目，经费预算编制立足上年项目执行情况和当年工作实际，绩效目标和项目指标编制科学、合理。</w:t>
      </w:r>
    </w:p>
    <w:p>
      <w:pPr>
        <w:widowControl w:val="0"/>
        <w:adjustRightInd w:val="0"/>
        <w:snapToGrid w:val="0"/>
        <w:spacing w:before="0" w:beforeAutospacing="0" w:after="0" w:afterAutospacing="0" w:line="360" w:lineRule="auto"/>
        <w:ind w:left="0" w:leftChars="0" w:right="0" w:firstLine="640" w:firstLineChars="200"/>
        <w:jc w:val="both"/>
        <w:rPr>
          <w:rFonts w:hint="eastAsia" w:ascii="仿宋_GB2312" w:hAnsi="宋体" w:eastAsia="仿宋_GB2312" w:cs="Times New Roman"/>
          <w:b w:val="0"/>
          <w:kern w:val="2"/>
          <w:sz w:val="32"/>
          <w:szCs w:val="32"/>
        </w:rPr>
      </w:pPr>
      <w:r>
        <w:rPr>
          <w:rFonts w:hint="eastAsia" w:ascii="Times New Roman" w:hAnsi="Times New Roman" w:eastAsia="仿宋_GB2312" w:cs="Times New Roman"/>
          <w:color w:val="auto"/>
          <w:kern w:val="2"/>
          <w:sz w:val="32"/>
          <w:szCs w:val="32"/>
          <w:lang w:val="en-US" w:eastAsia="zh-CN" w:bidi="ar-SA"/>
        </w:rPr>
        <w:t>项目资金来源系财政全额拨款的一般公共预算资金，按照我院财务管理办法及专项资金管理细则，实行专款专用。项目的所有经费开支均经过项目责任人、财务负责人、分管院领导的审批签字，并在对应的科目进行专项核算。</w:t>
      </w:r>
    </w:p>
    <w:p>
      <w:pPr>
        <w:widowControl/>
        <w:numPr>
          <w:ilvl w:val="0"/>
          <w:numId w:val="9"/>
        </w:numPr>
        <w:adjustRightInd w:val="0"/>
        <w:snapToGrid w:val="0"/>
        <w:spacing w:before="0" w:beforeAutospacing="0" w:after="0" w:afterAutospacing="0" w:line="360" w:lineRule="auto"/>
        <w:ind w:left="0" w:leftChars="0" w:right="0" w:firstLine="643" w:firstLineChars="200"/>
        <w:contextualSpacing/>
        <w:jc w:val="left"/>
        <w:rPr>
          <w:rFonts w:hint="eastAsia" w:ascii="楷体_GB2312" w:hAnsi="宋体" w:eastAsia="楷体_GB2312" w:cs="Times New Roman"/>
          <w:b/>
          <w:kern w:val="2"/>
          <w:sz w:val="32"/>
          <w:szCs w:val="32"/>
        </w:rPr>
      </w:pPr>
      <w:r>
        <w:rPr>
          <w:rFonts w:hint="eastAsia" w:ascii="楷体_GB2312" w:hAnsi="宋体" w:eastAsia="楷体_GB2312" w:cs="Times New Roman"/>
          <w:b/>
          <w:color w:val="auto"/>
          <w:kern w:val="2"/>
          <w:sz w:val="32"/>
          <w:szCs w:val="32"/>
          <w:lang w:val="en-US" w:eastAsia="zh-CN" w:bidi="ar-SA"/>
        </w:rPr>
        <w:t>预算安排及分配管理。</w:t>
      </w:r>
    </w:p>
    <w:p>
      <w:pPr>
        <w:widowControl w:val="0"/>
        <w:adjustRightInd w:val="0"/>
        <w:snapToGrid w:val="0"/>
        <w:spacing w:before="0" w:beforeAutospacing="0" w:after="0" w:afterAutospacing="0" w:line="360" w:lineRule="auto"/>
        <w:ind w:left="0" w:leftChars="0" w:right="0"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color w:val="auto"/>
          <w:kern w:val="2"/>
          <w:sz w:val="32"/>
          <w:szCs w:val="32"/>
          <w:lang w:val="en-US" w:eastAsia="zh-CN" w:bidi="ar-SA"/>
        </w:rPr>
        <w:t>购买社会化服务项目报送人代会通过后批复</w:t>
      </w:r>
      <w:r>
        <w:rPr>
          <w:rFonts w:hint="eastAsia" w:ascii="仿宋_GB2312" w:hAnsi="Times New Roman" w:eastAsia="仿宋_GB2312" w:cs="仿宋_GB2312"/>
          <w:color w:val="auto"/>
          <w:kern w:val="0"/>
          <w:sz w:val="32"/>
          <w:szCs w:val="32"/>
          <w:shd w:val="clear" w:color="auto" w:fill="FFFFFF"/>
          <w:lang w:val="en-US" w:eastAsia="zh-CN" w:bidi="ar-SA"/>
        </w:rPr>
        <w:t>预算为一般</w:t>
      </w:r>
      <w:r>
        <w:rPr>
          <w:rFonts w:hint="eastAsia" w:ascii="Times New Roman" w:hAnsi="Times New Roman" w:eastAsia="仿宋_GB2312" w:cs="Times New Roman"/>
          <w:color w:val="auto"/>
          <w:kern w:val="2"/>
          <w:sz w:val="32"/>
          <w:szCs w:val="32"/>
          <w:lang w:val="en-US" w:eastAsia="zh-CN" w:bidi="ar-SA"/>
        </w:rPr>
        <w:t>公共预算资金90</w:t>
      </w:r>
      <w:r>
        <w:rPr>
          <w:rFonts w:hint="eastAsia" w:ascii="仿宋_GB2312" w:hAnsi="Times New Roman" w:eastAsia="仿宋_GB2312" w:cs="仿宋_GB2312"/>
          <w:color w:val="auto"/>
          <w:kern w:val="2"/>
          <w:sz w:val="32"/>
          <w:szCs w:val="32"/>
          <w:lang w:val="en-US" w:eastAsia="zh-CN" w:bidi="ar-SA"/>
        </w:rPr>
        <w:t>万元，</w:t>
      </w:r>
      <w:r>
        <w:rPr>
          <w:rFonts w:hint="eastAsia" w:ascii="Times New Roman" w:hAnsi="Times New Roman" w:eastAsia="仿宋_GB2312" w:cs="Times New Roman"/>
          <w:color w:val="auto"/>
          <w:kern w:val="2"/>
          <w:sz w:val="32"/>
          <w:szCs w:val="32"/>
          <w:lang w:val="en-US" w:eastAsia="zh-CN" w:bidi="ar-SA"/>
        </w:rPr>
        <w:t>资金分配严格按照预算安排，主要用于保障购买专业化的审判楼物业管理服务和电子卷宗扫描劳务服务。</w:t>
      </w:r>
    </w:p>
    <w:p>
      <w:pPr>
        <w:widowControl w:val="0"/>
        <w:numPr>
          <w:ilvl w:val="0"/>
          <w:numId w:val="9"/>
        </w:numPr>
        <w:adjustRightInd w:val="0"/>
        <w:snapToGrid w:val="0"/>
        <w:spacing w:before="0" w:beforeAutospacing="0" w:after="0" w:afterAutospacing="0" w:line="360" w:lineRule="auto"/>
        <w:ind w:left="0" w:leftChars="0" w:right="0" w:firstLine="643" w:firstLineChars="200"/>
        <w:jc w:val="both"/>
        <w:rPr>
          <w:rFonts w:hint="eastAsia" w:ascii="楷体_GB2312" w:hAnsi="宋体" w:eastAsia="楷体_GB2312" w:cs="Times New Roman"/>
          <w:b/>
          <w:kern w:val="2"/>
          <w:sz w:val="32"/>
          <w:szCs w:val="32"/>
        </w:rPr>
      </w:pPr>
      <w:r>
        <w:rPr>
          <w:rFonts w:hint="eastAsia" w:ascii="楷体_GB2312" w:hAnsi="宋体" w:eastAsia="楷体_GB2312" w:cs="Times New Roman"/>
          <w:b/>
          <w:color w:val="auto"/>
          <w:kern w:val="2"/>
          <w:sz w:val="32"/>
          <w:szCs w:val="32"/>
          <w:lang w:val="en-US" w:eastAsia="zh-CN" w:bidi="ar-SA"/>
        </w:rPr>
        <w:t>项目绩效目标设置。</w:t>
      </w:r>
    </w:p>
    <w:p>
      <w:pPr>
        <w:widowControl w:val="0"/>
        <w:adjustRightInd w:val="0"/>
        <w:snapToGrid w:val="0"/>
        <w:spacing w:before="0" w:beforeAutospacing="0" w:after="0" w:afterAutospacing="0" w:line="360" w:lineRule="auto"/>
        <w:ind w:left="0" w:leftChars="0" w:right="0"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b w:val="0"/>
          <w:color w:val="auto"/>
          <w:kern w:val="2"/>
          <w:sz w:val="32"/>
          <w:szCs w:val="32"/>
          <w:lang w:val="en-US" w:eastAsia="zh-CN" w:bidi="ar-SA"/>
        </w:rPr>
        <w:t>2024年度</w:t>
      </w:r>
      <w:r>
        <w:rPr>
          <w:rFonts w:hint="eastAsia" w:ascii="Times New Roman" w:hAnsi="Times New Roman" w:eastAsia="仿宋_GB2312" w:cs="Times New Roman"/>
          <w:color w:val="auto"/>
          <w:kern w:val="2"/>
          <w:sz w:val="32"/>
          <w:szCs w:val="32"/>
          <w:lang w:val="en-US" w:eastAsia="zh-CN" w:bidi="ar-SA"/>
        </w:rPr>
        <w:t>购买社会化服务项目主要是保障购买专业化的审判楼物业管理服务和电子卷宗扫描服务，保障了审判大楼及办公区干净整洁，畅通了办公办案秩序，提升了干警办案质效，实现减负增效的同时保证社会效益最大化。</w:t>
      </w:r>
    </w:p>
    <w:p>
      <w:pPr>
        <w:widowControl w:val="0"/>
        <w:adjustRightInd w:val="0"/>
        <w:snapToGrid w:val="0"/>
        <w:spacing w:before="0" w:beforeAutospacing="0" w:after="0" w:afterAutospacing="0" w:line="360" w:lineRule="auto"/>
        <w:ind w:left="0" w:leftChars="0" w:right="0" w:firstLine="640" w:firstLineChars="200"/>
        <w:jc w:val="both"/>
        <w:rPr>
          <w:rFonts w:hint="eastAsia" w:ascii="Times New Roman" w:hAnsi="Times New Roman" w:eastAsia="仿宋_GB2312" w:cs="Times New Roman"/>
          <w:b w:val="0"/>
          <w:kern w:val="2"/>
          <w:sz w:val="32"/>
          <w:szCs w:val="32"/>
        </w:rPr>
      </w:pPr>
      <w:r>
        <w:rPr>
          <w:rFonts w:hint="eastAsia" w:ascii="Times New Roman" w:hAnsi="Times New Roman" w:eastAsia="仿宋_GB2312" w:cs="Times New Roman"/>
          <w:b w:val="0"/>
          <w:color w:val="auto"/>
          <w:kern w:val="2"/>
          <w:sz w:val="32"/>
          <w:szCs w:val="32"/>
          <w:lang w:val="en-US" w:eastAsia="zh-CN" w:bidi="ar-SA"/>
        </w:rPr>
        <w:t>该项目预算执行情况自评权重为10%</w:t>
      </w:r>
      <w:r>
        <w:rPr>
          <w:rFonts w:hint="eastAsia" w:ascii="仿宋_GB2312" w:hAnsi="Times New Roman" w:eastAsia="仿宋_GB2312" w:cs="仿宋_GB2312"/>
          <w:b w:val="0"/>
          <w:color w:val="auto"/>
          <w:kern w:val="2"/>
          <w:sz w:val="32"/>
          <w:szCs w:val="32"/>
          <w:lang w:val="en-US" w:eastAsia="zh-CN" w:bidi="ar-SA"/>
        </w:rPr>
        <w:t>，满分为</w:t>
      </w:r>
      <w:r>
        <w:rPr>
          <w:rFonts w:hint="eastAsia" w:ascii="Times New Roman" w:hAnsi="Times New Roman" w:eastAsia="仿宋_GB2312" w:cs="Times New Roman"/>
          <w:b w:val="0"/>
          <w:color w:val="auto"/>
          <w:kern w:val="2"/>
          <w:sz w:val="32"/>
          <w:szCs w:val="32"/>
          <w:lang w:val="en-US" w:eastAsia="zh-CN" w:bidi="ar-SA"/>
        </w:rPr>
        <w:t>10</w:t>
      </w:r>
      <w:r>
        <w:rPr>
          <w:rFonts w:hint="eastAsia" w:ascii="仿宋_GB2312" w:hAnsi="Times New Roman" w:eastAsia="仿宋_GB2312" w:cs="仿宋_GB2312"/>
          <w:b w:val="0"/>
          <w:color w:val="auto"/>
          <w:kern w:val="2"/>
          <w:sz w:val="32"/>
          <w:szCs w:val="32"/>
          <w:lang w:val="en-US" w:eastAsia="zh-CN" w:bidi="ar-SA"/>
        </w:rPr>
        <w:t>分，其余产出指标、效益指标、成本指标，满意度指标绩效目标设置权重为</w:t>
      </w:r>
      <w:r>
        <w:rPr>
          <w:rFonts w:hint="eastAsia" w:ascii="Times New Roman" w:hAnsi="Times New Roman" w:eastAsia="仿宋_GB2312" w:cs="Times New Roman"/>
          <w:b w:val="0"/>
          <w:color w:val="auto"/>
          <w:kern w:val="2"/>
          <w:sz w:val="32"/>
          <w:szCs w:val="32"/>
          <w:lang w:val="en-US" w:eastAsia="zh-CN" w:bidi="ar-SA"/>
        </w:rPr>
        <w:t>90%</w:t>
      </w:r>
      <w:r>
        <w:rPr>
          <w:rFonts w:hint="eastAsia" w:ascii="仿宋_GB2312" w:hAnsi="Times New Roman" w:eastAsia="仿宋_GB2312" w:cs="仿宋_GB2312"/>
          <w:b w:val="0"/>
          <w:color w:val="auto"/>
          <w:kern w:val="2"/>
          <w:sz w:val="32"/>
          <w:szCs w:val="32"/>
          <w:lang w:val="en-US" w:eastAsia="zh-CN" w:bidi="ar-SA"/>
        </w:rPr>
        <w:t>，具体明细见下表：</w:t>
      </w:r>
    </w:p>
    <w:tbl>
      <w:tblPr>
        <w:tblStyle w:val="25"/>
        <w:tblW w:w="838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4"/>
        <w:gridCol w:w="823"/>
        <w:gridCol w:w="1210"/>
        <w:gridCol w:w="2413"/>
        <w:gridCol w:w="865"/>
        <w:gridCol w:w="1045"/>
        <w:gridCol w:w="839"/>
        <w:gridCol w:w="4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4" w:type="dxa"/>
            <w:vMerge w:val="restart"/>
            <w:tcBorders>
              <w:top w:val="single" w:color="000000" w:sz="4" w:space="0"/>
              <w:left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绩效指标（90分）</w:t>
            </w:r>
          </w:p>
        </w:tc>
        <w:tc>
          <w:tcPr>
            <w:tcW w:w="82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一级指标</w:t>
            </w:r>
          </w:p>
        </w:tc>
        <w:tc>
          <w:tcPr>
            <w:tcW w:w="121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二级指标</w:t>
            </w:r>
          </w:p>
        </w:tc>
        <w:tc>
          <w:tcPr>
            <w:tcW w:w="241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三级指标</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指标性质</w:t>
            </w:r>
          </w:p>
        </w:tc>
        <w:tc>
          <w:tcPr>
            <w:tcW w:w="104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指标值</w:t>
            </w:r>
          </w:p>
        </w:tc>
        <w:tc>
          <w:tcPr>
            <w:tcW w:w="839"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度量单位</w:t>
            </w:r>
          </w:p>
        </w:tc>
        <w:tc>
          <w:tcPr>
            <w:tcW w:w="426"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4"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823" w:type="dxa"/>
            <w:vMerge w:val="restart"/>
            <w:tcBorders>
              <w:top w:val="nil"/>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产出指标</w:t>
            </w:r>
          </w:p>
        </w:tc>
        <w:tc>
          <w:tcPr>
            <w:tcW w:w="1210" w:type="dxa"/>
            <w:vMerge w:val="restart"/>
            <w:tcBorders>
              <w:top w:val="nil"/>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数量指标</w:t>
            </w:r>
          </w:p>
        </w:tc>
        <w:tc>
          <w:tcPr>
            <w:tcW w:w="241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完成电子卷宗扫描数量</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104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50</w:t>
            </w:r>
          </w:p>
        </w:tc>
        <w:tc>
          <w:tcPr>
            <w:tcW w:w="839"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万页</w:t>
            </w:r>
          </w:p>
        </w:tc>
        <w:tc>
          <w:tcPr>
            <w:tcW w:w="426"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10" w:hRule="atLeast"/>
          <w:jc w:val="center"/>
        </w:trPr>
        <w:tc>
          <w:tcPr>
            <w:tcW w:w="764"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823"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1210"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241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电子卷宗扫描服务人员数量</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104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4</w:t>
            </w:r>
          </w:p>
        </w:tc>
        <w:tc>
          <w:tcPr>
            <w:tcW w:w="839"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人</w:t>
            </w:r>
          </w:p>
        </w:tc>
        <w:tc>
          <w:tcPr>
            <w:tcW w:w="426"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4"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823"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1210"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241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物业管理服务人员数量</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104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16</w:t>
            </w:r>
          </w:p>
        </w:tc>
        <w:tc>
          <w:tcPr>
            <w:tcW w:w="839"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人</w:t>
            </w:r>
          </w:p>
        </w:tc>
        <w:tc>
          <w:tcPr>
            <w:tcW w:w="426"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764"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823"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1210"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241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完成项目个数</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104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2</w:t>
            </w:r>
          </w:p>
        </w:tc>
        <w:tc>
          <w:tcPr>
            <w:tcW w:w="839"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个</w:t>
            </w:r>
          </w:p>
        </w:tc>
        <w:tc>
          <w:tcPr>
            <w:tcW w:w="426"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jc w:val="center"/>
        </w:trPr>
        <w:tc>
          <w:tcPr>
            <w:tcW w:w="764"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823"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121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质量指标</w:t>
            </w:r>
          </w:p>
        </w:tc>
        <w:tc>
          <w:tcPr>
            <w:tcW w:w="241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项目验收合格率</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104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100</w:t>
            </w:r>
          </w:p>
        </w:tc>
        <w:tc>
          <w:tcPr>
            <w:tcW w:w="839"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426"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14" w:hRule="atLeast"/>
          <w:jc w:val="center"/>
        </w:trPr>
        <w:tc>
          <w:tcPr>
            <w:tcW w:w="764"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823"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121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时效指标</w:t>
            </w:r>
          </w:p>
        </w:tc>
        <w:tc>
          <w:tcPr>
            <w:tcW w:w="241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社会化服务工作及时完成率</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104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100</w:t>
            </w:r>
          </w:p>
        </w:tc>
        <w:tc>
          <w:tcPr>
            <w:tcW w:w="839"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426"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764"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823" w:type="dxa"/>
            <w:vMerge w:val="restart"/>
            <w:tcBorders>
              <w:top w:val="nil"/>
              <w:left w:val="nil"/>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效益指标</w:t>
            </w:r>
          </w:p>
        </w:tc>
        <w:tc>
          <w:tcPr>
            <w:tcW w:w="121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社会效益指标</w:t>
            </w:r>
          </w:p>
        </w:tc>
        <w:tc>
          <w:tcPr>
            <w:tcW w:w="241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充分发挥社会化服务行业优势，辅助高效完成审判、执行等各项工作。</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定性</w:t>
            </w:r>
          </w:p>
        </w:tc>
        <w:tc>
          <w:tcPr>
            <w:tcW w:w="104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优</w:t>
            </w:r>
          </w:p>
        </w:tc>
        <w:tc>
          <w:tcPr>
            <w:tcW w:w="839"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级</w:t>
            </w:r>
          </w:p>
        </w:tc>
        <w:tc>
          <w:tcPr>
            <w:tcW w:w="426"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764"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823" w:type="dxa"/>
            <w:vMerge w:val="continue"/>
            <w:tcBorders>
              <w:top w:val="nil"/>
              <w:left w:val="nil"/>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121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可持续影响指标</w:t>
            </w:r>
          </w:p>
        </w:tc>
        <w:tc>
          <w:tcPr>
            <w:tcW w:w="241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维护正常办公、办案秩序和环境，规范案件卷宗保管及储存。</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定性</w:t>
            </w:r>
          </w:p>
        </w:tc>
        <w:tc>
          <w:tcPr>
            <w:tcW w:w="104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优</w:t>
            </w:r>
          </w:p>
        </w:tc>
        <w:tc>
          <w:tcPr>
            <w:tcW w:w="839"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级</w:t>
            </w:r>
          </w:p>
        </w:tc>
        <w:tc>
          <w:tcPr>
            <w:tcW w:w="426"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764"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82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满意度指标</w:t>
            </w:r>
          </w:p>
        </w:tc>
        <w:tc>
          <w:tcPr>
            <w:tcW w:w="121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服务对象满意度指标</w:t>
            </w:r>
          </w:p>
        </w:tc>
        <w:tc>
          <w:tcPr>
            <w:tcW w:w="241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干警满意度</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w:t>
            </w:r>
          </w:p>
        </w:tc>
        <w:tc>
          <w:tcPr>
            <w:tcW w:w="104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90</w:t>
            </w:r>
          </w:p>
        </w:tc>
        <w:tc>
          <w:tcPr>
            <w:tcW w:w="839"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w:t>
            </w:r>
          </w:p>
        </w:tc>
        <w:tc>
          <w:tcPr>
            <w:tcW w:w="426"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764"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82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成本指标</w:t>
            </w:r>
          </w:p>
        </w:tc>
        <w:tc>
          <w:tcPr>
            <w:tcW w:w="121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经济成本指标</w:t>
            </w:r>
          </w:p>
        </w:tc>
        <w:tc>
          <w:tcPr>
            <w:tcW w:w="241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项目总成本</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w:t>
            </w:r>
          </w:p>
        </w:tc>
        <w:tc>
          <w:tcPr>
            <w:tcW w:w="104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90</w:t>
            </w:r>
          </w:p>
        </w:tc>
        <w:tc>
          <w:tcPr>
            <w:tcW w:w="839"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万元</w:t>
            </w:r>
          </w:p>
        </w:tc>
        <w:tc>
          <w:tcPr>
            <w:tcW w:w="426"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20</w:t>
            </w:r>
          </w:p>
        </w:tc>
      </w:tr>
    </w:tbl>
    <w:p>
      <w:pPr>
        <w:pStyle w:val="2"/>
        <w:widowControl/>
        <w:spacing w:before="100" w:beforeAutospacing="1" w:after="0" w:afterAutospacing="0" w:line="360" w:lineRule="auto"/>
        <w:ind w:left="0" w:leftChars="0" w:right="0" w:firstLine="640" w:firstLineChars="200"/>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我院对于该项目的申报内容与实际业务的开展相关且符合工作实际，申报的绩效目标易于考核，合理可行，操作性强。项目绩效自评采用中期监控和年终绩效考核相结合的方式进行。项目绩效自评由项目实施的项目部门行装处及立案庭报送年度内具体工作开展情况，并对项目的实施情况总结并自评，督察室监督审核工作的完成进度并进行项目验收，行装处负责统计相关项目工作的资金支付情况，并通过共同研讨、数据对比等方法对该项目进行自评打分。</w:t>
      </w:r>
    </w:p>
    <w:p>
      <w:pPr>
        <w:widowControl w:val="0"/>
        <w:adjustRightInd w:val="0"/>
        <w:snapToGrid w:val="0"/>
        <w:spacing w:before="0" w:beforeAutospacing="0" w:after="0" w:afterAutospacing="0" w:line="360" w:lineRule="auto"/>
        <w:ind w:left="0" w:leftChars="0" w:right="0" w:firstLine="643" w:firstLineChars="200"/>
        <w:jc w:val="both"/>
        <w:rPr>
          <w:rFonts w:hint="eastAsia" w:ascii="黑体" w:hAnsi="宋体" w:eastAsia="黑体" w:cs="Times New Roman"/>
          <w:b/>
          <w:kern w:val="2"/>
          <w:sz w:val="32"/>
          <w:szCs w:val="32"/>
        </w:rPr>
      </w:pPr>
      <w:r>
        <w:rPr>
          <w:rFonts w:hint="eastAsia" w:ascii="黑体" w:hAnsi="宋体" w:eastAsia="黑体" w:cs="Times New Roman"/>
          <w:b/>
          <w:color w:val="auto"/>
          <w:kern w:val="2"/>
          <w:sz w:val="32"/>
          <w:szCs w:val="32"/>
          <w:lang w:val="en-US" w:eastAsia="zh-CN" w:bidi="ar-SA"/>
        </w:rPr>
        <w:t>二、评价实施</w:t>
      </w:r>
    </w:p>
    <w:p>
      <w:pPr>
        <w:widowControl w:val="0"/>
        <w:spacing w:before="0" w:beforeAutospacing="0" w:after="0" w:afterAutospacing="0" w:line="360" w:lineRule="auto"/>
        <w:ind w:left="0" w:leftChars="0" w:right="0" w:firstLine="640"/>
        <w:jc w:val="both"/>
        <w:rPr>
          <w:rFonts w:hint="eastAsia" w:ascii="楷体_GB2312" w:hAnsi="宋体" w:eastAsia="楷体_GB2312" w:cs="Times New Roman"/>
          <w:b/>
          <w:kern w:val="2"/>
          <w:sz w:val="32"/>
          <w:szCs w:val="32"/>
        </w:rPr>
      </w:pPr>
      <w:r>
        <w:rPr>
          <w:rFonts w:hint="eastAsia" w:ascii="楷体_GB2312" w:hAnsi="宋体" w:eastAsia="楷体_GB2312" w:cs="Times New Roman"/>
          <w:b/>
          <w:color w:val="auto"/>
          <w:kern w:val="2"/>
          <w:sz w:val="32"/>
          <w:szCs w:val="32"/>
          <w:lang w:val="en-US" w:eastAsia="zh-CN" w:bidi="ar-SA"/>
        </w:rPr>
        <w:t>（一）评价目的。</w:t>
      </w:r>
    </w:p>
    <w:p>
      <w:pPr>
        <w:widowControl w:val="0"/>
        <w:spacing w:before="0" w:beforeAutospacing="0" w:after="0" w:afterAutospacing="0" w:line="360" w:lineRule="auto"/>
        <w:ind w:left="0" w:leftChars="0" w:right="0" w:firstLine="64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color w:val="auto"/>
          <w:kern w:val="2"/>
          <w:sz w:val="32"/>
          <w:szCs w:val="32"/>
          <w:lang w:val="en-US" w:eastAsia="zh-CN" w:bidi="ar-SA"/>
        </w:rPr>
        <w:t>通过项目绩效自评要实现对购买社会化服务项目资金效益的监督及项目目标实现度的管理，促进财政资金发挥更大的效益，通过专业物业服务保障审判大楼及办公区干净整洁，畅通了办公办案秩序，通过卷宗扫描服务提升了干警办案质效，实现减负增效的同时保证社会效益最大化，推动审判执行工作高质效开展。</w:t>
      </w:r>
    </w:p>
    <w:p>
      <w:pPr>
        <w:widowControl w:val="0"/>
        <w:numPr>
          <w:ilvl w:val="0"/>
          <w:numId w:val="10"/>
        </w:numPr>
        <w:adjustRightInd w:val="0"/>
        <w:snapToGrid w:val="0"/>
        <w:spacing w:before="0" w:beforeAutospacing="0" w:after="0" w:afterAutospacing="0" w:line="360" w:lineRule="auto"/>
        <w:ind w:left="0" w:leftChars="0" w:right="0" w:firstLine="643" w:firstLineChars="200"/>
        <w:jc w:val="both"/>
        <w:rPr>
          <w:rFonts w:hint="eastAsia" w:ascii="楷体_GB2312" w:hAnsi="宋体" w:eastAsia="楷体_GB2312" w:cs="Times New Roman"/>
          <w:b/>
          <w:kern w:val="2"/>
          <w:sz w:val="32"/>
          <w:szCs w:val="32"/>
        </w:rPr>
      </w:pPr>
      <w:r>
        <w:rPr>
          <w:rFonts w:hint="eastAsia" w:ascii="楷体_GB2312" w:hAnsi="宋体" w:eastAsia="楷体_GB2312" w:cs="Times New Roman"/>
          <w:b/>
          <w:color w:val="auto"/>
          <w:kern w:val="2"/>
          <w:sz w:val="32"/>
          <w:szCs w:val="32"/>
          <w:lang w:val="en-US" w:eastAsia="zh-CN" w:bidi="ar-SA"/>
        </w:rPr>
        <w:t>预设问题及评价重点。</w:t>
      </w:r>
    </w:p>
    <w:p>
      <w:pPr>
        <w:widowControl w:val="0"/>
        <w:adjustRightInd w:val="0"/>
        <w:snapToGrid w:val="0"/>
        <w:spacing w:before="0" w:beforeAutospacing="0" w:after="0" w:afterAutospacing="0" w:line="360" w:lineRule="auto"/>
        <w:ind w:left="0" w:leftChars="0" w:right="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color w:val="auto"/>
          <w:kern w:val="2"/>
          <w:sz w:val="32"/>
          <w:szCs w:val="32"/>
          <w:lang w:val="en-US" w:eastAsia="zh-CN" w:bidi="ar-SA"/>
        </w:rPr>
        <w:t xml:space="preserve">    该项目资金为一般公共预算财政拨款收入安排，市财政局通过预算对我院下达此专项资金90万元，资金及时到位，资金到位率100%</w:t>
      </w:r>
      <w:r>
        <w:rPr>
          <w:rFonts w:hint="eastAsia" w:ascii="仿宋_GB2312" w:hAnsi="Times New Roman" w:eastAsia="仿宋_GB2312" w:cs="仿宋_GB2312"/>
          <w:color w:val="auto"/>
          <w:kern w:val="2"/>
          <w:sz w:val="32"/>
          <w:szCs w:val="32"/>
          <w:lang w:val="en-US" w:eastAsia="zh-CN" w:bidi="ar-SA"/>
        </w:rPr>
        <w:t>，到位及时率</w:t>
      </w:r>
      <w:r>
        <w:rPr>
          <w:rFonts w:hint="eastAsia" w:ascii="Times New Roman" w:hAnsi="Times New Roman" w:eastAsia="仿宋_GB2312" w:cs="Times New Roman"/>
          <w:color w:val="auto"/>
          <w:kern w:val="2"/>
          <w:sz w:val="32"/>
          <w:szCs w:val="32"/>
          <w:lang w:val="en-US" w:eastAsia="zh-CN" w:bidi="ar-SA"/>
        </w:rPr>
        <w:t>100%，预算执行率72.46%</w:t>
      </w:r>
      <w:r>
        <w:rPr>
          <w:rFonts w:hint="eastAsia" w:ascii="仿宋_GB2312" w:hAnsi="Times New Roman" w:eastAsia="仿宋_GB2312" w:cs="仿宋_GB2312"/>
          <w:color w:val="auto"/>
          <w:kern w:val="2"/>
          <w:sz w:val="32"/>
          <w:szCs w:val="32"/>
          <w:lang w:val="en-US" w:eastAsia="zh-CN" w:bidi="ar-SA"/>
        </w:rPr>
        <w:t>，</w:t>
      </w:r>
      <w:r>
        <w:rPr>
          <w:rFonts w:hint="eastAsia" w:ascii="Times New Roman" w:hAnsi="Times New Roman" w:eastAsia="仿宋_GB2312" w:cs="Times New Roman"/>
          <w:color w:val="auto"/>
          <w:kern w:val="2"/>
          <w:sz w:val="32"/>
          <w:szCs w:val="32"/>
          <w:lang w:val="en-US" w:eastAsia="zh-CN" w:bidi="ar-SA"/>
        </w:rPr>
        <w:t>顺利完成了实施进度所对应的部门项目内容验收和资金支付。项目实行专项核算，资金支付合规、合法，无超预算和范围支付情况，无截留、挤占、挪用专项资金现象，无虚列项目成本、无进行大额现金支付现象，项目资金使用均按规定标准执行。</w:t>
      </w:r>
    </w:p>
    <w:p>
      <w:pPr>
        <w:widowControl w:val="0"/>
        <w:numPr>
          <w:numId w:val="0"/>
        </w:numPr>
        <w:adjustRightInd w:val="0"/>
        <w:snapToGrid w:val="0"/>
        <w:spacing w:before="0" w:beforeAutospacing="0" w:after="0" w:afterAutospacing="0" w:line="360" w:lineRule="auto"/>
        <w:ind w:leftChars="200" w:right="0"/>
        <w:jc w:val="both"/>
        <w:rPr>
          <w:rFonts w:hint="eastAsia" w:ascii="楷体_GB2312" w:hAnsi="宋体" w:eastAsia="楷体_GB2312" w:cs="Times New Roman"/>
          <w:b/>
          <w:kern w:val="2"/>
          <w:sz w:val="32"/>
          <w:szCs w:val="32"/>
        </w:rPr>
      </w:pPr>
      <w:r>
        <w:rPr>
          <w:rFonts w:hint="eastAsia" w:ascii="楷体_GB2312" w:hAnsi="宋体" w:eastAsia="楷体_GB2312" w:cs="Times New Roman"/>
          <w:b/>
          <w:color w:val="auto"/>
          <w:kern w:val="2"/>
          <w:sz w:val="32"/>
          <w:szCs w:val="32"/>
          <w:lang w:val="en-US" w:eastAsia="zh-CN" w:bidi="ar-SA"/>
        </w:rPr>
        <w:t xml:space="preserve"> （三）评价选点。</w:t>
      </w:r>
    </w:p>
    <w:p>
      <w:pPr>
        <w:widowControl w:val="0"/>
        <w:adjustRightInd w:val="0"/>
        <w:snapToGrid w:val="0"/>
        <w:spacing w:before="0" w:beforeAutospacing="0" w:after="0" w:afterAutospacing="0" w:line="360" w:lineRule="auto"/>
        <w:ind w:left="0" w:leftChars="0" w:right="0" w:firstLine="64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b w:val="0"/>
          <w:color w:val="auto"/>
          <w:kern w:val="2"/>
          <w:sz w:val="32"/>
          <w:szCs w:val="32"/>
          <w:lang w:val="en-US" w:eastAsia="zh-CN" w:bidi="ar-SA"/>
        </w:rPr>
        <w:t>物业管理服务按照季度查阅相关服务影像及验收</w:t>
      </w:r>
      <w:r>
        <w:rPr>
          <w:rFonts w:hint="eastAsia" w:ascii="Times New Roman" w:hAnsi="Times New Roman" w:eastAsia="仿宋_GB2312" w:cs="Times New Roman"/>
          <w:color w:val="auto"/>
          <w:kern w:val="2"/>
          <w:sz w:val="32"/>
          <w:szCs w:val="32"/>
          <w:lang w:val="en-US" w:eastAsia="zh-CN" w:bidi="ar-SA"/>
        </w:rPr>
        <w:t>相关资料，卷宗扫描调取已完成数据加工的电子卷宗进行核检，核查资金使用合规性等。</w:t>
      </w:r>
    </w:p>
    <w:p>
      <w:pPr>
        <w:widowControl w:val="0"/>
        <w:numPr>
          <w:numId w:val="0"/>
        </w:numPr>
        <w:spacing w:before="0" w:beforeAutospacing="0" w:after="0" w:afterAutospacing="0" w:line="360" w:lineRule="auto"/>
        <w:ind w:right="0"/>
        <w:jc w:val="both"/>
        <w:rPr>
          <w:rFonts w:hint="eastAsia" w:ascii="楷体_GB2312" w:hAnsi="宋体" w:eastAsia="楷体_GB2312" w:cs="Times New Roman"/>
          <w:b/>
          <w:kern w:val="2"/>
          <w:sz w:val="32"/>
          <w:szCs w:val="32"/>
        </w:rPr>
      </w:pPr>
      <w:r>
        <w:rPr>
          <w:rFonts w:hint="eastAsia" w:ascii="楷体_GB2312" w:hAnsi="宋体" w:eastAsia="楷体_GB2312" w:cs="Times New Roman"/>
          <w:b/>
          <w:color w:val="auto"/>
          <w:kern w:val="2"/>
          <w:sz w:val="32"/>
          <w:szCs w:val="32"/>
          <w:lang w:val="en-US" w:eastAsia="zh-CN" w:bidi="ar-SA"/>
        </w:rPr>
        <w:t xml:space="preserve">   （四）评价方法。</w:t>
      </w:r>
    </w:p>
    <w:p>
      <w:pPr>
        <w:widowControl w:val="0"/>
        <w:spacing w:before="0" w:beforeAutospacing="0" w:after="0" w:afterAutospacing="0" w:line="360" w:lineRule="auto"/>
        <w:ind w:left="0" w:leftChars="0" w:right="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color w:val="auto"/>
          <w:kern w:val="2"/>
          <w:sz w:val="32"/>
          <w:szCs w:val="32"/>
          <w:lang w:val="en-US" w:eastAsia="zh-CN" w:bidi="ar-SA"/>
        </w:rPr>
        <w:t xml:space="preserve">    根据项目情况和评价重点，采用单位自评法、座谈调研法用来收集相关材料和开展具体评价的方法。</w:t>
      </w:r>
    </w:p>
    <w:p>
      <w:pPr>
        <w:widowControl w:val="0"/>
        <w:spacing w:before="0" w:beforeAutospacing="0" w:after="0" w:afterAutospacing="0" w:line="360" w:lineRule="auto"/>
        <w:ind w:left="0" w:leftChars="0" w:right="0"/>
        <w:jc w:val="both"/>
        <w:rPr>
          <w:rFonts w:hint="eastAsia" w:ascii="楷体_GB2312" w:hAnsi="宋体" w:eastAsia="楷体_GB2312" w:cs="Times New Roman"/>
          <w:b/>
          <w:kern w:val="2"/>
          <w:sz w:val="32"/>
          <w:szCs w:val="32"/>
        </w:rPr>
      </w:pPr>
      <w:r>
        <w:rPr>
          <w:rFonts w:hint="eastAsia" w:ascii="楷体_GB2312" w:hAnsi="宋体" w:eastAsia="楷体_GB2312" w:cs="Times New Roman"/>
          <w:b/>
          <w:color w:val="auto"/>
          <w:kern w:val="2"/>
          <w:sz w:val="32"/>
          <w:szCs w:val="32"/>
          <w:lang w:val="en-US" w:eastAsia="zh-CN" w:bidi="ar-SA"/>
        </w:rPr>
        <w:t xml:space="preserve">   （五）评价组织。</w:t>
      </w:r>
    </w:p>
    <w:p>
      <w:pPr>
        <w:widowControl w:val="0"/>
        <w:adjustRightInd w:val="0"/>
        <w:snapToGrid w:val="0"/>
        <w:spacing w:before="0" w:beforeAutospacing="0" w:after="0" w:afterAutospacing="0" w:line="360" w:lineRule="auto"/>
        <w:ind w:left="0" w:leftChars="0" w:right="0"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color w:val="auto"/>
          <w:kern w:val="2"/>
          <w:sz w:val="32"/>
          <w:szCs w:val="32"/>
          <w:lang w:val="en-US" w:eastAsia="zh-CN" w:bidi="ar-SA"/>
        </w:rPr>
        <w:t>绩效评价领导小组以常务副院长为组长，各业务部门、行装处、督查室部门领导为组员组成；绩效评价工作小组由各部门内勤及财务人员组成。采取“谁申报项目，谁负责绩效评价”的原则，由项目部门行装处及立案庭牵头，召集工作小组对项目进行初评，然后呈报至领导小组复核。根据财政专项项目管理办法及财政资金管理要求，由院内督察室进行定期监督，做到了专款专用，执行有力，且没有超预算和范围、违规报销行为，没有滞留、截流、挤占、挪用项目资金的现象。</w:t>
      </w:r>
    </w:p>
    <w:p>
      <w:pPr>
        <w:widowControl w:val="0"/>
        <w:adjustRightInd w:val="0"/>
        <w:snapToGrid w:val="0"/>
        <w:spacing w:before="0" w:beforeAutospacing="0" w:after="0" w:afterAutospacing="0" w:line="360" w:lineRule="auto"/>
        <w:ind w:left="0" w:leftChars="0" w:right="0" w:firstLine="643" w:firstLineChars="200"/>
        <w:jc w:val="both"/>
        <w:rPr>
          <w:rFonts w:hint="eastAsia" w:ascii="仿宋_GB2312" w:hAnsi="宋体" w:eastAsia="仿宋_GB2312" w:cs="Times New Roman"/>
          <w:b/>
          <w:kern w:val="2"/>
          <w:sz w:val="32"/>
          <w:szCs w:val="32"/>
        </w:rPr>
      </w:pPr>
      <w:r>
        <w:rPr>
          <w:rFonts w:hint="eastAsia" w:ascii="黑体" w:hAnsi="宋体" w:eastAsia="黑体" w:cs="Times New Roman"/>
          <w:b/>
          <w:color w:val="auto"/>
          <w:kern w:val="2"/>
          <w:sz w:val="32"/>
          <w:szCs w:val="32"/>
          <w:lang w:val="en-US" w:eastAsia="zh-CN" w:bidi="ar-SA"/>
        </w:rPr>
        <w:t>三、绩效分析</w:t>
      </w:r>
      <w:r>
        <w:rPr>
          <w:rFonts w:hint="eastAsia" w:ascii="仿宋_GB2312" w:hAnsi="宋体" w:eastAsia="仿宋_GB2312" w:cs="Times New Roman"/>
          <w:b/>
          <w:color w:val="auto"/>
          <w:kern w:val="2"/>
          <w:sz w:val="32"/>
          <w:szCs w:val="32"/>
          <w:lang w:val="en-US" w:eastAsia="zh-CN" w:bidi="ar-SA"/>
        </w:rPr>
        <w:tab/>
      </w:r>
    </w:p>
    <w:p>
      <w:pPr>
        <w:widowControl w:val="0"/>
        <w:spacing w:before="0" w:beforeAutospacing="0" w:after="0" w:afterAutospacing="0" w:line="360" w:lineRule="auto"/>
        <w:ind w:left="0" w:leftChars="0" w:right="0" w:firstLine="640"/>
        <w:jc w:val="both"/>
        <w:rPr>
          <w:rFonts w:hint="eastAsia" w:ascii="Times New Roman" w:hAnsi="Times New Roman" w:eastAsia="楷体_GB2312" w:cs="Times New Roman"/>
          <w:b/>
          <w:color w:val="000000"/>
          <w:kern w:val="0"/>
          <w:sz w:val="32"/>
          <w:szCs w:val="32"/>
          <w:shd w:val="clear" w:color="auto" w:fill="FFFFFF"/>
        </w:rPr>
      </w:pPr>
      <w:r>
        <w:rPr>
          <w:rFonts w:hint="eastAsia" w:ascii="楷体_GB2312" w:hAnsi="宋体" w:eastAsia="楷体_GB2312" w:cs="Times New Roman"/>
          <w:b/>
          <w:color w:val="auto"/>
          <w:kern w:val="2"/>
          <w:sz w:val="32"/>
          <w:szCs w:val="32"/>
          <w:lang w:val="en-US" w:eastAsia="zh-CN" w:bidi="ar-SA"/>
        </w:rPr>
        <w:t>（一）通用指标</w:t>
      </w:r>
      <w:r>
        <w:rPr>
          <w:rFonts w:hint="eastAsia" w:ascii="Times New Roman" w:hAnsi="Times New Roman" w:eastAsia="楷体_GB2312" w:cs="Times New Roman"/>
          <w:b/>
          <w:color w:val="000000"/>
          <w:kern w:val="0"/>
          <w:sz w:val="32"/>
          <w:szCs w:val="32"/>
          <w:shd w:val="clear" w:color="auto" w:fill="FFFFFF"/>
          <w:lang w:val="en-US" w:eastAsia="zh-CN" w:bidi="ar-SA"/>
        </w:rPr>
        <w:t>绩效得分51.52</w:t>
      </w:r>
      <w:r>
        <w:rPr>
          <w:rFonts w:hint="eastAsia" w:ascii="楷体_GB2312" w:hAnsi="Times New Roman" w:eastAsia="楷体_GB2312" w:cs="楷体_GB2312"/>
          <w:b/>
          <w:color w:val="000000"/>
          <w:kern w:val="0"/>
          <w:sz w:val="32"/>
          <w:szCs w:val="32"/>
          <w:shd w:val="clear" w:color="auto" w:fill="FFFFFF"/>
          <w:lang w:val="en-US" w:eastAsia="zh-CN" w:bidi="ar-SA"/>
        </w:rPr>
        <w:t>分</w:t>
      </w:r>
      <w:r>
        <w:rPr>
          <w:rFonts w:hint="eastAsia" w:ascii="Times New Roman" w:hAnsi="Times New Roman" w:eastAsia="楷体_GB2312" w:cs="Times New Roman"/>
          <w:b/>
          <w:color w:val="000000"/>
          <w:kern w:val="0"/>
          <w:sz w:val="32"/>
          <w:szCs w:val="32"/>
          <w:shd w:val="clear" w:color="auto" w:fill="FFFFFF"/>
          <w:lang w:val="en-US" w:eastAsia="zh-CN" w:bidi="ar-SA"/>
        </w:rPr>
        <w:t>。</w:t>
      </w:r>
    </w:p>
    <w:p>
      <w:pPr>
        <w:widowControl w:val="0"/>
        <w:adjustRightInd w:val="0"/>
        <w:snapToGrid w:val="0"/>
        <w:spacing w:before="0" w:beforeAutospacing="0" w:after="0" w:afterAutospacing="0" w:line="360" w:lineRule="auto"/>
        <w:ind w:left="0" w:leftChars="0" w:right="0" w:firstLine="640" w:firstLineChars="200"/>
        <w:jc w:val="both"/>
        <w:rPr>
          <w:rFonts w:hint="eastAsia" w:ascii="楷体_GB2312" w:eastAsia="楷体_GB2312" w:cs="楷体_GB2312"/>
          <w:kern w:val="2"/>
          <w:sz w:val="32"/>
          <w:szCs w:val="32"/>
        </w:rPr>
      </w:pPr>
      <w:r>
        <w:rPr>
          <w:rFonts w:hint="eastAsia" w:ascii="楷体_GB2312" w:hAnsi="Times New Roman" w:eastAsia="楷体_GB2312" w:cs="楷体_GB2312"/>
          <w:color w:val="auto"/>
          <w:kern w:val="2"/>
          <w:sz w:val="32"/>
          <w:szCs w:val="32"/>
          <w:lang w:val="en-US" w:eastAsia="zh-CN" w:bidi="ar-SA"/>
        </w:rPr>
        <w:t>1.项目决策评分为18分。</w:t>
      </w:r>
    </w:p>
    <w:p>
      <w:pPr>
        <w:widowControl w:val="0"/>
        <w:adjustRightInd w:val="0"/>
        <w:snapToGrid w:val="0"/>
        <w:spacing w:before="0" w:beforeAutospacing="0" w:after="0" w:afterAutospacing="0" w:line="360" w:lineRule="auto"/>
        <w:ind w:left="0" w:leftChars="0" w:right="0" w:firstLine="640" w:firstLineChars="200"/>
        <w:jc w:val="both"/>
        <w:rPr>
          <w:rFonts w:hint="eastAsia" w:ascii="Times New Roman" w:hAnsi="Times New Roman" w:eastAsia="仿宋_GB2312" w:cs="Times New Roman"/>
          <w:b w:val="0"/>
          <w:kern w:val="2"/>
          <w:sz w:val="32"/>
          <w:szCs w:val="32"/>
        </w:rPr>
      </w:pPr>
      <w:r>
        <w:rPr>
          <w:rFonts w:hint="eastAsia" w:ascii="Times New Roman" w:hAnsi="Times New Roman" w:eastAsia="仿宋_GB2312" w:cs="Times New Roman"/>
          <w:color w:val="auto"/>
          <w:kern w:val="2"/>
          <w:sz w:val="32"/>
          <w:szCs w:val="32"/>
          <w:lang w:val="en-US" w:eastAsia="zh-CN" w:bidi="ar-SA"/>
        </w:rPr>
        <w:t>决策程序：</w:t>
      </w:r>
      <w:r>
        <w:rPr>
          <w:rFonts w:hint="eastAsia" w:ascii="Times New Roman" w:hAnsi="Times New Roman" w:eastAsia="仿宋_GB2312" w:cs="Times New Roman"/>
          <w:b w:val="0"/>
          <w:color w:val="auto"/>
          <w:kern w:val="2"/>
          <w:sz w:val="32"/>
          <w:szCs w:val="32"/>
          <w:lang w:val="en-US" w:eastAsia="zh-CN" w:bidi="ar-SA"/>
        </w:rPr>
        <w:t>根据我院行政运行实际与业务运转需求，</w:t>
      </w:r>
      <w:r>
        <w:rPr>
          <w:rFonts w:hint="eastAsia" w:ascii="Times New Roman" w:hAnsi="Times New Roman" w:eastAsia="仿宋_GB2312" w:cs="Times New Roman"/>
          <w:color w:val="auto"/>
          <w:kern w:val="2"/>
          <w:sz w:val="32"/>
          <w:szCs w:val="32"/>
          <w:lang w:val="en-US" w:eastAsia="zh-CN" w:bidi="ar-SA"/>
        </w:rPr>
        <w:t>项目设立有必要，立项依据充分，</w:t>
      </w:r>
      <w:r>
        <w:rPr>
          <w:rFonts w:hint="eastAsia" w:ascii="Times New Roman" w:hAnsi="Times New Roman" w:eastAsia="仿宋_GB2312" w:cs="Times New Roman"/>
          <w:b w:val="0"/>
          <w:color w:val="auto"/>
          <w:kern w:val="2"/>
          <w:sz w:val="32"/>
          <w:szCs w:val="32"/>
          <w:lang w:val="en-US" w:eastAsia="zh-CN" w:bidi="ar-SA"/>
        </w:rPr>
        <w:t>安排项目资金预算90万元合理，符合资金管理基本规范和决策程序要求，故该项评分为6</w:t>
      </w:r>
      <w:r>
        <w:rPr>
          <w:rFonts w:hint="eastAsia" w:ascii="仿宋_GB2312" w:hAnsi="Times New Roman" w:eastAsia="仿宋_GB2312" w:cs="仿宋_GB2312"/>
          <w:b w:val="0"/>
          <w:color w:val="auto"/>
          <w:kern w:val="2"/>
          <w:sz w:val="32"/>
          <w:szCs w:val="32"/>
          <w:lang w:val="en-US" w:eastAsia="zh-CN" w:bidi="ar-SA"/>
        </w:rPr>
        <w:t>分</w:t>
      </w:r>
      <w:r>
        <w:rPr>
          <w:rFonts w:hint="eastAsia" w:ascii="Times New Roman" w:hAnsi="Times New Roman" w:eastAsia="仿宋_GB2312" w:cs="Times New Roman"/>
          <w:b w:val="0"/>
          <w:color w:val="auto"/>
          <w:kern w:val="2"/>
          <w:sz w:val="32"/>
          <w:szCs w:val="32"/>
          <w:lang w:val="en-US" w:eastAsia="zh-CN" w:bidi="ar-SA"/>
        </w:rPr>
        <w:t>。</w:t>
      </w:r>
    </w:p>
    <w:p>
      <w:pPr>
        <w:widowControl w:val="0"/>
        <w:adjustRightInd w:val="0"/>
        <w:snapToGrid w:val="0"/>
        <w:spacing w:before="0" w:beforeAutospacing="0" w:after="0" w:afterAutospacing="0" w:line="360" w:lineRule="auto"/>
        <w:ind w:left="0" w:leftChars="0" w:right="0" w:firstLine="640" w:firstLineChars="200"/>
        <w:jc w:val="both"/>
        <w:rPr>
          <w:rFonts w:hint="eastAsia" w:ascii="Times New Roman" w:hAnsi="Times New Roman" w:eastAsia="仿宋_GB2312" w:cs="Times New Roman"/>
          <w:b w:val="0"/>
          <w:kern w:val="2"/>
          <w:sz w:val="32"/>
          <w:szCs w:val="32"/>
        </w:rPr>
      </w:pPr>
      <w:r>
        <w:rPr>
          <w:rFonts w:hint="eastAsia" w:ascii="Times New Roman" w:hAnsi="Times New Roman" w:eastAsia="仿宋_GB2312" w:cs="Times New Roman"/>
          <w:b w:val="0"/>
          <w:color w:val="auto"/>
          <w:kern w:val="2"/>
          <w:sz w:val="32"/>
          <w:szCs w:val="32"/>
          <w:lang w:val="en-US" w:eastAsia="zh-CN" w:bidi="ar-SA"/>
        </w:rPr>
        <w:t>规划论证：该项目规划符合法院主要职能职责定位，预算申报前，充分征求了各部门意见，论证了项目必要性、前瞻性、合理性和可行性，项目总体绩效目标设置合理，绩效目标规范完整、量化细化，预算匹配度较好，故此项评分为6</w:t>
      </w:r>
      <w:r>
        <w:rPr>
          <w:rFonts w:hint="eastAsia" w:ascii="仿宋_GB2312" w:hAnsi="Times New Roman" w:eastAsia="仿宋_GB2312" w:cs="仿宋_GB2312"/>
          <w:b w:val="0"/>
          <w:color w:val="auto"/>
          <w:kern w:val="2"/>
          <w:sz w:val="32"/>
          <w:szCs w:val="32"/>
          <w:lang w:val="en-US" w:eastAsia="zh-CN" w:bidi="ar-SA"/>
        </w:rPr>
        <w:t>分。</w:t>
      </w:r>
    </w:p>
    <w:p>
      <w:pPr>
        <w:widowControl w:val="0"/>
        <w:adjustRightInd w:val="0"/>
        <w:snapToGrid w:val="0"/>
        <w:spacing w:before="0" w:beforeAutospacing="0" w:after="0" w:afterAutospacing="0" w:line="360" w:lineRule="auto"/>
        <w:ind w:left="0" w:leftChars="0" w:right="0"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b w:val="0"/>
          <w:color w:val="auto"/>
          <w:kern w:val="2"/>
          <w:sz w:val="32"/>
          <w:szCs w:val="32"/>
          <w:lang w:val="en-US" w:eastAsia="zh-CN" w:bidi="ar-SA"/>
        </w:rPr>
        <w:t>资金投向：购买社会化服务</w:t>
      </w:r>
      <w:r>
        <w:rPr>
          <w:rFonts w:hint="eastAsia" w:ascii="Times New Roman" w:hAnsi="Times New Roman" w:eastAsia="仿宋_GB2312" w:cs="Times New Roman"/>
          <w:color w:val="auto"/>
          <w:kern w:val="2"/>
          <w:sz w:val="32"/>
          <w:szCs w:val="32"/>
          <w:lang w:val="en-US" w:eastAsia="zh-CN" w:bidi="ar-SA"/>
        </w:rPr>
        <w:t>项目主要是保障购买专业化的审判楼物业管理服务和电子卷宗扫描服务，保障审判大楼及办公区干净整洁，维护办公办案秩序，提升干警办案质效，实现减负增效的同时保证审判效益最大化。</w:t>
      </w:r>
      <w:r>
        <w:rPr>
          <w:rFonts w:hint="eastAsia" w:ascii="Times New Roman" w:hAnsi="Times New Roman" w:eastAsia="仿宋_GB2312" w:cs="Times New Roman"/>
          <w:b w:val="0"/>
          <w:color w:val="auto"/>
          <w:kern w:val="2"/>
          <w:sz w:val="32"/>
          <w:szCs w:val="32"/>
          <w:lang w:val="en-US" w:eastAsia="zh-CN" w:bidi="ar-SA"/>
        </w:rPr>
        <w:t>根据我院审判楼规模及近三年案件量和类型，分配</w:t>
      </w:r>
      <w:r>
        <w:rPr>
          <w:rFonts w:hint="eastAsia" w:ascii="Times New Roman" w:hAnsi="Times New Roman" w:eastAsia="仿宋_GB2312" w:cs="Times New Roman"/>
          <w:color w:val="auto"/>
          <w:kern w:val="2"/>
          <w:sz w:val="32"/>
          <w:szCs w:val="32"/>
          <w:lang w:val="en-US" w:eastAsia="zh-CN" w:bidi="ar-SA"/>
        </w:rPr>
        <w:t>物业管理服务60</w:t>
      </w:r>
      <w:r>
        <w:rPr>
          <w:rFonts w:hint="eastAsia" w:ascii="仿宋_GB2312" w:hAnsi="Times New Roman" w:eastAsia="仿宋_GB2312" w:cs="仿宋_GB2312"/>
          <w:color w:val="auto"/>
          <w:kern w:val="2"/>
          <w:sz w:val="32"/>
          <w:szCs w:val="32"/>
          <w:lang w:val="en-US" w:eastAsia="zh-CN" w:bidi="ar-SA"/>
        </w:rPr>
        <w:t>万元，</w:t>
      </w:r>
      <w:r>
        <w:rPr>
          <w:rFonts w:hint="eastAsia" w:ascii="Times New Roman" w:hAnsi="Times New Roman" w:eastAsia="仿宋_GB2312" w:cs="Times New Roman"/>
          <w:color w:val="auto"/>
          <w:kern w:val="2"/>
          <w:sz w:val="32"/>
          <w:szCs w:val="32"/>
          <w:lang w:val="en-US" w:eastAsia="zh-CN" w:bidi="ar-SA"/>
        </w:rPr>
        <w:t>电子卷宗扫描服务30</w:t>
      </w:r>
      <w:r>
        <w:rPr>
          <w:rFonts w:hint="eastAsia" w:ascii="仿宋_GB2312" w:hAnsi="Times New Roman" w:eastAsia="仿宋_GB2312" w:cs="仿宋_GB2312"/>
          <w:color w:val="auto"/>
          <w:kern w:val="2"/>
          <w:sz w:val="32"/>
          <w:szCs w:val="32"/>
          <w:lang w:val="en-US" w:eastAsia="zh-CN" w:bidi="ar-SA"/>
        </w:rPr>
        <w:t>万元，资金投向合理，</w:t>
      </w:r>
      <w:r>
        <w:rPr>
          <w:rFonts w:hint="eastAsia" w:ascii="Times New Roman" w:hAnsi="Times New Roman" w:eastAsia="仿宋_GB2312" w:cs="Times New Roman"/>
          <w:color w:val="auto"/>
          <w:kern w:val="2"/>
          <w:sz w:val="32"/>
          <w:szCs w:val="32"/>
          <w:lang w:val="en-US" w:eastAsia="zh-CN" w:bidi="ar-SA"/>
        </w:rPr>
        <w:t>此项评分为6</w:t>
      </w:r>
      <w:r>
        <w:rPr>
          <w:rFonts w:hint="eastAsia" w:ascii="仿宋_GB2312" w:hAnsi="Times New Roman" w:eastAsia="仿宋_GB2312" w:cs="仿宋_GB2312"/>
          <w:color w:val="auto"/>
          <w:kern w:val="2"/>
          <w:sz w:val="32"/>
          <w:szCs w:val="32"/>
          <w:lang w:val="en-US" w:eastAsia="zh-CN" w:bidi="ar-SA"/>
        </w:rPr>
        <w:t>分。</w:t>
      </w:r>
    </w:p>
    <w:p>
      <w:pPr>
        <w:widowControl w:val="0"/>
        <w:numPr>
          <w:ilvl w:val="0"/>
          <w:numId w:val="11"/>
        </w:numPr>
        <w:adjustRightInd w:val="0"/>
        <w:snapToGrid w:val="0"/>
        <w:spacing w:before="0" w:beforeAutospacing="0" w:after="0" w:afterAutospacing="0" w:line="360" w:lineRule="auto"/>
        <w:ind w:left="0" w:leftChars="0" w:right="0" w:firstLine="640" w:firstLineChars="200"/>
        <w:jc w:val="both"/>
        <w:rPr>
          <w:rFonts w:hint="eastAsia" w:ascii="楷体_GB2312" w:eastAsia="楷体_GB2312" w:cs="楷体_GB2312"/>
          <w:kern w:val="2"/>
          <w:sz w:val="32"/>
          <w:szCs w:val="32"/>
        </w:rPr>
      </w:pPr>
      <w:r>
        <w:rPr>
          <w:rFonts w:hint="eastAsia" w:ascii="楷体_GB2312" w:hAnsi="Times New Roman" w:eastAsia="楷体_GB2312" w:cs="楷体_GB2312"/>
          <w:color w:val="auto"/>
          <w:kern w:val="2"/>
          <w:sz w:val="32"/>
          <w:szCs w:val="32"/>
          <w:lang w:val="en-US" w:eastAsia="zh-CN" w:bidi="ar-SA"/>
        </w:rPr>
        <w:t>项目管理评分为18分。</w:t>
      </w:r>
    </w:p>
    <w:p>
      <w:pPr>
        <w:widowControl w:val="0"/>
        <w:adjustRightInd w:val="0"/>
        <w:snapToGrid w:val="0"/>
        <w:spacing w:before="0" w:beforeAutospacing="0" w:after="0" w:afterAutospacing="0" w:line="360" w:lineRule="auto"/>
        <w:ind w:left="0" w:leftChars="0" w:right="0" w:firstLine="64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color w:val="auto"/>
          <w:kern w:val="2"/>
          <w:sz w:val="32"/>
          <w:szCs w:val="32"/>
          <w:lang w:val="en-US" w:eastAsia="zh-CN" w:bidi="ar-SA"/>
        </w:rPr>
        <w:t>制度办法：我院按部门职责分工明确，严格遵循工作计划稳步推进实施。完善各项内部控制与考核制度，建立较为完善的财务管理制度《广元市中级人民法院财务管理制度》、《广元市中级人民法院预算管理制度》、《广元市中级人民法院物业管理办法》，且严格执行。并在资金使用过程中严格按照项目内容开展相关工作，做到超范围不支出，故此项评分为2</w:t>
      </w:r>
      <w:r>
        <w:rPr>
          <w:rFonts w:hint="eastAsia" w:ascii="仿宋_GB2312" w:hAnsi="Times New Roman" w:eastAsia="仿宋_GB2312" w:cs="仿宋_GB2312"/>
          <w:color w:val="auto"/>
          <w:kern w:val="2"/>
          <w:sz w:val="32"/>
          <w:szCs w:val="32"/>
          <w:lang w:val="en-US" w:eastAsia="zh-CN" w:bidi="ar-SA"/>
        </w:rPr>
        <w:t>分。</w:t>
      </w:r>
    </w:p>
    <w:p>
      <w:pPr>
        <w:widowControl w:val="0"/>
        <w:adjustRightInd w:val="0"/>
        <w:snapToGrid w:val="0"/>
        <w:spacing w:before="0" w:beforeAutospacing="0" w:after="0" w:afterAutospacing="0" w:line="360" w:lineRule="auto"/>
        <w:ind w:left="0" w:leftChars="0" w:right="0" w:firstLine="64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color w:val="auto"/>
          <w:kern w:val="2"/>
          <w:sz w:val="32"/>
          <w:szCs w:val="32"/>
          <w:lang w:val="en-US" w:eastAsia="zh-CN" w:bidi="ar-SA"/>
        </w:rPr>
        <w:t>分配管理：此项目预算资金分配上严格按照管理办法，严格经费开支，决策程序符合三重一大要求，资金支付及时高效。且在项目申报前期，充分</w:t>
      </w:r>
      <w:r>
        <w:rPr>
          <w:rFonts w:hint="eastAsia" w:ascii="Times New Roman" w:hAnsi="Times New Roman" w:eastAsia="仿宋_GB2312" w:cs="Times New Roman"/>
          <w:b w:val="0"/>
          <w:color w:val="auto"/>
          <w:kern w:val="2"/>
          <w:sz w:val="32"/>
          <w:szCs w:val="32"/>
          <w:lang w:val="en-US" w:eastAsia="zh-CN" w:bidi="ar-SA"/>
        </w:rPr>
        <w:t>调研了审判楼规模及近三年案件体量和类型，</w:t>
      </w:r>
      <w:r>
        <w:rPr>
          <w:rFonts w:hint="eastAsia" w:ascii="Times New Roman" w:hAnsi="Times New Roman" w:eastAsia="仿宋_GB2312" w:cs="Times New Roman"/>
          <w:color w:val="auto"/>
          <w:kern w:val="2"/>
          <w:sz w:val="32"/>
          <w:szCs w:val="32"/>
          <w:lang w:val="en-US" w:eastAsia="zh-CN" w:bidi="ar-SA"/>
        </w:rPr>
        <w:t>在资金分配上根据比例进行合理划分。项目做到了财政资金专款专用，资金支付有相关审批程序和合规手续，账务处理及时，会计核算规范。项目管理人员及督察部门对项目实施全过程监控，对偏离预算执行的项目及时纠偏和调整，财务报销严格执行财务审批程序。故此项评分为10</w:t>
      </w:r>
      <w:r>
        <w:rPr>
          <w:rFonts w:hint="eastAsia" w:ascii="仿宋_GB2312" w:hAnsi="Times New Roman" w:eastAsia="仿宋_GB2312" w:cs="仿宋_GB2312"/>
          <w:color w:val="auto"/>
          <w:kern w:val="2"/>
          <w:sz w:val="32"/>
          <w:szCs w:val="32"/>
          <w:lang w:val="en-US" w:eastAsia="zh-CN" w:bidi="ar-SA"/>
        </w:rPr>
        <w:t>分。</w:t>
      </w:r>
    </w:p>
    <w:p>
      <w:pPr>
        <w:widowControl w:val="0"/>
        <w:adjustRightInd w:val="0"/>
        <w:snapToGrid w:val="0"/>
        <w:spacing w:before="0" w:beforeAutospacing="0" w:after="0" w:afterAutospacing="0" w:line="360" w:lineRule="auto"/>
        <w:ind w:left="0" w:leftChars="0" w:right="0" w:firstLine="640" w:firstLineChars="200"/>
        <w:jc w:val="both"/>
        <w:rPr>
          <w:rFonts w:hint="eastAsia" w:ascii="Times New Roman" w:hAnsi="Times New Roman" w:eastAsia="仿宋_GB2312" w:cs="Times New Roman"/>
          <w:b w:val="0"/>
          <w:kern w:val="2"/>
          <w:sz w:val="32"/>
          <w:szCs w:val="32"/>
        </w:rPr>
      </w:pPr>
      <w:r>
        <w:rPr>
          <w:rFonts w:hint="eastAsia" w:ascii="Times New Roman" w:hAnsi="Times New Roman" w:eastAsia="仿宋_GB2312" w:cs="Times New Roman"/>
          <w:color w:val="auto"/>
          <w:kern w:val="2"/>
          <w:sz w:val="32"/>
          <w:szCs w:val="32"/>
          <w:lang w:val="en-US" w:eastAsia="zh-CN" w:bidi="ar-SA"/>
        </w:rPr>
        <w:t>绩效监管：该项目全面完成了事前评估、绩效目标设置、绩效监控、绩效督促、问题整改等预算绩效管理工作，评分为6</w:t>
      </w:r>
      <w:r>
        <w:rPr>
          <w:rFonts w:hint="eastAsia" w:ascii="仿宋_GB2312" w:hAnsi="Times New Roman" w:eastAsia="仿宋_GB2312" w:cs="仿宋_GB2312"/>
          <w:color w:val="auto"/>
          <w:kern w:val="2"/>
          <w:sz w:val="32"/>
          <w:szCs w:val="32"/>
          <w:lang w:val="en-US" w:eastAsia="zh-CN" w:bidi="ar-SA"/>
        </w:rPr>
        <w:t>分。</w:t>
      </w:r>
    </w:p>
    <w:p>
      <w:pPr>
        <w:widowControl w:val="0"/>
        <w:numPr>
          <w:ilvl w:val="0"/>
          <w:numId w:val="11"/>
        </w:numPr>
        <w:adjustRightInd w:val="0"/>
        <w:snapToGrid w:val="0"/>
        <w:spacing w:before="0" w:beforeAutospacing="0" w:after="0" w:afterAutospacing="0" w:line="360" w:lineRule="auto"/>
        <w:ind w:left="0" w:leftChars="0" w:right="0" w:firstLine="640" w:firstLineChars="200"/>
        <w:jc w:val="both"/>
        <w:rPr>
          <w:rFonts w:hint="eastAsia" w:ascii="楷体_GB2312" w:eastAsia="楷体_GB2312" w:cs="楷体_GB2312"/>
          <w:kern w:val="2"/>
          <w:sz w:val="32"/>
          <w:szCs w:val="32"/>
        </w:rPr>
      </w:pPr>
      <w:r>
        <w:rPr>
          <w:rFonts w:hint="eastAsia" w:ascii="楷体_GB2312" w:hAnsi="Times New Roman" w:eastAsia="楷体_GB2312" w:cs="楷体_GB2312"/>
          <w:color w:val="auto"/>
          <w:kern w:val="2"/>
          <w:sz w:val="32"/>
          <w:szCs w:val="32"/>
          <w:lang w:val="en-US" w:eastAsia="zh-CN" w:bidi="ar-SA"/>
        </w:rPr>
        <w:t>项目实施评分为8.17分。</w:t>
      </w:r>
    </w:p>
    <w:p>
      <w:pPr>
        <w:widowControl w:val="0"/>
        <w:adjustRightInd w:val="0"/>
        <w:snapToGrid w:val="0"/>
        <w:spacing w:before="0" w:beforeAutospacing="0" w:after="0" w:afterAutospacing="0" w:line="360" w:lineRule="auto"/>
        <w:ind w:left="0" w:leftChars="0" w:right="0" w:firstLine="640"/>
        <w:jc w:val="both"/>
        <w:rPr>
          <w:rFonts w:hint="eastAsia" w:ascii="仿宋_GB2312" w:hAnsi="Times New Roman" w:eastAsia="仿宋_GB2312" w:cs="Times New Roman"/>
          <w:kern w:val="2"/>
          <w:sz w:val="32"/>
          <w:szCs w:val="32"/>
        </w:rPr>
      </w:pPr>
      <w:r>
        <w:rPr>
          <w:rFonts w:hint="eastAsia" w:ascii="仿宋_GB2312" w:hAnsi="Times New Roman" w:eastAsia="仿宋_GB2312" w:cs="Times New Roman"/>
          <w:color w:val="auto"/>
          <w:kern w:val="2"/>
          <w:sz w:val="32"/>
          <w:szCs w:val="32"/>
          <w:lang w:val="en-US" w:eastAsia="zh-CN" w:bidi="ar-SA"/>
        </w:rPr>
        <w:t>预算执行：该项目预算执行进度好，该项指标得分=财政资金拨付率100%*100%*3+单位资金使用率72.46%*100%*3=5.17分。</w:t>
      </w:r>
    </w:p>
    <w:p>
      <w:pPr>
        <w:widowControl w:val="0"/>
        <w:adjustRightInd w:val="0"/>
        <w:snapToGrid w:val="0"/>
        <w:spacing w:before="0" w:beforeAutospacing="0" w:after="0" w:afterAutospacing="0" w:line="360" w:lineRule="auto"/>
        <w:ind w:left="0" w:leftChars="0" w:right="0" w:firstLine="640" w:firstLineChars="200"/>
        <w:jc w:val="both"/>
        <w:rPr>
          <w:rFonts w:hint="eastAsia" w:ascii="Times New Roman" w:hAnsi="Times New Roman" w:eastAsia="仿宋_GB2312" w:cs="Times New Roman"/>
          <w:kern w:val="2"/>
          <w:sz w:val="32"/>
          <w:szCs w:val="32"/>
        </w:rPr>
      </w:pPr>
      <w:r>
        <w:rPr>
          <w:rFonts w:hint="eastAsia" w:ascii="仿宋_GB2312" w:hAnsi="Times New Roman" w:eastAsia="仿宋_GB2312" w:cs="Times New Roman"/>
          <w:color w:val="auto"/>
          <w:kern w:val="2"/>
          <w:sz w:val="32"/>
          <w:szCs w:val="32"/>
          <w:lang w:val="en-US" w:eastAsia="zh-CN" w:bidi="ar-SA"/>
        </w:rPr>
        <w:t>资金使用：该项目</w:t>
      </w:r>
      <w:r>
        <w:rPr>
          <w:rFonts w:hint="eastAsia" w:ascii="Times New Roman" w:hAnsi="Times New Roman" w:eastAsia="仿宋_GB2312" w:cs="Times New Roman"/>
          <w:color w:val="auto"/>
          <w:kern w:val="2"/>
          <w:sz w:val="32"/>
          <w:szCs w:val="32"/>
          <w:lang w:val="en-US" w:eastAsia="zh-CN" w:bidi="ar-SA"/>
        </w:rPr>
        <w:t>由行装处及立案庭代表各业务部门提出采购需求，经党组会审议通过后，组织实施采购计划。</w:t>
      </w:r>
      <w:r>
        <w:rPr>
          <w:rFonts w:hint="eastAsia" w:ascii="仿宋_GB2312" w:hAnsi="Times New Roman" w:eastAsia="仿宋_GB2312" w:cs="Times New Roman"/>
          <w:color w:val="auto"/>
          <w:kern w:val="2"/>
          <w:sz w:val="32"/>
          <w:szCs w:val="32"/>
          <w:lang w:val="en-US" w:eastAsia="zh-CN" w:bidi="ar-SA"/>
        </w:rPr>
        <w:t>项目资金使用拨付符合财务管理制度。事前</w:t>
      </w:r>
      <w:r>
        <w:rPr>
          <w:rFonts w:hint="eastAsia" w:ascii="Times New Roman" w:hAnsi="Times New Roman" w:eastAsia="仿宋_GB2312" w:cs="Times New Roman"/>
          <w:color w:val="auto"/>
          <w:kern w:val="2"/>
          <w:sz w:val="32"/>
          <w:szCs w:val="32"/>
          <w:lang w:val="en-US" w:eastAsia="zh-CN" w:bidi="ar-SA"/>
        </w:rPr>
        <w:t>严格审核项目实施可行性与合理性，</w:t>
      </w:r>
      <w:r>
        <w:rPr>
          <w:rFonts w:hint="eastAsia" w:ascii="仿宋_GB2312" w:hAnsi="Times New Roman" w:eastAsia="仿宋_GB2312" w:cs="Times New Roman"/>
          <w:color w:val="auto"/>
          <w:kern w:val="2"/>
          <w:sz w:val="32"/>
          <w:szCs w:val="32"/>
          <w:lang w:val="en-US" w:eastAsia="zh-CN" w:bidi="ar-SA"/>
        </w:rPr>
        <w:t>按照项目进度及验收情况</w:t>
      </w:r>
      <w:r>
        <w:rPr>
          <w:rFonts w:hint="eastAsia" w:ascii="Times New Roman" w:hAnsi="Times New Roman" w:eastAsia="仿宋_GB2312" w:cs="Times New Roman"/>
          <w:color w:val="auto"/>
          <w:kern w:val="2"/>
          <w:sz w:val="32"/>
          <w:szCs w:val="32"/>
          <w:lang w:val="en-US" w:eastAsia="zh-CN" w:bidi="ar-SA"/>
        </w:rPr>
        <w:t>支付相应款项</w:t>
      </w:r>
      <w:r>
        <w:rPr>
          <w:rFonts w:hint="eastAsia" w:ascii="仿宋_GB2312" w:hAnsi="Times New Roman" w:eastAsia="仿宋_GB2312" w:cs="Times New Roman"/>
          <w:color w:val="auto"/>
          <w:kern w:val="2"/>
          <w:sz w:val="32"/>
          <w:szCs w:val="32"/>
          <w:lang w:val="en-US" w:eastAsia="zh-CN" w:bidi="ar-SA"/>
        </w:rPr>
        <w:t>，并由行装处和办公室申报报销，分管院领导审批，行装处严格把关费用审核，严控超额度支出</w:t>
      </w:r>
      <w:r>
        <w:rPr>
          <w:rFonts w:hint="eastAsia" w:ascii="Times New Roman" w:hAnsi="Times New Roman" w:eastAsia="仿宋_GB2312" w:cs="Times New Roman"/>
          <w:color w:val="auto"/>
          <w:kern w:val="2"/>
          <w:sz w:val="32"/>
          <w:szCs w:val="32"/>
          <w:lang w:val="en-US" w:eastAsia="zh-CN" w:bidi="ar-SA"/>
        </w:rPr>
        <w:t>，及时进行会计核算，院督察室定期对项目经费使用效益进行监督，该项评分为3</w:t>
      </w:r>
      <w:r>
        <w:rPr>
          <w:rFonts w:hint="eastAsia" w:ascii="仿宋_GB2312" w:hAnsi="Times New Roman" w:eastAsia="仿宋_GB2312" w:cs="仿宋_GB2312"/>
          <w:color w:val="auto"/>
          <w:kern w:val="2"/>
          <w:sz w:val="32"/>
          <w:szCs w:val="32"/>
          <w:lang w:val="en-US" w:eastAsia="zh-CN" w:bidi="ar-SA"/>
        </w:rPr>
        <w:t>分。</w:t>
      </w:r>
    </w:p>
    <w:p>
      <w:pPr>
        <w:widowControl w:val="0"/>
        <w:numPr>
          <w:ilvl w:val="0"/>
          <w:numId w:val="11"/>
        </w:numPr>
        <w:adjustRightInd w:val="0"/>
        <w:snapToGrid w:val="0"/>
        <w:spacing w:before="0" w:beforeAutospacing="0" w:after="0" w:afterAutospacing="0" w:line="360" w:lineRule="auto"/>
        <w:ind w:left="0" w:leftChars="0" w:right="0" w:firstLine="640" w:firstLineChars="200"/>
        <w:jc w:val="both"/>
        <w:rPr>
          <w:rFonts w:hint="eastAsia" w:ascii="楷体_GB2312" w:eastAsia="楷体_GB2312" w:cs="楷体_GB2312"/>
          <w:kern w:val="2"/>
          <w:sz w:val="32"/>
          <w:szCs w:val="32"/>
        </w:rPr>
      </w:pPr>
      <w:r>
        <w:rPr>
          <w:rFonts w:hint="eastAsia" w:ascii="楷体_GB2312" w:hAnsi="Times New Roman" w:eastAsia="楷体_GB2312" w:cs="楷体_GB2312"/>
          <w:color w:val="auto"/>
          <w:kern w:val="2"/>
          <w:sz w:val="32"/>
          <w:szCs w:val="32"/>
          <w:lang w:val="en-US" w:eastAsia="zh-CN" w:bidi="ar-SA"/>
        </w:rPr>
        <w:t>项目结果评分为7.35分。</w:t>
      </w:r>
    </w:p>
    <w:p>
      <w:pPr>
        <w:widowControl w:val="0"/>
        <w:adjustRightInd w:val="0"/>
        <w:snapToGrid w:val="0"/>
        <w:spacing w:before="0" w:beforeAutospacing="0" w:after="0" w:afterAutospacing="0" w:line="360" w:lineRule="auto"/>
        <w:ind w:left="0" w:leftChars="0" w:right="0" w:firstLine="64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color w:val="auto"/>
          <w:kern w:val="2"/>
          <w:sz w:val="32"/>
          <w:szCs w:val="32"/>
          <w:lang w:val="en-US" w:eastAsia="zh-CN" w:bidi="ar-SA"/>
        </w:rPr>
        <w:t>目标完成：该项目属于跨年项目，根据项目完成进度，预算执行比例达72.46%，剩余部分待2024</w:t>
      </w:r>
      <w:r>
        <w:rPr>
          <w:rFonts w:hint="eastAsia" w:ascii="仿宋_GB2312" w:hAnsi="Times New Roman" w:eastAsia="仿宋_GB2312" w:cs="仿宋_GB2312"/>
          <w:color w:val="auto"/>
          <w:kern w:val="2"/>
          <w:sz w:val="32"/>
          <w:szCs w:val="32"/>
          <w:lang w:val="en-US" w:eastAsia="zh-CN" w:bidi="ar-SA"/>
        </w:rPr>
        <w:t>年度完成项目并验收后支付。本项目</w:t>
      </w:r>
      <w:r>
        <w:rPr>
          <w:rFonts w:hint="eastAsia" w:ascii="Times New Roman" w:hAnsi="Times New Roman" w:eastAsia="仿宋_GB2312" w:cs="Times New Roman"/>
          <w:color w:val="auto"/>
          <w:kern w:val="2"/>
          <w:sz w:val="32"/>
          <w:szCs w:val="32"/>
          <w:lang w:val="en-US" w:eastAsia="zh-CN" w:bidi="ar-SA"/>
        </w:rPr>
        <w:t>较好地保障了审判区及办公区清洁，门卫值守，会议服务，电子卷宗扫描及数据加工服务充分发挥社会化服务行业优势，辅助业务部门高效完成审判、执行等各项工作，更好的发挥审执工作效用，该指标得分为72.46%*100%*6=4.35</w:t>
      </w:r>
      <w:r>
        <w:rPr>
          <w:rFonts w:hint="eastAsia" w:ascii="仿宋_GB2312" w:hAnsi="Times New Roman" w:eastAsia="仿宋_GB2312" w:cs="仿宋_GB2312"/>
          <w:color w:val="auto"/>
          <w:kern w:val="2"/>
          <w:sz w:val="32"/>
          <w:szCs w:val="32"/>
          <w:lang w:val="en-US" w:eastAsia="zh-CN" w:bidi="ar-SA"/>
        </w:rPr>
        <w:t>分</w:t>
      </w:r>
      <w:r>
        <w:rPr>
          <w:rFonts w:hint="eastAsia" w:ascii="Times New Roman" w:hAnsi="Times New Roman" w:eastAsia="仿宋_GB2312" w:cs="Times New Roman"/>
          <w:color w:val="auto"/>
          <w:kern w:val="2"/>
          <w:sz w:val="32"/>
          <w:szCs w:val="32"/>
          <w:lang w:val="en-US" w:eastAsia="zh-CN" w:bidi="ar-SA"/>
        </w:rPr>
        <w:t>。</w:t>
      </w:r>
    </w:p>
    <w:p>
      <w:pPr>
        <w:widowControl w:val="0"/>
        <w:adjustRightInd w:val="0"/>
        <w:snapToGrid w:val="0"/>
        <w:spacing w:before="0" w:beforeAutospacing="0" w:after="0" w:afterAutospacing="0" w:line="360" w:lineRule="auto"/>
        <w:ind w:left="0" w:leftChars="0" w:right="0" w:firstLine="64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color w:val="auto"/>
          <w:kern w:val="2"/>
          <w:sz w:val="32"/>
          <w:szCs w:val="32"/>
          <w:lang w:val="en-US" w:eastAsia="zh-CN" w:bidi="ar-SA"/>
        </w:rPr>
        <w:t>完成时效：该项目于2023</w:t>
      </w:r>
      <w:r>
        <w:rPr>
          <w:rFonts w:hint="eastAsia" w:ascii="仿宋_GB2312" w:hAnsi="Times New Roman" w:eastAsia="仿宋_GB2312" w:cs="仿宋_GB2312"/>
          <w:color w:val="auto"/>
          <w:kern w:val="2"/>
          <w:sz w:val="32"/>
          <w:szCs w:val="32"/>
          <w:lang w:val="en-US" w:eastAsia="zh-CN" w:bidi="ar-SA"/>
        </w:rPr>
        <w:t>年</w:t>
      </w:r>
      <w:r>
        <w:rPr>
          <w:rFonts w:hint="eastAsia" w:ascii="Times New Roman" w:hAnsi="Times New Roman" w:eastAsia="仿宋_GB2312" w:cs="Times New Roman"/>
          <w:color w:val="auto"/>
          <w:kern w:val="2"/>
          <w:sz w:val="32"/>
          <w:szCs w:val="32"/>
          <w:lang w:val="en-US" w:eastAsia="zh-CN" w:bidi="ar-SA"/>
        </w:rPr>
        <w:t>12</w:t>
      </w:r>
      <w:r>
        <w:rPr>
          <w:rFonts w:hint="eastAsia" w:ascii="仿宋_GB2312" w:hAnsi="Times New Roman" w:eastAsia="仿宋_GB2312" w:cs="仿宋_GB2312"/>
          <w:color w:val="auto"/>
          <w:kern w:val="2"/>
          <w:sz w:val="32"/>
          <w:szCs w:val="32"/>
          <w:lang w:val="en-US" w:eastAsia="zh-CN" w:bidi="ar-SA"/>
        </w:rPr>
        <w:t>月</w:t>
      </w:r>
      <w:r>
        <w:rPr>
          <w:rFonts w:hint="eastAsia" w:ascii="Times New Roman" w:hAnsi="Times New Roman" w:eastAsia="仿宋_GB2312" w:cs="Times New Roman"/>
          <w:color w:val="auto"/>
          <w:kern w:val="2"/>
          <w:sz w:val="32"/>
          <w:szCs w:val="32"/>
          <w:lang w:val="en-US" w:eastAsia="zh-CN" w:bidi="ar-SA"/>
        </w:rPr>
        <w:t>31</w:t>
      </w:r>
      <w:r>
        <w:rPr>
          <w:rFonts w:hint="eastAsia" w:ascii="仿宋_GB2312" w:hAnsi="Times New Roman" w:eastAsia="仿宋_GB2312" w:cs="仿宋_GB2312"/>
          <w:color w:val="auto"/>
          <w:kern w:val="2"/>
          <w:sz w:val="32"/>
          <w:szCs w:val="32"/>
          <w:lang w:val="en-US" w:eastAsia="zh-CN" w:bidi="ar-SA"/>
        </w:rPr>
        <w:t>日前完成项目进度对应的款项拨付，评分为</w:t>
      </w:r>
      <w:r>
        <w:rPr>
          <w:rFonts w:hint="eastAsia" w:ascii="Times New Roman" w:hAnsi="Times New Roman" w:eastAsia="仿宋_GB2312" w:cs="Times New Roman"/>
          <w:color w:val="auto"/>
          <w:kern w:val="2"/>
          <w:sz w:val="32"/>
          <w:szCs w:val="32"/>
          <w:lang w:val="en-US" w:eastAsia="zh-CN" w:bidi="ar-SA"/>
        </w:rPr>
        <w:t>3</w:t>
      </w:r>
      <w:r>
        <w:rPr>
          <w:rFonts w:hint="eastAsia" w:ascii="仿宋_GB2312" w:hAnsi="Times New Roman" w:eastAsia="仿宋_GB2312" w:cs="仿宋_GB2312"/>
          <w:color w:val="auto"/>
          <w:kern w:val="2"/>
          <w:sz w:val="32"/>
          <w:szCs w:val="32"/>
          <w:lang w:val="en-US" w:eastAsia="zh-CN" w:bidi="ar-SA"/>
        </w:rPr>
        <w:t>分。</w:t>
      </w:r>
    </w:p>
    <w:p>
      <w:pPr>
        <w:widowControl w:val="0"/>
        <w:spacing w:before="0" w:beforeAutospacing="0" w:after="0" w:afterAutospacing="0" w:line="360" w:lineRule="auto"/>
        <w:ind w:left="0" w:leftChars="0" w:right="0" w:firstLine="643" w:firstLineChars="200"/>
        <w:jc w:val="both"/>
        <w:rPr>
          <w:rFonts w:hint="eastAsia" w:ascii="楷体_GB2312" w:eastAsia="楷体_GB2312" w:cs="楷体_GB2312"/>
          <w:kern w:val="2"/>
          <w:sz w:val="32"/>
          <w:szCs w:val="32"/>
        </w:rPr>
      </w:pPr>
      <w:r>
        <w:rPr>
          <w:rFonts w:hint="eastAsia" w:ascii="楷体_GB2312" w:hAnsi="宋体" w:eastAsia="楷体_GB2312" w:cs="Times New Roman"/>
          <w:b/>
          <w:color w:val="auto"/>
          <w:kern w:val="2"/>
          <w:sz w:val="32"/>
          <w:szCs w:val="32"/>
          <w:lang w:val="en-US" w:eastAsia="zh-CN" w:bidi="ar-SA"/>
        </w:rPr>
        <w:t>（二）专用指标</w:t>
      </w:r>
      <w:r>
        <w:rPr>
          <w:rFonts w:hint="eastAsia" w:ascii="Times New Roman" w:hAnsi="Times New Roman" w:eastAsia="楷体_GB2312" w:cs="Times New Roman"/>
          <w:b/>
          <w:color w:val="000000"/>
          <w:kern w:val="0"/>
          <w:sz w:val="32"/>
          <w:szCs w:val="32"/>
          <w:shd w:val="clear" w:color="auto" w:fill="FFFFFF"/>
          <w:lang w:val="en-US" w:eastAsia="zh-CN" w:bidi="ar-SA"/>
        </w:rPr>
        <w:t>绩效评分为30</w:t>
      </w:r>
      <w:r>
        <w:rPr>
          <w:rFonts w:hint="eastAsia" w:ascii="楷体_GB2312" w:hAnsi="Times New Roman" w:eastAsia="楷体_GB2312" w:cs="楷体_GB2312"/>
          <w:b/>
          <w:color w:val="000000"/>
          <w:kern w:val="0"/>
          <w:sz w:val="32"/>
          <w:szCs w:val="32"/>
          <w:shd w:val="clear" w:color="auto" w:fill="FFFFFF"/>
          <w:lang w:val="en-US" w:eastAsia="zh-CN" w:bidi="ar-SA"/>
        </w:rPr>
        <w:t>分</w:t>
      </w:r>
      <w:r>
        <w:rPr>
          <w:rFonts w:hint="eastAsia" w:ascii="Times New Roman" w:hAnsi="Times New Roman" w:eastAsia="楷体_GB2312" w:cs="Times New Roman"/>
          <w:b/>
          <w:color w:val="000000"/>
          <w:kern w:val="0"/>
          <w:sz w:val="32"/>
          <w:szCs w:val="32"/>
          <w:shd w:val="clear" w:color="auto" w:fill="FFFFFF"/>
          <w:lang w:val="en-US" w:eastAsia="zh-CN" w:bidi="ar-SA"/>
        </w:rPr>
        <w:t>。</w:t>
      </w:r>
    </w:p>
    <w:p>
      <w:pPr>
        <w:widowControl w:val="0"/>
        <w:spacing w:before="0" w:beforeAutospacing="0" w:after="0" w:afterAutospacing="0" w:line="360" w:lineRule="auto"/>
        <w:ind w:left="0" w:leftChars="0" w:right="0" w:firstLine="640" w:firstLineChars="200"/>
        <w:jc w:val="both"/>
        <w:rPr>
          <w:rFonts w:hint="eastAsia" w:ascii="楷体_GB2312" w:eastAsia="楷体_GB2312" w:cs="楷体_GB2312"/>
          <w:kern w:val="2"/>
          <w:sz w:val="32"/>
          <w:szCs w:val="32"/>
        </w:rPr>
      </w:pPr>
      <w:r>
        <w:rPr>
          <w:rFonts w:hint="eastAsia" w:ascii="楷体_GB2312" w:hAnsi="Times New Roman" w:eastAsia="楷体_GB2312" w:cs="楷体_GB2312"/>
          <w:color w:val="auto"/>
          <w:kern w:val="2"/>
          <w:sz w:val="32"/>
          <w:szCs w:val="32"/>
          <w:lang w:val="en-US" w:eastAsia="zh-CN" w:bidi="ar-SA"/>
        </w:rPr>
        <w:t>1.产业发展。</w:t>
      </w:r>
      <w:r>
        <w:rPr>
          <w:rFonts w:hint="eastAsia" w:ascii="Times New Roman" w:hAnsi="Times New Roman" w:eastAsia="仿宋_GB2312" w:cs="Times New Roman"/>
          <w:color w:val="auto"/>
          <w:kern w:val="2"/>
          <w:sz w:val="32"/>
          <w:szCs w:val="32"/>
          <w:lang w:val="en-US" w:eastAsia="zh-CN" w:bidi="ar-SA"/>
        </w:rPr>
        <w:t xml:space="preserve">不涉及。 </w:t>
      </w:r>
    </w:p>
    <w:p>
      <w:pPr>
        <w:widowControl w:val="0"/>
        <w:spacing w:before="0" w:beforeAutospacing="0" w:after="0" w:afterAutospacing="0" w:line="360" w:lineRule="auto"/>
        <w:ind w:left="0" w:leftChars="0" w:right="0" w:firstLine="640" w:firstLineChars="200"/>
        <w:jc w:val="both"/>
        <w:rPr>
          <w:rFonts w:hint="eastAsia" w:ascii="楷体_GB2312" w:eastAsia="楷体_GB2312" w:cs="楷体_GB2312"/>
          <w:kern w:val="2"/>
          <w:sz w:val="32"/>
          <w:szCs w:val="32"/>
        </w:rPr>
      </w:pPr>
      <w:r>
        <w:rPr>
          <w:rFonts w:hint="eastAsia" w:ascii="楷体_GB2312" w:hAnsi="Times New Roman" w:eastAsia="楷体_GB2312" w:cs="楷体_GB2312"/>
          <w:color w:val="auto"/>
          <w:kern w:val="2"/>
          <w:sz w:val="32"/>
          <w:szCs w:val="32"/>
          <w:lang w:val="en-US" w:eastAsia="zh-CN" w:bidi="ar-SA"/>
        </w:rPr>
        <w:t>2.民生保障。</w:t>
      </w:r>
      <w:r>
        <w:rPr>
          <w:rFonts w:hint="eastAsia" w:ascii="Times New Roman" w:hAnsi="Times New Roman" w:eastAsia="仿宋_GB2312" w:cs="Times New Roman"/>
          <w:color w:val="auto"/>
          <w:kern w:val="2"/>
          <w:sz w:val="32"/>
          <w:szCs w:val="32"/>
          <w:lang w:val="en-US" w:eastAsia="zh-CN" w:bidi="ar-SA"/>
        </w:rPr>
        <w:t>不涉及。</w:t>
      </w:r>
    </w:p>
    <w:p>
      <w:pPr>
        <w:widowControl w:val="0"/>
        <w:spacing w:before="0" w:beforeAutospacing="0" w:after="0" w:afterAutospacing="0" w:line="360" w:lineRule="auto"/>
        <w:ind w:left="0" w:leftChars="0" w:right="0" w:firstLine="640" w:firstLineChars="200"/>
        <w:jc w:val="both"/>
        <w:rPr>
          <w:rFonts w:hint="eastAsia" w:ascii="楷体_GB2312" w:eastAsia="楷体_GB2312" w:cs="楷体_GB2312"/>
          <w:kern w:val="2"/>
          <w:sz w:val="32"/>
          <w:szCs w:val="32"/>
        </w:rPr>
      </w:pPr>
      <w:r>
        <w:rPr>
          <w:rFonts w:hint="eastAsia" w:ascii="楷体_GB2312" w:hAnsi="Times New Roman" w:eastAsia="楷体_GB2312" w:cs="楷体_GB2312"/>
          <w:color w:val="auto"/>
          <w:kern w:val="2"/>
          <w:sz w:val="32"/>
          <w:szCs w:val="32"/>
          <w:lang w:val="en-US" w:eastAsia="zh-CN" w:bidi="ar-SA"/>
        </w:rPr>
        <w:t>3.基础设施。</w:t>
      </w:r>
      <w:r>
        <w:rPr>
          <w:rFonts w:hint="eastAsia" w:ascii="Times New Roman" w:hAnsi="Times New Roman" w:eastAsia="仿宋_GB2312" w:cs="Times New Roman"/>
          <w:color w:val="auto"/>
          <w:kern w:val="2"/>
          <w:sz w:val="32"/>
          <w:szCs w:val="32"/>
          <w:lang w:val="en-US" w:eastAsia="zh-CN" w:bidi="ar-SA"/>
        </w:rPr>
        <w:t>不涉及。</w:t>
      </w:r>
    </w:p>
    <w:p>
      <w:pPr>
        <w:widowControl w:val="0"/>
        <w:spacing w:before="0" w:beforeAutospacing="0" w:after="0" w:afterAutospacing="0" w:line="360" w:lineRule="auto"/>
        <w:ind w:left="0" w:leftChars="0" w:right="0" w:firstLine="640" w:firstLineChars="200"/>
        <w:jc w:val="both"/>
        <w:rPr>
          <w:rFonts w:hint="eastAsia" w:ascii="楷体_GB2312" w:eastAsia="楷体_GB2312" w:cs="楷体_GB2312"/>
          <w:kern w:val="2"/>
          <w:sz w:val="32"/>
          <w:szCs w:val="32"/>
        </w:rPr>
      </w:pPr>
      <w:r>
        <w:rPr>
          <w:rFonts w:hint="eastAsia" w:ascii="楷体_GB2312" w:hAnsi="Times New Roman" w:eastAsia="楷体_GB2312" w:cs="楷体_GB2312"/>
          <w:color w:val="auto"/>
          <w:kern w:val="2"/>
          <w:sz w:val="32"/>
          <w:szCs w:val="32"/>
          <w:lang w:val="en-US" w:eastAsia="zh-CN" w:bidi="ar-SA"/>
        </w:rPr>
        <w:t>4.行政运转。</w:t>
      </w:r>
      <w:r>
        <w:rPr>
          <w:rFonts w:hint="eastAsia" w:ascii="Times New Roman" w:hAnsi="Times New Roman" w:eastAsia="仿宋_GB2312" w:cs="Times New Roman"/>
          <w:color w:val="auto"/>
          <w:kern w:val="2"/>
          <w:sz w:val="32"/>
          <w:szCs w:val="32"/>
          <w:lang w:val="en-US" w:eastAsia="zh-CN" w:bidi="ar-SA"/>
        </w:rPr>
        <w:t>项目资金实行专款专用，专用于购买物业服务及扫描服务的项目支出，用途合规、支出审批手续齐全，较好的保障了审判环境的优质性及审判质效的提升，该项评分为30</w:t>
      </w:r>
      <w:r>
        <w:rPr>
          <w:rFonts w:hint="eastAsia" w:ascii="仿宋_GB2312" w:hAnsi="Times New Roman" w:eastAsia="仿宋_GB2312" w:cs="仿宋_GB2312"/>
          <w:color w:val="auto"/>
          <w:kern w:val="2"/>
          <w:sz w:val="32"/>
          <w:szCs w:val="32"/>
          <w:lang w:val="en-US" w:eastAsia="zh-CN" w:bidi="ar-SA"/>
        </w:rPr>
        <w:t>分。</w:t>
      </w:r>
    </w:p>
    <w:p>
      <w:pPr>
        <w:widowControl w:val="0"/>
        <w:adjustRightInd w:val="0"/>
        <w:snapToGrid w:val="0"/>
        <w:spacing w:before="0" w:beforeAutospacing="0" w:after="0" w:afterAutospacing="0" w:line="360" w:lineRule="auto"/>
        <w:ind w:left="0" w:leftChars="0" w:right="0" w:firstLine="643" w:firstLineChars="200"/>
        <w:contextualSpacing/>
        <w:jc w:val="both"/>
        <w:rPr>
          <w:rFonts w:hint="eastAsia" w:ascii="Times New Roman" w:hAnsi="Times New Roman" w:eastAsia="楷体_GB2312" w:cs="Times New Roman"/>
          <w:b/>
          <w:color w:val="000000"/>
          <w:kern w:val="0"/>
          <w:sz w:val="32"/>
          <w:szCs w:val="32"/>
          <w:shd w:val="clear" w:color="auto" w:fill="FFFFFF"/>
        </w:rPr>
      </w:pPr>
      <w:r>
        <w:rPr>
          <w:rFonts w:hint="eastAsia" w:ascii="楷体_GB2312" w:hAnsi="宋体" w:eastAsia="楷体_GB2312" w:cs="Times New Roman"/>
          <w:b/>
          <w:color w:val="auto"/>
          <w:kern w:val="2"/>
          <w:sz w:val="32"/>
          <w:szCs w:val="32"/>
          <w:lang w:val="en-US" w:eastAsia="zh-CN" w:bidi="ar-SA"/>
        </w:rPr>
        <w:t>（三）个性指标</w:t>
      </w:r>
      <w:r>
        <w:rPr>
          <w:rFonts w:hint="eastAsia" w:ascii="Times New Roman" w:hAnsi="Times New Roman" w:eastAsia="楷体_GB2312" w:cs="Times New Roman"/>
          <w:b/>
          <w:color w:val="000000"/>
          <w:kern w:val="0"/>
          <w:sz w:val="32"/>
          <w:szCs w:val="32"/>
          <w:shd w:val="clear" w:color="auto" w:fill="FFFFFF"/>
          <w:lang w:val="en-US" w:eastAsia="zh-CN" w:bidi="ar-SA"/>
        </w:rPr>
        <w:t>绩效评分为14分。</w:t>
      </w:r>
    </w:p>
    <w:tbl>
      <w:tblPr>
        <w:tblStyle w:val="25"/>
        <w:tblW w:w="926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5"/>
        <w:gridCol w:w="783"/>
        <w:gridCol w:w="1007"/>
        <w:gridCol w:w="2180"/>
        <w:gridCol w:w="865"/>
        <w:gridCol w:w="761"/>
        <w:gridCol w:w="798"/>
        <w:gridCol w:w="735"/>
        <w:gridCol w:w="684"/>
        <w:gridCol w:w="6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restart"/>
            <w:tcBorders>
              <w:top w:val="single" w:color="000000" w:sz="4" w:space="0"/>
              <w:left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绩效指标（90分）</w:t>
            </w:r>
          </w:p>
        </w:tc>
        <w:tc>
          <w:tcPr>
            <w:tcW w:w="78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一级指标</w:t>
            </w:r>
          </w:p>
        </w:tc>
        <w:tc>
          <w:tcPr>
            <w:tcW w:w="1007"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二级指标</w:t>
            </w:r>
          </w:p>
        </w:tc>
        <w:tc>
          <w:tcPr>
            <w:tcW w:w="218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三级指标</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指标性质</w:t>
            </w:r>
          </w:p>
        </w:tc>
        <w:tc>
          <w:tcPr>
            <w:tcW w:w="761"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指标值</w:t>
            </w:r>
          </w:p>
        </w:tc>
        <w:tc>
          <w:tcPr>
            <w:tcW w:w="798"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度量单位</w:t>
            </w:r>
          </w:p>
        </w:tc>
        <w:tc>
          <w:tcPr>
            <w:tcW w:w="73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完成值</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权重</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783" w:type="dxa"/>
            <w:vMerge w:val="restart"/>
            <w:tcBorders>
              <w:top w:val="nil"/>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产出指标</w:t>
            </w:r>
          </w:p>
        </w:tc>
        <w:tc>
          <w:tcPr>
            <w:tcW w:w="1007" w:type="dxa"/>
            <w:vMerge w:val="restart"/>
            <w:tcBorders>
              <w:top w:val="nil"/>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数量指标</w:t>
            </w:r>
          </w:p>
        </w:tc>
        <w:tc>
          <w:tcPr>
            <w:tcW w:w="218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完成电子卷宗扫描数量</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761"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50</w:t>
            </w:r>
          </w:p>
        </w:tc>
        <w:tc>
          <w:tcPr>
            <w:tcW w:w="798"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万页</w:t>
            </w:r>
          </w:p>
        </w:tc>
        <w:tc>
          <w:tcPr>
            <w:tcW w:w="73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color w:val="000000"/>
                <w:kern w:val="2"/>
                <w:sz w:val="16"/>
                <w:szCs w:val="16"/>
              </w:rPr>
            </w:pPr>
            <w:r>
              <w:rPr>
                <w:rFonts w:hint="eastAsia" w:ascii="宋体" w:hAnsi="宋体" w:eastAsia="宋体" w:cs="宋体"/>
                <w:i w:val="0"/>
                <w:color w:val="000000"/>
                <w:kern w:val="0"/>
                <w:sz w:val="18"/>
                <w:szCs w:val="18"/>
                <w:lang w:val="en-US" w:eastAsia="zh-CN" w:bidi="ar-SA"/>
              </w:rPr>
              <w:t>＞50</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5</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10" w:hRule="atLeast"/>
          <w:jc w:val="center"/>
        </w:trPr>
        <w:tc>
          <w:tcPr>
            <w:tcW w:w="765"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783"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1007"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218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电子卷宗扫描服务人员数量</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761"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4</w:t>
            </w:r>
          </w:p>
        </w:tc>
        <w:tc>
          <w:tcPr>
            <w:tcW w:w="798"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人</w:t>
            </w:r>
          </w:p>
        </w:tc>
        <w:tc>
          <w:tcPr>
            <w:tcW w:w="73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color w:val="000000"/>
                <w:kern w:val="2"/>
                <w:sz w:val="16"/>
                <w:szCs w:val="16"/>
              </w:rPr>
            </w:pPr>
            <w:r>
              <w:rPr>
                <w:rFonts w:hint="eastAsia" w:ascii="宋体" w:hAnsi="宋体" w:eastAsia="宋体" w:cs="宋体"/>
                <w:i w:val="0"/>
                <w:color w:val="000000"/>
                <w:kern w:val="0"/>
                <w:sz w:val="18"/>
                <w:szCs w:val="18"/>
                <w:lang w:val="en-US" w:eastAsia="zh-CN" w:bidi="ar-SA"/>
              </w:rPr>
              <w:t>4</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5</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783"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1007"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218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物业管理服务人员数量</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761"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16</w:t>
            </w:r>
          </w:p>
        </w:tc>
        <w:tc>
          <w:tcPr>
            <w:tcW w:w="798"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人</w:t>
            </w:r>
          </w:p>
        </w:tc>
        <w:tc>
          <w:tcPr>
            <w:tcW w:w="73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color w:val="000000"/>
                <w:kern w:val="2"/>
                <w:sz w:val="16"/>
                <w:szCs w:val="16"/>
              </w:rPr>
            </w:pPr>
            <w:r>
              <w:rPr>
                <w:rFonts w:hint="eastAsia" w:ascii="宋体" w:hAnsi="宋体" w:eastAsia="宋体" w:cs="宋体"/>
                <w:i w:val="0"/>
                <w:color w:val="000000"/>
                <w:kern w:val="0"/>
                <w:sz w:val="18"/>
                <w:szCs w:val="18"/>
                <w:lang w:val="en-US" w:eastAsia="zh-CN" w:bidi="ar-SA"/>
              </w:rPr>
              <w:t>16</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5</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765"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783"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1007"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218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完成项目个数</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761"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2</w:t>
            </w:r>
          </w:p>
        </w:tc>
        <w:tc>
          <w:tcPr>
            <w:tcW w:w="798"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个</w:t>
            </w:r>
          </w:p>
        </w:tc>
        <w:tc>
          <w:tcPr>
            <w:tcW w:w="73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color w:val="000000"/>
                <w:kern w:val="2"/>
                <w:sz w:val="16"/>
                <w:szCs w:val="16"/>
              </w:rPr>
            </w:pPr>
            <w:r>
              <w:rPr>
                <w:rFonts w:hint="eastAsia" w:ascii="宋体" w:hAnsi="宋体" w:eastAsia="宋体" w:cs="宋体"/>
                <w:i w:val="0"/>
                <w:color w:val="000000"/>
                <w:kern w:val="0"/>
                <w:sz w:val="18"/>
                <w:szCs w:val="18"/>
                <w:lang w:val="en-US" w:eastAsia="zh-CN" w:bidi="ar-SA"/>
              </w:rPr>
              <w:t>2</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10</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jc w:val="center"/>
        </w:trPr>
        <w:tc>
          <w:tcPr>
            <w:tcW w:w="765"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783"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1007"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质量指标</w:t>
            </w:r>
          </w:p>
        </w:tc>
        <w:tc>
          <w:tcPr>
            <w:tcW w:w="218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项目验收合格率</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761"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100</w:t>
            </w:r>
          </w:p>
        </w:tc>
        <w:tc>
          <w:tcPr>
            <w:tcW w:w="798"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73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color w:val="000000"/>
                <w:kern w:val="2"/>
                <w:sz w:val="16"/>
                <w:szCs w:val="16"/>
              </w:rPr>
            </w:pPr>
            <w:r>
              <w:rPr>
                <w:rFonts w:hint="eastAsia" w:ascii="宋体" w:hAnsi="宋体" w:eastAsia="宋体" w:cs="宋体"/>
                <w:i w:val="0"/>
                <w:color w:val="000000"/>
                <w:kern w:val="0"/>
                <w:sz w:val="18"/>
                <w:szCs w:val="18"/>
                <w:lang w:val="en-US" w:eastAsia="zh-CN" w:bidi="ar-SA"/>
              </w:rPr>
              <w:t>100</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5</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783" w:type="dxa"/>
            <w:vMerge w:val="continue"/>
            <w:tcBorders>
              <w:top w:val="nil"/>
              <w:left w:val="nil"/>
              <w:bottom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1007"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时效指标</w:t>
            </w:r>
          </w:p>
        </w:tc>
        <w:tc>
          <w:tcPr>
            <w:tcW w:w="218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社会化服务工作及时完成率</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761"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100</w:t>
            </w:r>
          </w:p>
        </w:tc>
        <w:tc>
          <w:tcPr>
            <w:tcW w:w="798"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w:t>
            </w:r>
          </w:p>
        </w:tc>
        <w:tc>
          <w:tcPr>
            <w:tcW w:w="73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color w:val="000000"/>
                <w:kern w:val="2"/>
                <w:sz w:val="16"/>
                <w:szCs w:val="16"/>
              </w:rPr>
            </w:pPr>
            <w:r>
              <w:rPr>
                <w:rFonts w:hint="eastAsia" w:ascii="宋体" w:hAnsi="宋体" w:eastAsia="宋体" w:cs="宋体"/>
                <w:i w:val="0"/>
                <w:color w:val="000000"/>
                <w:kern w:val="0"/>
                <w:sz w:val="18"/>
                <w:szCs w:val="18"/>
                <w:lang w:val="en-US" w:eastAsia="zh-CN" w:bidi="ar-SA"/>
              </w:rPr>
              <w:t>100</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10</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25" w:hRule="atLeast"/>
          <w:jc w:val="center"/>
        </w:trPr>
        <w:tc>
          <w:tcPr>
            <w:tcW w:w="765"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783" w:type="dxa"/>
            <w:vMerge w:val="restart"/>
            <w:tcBorders>
              <w:top w:val="nil"/>
              <w:left w:val="nil"/>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效益指标</w:t>
            </w:r>
          </w:p>
        </w:tc>
        <w:tc>
          <w:tcPr>
            <w:tcW w:w="1007"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社会效益指标</w:t>
            </w:r>
          </w:p>
        </w:tc>
        <w:tc>
          <w:tcPr>
            <w:tcW w:w="218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充分发挥社会化服务行业优势，辅助高效完成审判、执行等各项工作。</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定性</w:t>
            </w:r>
          </w:p>
        </w:tc>
        <w:tc>
          <w:tcPr>
            <w:tcW w:w="761"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优</w:t>
            </w:r>
          </w:p>
        </w:tc>
        <w:tc>
          <w:tcPr>
            <w:tcW w:w="798"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级</w:t>
            </w:r>
          </w:p>
        </w:tc>
        <w:tc>
          <w:tcPr>
            <w:tcW w:w="73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微软雅黑" w:hAnsi="微软雅黑" w:eastAsia="微软雅黑" w:cs="微软雅黑"/>
                <w:i/>
                <w:color w:val="000000"/>
                <w:kern w:val="2"/>
                <w:sz w:val="16"/>
                <w:szCs w:val="16"/>
              </w:rPr>
            </w:pPr>
            <w:r>
              <w:rPr>
                <w:rFonts w:hint="eastAsia" w:ascii="宋体" w:hAnsi="宋体" w:eastAsia="宋体" w:cs="宋体"/>
                <w:i w:val="0"/>
                <w:color w:val="000000"/>
                <w:kern w:val="0"/>
                <w:sz w:val="18"/>
                <w:szCs w:val="18"/>
                <w:lang w:val="en-US" w:eastAsia="zh-CN" w:bidi="ar-SA"/>
              </w:rPr>
              <w:t>优</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10</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2"/>
                <w:sz w:val="18"/>
                <w:szCs w:val="18"/>
              </w:rPr>
            </w:pPr>
            <w:r>
              <w:rPr>
                <w:rFonts w:hint="eastAsia" w:ascii="宋体" w:hAnsi="宋体" w:eastAsia="宋体" w:cs="宋体"/>
                <w:i w:val="0"/>
                <w:color w:val="000000"/>
                <w:kern w:val="0"/>
                <w:sz w:val="18"/>
                <w:szCs w:val="18"/>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25" w:hRule="atLeast"/>
          <w:jc w:val="center"/>
        </w:trPr>
        <w:tc>
          <w:tcPr>
            <w:tcW w:w="765"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783" w:type="dxa"/>
            <w:vMerge w:val="continue"/>
            <w:tcBorders>
              <w:top w:val="nil"/>
              <w:left w:val="nil"/>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1007"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可持续影响指标</w:t>
            </w:r>
          </w:p>
        </w:tc>
        <w:tc>
          <w:tcPr>
            <w:tcW w:w="218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维护正常办公、办案秩序和环境，规范案件卷宗保管及储存。</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定性</w:t>
            </w:r>
          </w:p>
        </w:tc>
        <w:tc>
          <w:tcPr>
            <w:tcW w:w="761"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优</w:t>
            </w:r>
          </w:p>
        </w:tc>
        <w:tc>
          <w:tcPr>
            <w:tcW w:w="798"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级</w:t>
            </w:r>
          </w:p>
        </w:tc>
        <w:tc>
          <w:tcPr>
            <w:tcW w:w="73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优</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10</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25" w:hRule="atLeast"/>
          <w:jc w:val="center"/>
        </w:trPr>
        <w:tc>
          <w:tcPr>
            <w:tcW w:w="765"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78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满意度指标</w:t>
            </w:r>
          </w:p>
        </w:tc>
        <w:tc>
          <w:tcPr>
            <w:tcW w:w="1007"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服务对象满意度指标</w:t>
            </w:r>
          </w:p>
        </w:tc>
        <w:tc>
          <w:tcPr>
            <w:tcW w:w="218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干警满意度</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w:t>
            </w:r>
          </w:p>
        </w:tc>
        <w:tc>
          <w:tcPr>
            <w:tcW w:w="761"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90</w:t>
            </w:r>
          </w:p>
        </w:tc>
        <w:tc>
          <w:tcPr>
            <w:tcW w:w="798"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w:t>
            </w:r>
          </w:p>
        </w:tc>
        <w:tc>
          <w:tcPr>
            <w:tcW w:w="73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90</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10</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25" w:hRule="atLeast"/>
          <w:jc w:val="center"/>
        </w:trPr>
        <w:tc>
          <w:tcPr>
            <w:tcW w:w="765" w:type="dxa"/>
            <w:vMerge w:val="continue"/>
            <w:tcBorders>
              <w:top w:val="single" w:color="000000" w:sz="4" w:space="0"/>
              <w:left w:val="single" w:color="000000" w:sz="4" w:space="0"/>
              <w:right w:val="single" w:color="000000" w:sz="4" w:space="0"/>
            </w:tcBorders>
            <w:vAlign w:val="center"/>
          </w:tcPr>
          <w:p>
            <w:pPr>
              <w:spacing w:before="0" w:beforeAutospacing="0" w:after="0" w:afterAutospacing="0"/>
              <w:ind w:left="0" w:right="0"/>
              <w:rPr>
                <w:rFonts w:hint="eastAsia" w:ascii="Times New Roman" w:hAnsi="Times New Roman" w:cs="Times New Roman"/>
                <w:sz w:val="20"/>
                <w:szCs w:val="20"/>
              </w:rPr>
            </w:pPr>
          </w:p>
        </w:tc>
        <w:tc>
          <w:tcPr>
            <w:tcW w:w="783"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成本指标</w:t>
            </w:r>
          </w:p>
        </w:tc>
        <w:tc>
          <w:tcPr>
            <w:tcW w:w="1007"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经济成本指标</w:t>
            </w:r>
          </w:p>
        </w:tc>
        <w:tc>
          <w:tcPr>
            <w:tcW w:w="2180"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项目总成本</w:t>
            </w:r>
          </w:p>
        </w:tc>
        <w:tc>
          <w:tcPr>
            <w:tcW w:w="86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w:t>
            </w:r>
          </w:p>
        </w:tc>
        <w:tc>
          <w:tcPr>
            <w:tcW w:w="761"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90</w:t>
            </w:r>
          </w:p>
        </w:tc>
        <w:tc>
          <w:tcPr>
            <w:tcW w:w="798"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万元</w:t>
            </w:r>
          </w:p>
        </w:tc>
        <w:tc>
          <w:tcPr>
            <w:tcW w:w="735"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72.46</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20</w:t>
            </w:r>
          </w:p>
        </w:tc>
        <w:tc>
          <w:tcPr>
            <w:tcW w:w="684" w:type="dxa"/>
            <w:tcBorders>
              <w:top w:val="single" w:color="000000" w:sz="4" w:space="0"/>
              <w:left w:val="nil"/>
              <w:bottom w:val="single" w:color="000000" w:sz="4" w:space="0"/>
              <w:right w:val="single" w:color="000000" w:sz="4" w:space="0"/>
            </w:tcBorders>
            <w:vAlign w:val="center"/>
          </w:tcPr>
          <w:p>
            <w:pPr>
              <w:widowControl/>
              <w:spacing w:before="0" w:beforeAutospacing="0" w:after="0" w:afterAutospacing="0"/>
              <w:ind w:left="0" w:right="0"/>
              <w:jc w:val="center"/>
              <w:textAlignment w:val="center"/>
              <w:rPr>
                <w:rFonts w:hint="eastAsia" w:ascii="宋体" w:hAnsi="宋体" w:eastAsia="宋体" w:cs="宋体"/>
                <w:i w:val="0"/>
                <w:color w:val="000000"/>
                <w:kern w:val="0"/>
                <w:sz w:val="18"/>
                <w:szCs w:val="18"/>
              </w:rPr>
            </w:pPr>
            <w:r>
              <w:rPr>
                <w:rFonts w:hint="eastAsia" w:ascii="宋体" w:hAnsi="宋体" w:eastAsia="宋体" w:cs="宋体"/>
                <w:i w:val="0"/>
                <w:color w:val="000000"/>
                <w:kern w:val="0"/>
                <w:sz w:val="18"/>
                <w:szCs w:val="18"/>
                <w:lang w:val="en-US" w:eastAsia="zh-CN" w:bidi="ar-SA"/>
              </w:rPr>
              <w:t>16</w:t>
            </w:r>
          </w:p>
        </w:tc>
      </w:tr>
    </w:tbl>
    <w:p>
      <w:pPr>
        <w:pStyle w:val="21"/>
        <w:widowControl/>
        <w:spacing w:before="0" w:beforeAutospacing="0" w:after="0" w:afterAutospacing="0" w:line="360" w:lineRule="auto"/>
        <w:ind w:left="0" w:leftChars="0" w:right="0" w:firstLine="643" w:firstLineChars="200"/>
        <w:jc w:val="left"/>
        <w:rPr>
          <w:rFonts w:hint="eastAsia" w:ascii="黑体" w:hAnsi="宋体" w:eastAsia="黑体" w:cs="Times New Roman"/>
          <w:b/>
          <w:kern w:val="0"/>
          <w:position w:val="3"/>
          <w:sz w:val="32"/>
          <w:szCs w:val="32"/>
        </w:rPr>
      </w:pPr>
      <w:r>
        <w:rPr>
          <w:rFonts w:hint="eastAsia" w:ascii="黑体" w:hAnsi="宋体" w:eastAsia="黑体" w:cs="Times New Roman"/>
          <w:b/>
          <w:kern w:val="0"/>
          <w:position w:val="3"/>
          <w:sz w:val="32"/>
          <w:szCs w:val="32"/>
          <w:lang w:val="en-US" w:eastAsia="zh-CN" w:bidi="ar-SA"/>
        </w:rPr>
        <w:t>四、评价结论</w:t>
      </w:r>
    </w:p>
    <w:p>
      <w:pPr>
        <w:widowControl w:val="0"/>
        <w:adjustRightInd w:val="0"/>
        <w:snapToGrid w:val="0"/>
        <w:spacing w:before="0" w:beforeAutospacing="0" w:after="0" w:afterAutospacing="0" w:line="360" w:lineRule="auto"/>
        <w:ind w:left="0" w:leftChars="0" w:right="0"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color w:val="auto"/>
          <w:kern w:val="2"/>
          <w:sz w:val="32"/>
          <w:szCs w:val="32"/>
          <w:lang w:val="en-US" w:eastAsia="zh-CN" w:bidi="ar-SA"/>
        </w:rPr>
        <w:t>该项目自评得分为95.52</w:t>
      </w:r>
      <w:r>
        <w:rPr>
          <w:rFonts w:hint="eastAsia" w:ascii="仿宋_GB2312" w:hAnsi="Times New Roman" w:eastAsia="仿宋_GB2312" w:cs="仿宋_GB2312"/>
          <w:color w:val="auto"/>
          <w:kern w:val="2"/>
          <w:sz w:val="32"/>
          <w:szCs w:val="32"/>
          <w:lang w:val="en-US" w:eastAsia="zh-CN" w:bidi="ar-SA"/>
        </w:rPr>
        <w:t>分。</w:t>
      </w:r>
      <w:r>
        <w:rPr>
          <w:rFonts w:hint="eastAsia" w:ascii="Times New Roman" w:hAnsi="Times New Roman" w:eastAsia="仿宋_GB2312" w:cs="Times New Roman"/>
          <w:color w:val="auto"/>
          <w:kern w:val="2"/>
          <w:sz w:val="32"/>
          <w:szCs w:val="32"/>
          <w:lang w:val="en-US" w:eastAsia="zh-CN" w:bidi="ar-SA"/>
        </w:rPr>
        <w:t>该项目决策符合国家政策方针，项目预算执行进度推进有力，项目监督管控及时有效，项目资金支付合理合规。通过项目的实施，保障了审判区及办公区清洁，门卫值守，会议服务，电子卷宗扫描及数据加工服务充分发挥社会化服务行业优势，辅助业务部门高效完成审判、执行等各项工作，更好的发挥审执工作效用。</w:t>
      </w:r>
    </w:p>
    <w:p>
      <w:pPr>
        <w:pStyle w:val="21"/>
        <w:widowControl/>
        <w:spacing w:before="0" w:beforeAutospacing="0" w:after="0" w:afterAutospacing="0" w:line="360" w:lineRule="auto"/>
        <w:ind w:left="0" w:leftChars="0" w:right="0" w:firstLine="643" w:firstLineChars="200"/>
        <w:jc w:val="left"/>
        <w:rPr>
          <w:rFonts w:hint="eastAsia" w:ascii="黑体" w:hAnsi="宋体" w:eastAsia="黑体" w:cs="Times New Roman"/>
          <w:b/>
          <w:kern w:val="0"/>
          <w:position w:val="3"/>
          <w:sz w:val="32"/>
          <w:szCs w:val="32"/>
        </w:rPr>
      </w:pPr>
      <w:r>
        <w:rPr>
          <w:rFonts w:hint="eastAsia" w:ascii="黑体" w:hAnsi="宋体" w:eastAsia="黑体" w:cs="Times New Roman"/>
          <w:b/>
          <w:kern w:val="0"/>
          <w:position w:val="3"/>
          <w:sz w:val="32"/>
          <w:szCs w:val="32"/>
          <w:lang w:val="en-US" w:eastAsia="zh-CN" w:bidi="ar-SA"/>
        </w:rPr>
        <w:t>五、存在主要问题</w:t>
      </w:r>
    </w:p>
    <w:p>
      <w:pPr>
        <w:pStyle w:val="21"/>
        <w:widowControl/>
        <w:spacing w:before="0" w:beforeAutospacing="0" w:after="0" w:afterAutospacing="0" w:line="360" w:lineRule="auto"/>
        <w:ind w:left="0" w:leftChars="0" w:right="0" w:firstLine="640" w:firstLineChars="200"/>
        <w:jc w:val="left"/>
        <w:rPr>
          <w:rFonts w:hint="eastAsia" w:ascii="黑体" w:hAnsi="宋体" w:eastAsia="黑体" w:cs="黑体"/>
          <w:b w:val="0"/>
          <w:kern w:val="2"/>
          <w:sz w:val="32"/>
          <w:szCs w:val="32"/>
        </w:rPr>
      </w:pPr>
      <w:r>
        <w:rPr>
          <w:rFonts w:hint="eastAsia" w:ascii="仿宋_GB2312" w:hAnsi="Times New Roman" w:eastAsia="仿宋_GB2312" w:cs="仿宋_GB2312"/>
          <w:b w:val="0"/>
          <w:kern w:val="0"/>
          <w:position w:val="3"/>
          <w:sz w:val="32"/>
          <w:szCs w:val="32"/>
          <w:lang w:val="en-US" w:eastAsia="zh-CN" w:bidi="ar-SA"/>
        </w:rPr>
        <w:t>无。</w:t>
      </w:r>
    </w:p>
    <w:p>
      <w:pPr>
        <w:pStyle w:val="21"/>
        <w:widowControl/>
        <w:spacing w:before="0" w:beforeAutospacing="0" w:after="0" w:afterAutospacing="0" w:line="360" w:lineRule="auto"/>
        <w:ind w:left="0" w:leftChars="0" w:right="0" w:firstLine="643" w:firstLineChars="200"/>
        <w:jc w:val="left"/>
        <w:rPr>
          <w:rFonts w:hint="eastAsia" w:ascii="黑体" w:hAnsi="宋体" w:eastAsia="黑体" w:cs="Times New Roman"/>
          <w:b/>
          <w:kern w:val="0"/>
          <w:position w:val="3"/>
          <w:sz w:val="32"/>
          <w:szCs w:val="32"/>
        </w:rPr>
      </w:pPr>
      <w:r>
        <w:rPr>
          <w:rFonts w:hint="eastAsia" w:ascii="黑体" w:hAnsi="宋体" w:eastAsia="黑体" w:cs="Times New Roman"/>
          <w:b/>
          <w:kern w:val="0"/>
          <w:position w:val="3"/>
          <w:sz w:val="32"/>
          <w:szCs w:val="32"/>
          <w:lang w:val="en-US" w:eastAsia="zh-CN" w:bidi="ar-SA"/>
        </w:rPr>
        <w:t>六、改进建议</w:t>
      </w:r>
    </w:p>
    <w:p>
      <w:pPr>
        <w:pStyle w:val="21"/>
        <w:widowControl/>
        <w:spacing w:before="0" w:beforeAutospacing="0" w:after="0" w:afterAutospacing="0" w:line="360" w:lineRule="auto"/>
        <w:ind w:left="0" w:leftChars="0" w:right="0" w:firstLine="640" w:firstLineChars="200"/>
        <w:jc w:val="left"/>
        <w:outlineLvl w:val="4"/>
        <w:rPr>
          <w:rFonts w:ascii="Arial" w:hAnsi="Arial" w:eastAsia="仿宋_GB2312" w:cs="Times New Roman"/>
          <w:b/>
          <w:kern w:val="2"/>
          <w:sz w:val="32"/>
          <w:szCs w:val="32"/>
        </w:rPr>
      </w:pPr>
      <w:r>
        <w:rPr>
          <w:rFonts w:hint="eastAsia" w:ascii="仿宋_GB2312" w:hAnsi="Arial" w:eastAsia="仿宋_GB2312" w:cs="仿宋_GB2312"/>
          <w:b w:val="0"/>
          <w:kern w:val="0"/>
          <w:sz w:val="32"/>
          <w:szCs w:val="32"/>
          <w:lang w:val="en-US" w:eastAsia="zh-CN" w:bidi="ar-SA"/>
        </w:rPr>
        <w:t>无。</w:t>
      </w:r>
    </w:p>
    <w:p>
      <w:pPr>
        <w:widowControl w:val="0"/>
        <w:snapToGrid w:val="0"/>
        <w:spacing w:before="0" w:beforeAutospacing="0" w:after="0" w:afterAutospacing="0" w:line="360" w:lineRule="auto"/>
        <w:ind w:left="0" w:leftChars="0" w:right="0" w:firstLine="640" w:firstLineChars="200"/>
        <w:jc w:val="both"/>
        <w:rPr>
          <w:rFonts w:hint="eastAsia" w:ascii="Times New Roman" w:hAnsi="Times New Roman" w:eastAsia="仿宋_GB2312" w:cs="Times New Roman"/>
          <w:color w:val="000000"/>
          <w:kern w:val="0"/>
          <w:sz w:val="32"/>
          <w:szCs w:val="32"/>
          <w:shd w:val="clear" w:color="auto" w:fill="FFFFFF"/>
        </w:rPr>
      </w:pPr>
      <w:r>
        <w:rPr>
          <w:rFonts w:hint="eastAsia" w:ascii="Times New Roman" w:hAnsi="Times New Roman" w:eastAsia="仿宋_GB2312" w:cs="Times New Roman"/>
          <w:color w:val="000000"/>
          <w:kern w:val="0"/>
          <w:sz w:val="32"/>
          <w:szCs w:val="32"/>
          <w:shd w:val="clear" w:color="auto" w:fill="FFFFFF"/>
          <w:lang w:val="en-US" w:eastAsia="zh-CN" w:bidi="ar-SA"/>
        </w:rPr>
        <w:t xml:space="preserve"> </w:t>
      </w:r>
    </w:p>
    <w:p>
      <w:pPr>
        <w:pStyle w:val="36"/>
        <w:spacing w:beforeLines="0" w:afterLines="0"/>
        <w:jc w:val="center"/>
        <w:rPr>
          <w:rFonts w:hint="eastAsia" w:ascii="黑体" w:hAnsi="黑体" w:eastAsia="黑体"/>
          <w:b/>
          <w:color w:val="auto"/>
          <w:kern w:val="2"/>
          <w:sz w:val="44"/>
          <w:lang w:val="en-US"/>
        </w:rPr>
      </w:pPr>
      <w:r>
        <w:rPr>
          <w:rFonts w:hint="eastAsia" w:ascii="Times New Roman" w:hAnsi="Times New Roman" w:eastAsia="黑体" w:cs="Times New Roman"/>
          <w:b/>
          <w:color w:val="000000"/>
          <w:kern w:val="0"/>
          <w:sz w:val="24"/>
          <w:szCs w:val="24"/>
          <w:shd w:val="clear" w:color="auto" w:fill="FFFFFF"/>
          <w:lang w:val="en-US" w:eastAsia="zh-CN" w:bidi="ar-SA"/>
        </w:rPr>
        <w:t xml:space="preserve"> </w:t>
      </w:r>
      <w:r>
        <w:rPr>
          <w:rFonts w:hint="eastAsia" w:ascii="黑体" w:hAnsi="黑体" w:eastAsia="黑体"/>
          <w:b/>
          <w:color w:val="auto"/>
          <w:kern w:val="2"/>
          <w:sz w:val="44"/>
          <w:lang w:val="en-US"/>
        </w:rPr>
        <w:t>四川省广元市中级人民法院</w:t>
      </w:r>
    </w:p>
    <w:p>
      <w:pPr>
        <w:pStyle w:val="36"/>
        <w:spacing w:beforeLines="0" w:afterLines="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2024年聘用制书记员及辅警工作经费</w:t>
      </w:r>
    </w:p>
    <w:p>
      <w:pPr>
        <w:pStyle w:val="36"/>
        <w:spacing w:beforeLines="0" w:afterLines="0"/>
        <w:jc w:val="center"/>
        <w:rPr>
          <w:rFonts w:hint="eastAsia" w:ascii="宋体" w:hAnsi="宋体"/>
          <w:b/>
          <w:color w:val="auto"/>
          <w:kern w:val="2"/>
          <w:sz w:val="32"/>
        </w:rPr>
      </w:pPr>
      <w:r>
        <w:rPr>
          <w:rFonts w:hint="eastAsia" w:ascii="黑体" w:hAnsi="黑体" w:eastAsia="黑体"/>
          <w:b/>
          <w:color w:val="auto"/>
          <w:kern w:val="2"/>
          <w:sz w:val="44"/>
          <w:lang w:val="en-US"/>
        </w:rPr>
        <w:t>专项预算项目绩效评价报告</w:t>
      </w:r>
    </w:p>
    <w:p>
      <w:pPr>
        <w:adjustRightInd w:val="0"/>
        <w:snapToGrid w:val="0"/>
        <w:spacing w:beforeLines="0" w:afterLines="0" w:line="360" w:lineRule="auto"/>
        <w:ind w:firstLine="643" w:firstLineChars="200"/>
        <w:rPr>
          <w:rFonts w:hint="eastAsia" w:ascii="黑体" w:hAnsi="宋体" w:eastAsia="黑体"/>
          <w:b/>
          <w:sz w:val="32"/>
          <w:lang w:val="zh-CN"/>
        </w:rPr>
      </w:pPr>
      <w:r>
        <w:rPr>
          <w:rFonts w:hint="eastAsia" w:ascii="黑体" w:hAnsi="宋体" w:eastAsia="黑体"/>
          <w:b/>
          <w:sz w:val="32"/>
        </w:rPr>
        <w:t>一、</w:t>
      </w:r>
      <w:r>
        <w:rPr>
          <w:rFonts w:hint="eastAsia" w:ascii="黑体" w:hAnsi="宋体" w:eastAsia="黑体"/>
          <w:b/>
          <w:sz w:val="32"/>
          <w:lang w:val="zh-CN"/>
        </w:rPr>
        <w:t>项目概况</w:t>
      </w:r>
    </w:p>
    <w:p>
      <w:pPr>
        <w:widowControl/>
        <w:numPr>
          <w:numId w:val="0"/>
        </w:numPr>
        <w:adjustRightInd w:val="0"/>
        <w:snapToGrid w:val="0"/>
        <w:spacing w:beforeLines="0" w:afterLines="0" w:line="360" w:lineRule="auto"/>
        <w:ind w:firstLine="643" w:firstLineChars="200"/>
        <w:jc w:val="left"/>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（一）设立背景及基本情况。</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广元市</w:t>
      </w:r>
      <w:r>
        <w:rPr>
          <w:rFonts w:hint="eastAsia" w:eastAsia="仿宋_GB2312"/>
          <w:sz w:val="32"/>
        </w:rPr>
        <w:t>中级人民法院是独立核算的一级预算部门，</w:t>
      </w:r>
      <w:r>
        <w:rPr>
          <w:rFonts w:hint="eastAsia" w:eastAsia="仿宋_GB2312"/>
          <w:sz w:val="32"/>
          <w:lang w:val="zh-CN"/>
        </w:rPr>
        <w:t>负责聘用制书记员及辅警工作经费专项项目年初预算的编制和绩效目标的设置，确保项目预算的科学性、合理性、可行性。负责推进项目执行以及项目实施过程管理，包括项目进度监控、成本控制、风险预警、资金支付、财务核算等。</w:t>
      </w:r>
    </w:p>
    <w:p>
      <w:pPr>
        <w:pStyle w:val="34"/>
        <w:spacing w:before="0" w:beforeLines="0" w:after="0" w:afterLines="0" w:line="360" w:lineRule="auto"/>
        <w:ind w:firstLine="640" w:firstLineChars="200"/>
        <w:rPr>
          <w:rFonts w:hint="eastAsia" w:ascii="Times New Roman" w:hAnsi="Times New Roman" w:eastAsia="Times New Roman"/>
          <w:b w:val="0"/>
          <w:sz w:val="32"/>
          <w:lang w:val="zh-CN"/>
        </w:rPr>
      </w:pPr>
      <w:r>
        <w:rPr>
          <w:rFonts w:hint="eastAsia" w:ascii="Times New Roman" w:hAnsi="Times New Roman" w:eastAsia="仿宋_GB2312"/>
          <w:b w:val="0"/>
          <w:sz w:val="32"/>
          <w:lang w:val="zh-CN"/>
        </w:rPr>
        <w:t>按照按照司法改革中“一审一助一书”配备要求，</w:t>
      </w:r>
      <w:r>
        <w:rPr>
          <w:rFonts w:hint="eastAsia" w:ascii="Times New Roman" w:hAnsi="Times New Roman" w:eastAsia="仿宋_GB2312"/>
          <w:b w:val="0"/>
          <w:sz w:val="32"/>
        </w:rPr>
        <w:t>及</w:t>
      </w:r>
      <w:r>
        <w:rPr>
          <w:rFonts w:hint="eastAsia" w:ascii="Times New Roman" w:hAnsi="Times New Roman" w:eastAsia="仿宋_GB2312"/>
          <w:b w:val="0"/>
          <w:sz w:val="32"/>
          <w:lang w:val="zh-CN"/>
        </w:rPr>
        <w:t>《广元市机构编制委员会关于同意市法院聘用协警人员的通知》、《广元市机构编制委员会关于同意市法院聘用书记员及协警人员的通知》、《广元市机构编制委员会关于核定市法院聘用制书记员额度的通知》规定，核定我院聘用制人员</w:t>
      </w:r>
      <w:r>
        <w:rPr>
          <w:rFonts w:hint="eastAsia" w:ascii="Times New Roman" w:hAnsi="Times New Roman" w:eastAsia="仿宋_GB2312"/>
          <w:b w:val="0"/>
          <w:sz w:val="32"/>
        </w:rPr>
        <w:t>61人。根据</w:t>
      </w:r>
      <w:r>
        <w:rPr>
          <w:rFonts w:hint="eastAsia" w:ascii="Times New Roman" w:hAnsi="Times New Roman" w:eastAsia="仿宋_GB2312"/>
          <w:b w:val="0"/>
          <w:sz w:val="32"/>
          <w:lang w:val="zh-CN"/>
        </w:rPr>
        <w:t>我院聘用人员工资、保险日常支出实际情况，核定</w:t>
      </w:r>
      <w:r>
        <w:rPr>
          <w:rFonts w:hint="eastAsia" w:ascii="Times New Roman" w:hAnsi="Times New Roman" w:eastAsia="仿宋_GB2312"/>
          <w:b w:val="0"/>
          <w:sz w:val="32"/>
        </w:rPr>
        <w:t>5万元每人每年，故</w:t>
      </w:r>
      <w:r>
        <w:rPr>
          <w:rFonts w:hint="eastAsia" w:ascii="Times New Roman" w:hAnsi="Times New Roman" w:eastAsia="仿宋_GB2312"/>
          <w:b w:val="0"/>
          <w:sz w:val="32"/>
          <w:lang w:val="zh-CN"/>
        </w:rPr>
        <w:t>申报</w:t>
      </w:r>
      <w:r>
        <w:rPr>
          <w:rFonts w:hint="eastAsia" w:ascii="Times New Roman" w:hAnsi="Times New Roman" w:eastAsia="仿宋_GB2312"/>
          <w:b w:val="0"/>
          <w:sz w:val="32"/>
        </w:rPr>
        <w:t>聘用制书记员及辅警工作经费</w:t>
      </w:r>
      <w:r>
        <w:rPr>
          <w:rFonts w:hint="eastAsia" w:ascii="Times New Roman" w:hAnsi="Times New Roman" w:eastAsia="仿宋_GB2312"/>
          <w:b w:val="0"/>
          <w:sz w:val="32"/>
          <w:lang w:val="zh-CN"/>
        </w:rPr>
        <w:t>项目资金</w:t>
      </w:r>
      <w:r>
        <w:rPr>
          <w:rFonts w:hint="eastAsia" w:ascii="Times New Roman" w:hAnsi="Times New Roman" w:eastAsia="仿宋_GB2312"/>
          <w:b w:val="0"/>
          <w:sz w:val="32"/>
        </w:rPr>
        <w:t>305</w:t>
      </w:r>
      <w:r>
        <w:rPr>
          <w:rFonts w:hint="eastAsia" w:ascii="Times New Roman" w:hAnsi="Times New Roman" w:eastAsia="仿宋_GB2312"/>
          <w:b w:val="0"/>
          <w:sz w:val="32"/>
          <w:lang w:val="zh-CN"/>
        </w:rPr>
        <w:t>万元。</w:t>
      </w:r>
    </w:p>
    <w:p>
      <w:pPr>
        <w:numPr>
          <w:numId w:val="0"/>
        </w:numPr>
        <w:adjustRightInd w:val="0"/>
        <w:snapToGrid w:val="0"/>
        <w:spacing w:beforeLines="0" w:afterLines="0" w:line="360" w:lineRule="auto"/>
        <w:rPr>
          <w:rFonts w:hint="eastAsia" w:ascii="楷体_GB2312" w:hAnsi="宋体" w:eastAsia="楷体_GB2312"/>
          <w:b/>
          <w:color w:val="auto"/>
          <w:sz w:val="32"/>
        </w:rPr>
      </w:pPr>
      <w:r>
        <w:rPr>
          <w:rFonts w:hint="eastAsia" w:ascii="楷体_GB2312" w:hAnsi="宋体" w:eastAsia="楷体_GB2312"/>
          <w:b/>
          <w:color w:val="auto"/>
          <w:sz w:val="32"/>
          <w:lang w:val="en-US" w:eastAsia="zh-CN"/>
        </w:rPr>
        <w:t xml:space="preserve">    （二）</w:t>
      </w:r>
      <w:r>
        <w:rPr>
          <w:rFonts w:hint="eastAsia" w:ascii="楷体_GB2312" w:hAnsi="宋体" w:eastAsia="楷体_GB2312"/>
          <w:b/>
          <w:color w:val="auto"/>
          <w:sz w:val="32"/>
        </w:rPr>
        <w:t>实施目的及支持方向。</w:t>
      </w:r>
    </w:p>
    <w:p>
      <w:pPr>
        <w:adjustRightInd w:val="0"/>
        <w:snapToGrid w:val="0"/>
        <w:spacing w:beforeLines="0" w:afterLines="0" w:line="360" w:lineRule="auto"/>
        <w:ind w:firstLine="640" w:firstLineChars="200"/>
        <w:rPr>
          <w:rFonts w:hint="eastAsia"/>
          <w:sz w:val="32"/>
          <w:lang w:val="zh-CN"/>
        </w:rPr>
      </w:pPr>
      <w:r>
        <w:rPr>
          <w:rFonts w:hint="eastAsia" w:ascii="仿宋_GB2312" w:hAnsi="仿宋_GB2312" w:eastAsia="仿宋_GB2312"/>
          <w:color w:val="auto"/>
          <w:kern w:val="0"/>
          <w:sz w:val="32"/>
          <w:shd w:val="clear" w:color="auto" w:fill="FFFFFF"/>
        </w:rPr>
        <w:t xml:space="preserve"> </w:t>
      </w:r>
      <w:r>
        <w:rPr>
          <w:rFonts w:hint="eastAsia" w:eastAsia="仿宋_GB2312"/>
          <w:sz w:val="32"/>
        </w:rPr>
        <w:t>聘用制书记员及辅警工作经费</w:t>
      </w:r>
      <w:r>
        <w:rPr>
          <w:rFonts w:hint="eastAsia" w:eastAsia="仿宋_GB2312"/>
          <w:sz w:val="32"/>
          <w:lang w:val="zh-CN"/>
        </w:rPr>
        <w:t>项目预算编制立足上年项目执行情况和当年保障需求，绩效目标和项目指标编制科学、合理。聘用人员工资及保险严格按照市委组织部核定工资标准和社保缴纳口径核定，对项目执行实行全程监管。</w:t>
      </w:r>
    </w:p>
    <w:p>
      <w:pPr>
        <w:numPr>
          <w:numId w:val="0"/>
        </w:numPr>
        <w:adjustRightInd w:val="0"/>
        <w:snapToGrid w:val="0"/>
        <w:spacing w:beforeLines="0" w:afterLines="0" w:line="360" w:lineRule="auto"/>
        <w:ind w:firstLine="640" w:firstLineChars="200"/>
        <w:rPr>
          <w:rFonts w:hint="eastAsia" w:eastAsia="仿宋_GB2312"/>
          <w:sz w:val="32"/>
          <w:lang w:val="zh-CN"/>
        </w:rPr>
      </w:pPr>
      <w:r>
        <w:rPr>
          <w:rFonts w:hint="eastAsia" w:eastAsia="仿宋_GB2312"/>
          <w:sz w:val="32"/>
          <w:lang w:val="zh-CN"/>
        </w:rPr>
        <w:t>项目资金来源系财政全额拨款的一般公共预算资金，按照我院财务管理办法及专项资金管理细则，实行专款专用。项目的所有经费开支均经过项目责任人、财务负责人、分管院领导的审批签字，并在对应的科目进行专项核算。</w:t>
      </w:r>
    </w:p>
    <w:p>
      <w:pPr>
        <w:numPr>
          <w:numId w:val="0"/>
        </w:numPr>
        <w:adjustRightInd w:val="0"/>
        <w:snapToGrid w:val="0"/>
        <w:spacing w:beforeLines="0" w:afterLines="0" w:line="360" w:lineRule="auto"/>
        <w:ind w:firstLine="640" w:firstLineChars="200"/>
        <w:rPr>
          <w:rFonts w:hint="eastAsia"/>
          <w:sz w:val="32"/>
          <w:lang w:val="zh-CN"/>
        </w:rPr>
      </w:pPr>
      <w:r>
        <w:rPr>
          <w:rFonts w:hint="eastAsia" w:eastAsia="仿宋_GB2312"/>
          <w:sz w:val="32"/>
        </w:rPr>
        <w:t>聘用制书记员及辅警工作经费</w:t>
      </w:r>
      <w:r>
        <w:rPr>
          <w:rFonts w:hint="eastAsia" w:eastAsia="仿宋_GB2312"/>
          <w:sz w:val="32"/>
          <w:lang w:val="zh-CN"/>
        </w:rPr>
        <w:t>项目主要是保障我院聘用制人员书记员、辅警的工资及保险等各项经费开支，有利于推进法院审判，执行、综合等各项审判、执行辅助工作的顺利开展，更好地维护法院工作正常运行。</w:t>
      </w:r>
    </w:p>
    <w:p>
      <w:pPr>
        <w:widowControl/>
        <w:numPr>
          <w:numId w:val="0"/>
        </w:numPr>
        <w:adjustRightInd w:val="0"/>
        <w:snapToGrid w:val="0"/>
        <w:spacing w:beforeLines="0" w:afterLines="0" w:line="360" w:lineRule="auto"/>
        <w:jc w:val="left"/>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（三）</w:t>
      </w:r>
      <w:r>
        <w:rPr>
          <w:rFonts w:hint="eastAsia" w:ascii="楷体_GB2312" w:hAnsi="宋体" w:eastAsia="楷体_GB2312"/>
          <w:b/>
          <w:color w:val="auto"/>
          <w:sz w:val="32"/>
        </w:rPr>
        <w:t>预算安排及分配管理</w:t>
      </w:r>
      <w:r>
        <w:rPr>
          <w:rFonts w:hint="eastAsia" w:ascii="楷体_GB2312" w:hAnsi="宋体" w:eastAsia="楷体_GB2312"/>
          <w:b/>
          <w:color w:val="auto"/>
          <w:sz w:val="32"/>
          <w:lang w:val="zh-CN"/>
        </w:rPr>
        <w:t>。</w:t>
      </w:r>
    </w:p>
    <w:p>
      <w:pPr>
        <w:widowControl/>
        <w:numPr>
          <w:numId w:val="0"/>
        </w:numPr>
        <w:adjustRightInd w:val="0"/>
        <w:snapToGrid w:val="0"/>
        <w:spacing w:beforeLines="0" w:afterLines="0" w:line="360" w:lineRule="auto"/>
        <w:ind w:firstLine="640" w:firstLineChars="200"/>
        <w:jc w:val="left"/>
        <w:rPr>
          <w:rFonts w:hint="eastAsia" w:ascii="仿宋_GB2312" w:hAnsi="仿宋_GB2312" w:eastAsia="仿宋_GB2312"/>
          <w:color w:val="auto"/>
          <w:kern w:val="0"/>
          <w:sz w:val="32"/>
          <w:shd w:val="clear" w:color="auto" w:fill="FFFFFF"/>
          <w:lang w:val="zh-CN"/>
        </w:rPr>
      </w:pPr>
      <w:r>
        <w:rPr>
          <w:rFonts w:hint="eastAsia" w:ascii="仿宋_GB2312" w:hAnsi="仿宋_GB2312" w:eastAsia="仿宋_GB2312"/>
          <w:color w:val="auto"/>
          <w:kern w:val="0"/>
          <w:sz w:val="32"/>
          <w:shd w:val="clear" w:color="auto" w:fill="FFFFFF"/>
          <w:lang w:val="zh-CN"/>
        </w:rPr>
        <w:t>该项目</w:t>
      </w:r>
      <w:r>
        <w:rPr>
          <w:rFonts w:hint="eastAsia" w:eastAsia="仿宋_GB2312"/>
          <w:sz w:val="32"/>
        </w:rPr>
        <w:t>报送人代会通过后批复</w:t>
      </w:r>
      <w:r>
        <w:rPr>
          <w:rFonts w:hint="eastAsia" w:ascii="仿宋_GB2312" w:hAnsi="仿宋_GB2312" w:eastAsia="仿宋_GB2312"/>
          <w:color w:val="auto"/>
          <w:kern w:val="0"/>
          <w:sz w:val="32"/>
          <w:shd w:val="clear" w:color="auto" w:fill="FFFFFF"/>
          <w:lang w:val="zh-CN"/>
        </w:rPr>
        <w:t>预算为一般</w:t>
      </w:r>
      <w:r>
        <w:rPr>
          <w:rFonts w:hint="eastAsia" w:eastAsia="仿宋_GB2312"/>
          <w:sz w:val="32"/>
          <w:lang w:val="zh-CN"/>
        </w:rPr>
        <w:t>公共预算资金</w:t>
      </w:r>
      <w:r>
        <w:rPr>
          <w:rFonts w:hint="eastAsia" w:eastAsia="仿宋_GB2312"/>
          <w:sz w:val="32"/>
        </w:rPr>
        <w:t>305万元，项目资金在使用过程中无预算调整。聘用制书记员及辅警工作经费</w:t>
      </w:r>
      <w:r>
        <w:rPr>
          <w:rFonts w:hint="eastAsia" w:eastAsia="仿宋_GB2312"/>
          <w:sz w:val="32"/>
          <w:lang w:val="zh-CN"/>
        </w:rPr>
        <w:t>项目</w:t>
      </w:r>
      <w:r>
        <w:rPr>
          <w:rFonts w:hint="eastAsia" w:ascii="仿宋_GB2312" w:hAnsi="仿宋_GB2312" w:eastAsia="仿宋_GB2312"/>
          <w:color w:val="auto"/>
          <w:kern w:val="0"/>
          <w:sz w:val="32"/>
          <w:shd w:val="clear" w:color="auto" w:fill="FFFFFF"/>
          <w:lang w:val="zh-CN"/>
        </w:rPr>
        <w:t>资金分配严格按照预算安排，专项用于保障我院聘用干警工资福利支出及保险等缴纳。</w:t>
      </w:r>
    </w:p>
    <w:p>
      <w:pPr>
        <w:numPr>
          <w:ilvl w:val="0"/>
          <w:numId w:val="5"/>
        </w:numPr>
        <w:adjustRightInd w:val="0"/>
        <w:snapToGrid w:val="0"/>
        <w:spacing w:beforeLines="0" w:afterLines="0" w:line="360" w:lineRule="auto"/>
        <w:ind w:firstLine="643" w:firstLineChars="200"/>
        <w:rPr>
          <w:rFonts w:hint="eastAsia" w:ascii="楷体_GB2312" w:hAnsi="宋体" w:eastAsia="楷体_GB2312"/>
          <w:b/>
          <w:color w:val="auto"/>
          <w:sz w:val="32"/>
          <w:lang w:val="zh-CN"/>
        </w:rPr>
      </w:pPr>
      <w:r>
        <w:rPr>
          <w:rFonts w:hint="eastAsia" w:ascii="楷体_GB2312" w:hAnsi="宋体" w:eastAsia="楷体_GB2312"/>
          <w:b/>
          <w:color w:val="auto"/>
          <w:sz w:val="32"/>
          <w:lang w:val="zh-CN"/>
        </w:rPr>
        <w:t>项目绩效目标设置。</w:t>
      </w:r>
    </w:p>
    <w:p>
      <w:pPr>
        <w:adjustRightInd w:val="0"/>
        <w:snapToGrid w:val="0"/>
        <w:spacing w:beforeLines="0" w:afterLines="0" w:line="360" w:lineRule="auto"/>
        <w:ind w:firstLine="640" w:firstLineChars="200"/>
        <w:rPr>
          <w:rFonts w:hint="eastAsia" w:eastAsia="仿宋_GB2312"/>
          <w:sz w:val="32"/>
          <w:lang w:val="zh-CN"/>
        </w:rPr>
      </w:pPr>
      <w:r>
        <w:rPr>
          <w:rFonts w:hint="eastAsia" w:eastAsia="仿宋_GB2312"/>
          <w:sz w:val="32"/>
        </w:rPr>
        <w:t>2024年度聘用制书记员及辅警工作经费</w:t>
      </w:r>
      <w:r>
        <w:rPr>
          <w:rFonts w:hint="eastAsia" w:eastAsia="仿宋_GB2312"/>
          <w:sz w:val="32"/>
          <w:lang w:val="zh-CN"/>
        </w:rPr>
        <w:t>项目主要是保障我院聘用制人员书记员、辅警的工资及保险等各项经费开支，有利于推进法院审判，执行、综合等各项审判、执行辅助工作的顺利开展，更好地维护法院工作正常运行。</w:t>
      </w:r>
    </w:p>
    <w:p>
      <w:pPr>
        <w:pStyle w:val="34"/>
        <w:spacing w:before="0" w:beforeLines="0" w:after="0" w:afterLines="0" w:line="360" w:lineRule="auto"/>
        <w:ind w:firstLine="640" w:firstLineChars="200"/>
        <w:rPr>
          <w:rFonts w:hint="eastAsia" w:ascii="Times New Roman" w:hAnsi="Times New Roman" w:eastAsia="仿宋_GB2312"/>
          <w:b w:val="0"/>
          <w:sz w:val="32"/>
          <w:lang w:val="zh-CN"/>
        </w:rPr>
      </w:pPr>
      <w:r>
        <w:rPr>
          <w:rFonts w:hint="eastAsia" w:ascii="Times New Roman" w:hAnsi="Times New Roman" w:eastAsia="仿宋_GB2312"/>
          <w:b w:val="0"/>
          <w:sz w:val="32"/>
          <w:lang w:val="zh-CN"/>
        </w:rPr>
        <w:t>该项目预算执行情况自评权重为</w:t>
      </w:r>
      <w:r>
        <w:rPr>
          <w:rFonts w:hint="eastAsia" w:ascii="Times New Roman" w:hAnsi="Times New Roman" w:eastAsia="仿宋_GB2312"/>
          <w:b w:val="0"/>
          <w:sz w:val="32"/>
        </w:rPr>
        <w:t>10%，满分为10分，其余产出指标、效益指标、成本指标，满意度指标绩效目标设置权重为90%，具体明细见下表：</w:t>
      </w:r>
    </w:p>
    <w:tbl>
      <w:tblPr>
        <w:tblStyle w:val="25"/>
        <w:tblW w:w="938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5"/>
        <w:gridCol w:w="1087"/>
        <w:gridCol w:w="1224"/>
        <w:gridCol w:w="2549"/>
        <w:gridCol w:w="868"/>
        <w:gridCol w:w="1229"/>
        <w:gridCol w:w="935"/>
        <w:gridCol w:w="7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绩效指标（90分）</w:t>
            </w:r>
          </w:p>
        </w:tc>
        <w:tc>
          <w:tcPr>
            <w:tcW w:w="108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一级指标</w:t>
            </w: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二级指标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三级指标</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指标性质</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指标值</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度量单位</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08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产出指标</w:t>
            </w: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数量指标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保障我院聘用制书记员及辅警人数</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61</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人</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08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质量指标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及时足额保障我院聘用干警工资、保险等各项经费，提升干警工作积极性。</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定性</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优</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级</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08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时效指标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该项目完成时间</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年</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08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效益指标</w:t>
            </w: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社会效益指标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该项目的实施，有利于提升我院案件办理质效，维护当事人合法权益，推动法治社会建设。</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定性</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优</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级</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10"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08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可持续影响指标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聘用人员经费的及时保障，提升聘用干警工作积极性，以辅助完成我院审判、执行等各项工作，提升案件审判质效</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定性</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优</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级</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08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满意度指标</w:t>
            </w: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服务对象满意度指标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聘用人员满意度</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90</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08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成本指标</w:t>
            </w: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经济成本指标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该项目实施成本</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305</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万元</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20</w:t>
            </w:r>
          </w:p>
        </w:tc>
      </w:tr>
    </w:tbl>
    <w:p>
      <w:pPr>
        <w:pStyle w:val="2"/>
        <w:numPr>
          <w:numId w:val="0"/>
        </w:numPr>
        <w:spacing w:beforeLines="0" w:after="0" w:afterLines="0" w:line="360" w:lineRule="auto"/>
        <w:ind w:left="0" w:leftChars="0" w:firstLine="640"/>
        <w:rPr>
          <w:rFonts w:hint="eastAsia" w:eastAsia="仿宋_GB2312"/>
          <w:sz w:val="32"/>
          <w:lang w:val="zh-CN"/>
        </w:rPr>
      </w:pPr>
      <w:r>
        <w:rPr>
          <w:rFonts w:hint="eastAsia" w:eastAsia="仿宋_GB2312"/>
          <w:sz w:val="32"/>
          <w:lang w:val="zh-CN"/>
        </w:rPr>
        <w:t>我院对于该项目的申报内容与实际业务的开展相关且符合工作实际，申报的绩效目标易于考核，合理可行，操作性强。项目绩效自评采用中期监控和年终绩效考核相结合的方式进行。项目绩效自评由项目实施的项目部门报送年度内具体工作开展情况，并对项目的实施情况总结并自评，督察室监督审核工作的完成进度并进行项目验收，行装处负责统计相关项目工作的资金支付情况，并通过共同研讨、数据对比等方法对该项目进行自评打分。</w:t>
      </w:r>
    </w:p>
    <w:p>
      <w:pPr>
        <w:adjustRightInd w:val="0"/>
        <w:snapToGrid w:val="0"/>
        <w:spacing w:beforeLines="0" w:afterLines="0" w:line="360" w:lineRule="auto"/>
        <w:ind w:firstLine="643" w:firstLineChars="200"/>
        <w:rPr>
          <w:rFonts w:hint="eastAsia" w:ascii="黑体" w:hAnsi="宋体" w:eastAsia="黑体"/>
          <w:b/>
          <w:sz w:val="32"/>
        </w:rPr>
      </w:pPr>
      <w:r>
        <w:rPr>
          <w:rFonts w:hint="eastAsia" w:ascii="黑体" w:hAnsi="宋体" w:eastAsia="黑体"/>
          <w:b/>
          <w:sz w:val="32"/>
        </w:rPr>
        <w:t>二、评价实施</w:t>
      </w:r>
    </w:p>
    <w:p>
      <w:p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（一）评价目的。</w:t>
      </w:r>
    </w:p>
    <w:p>
      <w:pPr>
        <w:spacing w:beforeLines="0" w:afterLines="0" w:line="360" w:lineRule="auto"/>
        <w:ind w:firstLine="640"/>
        <w:rPr>
          <w:rFonts w:hint="eastAsia"/>
          <w:sz w:val="32"/>
        </w:rPr>
      </w:pPr>
      <w:r>
        <w:rPr>
          <w:rFonts w:hint="eastAsia" w:eastAsia="仿宋_GB2312"/>
          <w:sz w:val="32"/>
        </w:rPr>
        <w:t>通过项目绩效自评要实现对聘用制书记员及辅警工作经费</w:t>
      </w:r>
      <w:r>
        <w:rPr>
          <w:rFonts w:hint="eastAsia" w:eastAsia="仿宋_GB2312"/>
          <w:sz w:val="32"/>
          <w:lang w:val="zh-CN"/>
        </w:rPr>
        <w:t>项目资金效益的监督及项目目标实现度的管理，促进财政资金发挥更大的效益，推动审判执行辅助性工作顺利开展，提升审执质效</w:t>
      </w:r>
      <w:r>
        <w:rPr>
          <w:rFonts w:hint="eastAsia" w:eastAsia="仿宋_GB2312"/>
          <w:sz w:val="32"/>
        </w:rPr>
        <w:t>。</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（二）</w:t>
      </w:r>
      <w:r>
        <w:rPr>
          <w:rFonts w:hint="eastAsia" w:ascii="楷体_GB2312" w:hAnsi="宋体" w:eastAsia="楷体_GB2312"/>
          <w:b/>
          <w:color w:val="auto"/>
          <w:sz w:val="32"/>
          <w:lang w:val="zh-CN"/>
        </w:rPr>
        <w:t>预设问题及评价重点。</w:t>
      </w:r>
    </w:p>
    <w:p>
      <w:pPr>
        <w:numPr>
          <w:numId w:val="0"/>
        </w:numPr>
        <w:adjustRightInd w:val="0"/>
        <w:snapToGrid w:val="0"/>
        <w:spacing w:beforeLines="0" w:afterLines="0" w:line="360" w:lineRule="auto"/>
        <w:rPr>
          <w:rFonts w:hint="eastAsia"/>
          <w:sz w:val="32"/>
          <w:lang w:val="zh-CN"/>
        </w:rPr>
      </w:pPr>
      <w:r>
        <w:rPr>
          <w:rFonts w:hint="eastAsia" w:eastAsia="仿宋_GB2312"/>
          <w:sz w:val="32"/>
        </w:rPr>
        <w:t xml:space="preserve">    </w:t>
      </w:r>
      <w:r>
        <w:rPr>
          <w:rFonts w:hint="eastAsia" w:eastAsia="仿宋_GB2312"/>
          <w:sz w:val="32"/>
          <w:lang w:val="zh-CN"/>
        </w:rPr>
        <w:t>该项目资金为一般公共预算财政拨款收入安排，市财政局通过预算对我院下达此专项资金</w:t>
      </w:r>
      <w:r>
        <w:rPr>
          <w:rFonts w:hint="eastAsia" w:eastAsia="仿宋_GB2312"/>
          <w:sz w:val="32"/>
        </w:rPr>
        <w:t>305万元，</w:t>
      </w:r>
      <w:r>
        <w:rPr>
          <w:rFonts w:hint="eastAsia" w:eastAsia="仿宋_GB2312"/>
          <w:sz w:val="32"/>
          <w:lang w:val="zh-CN"/>
        </w:rPr>
        <w:t>资金及时到位，资金到位率100%，到位及时率100%，预算执行率</w:t>
      </w:r>
      <w:r>
        <w:rPr>
          <w:rFonts w:hint="eastAsia" w:eastAsia="仿宋_GB2312"/>
          <w:sz w:val="32"/>
        </w:rPr>
        <w:t>100%。顺利完成了该项目的实施和资金支付。</w:t>
      </w:r>
      <w:r>
        <w:rPr>
          <w:rFonts w:hint="eastAsia" w:eastAsia="仿宋_GB2312"/>
          <w:sz w:val="32"/>
          <w:lang w:val="zh-CN"/>
        </w:rPr>
        <w:t>项目实行专项核算，资金支付合规、合法，无超预算和范围支付情况，无截留、挤占、挪用专项资金现象，无虚列项目成本、无进行大额现金支付现象，项目资金使用均按规定标准执行。</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（三）</w:t>
      </w:r>
      <w:r>
        <w:rPr>
          <w:rFonts w:hint="eastAsia" w:ascii="楷体_GB2312" w:hAnsi="宋体" w:eastAsia="楷体_GB2312"/>
          <w:b/>
          <w:color w:val="auto"/>
          <w:sz w:val="32"/>
          <w:lang w:val="zh-CN"/>
        </w:rPr>
        <w:t>评价选点。</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rPr>
        <w:t>聘用制书记员及辅警工作经费</w:t>
      </w:r>
      <w:r>
        <w:rPr>
          <w:rFonts w:hint="eastAsia" w:eastAsia="仿宋_GB2312"/>
          <w:sz w:val="32"/>
          <w:lang w:val="zh-CN"/>
        </w:rPr>
        <w:t>项目绩效自评分别抽取</w:t>
      </w:r>
      <w:r>
        <w:rPr>
          <w:rFonts w:hint="eastAsia" w:eastAsia="仿宋_GB2312"/>
          <w:sz w:val="32"/>
        </w:rPr>
        <w:t>1、6、12月工资发放情况及保险、公积金缴纳明细等，核查是否已足额及时发放及汇缴各项费用</w:t>
      </w:r>
      <w:r>
        <w:rPr>
          <w:rFonts w:hint="eastAsia" w:eastAsia="仿宋_GB2312"/>
          <w:sz w:val="32"/>
          <w:lang w:val="zh-CN"/>
        </w:rPr>
        <w:t>。</w:t>
      </w:r>
    </w:p>
    <w:p>
      <w:pPr>
        <w:numPr>
          <w:numId w:val="0"/>
        </w:num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（四）</w:t>
      </w:r>
      <w:r>
        <w:rPr>
          <w:rFonts w:hint="eastAsia" w:ascii="楷体_GB2312" w:hAnsi="宋体" w:eastAsia="楷体_GB2312"/>
          <w:b/>
          <w:color w:val="auto"/>
          <w:sz w:val="32"/>
          <w:lang w:val="zh-CN"/>
        </w:rPr>
        <w:t>评价方法。</w:t>
      </w:r>
    </w:p>
    <w:p>
      <w:pPr>
        <w:numPr>
          <w:numId w:val="0"/>
        </w:numPr>
        <w:spacing w:beforeLines="0" w:afterLines="0" w:line="360" w:lineRule="auto"/>
        <w:rPr>
          <w:rFonts w:hint="eastAsia" w:eastAsia="仿宋_GB2312"/>
          <w:sz w:val="32"/>
        </w:rPr>
      </w:pPr>
      <w:r>
        <w:rPr>
          <w:rFonts w:hint="eastAsia" w:eastAsia="仿宋_GB2312"/>
          <w:sz w:val="32"/>
        </w:rPr>
        <w:t xml:space="preserve">    根据项目情况和评价重点，采用单位自评法、座谈调研法用来收集相关材料和开展具体评价的方法。</w:t>
      </w:r>
    </w:p>
    <w:p>
      <w:p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rPr>
        <w:t xml:space="preserve">   </w:t>
      </w:r>
      <w:r>
        <w:rPr>
          <w:rFonts w:hint="eastAsia" w:ascii="楷体_GB2312" w:hAnsi="宋体" w:eastAsia="楷体_GB2312"/>
          <w:b/>
          <w:color w:val="auto"/>
          <w:sz w:val="32"/>
          <w:lang w:val="zh-CN"/>
        </w:rPr>
        <w:t>（五）评价组织。</w:t>
      </w:r>
    </w:p>
    <w:p>
      <w:pPr>
        <w:numPr>
          <w:numId w:val="0"/>
        </w:numPr>
        <w:adjustRightInd w:val="0"/>
        <w:snapToGrid w:val="0"/>
        <w:spacing w:beforeLines="0" w:afterLines="0" w:line="360" w:lineRule="auto"/>
        <w:ind w:firstLine="640" w:firstLineChars="200"/>
        <w:rPr>
          <w:rFonts w:hint="eastAsia"/>
          <w:sz w:val="32"/>
        </w:rPr>
      </w:pPr>
      <w:r>
        <w:rPr>
          <w:rFonts w:hint="eastAsia" w:eastAsia="仿宋_GB2312"/>
          <w:sz w:val="32"/>
        </w:rPr>
        <w:t>绩效评价领导小组以常务副院长为组长，各业务部门、行装处、督查室部门领导为组员组成；绩效评价工作小组由各部门内勤及财务人员组成。采取“谁申报项目，谁负责绩效评价”的原则，由项目部门牵头，召集工作小组对项目进行初评，然后呈报至领导小组复核。根据财政专项项目管理办法及财政资金管理要求，由院内督察室进行定期监督，做到了专款专用，执行有力，且没有超预算和范围、违规报销行为，没有滞留、截流、挤占、挪用项目资金的现象。</w:t>
      </w:r>
    </w:p>
    <w:p>
      <w:pPr>
        <w:adjustRightInd w:val="0"/>
        <w:snapToGrid w:val="0"/>
        <w:spacing w:beforeLines="0" w:afterLines="0" w:line="360" w:lineRule="auto"/>
        <w:ind w:firstLine="643" w:firstLineChars="200"/>
        <w:rPr>
          <w:rFonts w:hint="eastAsia" w:ascii="仿宋_GB2312" w:hAnsi="宋体" w:eastAsia="仿宋_GB2312"/>
          <w:b/>
          <w:color w:val="auto"/>
          <w:sz w:val="32"/>
          <w:lang w:val="zh-CN"/>
        </w:rPr>
      </w:pPr>
      <w:r>
        <w:rPr>
          <w:rFonts w:hint="eastAsia" w:ascii="黑体" w:hAnsi="宋体" w:eastAsia="黑体"/>
          <w:b/>
          <w:color w:val="auto"/>
          <w:sz w:val="32"/>
        </w:rPr>
        <w:t>三、绩效分析</w:t>
      </w:r>
      <w:r>
        <w:rPr>
          <w:rFonts w:hint="eastAsia" w:ascii="仿宋_GB2312" w:hAnsi="宋体" w:eastAsia="仿宋_GB2312"/>
          <w:b/>
          <w:color w:val="auto"/>
          <w:sz w:val="32"/>
          <w:lang w:val="zh-CN"/>
        </w:rPr>
        <w:tab/>
      </w:r>
    </w:p>
    <w:p>
      <w:pPr>
        <w:numPr>
          <w:numId w:val="0"/>
        </w:numPr>
        <w:adjustRightInd w:val="0"/>
        <w:snapToGrid w:val="0"/>
        <w:spacing w:beforeLines="0" w:afterLines="0" w:line="360" w:lineRule="auto"/>
        <w:ind w:firstLine="643" w:firstLineChars="200"/>
        <w:rPr>
          <w:rFonts w:hint="eastAsia" w:ascii="楷体_GB2312" w:hAnsi="宋体" w:eastAsia="楷体_GB2312"/>
          <w:b/>
          <w:color w:val="auto"/>
          <w:sz w:val="32"/>
        </w:rPr>
      </w:pPr>
      <w:r>
        <w:rPr>
          <w:rFonts w:hint="eastAsia" w:ascii="楷体_GB2312" w:hAnsi="宋体" w:eastAsia="楷体_GB2312"/>
          <w:b/>
          <w:color w:val="auto"/>
          <w:sz w:val="32"/>
          <w:lang w:val="zh-CN"/>
        </w:rPr>
        <w:t>（一）</w:t>
      </w:r>
      <w:r>
        <w:rPr>
          <w:rFonts w:hint="eastAsia" w:ascii="楷体_GB2312" w:hAnsi="宋体" w:eastAsia="楷体_GB2312"/>
          <w:b/>
          <w:color w:val="auto"/>
          <w:sz w:val="32"/>
        </w:rPr>
        <w:t>通用指标</w:t>
      </w:r>
      <w:r>
        <w:rPr>
          <w:rFonts w:hint="eastAsia" w:eastAsia="楷体_GB2312"/>
          <w:b/>
          <w:color w:val="000000"/>
          <w:kern w:val="0"/>
          <w:sz w:val="32"/>
          <w:shd w:val="clear" w:color="auto" w:fill="FFFFFF"/>
          <w:lang w:val="zh-CN"/>
        </w:rPr>
        <w:t>绩效得分</w:t>
      </w:r>
      <w:r>
        <w:rPr>
          <w:rFonts w:hint="eastAsia" w:eastAsia="楷体_GB2312"/>
          <w:b/>
          <w:color w:val="000000"/>
          <w:kern w:val="0"/>
          <w:sz w:val="32"/>
          <w:shd w:val="clear" w:color="auto" w:fill="FFFFFF"/>
        </w:rPr>
        <w:t>54分</w:t>
      </w:r>
      <w:r>
        <w:rPr>
          <w:rFonts w:hint="eastAsia" w:eastAsia="楷体_GB2312"/>
          <w:b/>
          <w:color w:val="000000"/>
          <w:kern w:val="0"/>
          <w:sz w:val="32"/>
          <w:shd w:val="clear" w:color="auto" w:fill="FFFFFF"/>
          <w:lang w:val="zh-CN"/>
        </w:rPr>
        <w:t>。</w:t>
      </w:r>
    </w:p>
    <w:p>
      <w:p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1.项目决策评分为18分。</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决策程序：</w:t>
      </w:r>
      <w:r>
        <w:rPr>
          <w:rFonts w:hint="eastAsia" w:eastAsia="仿宋_GB2312"/>
          <w:sz w:val="32"/>
        </w:rPr>
        <w:t>根据</w:t>
      </w:r>
      <w:r>
        <w:rPr>
          <w:rFonts w:hint="eastAsia" w:eastAsia="仿宋_GB2312"/>
          <w:sz w:val="32"/>
          <w:lang w:val="zh-CN"/>
        </w:rPr>
        <w:t>我院审判职能职责定位</w:t>
      </w:r>
      <w:r>
        <w:rPr>
          <w:rFonts w:hint="eastAsia" w:eastAsia="仿宋_GB2312"/>
          <w:sz w:val="32"/>
        </w:rPr>
        <w:t>，核定聘用61名书记员及辅警从事审判执行等辅助性司法事务，为保障其劳动权益，</w:t>
      </w:r>
      <w:r>
        <w:rPr>
          <w:rFonts w:hint="eastAsia" w:eastAsia="仿宋_GB2312"/>
          <w:sz w:val="32"/>
          <w:lang w:val="zh-CN"/>
        </w:rPr>
        <w:t>项目设立有必要，立项依据充分，</w:t>
      </w:r>
      <w:r>
        <w:rPr>
          <w:rFonts w:hint="eastAsia" w:eastAsia="仿宋_GB2312"/>
          <w:sz w:val="32"/>
        </w:rPr>
        <w:t>安排</w:t>
      </w:r>
      <w:r>
        <w:rPr>
          <w:rFonts w:hint="eastAsia" w:eastAsia="仿宋_GB2312"/>
          <w:sz w:val="32"/>
          <w:lang w:val="zh-CN"/>
        </w:rPr>
        <w:t>项目资金预算</w:t>
      </w:r>
      <w:r>
        <w:rPr>
          <w:rFonts w:hint="eastAsia" w:eastAsia="仿宋_GB2312"/>
          <w:sz w:val="32"/>
        </w:rPr>
        <w:t>305</w:t>
      </w:r>
      <w:r>
        <w:rPr>
          <w:rFonts w:hint="eastAsia" w:eastAsia="仿宋_GB2312"/>
          <w:sz w:val="32"/>
          <w:lang w:val="zh-CN"/>
        </w:rPr>
        <w:t>万元合理，符合资金管理基本规范和决策程序要求，故该项评分为</w:t>
      </w:r>
      <w:r>
        <w:rPr>
          <w:rFonts w:hint="eastAsia" w:eastAsia="仿宋_GB2312"/>
          <w:sz w:val="32"/>
        </w:rPr>
        <w:t>6分</w:t>
      </w:r>
      <w:r>
        <w:rPr>
          <w:rFonts w:hint="eastAsia" w:eastAsia="仿宋_GB2312"/>
          <w:sz w:val="32"/>
          <w:lang w:val="zh-CN"/>
        </w:rPr>
        <w:t>。</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规划论证：该项目规划符合法院主要职能职责定位，预算申报前，充分征求了政治部人事处意见，论证了项目必要性、前瞻性、合理性和可行性，调研了近三年书记员和辅警平均工资及保险等费用开支，项目总体绩效目标设置合理，绩效目标规范完整、量化细化，预算匹配度较好，故此项评分为</w:t>
      </w:r>
      <w:r>
        <w:rPr>
          <w:rFonts w:hint="eastAsia" w:eastAsia="仿宋_GB2312"/>
          <w:sz w:val="32"/>
        </w:rPr>
        <w:t>6分。</w:t>
      </w:r>
    </w:p>
    <w:p>
      <w:pPr>
        <w:spacing w:beforeLines="0" w:afterLines="0" w:line="360" w:lineRule="auto"/>
        <w:ind w:firstLine="640"/>
        <w:rPr>
          <w:rFonts w:hint="eastAsia" w:ascii="楷体_GB2312" w:hAnsi="宋体" w:eastAsia="楷体_GB2312"/>
          <w:b/>
          <w:color w:val="auto"/>
          <w:sz w:val="32"/>
          <w:lang w:val="zh-CN"/>
        </w:rPr>
      </w:pPr>
      <w:r>
        <w:rPr>
          <w:rFonts w:hint="eastAsia" w:eastAsia="仿宋_GB2312"/>
          <w:sz w:val="32"/>
          <w:lang w:val="zh-CN"/>
        </w:rPr>
        <w:t>资金投向：</w:t>
      </w:r>
      <w:r>
        <w:rPr>
          <w:rFonts w:hint="eastAsia" w:eastAsia="仿宋_GB2312"/>
          <w:sz w:val="32"/>
        </w:rPr>
        <w:t>2024年度聘用制书记员及辅警工作经费</w:t>
      </w:r>
      <w:r>
        <w:rPr>
          <w:rFonts w:hint="eastAsia" w:eastAsia="仿宋_GB2312"/>
          <w:sz w:val="32"/>
          <w:lang w:val="zh-CN"/>
        </w:rPr>
        <w:t>项目主要是保障我院聘用制书记员、辅警的工资及保险等各项经费开支，有利于推进法院审判，执行、综合等各项审判、执行辅助工作的顺利开展，更好地维护法院工作正常运行。</w:t>
      </w:r>
      <w:r>
        <w:rPr>
          <w:rFonts w:hint="eastAsia" w:eastAsia="仿宋_GB2312"/>
          <w:sz w:val="32"/>
        </w:rPr>
        <w:t>根据</w:t>
      </w:r>
      <w:r>
        <w:rPr>
          <w:rFonts w:hint="eastAsia" w:eastAsia="仿宋_GB2312"/>
          <w:sz w:val="32"/>
          <w:lang w:val="zh-CN"/>
        </w:rPr>
        <w:t>我院聘用人员核定人数</w:t>
      </w:r>
      <w:r>
        <w:rPr>
          <w:rFonts w:hint="eastAsia" w:eastAsia="仿宋_GB2312"/>
          <w:sz w:val="32"/>
        </w:rPr>
        <w:t>61人</w:t>
      </w:r>
      <w:r>
        <w:rPr>
          <w:rFonts w:hint="eastAsia" w:eastAsia="仿宋_GB2312"/>
          <w:sz w:val="32"/>
          <w:lang w:val="zh-CN"/>
        </w:rPr>
        <w:t>及工资、保险日常支出实际情况，财政保障标准</w:t>
      </w:r>
      <w:r>
        <w:rPr>
          <w:rFonts w:hint="eastAsia" w:eastAsia="仿宋_GB2312"/>
          <w:sz w:val="32"/>
        </w:rPr>
        <w:t>5万元每人每年，安排</w:t>
      </w:r>
      <w:r>
        <w:rPr>
          <w:rFonts w:hint="eastAsia" w:eastAsia="仿宋_GB2312"/>
          <w:sz w:val="32"/>
          <w:lang w:val="zh-CN"/>
        </w:rPr>
        <w:t>项目资金</w:t>
      </w:r>
      <w:r>
        <w:rPr>
          <w:rFonts w:hint="eastAsia" w:eastAsia="仿宋_GB2312"/>
          <w:sz w:val="32"/>
        </w:rPr>
        <w:t>305</w:t>
      </w:r>
      <w:r>
        <w:rPr>
          <w:rFonts w:hint="eastAsia" w:eastAsia="仿宋_GB2312"/>
          <w:sz w:val="32"/>
          <w:lang w:val="zh-CN"/>
        </w:rPr>
        <w:t>万元，故此项评分为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项目管理评分为18分。</w:t>
      </w:r>
    </w:p>
    <w:p>
      <w:pPr>
        <w:numPr>
          <w:numId w:val="0"/>
        </w:numPr>
        <w:adjustRightInd w:val="0"/>
        <w:snapToGrid w:val="0"/>
        <w:spacing w:beforeLines="0" w:afterLines="0" w:line="360" w:lineRule="auto"/>
        <w:ind w:firstLine="640"/>
        <w:rPr>
          <w:rFonts w:hint="eastAsia" w:eastAsia="仿宋_GB2312"/>
          <w:sz w:val="32"/>
        </w:rPr>
      </w:pPr>
      <w:r>
        <w:rPr>
          <w:rFonts w:hint="eastAsia" w:eastAsia="仿宋_GB2312"/>
          <w:sz w:val="32"/>
        </w:rPr>
        <w:t>制度办法：</w:t>
      </w:r>
      <w:r>
        <w:rPr>
          <w:rFonts w:hint="eastAsia" w:eastAsia="仿宋_GB2312"/>
          <w:sz w:val="32"/>
          <w:lang w:val="zh-CN"/>
        </w:rPr>
        <w:t>我院按部门职责分工明确，严格遵循工作计划稳步推进实施。完善各项内部控制与考核制度，建立较为完善的财务管理制度《广元市中级人民法院聘用人员管理制度》、《广元市中级人民法院预算管理制度》、《广元市机构编制委员会关于核定市法院聘用制书记员额度的通知》，且严格执行。</w:t>
      </w:r>
      <w:r>
        <w:rPr>
          <w:rFonts w:hint="eastAsia" w:eastAsia="仿宋_GB2312"/>
          <w:sz w:val="32"/>
        </w:rPr>
        <w:t>并在资金使用过程中严格按照聘用制书记员及辅警工作经费开支范围及开支要求，做到超范围不支出，故此项评分为2分。</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lang w:val="zh-CN"/>
        </w:rPr>
        <w:t>分配管理：此项目预算资金分配上严格按照管理办法和案件执行经费开支程序执行，决策程序符合三重一大要求，资金支付及时高效。且在项目申报前期，充分调研了近三年书记员和辅警平均工资及保险等费用开支，考量了广元市平均工资水平，在资金分配上根据比例进行合理划分。项目做到了财政资金专款专用，资金支付有相关审批程序和合规手续，账务处理及时，会计核算规范。项目管理人员及督察部门对项目实施全过程监控，对偏离预算执行的项目及时纠偏和调整，财务报销严格执行财务审批程序。故此项评分为</w:t>
      </w:r>
      <w:r>
        <w:rPr>
          <w:rFonts w:hint="eastAsia" w:eastAsia="仿宋_GB2312"/>
          <w:sz w:val="32"/>
        </w:rPr>
        <w:t>10分。</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绩效监管：该项目全面完成了事前评估、绩效目标设置、绩效监控、绩效督促、问题整改等预算绩效管理工作，评分为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项目实施评分为9分。</w:t>
      </w:r>
    </w:p>
    <w:p>
      <w:pPr>
        <w:numPr>
          <w:numId w:val="0"/>
        </w:numPr>
        <w:adjustRightInd w:val="0"/>
        <w:snapToGrid w:val="0"/>
        <w:spacing w:beforeLines="0" w:afterLines="0" w:line="360" w:lineRule="auto"/>
        <w:ind w:firstLine="640"/>
        <w:rPr>
          <w:rFonts w:hint="eastAsia" w:ascii="仿宋_GB2312" w:eastAsia="仿宋_GB2312"/>
          <w:sz w:val="32"/>
        </w:rPr>
      </w:pPr>
      <w:r>
        <w:rPr>
          <w:rFonts w:hint="eastAsia" w:ascii="仿宋_GB2312" w:eastAsia="仿宋_GB2312"/>
          <w:sz w:val="32"/>
          <w:lang w:val="zh-CN"/>
        </w:rPr>
        <w:t>预算执行：该项目预算执行进度好，该项指标得分</w:t>
      </w:r>
      <w:r>
        <w:rPr>
          <w:rFonts w:hint="eastAsia" w:ascii="仿宋_GB2312" w:eastAsia="仿宋_GB2312"/>
          <w:sz w:val="32"/>
        </w:rPr>
        <w:t>=财政资金拨付率100%*100%*3+单位资金使用率100%*100%*3=6分。</w:t>
      </w:r>
    </w:p>
    <w:p>
      <w:pPr>
        <w:spacing w:beforeLines="0" w:afterLines="0" w:line="360" w:lineRule="auto"/>
        <w:rPr>
          <w:rFonts w:hint="eastAsia" w:ascii="楷体_GB2312" w:hAnsi="楷体_GB2312" w:eastAsia="楷体_GB2312"/>
          <w:color w:val="auto"/>
          <w:sz w:val="32"/>
        </w:rPr>
      </w:pPr>
      <w:r>
        <w:rPr>
          <w:rFonts w:hint="eastAsia" w:ascii="仿宋_GB2312" w:eastAsia="仿宋_GB2312"/>
          <w:sz w:val="32"/>
        </w:rPr>
        <w:t xml:space="preserve">    </w:t>
      </w:r>
      <w:r>
        <w:rPr>
          <w:rFonts w:hint="eastAsia" w:ascii="仿宋_GB2312" w:eastAsia="仿宋_GB2312"/>
          <w:sz w:val="32"/>
          <w:lang w:val="zh-CN"/>
        </w:rPr>
        <w:t>资金使用：该项目资金使用拨付，项目实施符合财务管理制度。事前</w:t>
      </w:r>
      <w:r>
        <w:rPr>
          <w:rFonts w:hint="eastAsia" w:eastAsia="仿宋_GB2312"/>
          <w:sz w:val="32"/>
          <w:lang w:val="zh-CN"/>
        </w:rPr>
        <w:t>严格审核项目实施可行性与合理性，</w:t>
      </w:r>
      <w:r>
        <w:rPr>
          <w:rFonts w:hint="eastAsia" w:ascii="仿宋_GB2312" w:eastAsia="仿宋_GB2312"/>
          <w:sz w:val="32"/>
          <w:lang w:val="zh-CN"/>
        </w:rPr>
        <w:t>按照案件执行过程中预计发生的各项必要开支，由管理聘用人员的各部门评价聘用人员工作情况，并由其分管院领导审批，行装处严格把关聘用人员工资待遇支出审核，严禁自立名目发放补贴</w:t>
      </w:r>
      <w:r>
        <w:rPr>
          <w:rFonts w:hint="eastAsia" w:eastAsia="仿宋_GB2312"/>
          <w:sz w:val="32"/>
          <w:lang w:val="zh-CN"/>
        </w:rPr>
        <w:t>。同时及时进行会计核算，院督察室定期对项目经费使用效益进行监督。该项评分为</w:t>
      </w:r>
      <w:r>
        <w:rPr>
          <w:rFonts w:hint="eastAsia" w:eastAsia="仿宋_GB2312"/>
          <w:sz w:val="32"/>
        </w:rPr>
        <w:t>3分。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项目结果评分为9分。</w:t>
      </w:r>
    </w:p>
    <w:p>
      <w:pPr>
        <w:numPr>
          <w:numId w:val="0"/>
        </w:numPr>
        <w:adjustRightInd w:val="0"/>
        <w:snapToGrid w:val="0"/>
        <w:spacing w:beforeLines="0" w:afterLines="0" w:line="360" w:lineRule="auto"/>
        <w:ind w:firstLine="640"/>
        <w:rPr>
          <w:rFonts w:hint="eastAsia" w:eastAsia="仿宋_GB2312"/>
          <w:color w:val="auto"/>
          <w:sz w:val="32"/>
        </w:rPr>
      </w:pPr>
      <w:r>
        <w:rPr>
          <w:rFonts w:hint="eastAsia" w:eastAsia="仿宋_GB2312"/>
          <w:color w:val="auto"/>
          <w:sz w:val="32"/>
        </w:rPr>
        <w:t>目标完成：该项目已100%完成预算支出，较好地保障了聘用制书记员及辅警的工作报酬及保险</w:t>
      </w:r>
      <w:r>
        <w:rPr>
          <w:rFonts w:hint="eastAsia" w:eastAsia="仿宋_GB2312"/>
          <w:sz w:val="32"/>
        </w:rPr>
        <w:t>，减少了聘用制人员的流动性，推进了审判执行辅助性工作有序开展，</w:t>
      </w:r>
      <w:r>
        <w:rPr>
          <w:rFonts w:hint="eastAsia" w:eastAsia="仿宋_GB2312"/>
          <w:color w:val="auto"/>
          <w:sz w:val="32"/>
        </w:rPr>
        <w:t>顺利达成此项目设置的绩效目标，评分为6分。</w:t>
      </w:r>
    </w:p>
    <w:p>
      <w:pPr>
        <w:numPr>
          <w:numId w:val="0"/>
        </w:numPr>
        <w:adjustRightInd w:val="0"/>
        <w:snapToGrid w:val="0"/>
        <w:spacing w:beforeLines="0" w:afterLines="0" w:line="360" w:lineRule="auto"/>
        <w:ind w:firstLine="640"/>
        <w:rPr>
          <w:rFonts w:hint="eastAsia" w:eastAsia="仿宋_GB2312"/>
          <w:color w:val="auto"/>
          <w:sz w:val="32"/>
        </w:rPr>
      </w:pPr>
      <w:r>
        <w:rPr>
          <w:rFonts w:hint="eastAsia" w:eastAsia="仿宋_GB2312"/>
          <w:sz w:val="32"/>
        </w:rPr>
        <w:t>完成时效：该项目于2024年12月31日前已发放61名聘用制人员工资，按时缴纳聘用制人员各项保险，汇缴了其公积金，该项评分为3分。</w:t>
      </w:r>
    </w:p>
    <w:p>
      <w:pPr>
        <w:spacing w:beforeLines="0" w:afterLines="0" w:line="360" w:lineRule="auto"/>
        <w:rPr>
          <w:rFonts w:hint="eastAsia" w:ascii="楷体_GB2312" w:hAnsi="楷体_GB2312" w:eastAsia="楷体_GB2312"/>
          <w:color w:val="auto"/>
          <w:sz w:val="32"/>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（二）</w:t>
      </w:r>
      <w:r>
        <w:rPr>
          <w:rFonts w:hint="eastAsia" w:ascii="楷体_GB2312" w:hAnsi="宋体" w:eastAsia="楷体_GB2312"/>
          <w:b/>
          <w:color w:val="auto"/>
          <w:sz w:val="32"/>
        </w:rPr>
        <w:t>专用指标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30分</w:t>
      </w:r>
      <w:r>
        <w:rPr>
          <w:rFonts w:hint="eastAsia" w:eastAsia="楷体_GB2312"/>
          <w:b/>
          <w:color w:val="000000"/>
          <w:kern w:val="0"/>
          <w:sz w:val="32"/>
          <w:shd w:val="clear" w:color="auto" w:fill="FFFFFF"/>
          <w:lang w:val="zh-CN"/>
        </w:rPr>
        <w:t>。</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1.产业发展。</w:t>
      </w:r>
      <w:r>
        <w:rPr>
          <w:rFonts w:hint="eastAsia" w:eastAsia="仿宋_GB2312"/>
          <w:color w:val="auto"/>
          <w:sz w:val="32"/>
        </w:rPr>
        <w:t xml:space="preserve">不涉及。 </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2.</w:t>
      </w:r>
      <w:r>
        <w:rPr>
          <w:rFonts w:hint="eastAsia" w:ascii="楷体_GB2312" w:hAnsi="楷体_GB2312" w:eastAsia="楷体_GB2312"/>
          <w:color w:val="auto"/>
          <w:sz w:val="32"/>
          <w:lang w:val="zh-CN"/>
        </w:rPr>
        <w:t>民生保障。</w:t>
      </w:r>
      <w:r>
        <w:rPr>
          <w:rFonts w:hint="eastAsia" w:eastAsia="仿宋_GB2312"/>
          <w:color w:val="auto"/>
          <w:sz w:val="32"/>
        </w:rPr>
        <w:t>不涉及。</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3.基础设施。</w:t>
      </w:r>
      <w:r>
        <w:rPr>
          <w:rFonts w:hint="eastAsia" w:eastAsia="仿宋_GB2312"/>
          <w:color w:val="auto"/>
          <w:sz w:val="32"/>
        </w:rPr>
        <w:t>不涉及。</w:t>
      </w:r>
    </w:p>
    <w:p>
      <w:pPr>
        <w:spacing w:beforeLines="0" w:afterLines="0" w:line="360" w:lineRule="auto"/>
        <w:ind w:firstLine="640" w:firstLineChars="200"/>
        <w:rPr>
          <w:rFonts w:hint="eastAsia" w:ascii="楷体_GB2312" w:hAnsi="楷体_GB2312" w:eastAsia="楷体_GB2312"/>
          <w:color w:val="auto"/>
          <w:sz w:val="32"/>
          <w:lang w:val="zh-CN"/>
        </w:rPr>
      </w:pPr>
      <w:r>
        <w:rPr>
          <w:rFonts w:hint="eastAsia" w:ascii="楷体_GB2312" w:hAnsi="楷体_GB2312" w:eastAsia="楷体_GB2312"/>
          <w:color w:val="auto"/>
          <w:sz w:val="32"/>
        </w:rPr>
        <w:t>4.</w:t>
      </w:r>
      <w:r>
        <w:rPr>
          <w:rFonts w:hint="eastAsia" w:ascii="楷体_GB2312" w:hAnsi="楷体_GB2312" w:eastAsia="楷体_GB2312"/>
          <w:color w:val="auto"/>
          <w:sz w:val="32"/>
          <w:lang w:val="zh-CN"/>
        </w:rPr>
        <w:t>行政运转。</w:t>
      </w:r>
      <w:r>
        <w:rPr>
          <w:rFonts w:hint="eastAsia" w:eastAsia="仿宋_GB2312"/>
          <w:sz w:val="32"/>
          <w:lang w:val="zh-CN"/>
        </w:rPr>
        <w:t>项目资金实行专款专用，用途符合聘用用人员经费支出开支范围、支出审批手续齐全，</w:t>
      </w:r>
      <w:r>
        <w:rPr>
          <w:rFonts w:hint="eastAsia" w:eastAsia="仿宋_GB2312"/>
          <w:color w:val="auto"/>
          <w:sz w:val="32"/>
        </w:rPr>
        <w:t>保障了聘用制书记员及辅警的工作报酬及保险</w:t>
      </w:r>
      <w:r>
        <w:rPr>
          <w:rFonts w:hint="eastAsia" w:eastAsia="仿宋_GB2312"/>
          <w:sz w:val="32"/>
        </w:rPr>
        <w:t>，推进了审判执行辅助性工作有序开展</w:t>
      </w:r>
      <w:r>
        <w:rPr>
          <w:rFonts w:hint="eastAsia" w:eastAsia="仿宋_GB2312"/>
          <w:sz w:val="32"/>
          <w:lang w:val="zh-CN"/>
        </w:rPr>
        <w:t>。</w:t>
      </w:r>
      <w:r>
        <w:rPr>
          <w:rFonts w:hint="eastAsia" w:eastAsia="仿宋_GB2312"/>
          <w:color w:val="auto"/>
          <w:sz w:val="32"/>
        </w:rPr>
        <w:t>该项评分为30分。</w:t>
      </w:r>
    </w:p>
    <w:p>
      <w:pPr>
        <w:numPr>
          <w:numId w:val="0"/>
        </w:numPr>
        <w:adjustRightInd w:val="0"/>
        <w:snapToGrid w:val="0"/>
        <w:spacing w:beforeLines="0" w:afterLines="0" w:line="360" w:lineRule="auto"/>
        <w:rPr>
          <w:rFonts w:hint="eastAsia"/>
          <w:b/>
          <w:color w:val="000000"/>
          <w:kern w:val="0"/>
          <w:sz w:val="32"/>
          <w:shd w:val="clear" w:color="auto" w:fill="FFFFFF"/>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（三）</w:t>
      </w:r>
      <w:r>
        <w:rPr>
          <w:rFonts w:hint="eastAsia" w:ascii="楷体_GB2312" w:hAnsi="宋体" w:eastAsia="楷体_GB2312"/>
          <w:b/>
          <w:color w:val="auto"/>
          <w:sz w:val="32"/>
        </w:rPr>
        <w:t>个性指标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16分</w:t>
      </w:r>
      <w:r>
        <w:rPr>
          <w:rFonts w:hint="eastAsia" w:eastAsia="楷体_GB2312"/>
          <w:b/>
          <w:color w:val="000000"/>
          <w:kern w:val="0"/>
          <w:sz w:val="32"/>
          <w:shd w:val="clear" w:color="auto" w:fill="FFFFFF"/>
          <w:lang w:val="zh-CN"/>
        </w:rPr>
        <w:t>。</w:t>
      </w:r>
    </w:p>
    <w:p>
      <w:pPr>
        <w:numPr>
          <w:numId w:val="0"/>
        </w:numPr>
        <w:adjustRightInd w:val="0"/>
        <w:snapToGrid w:val="0"/>
        <w:spacing w:beforeLines="0" w:afterLines="0" w:line="360" w:lineRule="auto"/>
        <w:ind w:firstLine="640" w:firstLineChars="200"/>
        <w:rPr>
          <w:rFonts w:hint="eastAsia"/>
          <w:sz w:val="32"/>
          <w:lang w:val="zh-CN"/>
        </w:rPr>
      </w:pPr>
      <w:r>
        <w:rPr>
          <w:rFonts w:hint="eastAsia" w:eastAsia="仿宋_GB2312"/>
          <w:sz w:val="32"/>
        </w:rPr>
        <w:t>该项目年初设定的7个绩效指标均已达成，取得良好的效用，个性指标评分为16分。</w:t>
      </w:r>
    </w:p>
    <w:tbl>
      <w:tblPr>
        <w:tblStyle w:val="25"/>
        <w:tblW w:w="10233"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5"/>
        <w:gridCol w:w="1087"/>
        <w:gridCol w:w="1224"/>
        <w:gridCol w:w="2549"/>
        <w:gridCol w:w="868"/>
        <w:gridCol w:w="1229"/>
        <w:gridCol w:w="935"/>
        <w:gridCol w:w="853"/>
        <w:gridCol w:w="7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绩效指标（90分）</w:t>
            </w:r>
          </w:p>
        </w:tc>
        <w:tc>
          <w:tcPr>
            <w:tcW w:w="108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一级指标</w:t>
            </w: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二级指标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三级指标</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指标性质</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指标值</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度量单位</w:t>
            </w:r>
          </w:p>
        </w:tc>
        <w:tc>
          <w:tcPr>
            <w:tcW w:w="85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完成值</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08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产出指标</w:t>
            </w: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数量指标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保障我院聘用制书记员及辅警人数</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61</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人</w:t>
            </w:r>
          </w:p>
        </w:tc>
        <w:tc>
          <w:tcPr>
            <w:tcW w:w="85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61</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08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质量指标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及时足额保障我院聘用干警工资、保险等各项经费，提升干警工作积极性。</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定性</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优</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级</w:t>
            </w:r>
          </w:p>
        </w:tc>
        <w:tc>
          <w:tcPr>
            <w:tcW w:w="85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优</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08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时效指标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该项目完成时间</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年</w:t>
            </w:r>
          </w:p>
        </w:tc>
        <w:tc>
          <w:tcPr>
            <w:tcW w:w="85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08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效益指标</w:t>
            </w: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社会效益指标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该项目的实施，有利于提升我院案件办理质效，维护当事人合法权益，推动法治社会建设。</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定性</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优</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级</w:t>
            </w:r>
          </w:p>
        </w:tc>
        <w:tc>
          <w:tcPr>
            <w:tcW w:w="85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优</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10"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08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可持续影响指标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聘用人员经费的及时保障，提升聘用干警工作积极性，以辅助完成我院审判、执行等各项工作，提升案件审判质效</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定性</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优良中低差</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级</w:t>
            </w:r>
          </w:p>
        </w:tc>
        <w:tc>
          <w:tcPr>
            <w:tcW w:w="85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优</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08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满意度指标</w:t>
            </w: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服务对象满意度指标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聘用人员满意度</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90</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w:t>
            </w:r>
          </w:p>
        </w:tc>
        <w:tc>
          <w:tcPr>
            <w:tcW w:w="85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95</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08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成本指标</w:t>
            </w:r>
          </w:p>
        </w:tc>
        <w:tc>
          <w:tcPr>
            <w:tcW w:w="122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经济成本指标</w:t>
            </w:r>
          </w:p>
        </w:tc>
        <w:tc>
          <w:tcPr>
            <w:tcW w:w="25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该项目实施成本</w:t>
            </w:r>
          </w:p>
        </w:tc>
        <w:tc>
          <w:tcPr>
            <w:tcW w:w="86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w:t>
            </w:r>
          </w:p>
        </w:tc>
        <w:tc>
          <w:tcPr>
            <w:tcW w:w="12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305</w:t>
            </w:r>
          </w:p>
        </w:tc>
        <w:tc>
          <w:tcPr>
            <w:tcW w:w="9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万元</w:t>
            </w:r>
          </w:p>
        </w:tc>
        <w:tc>
          <w:tcPr>
            <w:tcW w:w="85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305</w:t>
            </w:r>
          </w:p>
        </w:tc>
        <w:tc>
          <w:tcPr>
            <w:tcW w:w="72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20</w:t>
            </w:r>
          </w:p>
        </w:tc>
      </w:tr>
    </w:tbl>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rPr>
      </w:pPr>
      <w:r>
        <w:rPr>
          <w:rFonts w:hint="eastAsia" w:ascii="黑体" w:hAnsi="宋体" w:eastAsia="黑体"/>
          <w:b/>
          <w:color w:val="auto"/>
          <w:sz w:val="32"/>
          <w:lang w:eastAsia="zh-CN"/>
        </w:rPr>
        <w:t>四</w:t>
      </w:r>
      <w:r>
        <w:rPr>
          <w:rFonts w:hint="eastAsia" w:ascii="黑体" w:hAnsi="宋体" w:eastAsia="黑体"/>
          <w:b/>
          <w:color w:val="auto"/>
          <w:sz w:val="32"/>
        </w:rPr>
        <w:t>、评价结论</w:t>
      </w:r>
    </w:p>
    <w:p>
      <w:pPr>
        <w:adjustRightInd w:val="0"/>
        <w:snapToGrid w:val="0"/>
        <w:spacing w:beforeLines="0" w:afterLines="0" w:line="360" w:lineRule="auto"/>
        <w:ind w:firstLine="640" w:firstLineChars="200"/>
        <w:rPr>
          <w:rFonts w:hint="eastAsia" w:ascii="黑体" w:hAnsi="黑体" w:eastAsia="仿宋_GB2312"/>
          <w:sz w:val="32"/>
        </w:rPr>
      </w:pPr>
      <w:r>
        <w:rPr>
          <w:rFonts w:hint="eastAsia" w:eastAsia="仿宋_GB2312"/>
          <w:sz w:val="32"/>
        </w:rPr>
        <w:t>该项目自评得分为100分。该项目决策符合国家政策方针，项目预算执行进度推进有力，项目监督管控及时有效，项目资金支付合理合规。</w:t>
      </w:r>
      <w:r>
        <w:rPr>
          <w:rFonts w:hint="eastAsia" w:eastAsia="仿宋_GB2312"/>
          <w:sz w:val="32"/>
          <w:lang w:val="zh-CN"/>
        </w:rPr>
        <w:t>通过项目的实施，</w:t>
      </w:r>
      <w:r>
        <w:rPr>
          <w:rFonts w:hint="eastAsia" w:eastAsia="仿宋_GB2312"/>
          <w:sz w:val="32"/>
        </w:rPr>
        <w:t>提高了聘用人员工作积极性，推动了我院案件审理、执行等工作高质高效完成，及时维护了当事人合法权益，推动了法治广元建设。</w:t>
      </w: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eastAsia="zh-CN"/>
        </w:rPr>
      </w:pPr>
      <w:r>
        <w:rPr>
          <w:rFonts w:hint="eastAsia" w:ascii="黑体" w:hAnsi="宋体" w:eastAsia="黑体"/>
          <w:b/>
          <w:color w:val="auto"/>
          <w:sz w:val="32"/>
          <w:lang w:eastAsia="zh-CN"/>
        </w:rPr>
        <w:t>五、存在主要问题</w:t>
      </w:r>
    </w:p>
    <w:p>
      <w:pPr>
        <w:pStyle w:val="8"/>
        <w:numPr>
          <w:numId w:val="0"/>
        </w:numPr>
        <w:tabs>
          <w:tab w:val="left" w:pos="2160"/>
        </w:tabs>
        <w:spacing w:beforeLines="0" w:afterLines="0" w:line="360" w:lineRule="auto"/>
        <w:ind w:firstLine="640" w:firstLineChars="200"/>
        <w:rPr>
          <w:rFonts w:hint="eastAsia" w:ascii="黑体" w:hAnsi="黑体" w:eastAsia="黑体"/>
          <w:kern w:val="2"/>
          <w:sz w:val="32"/>
          <w:lang w:eastAsia="zh-CN"/>
        </w:rPr>
      </w:pPr>
      <w:r>
        <w:rPr>
          <w:rFonts w:hint="eastAsia" w:ascii="仿宋_GB2312" w:hAnsi="仿宋_GB2312" w:eastAsia="仿宋_GB2312"/>
          <w:sz w:val="32"/>
          <w:lang w:eastAsia="zh-CN"/>
        </w:rPr>
        <w:t>聘用制书记员及辅警工作经费</w:t>
      </w:r>
      <w:r>
        <w:rPr>
          <w:rFonts w:hint="eastAsia" w:ascii="仿宋_GB2312" w:hAnsi="仿宋_GB2312" w:eastAsia="仿宋_GB2312"/>
          <w:sz w:val="32"/>
          <w:lang w:val="zh-CN" w:eastAsia="zh-CN"/>
        </w:rPr>
        <w:t>项目</w:t>
      </w:r>
      <w:r>
        <w:rPr>
          <w:rFonts w:hint="eastAsia" w:ascii="仿宋_GB2312" w:hAnsi="仿宋_GB2312" w:eastAsia="仿宋_GB2312"/>
          <w:sz w:val="32"/>
          <w:lang w:eastAsia="zh-CN"/>
        </w:rPr>
        <w:t>预算人头经费标准较低，与现行地方经济适配度不高。</w:t>
      </w: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val="zh-CN" w:eastAsia="zh-CN"/>
        </w:rPr>
      </w:pPr>
      <w:r>
        <w:rPr>
          <w:rFonts w:hint="eastAsia" w:ascii="黑体" w:hAnsi="宋体" w:eastAsia="黑体"/>
          <w:b/>
          <w:color w:val="auto"/>
          <w:sz w:val="32"/>
          <w:lang w:val="zh-CN" w:eastAsia="zh-CN"/>
        </w:rPr>
        <w:t>六、改进建议</w:t>
      </w:r>
    </w:p>
    <w:p>
      <w:pPr>
        <w:pStyle w:val="34"/>
        <w:widowControl/>
        <w:spacing w:before="0" w:beforeLines="0" w:after="0" w:afterLines="0" w:line="360" w:lineRule="auto"/>
        <w:ind w:firstLine="640" w:firstLineChars="200"/>
        <w:rPr>
          <w:rFonts w:hint="default" w:eastAsia="仿宋_GB2312"/>
          <w:sz w:val="32"/>
        </w:rPr>
      </w:pPr>
      <w:r>
        <w:rPr>
          <w:rFonts w:hint="eastAsia" w:ascii="仿宋_GB2312" w:hAnsi="仿宋_GB2312" w:eastAsia="仿宋_GB2312"/>
          <w:b w:val="0"/>
          <w:kern w:val="0"/>
          <w:sz w:val="32"/>
        </w:rPr>
        <w:t>由于社会经济水平的不断发展，物价等方面的显著变化，聘用制书记员及辅警工作经费</w:t>
      </w:r>
      <w:r>
        <w:rPr>
          <w:rFonts w:hint="eastAsia" w:ascii="仿宋_GB2312" w:hAnsi="仿宋_GB2312" w:eastAsia="仿宋_GB2312"/>
          <w:b w:val="0"/>
          <w:kern w:val="0"/>
          <w:sz w:val="32"/>
          <w:lang w:val="zh-CN"/>
        </w:rPr>
        <w:t>项目</w:t>
      </w:r>
      <w:r>
        <w:rPr>
          <w:rFonts w:hint="eastAsia" w:ascii="仿宋_GB2312" w:hAnsi="仿宋_GB2312" w:eastAsia="仿宋_GB2312"/>
          <w:b w:val="0"/>
          <w:kern w:val="0"/>
          <w:sz w:val="32"/>
        </w:rPr>
        <w:t>在预算安排上应采用浮动增长的模式安排预算，以更好的保障聘用制人员的合法权益，同时更有力地激励聘用制人员的工作热情，以确保审判执行工作的稳定性。</w:t>
      </w:r>
    </w:p>
    <w:p>
      <w:pPr>
        <w:widowControl/>
        <w:numPr>
          <w:numId w:val="0"/>
        </w:numPr>
        <w:adjustRightInd w:val="0"/>
        <w:snapToGrid w:val="0"/>
        <w:spacing w:beforeLines="0" w:afterLines="0" w:line="578" w:lineRule="exact"/>
        <w:jc w:val="left"/>
        <w:rPr>
          <w:rFonts w:hint="eastAsia" w:ascii="黑体" w:hAnsi="黑体" w:eastAsia="黑体"/>
          <w:color w:val="auto"/>
          <w:kern w:val="0"/>
          <w:sz w:val="32"/>
          <w:shd w:val="clear" w:color="auto" w:fill="FFFFFF"/>
          <w:lang w:val="zh-CN"/>
        </w:rPr>
      </w:pPr>
    </w:p>
    <w:p>
      <w:pPr>
        <w:pStyle w:val="36"/>
        <w:spacing w:beforeLines="0" w:afterLines="0"/>
        <w:ind w:firstLine="883" w:firstLineChars="20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四川省广元市中级人民法院</w:t>
      </w:r>
    </w:p>
    <w:p>
      <w:pPr>
        <w:pStyle w:val="36"/>
        <w:spacing w:beforeLines="0" w:afterLines="0"/>
        <w:ind w:firstLine="883" w:firstLineChars="20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2024年破产管理专项资金预算项目</w:t>
      </w:r>
    </w:p>
    <w:p>
      <w:pPr>
        <w:pStyle w:val="36"/>
        <w:spacing w:beforeLines="0" w:afterLines="0"/>
        <w:ind w:firstLine="883" w:firstLineChars="200"/>
        <w:jc w:val="center"/>
        <w:rPr>
          <w:rFonts w:hint="eastAsia" w:ascii="宋体" w:hAnsi="宋体"/>
          <w:color w:val="auto"/>
          <w:kern w:val="2"/>
          <w:sz w:val="32"/>
        </w:rPr>
      </w:pPr>
      <w:r>
        <w:rPr>
          <w:rFonts w:hint="eastAsia" w:ascii="黑体" w:hAnsi="黑体" w:eastAsia="黑体"/>
          <w:b/>
          <w:color w:val="auto"/>
          <w:kern w:val="2"/>
          <w:sz w:val="44"/>
          <w:lang w:val="en-US"/>
        </w:rPr>
        <w:t>绩效评价报告</w:t>
      </w:r>
    </w:p>
    <w:p>
      <w:pPr>
        <w:adjustRightInd w:val="0"/>
        <w:snapToGrid w:val="0"/>
        <w:spacing w:beforeLines="0" w:afterLines="0" w:line="360" w:lineRule="auto"/>
        <w:ind w:firstLine="643" w:firstLineChars="200"/>
        <w:rPr>
          <w:rFonts w:hint="eastAsia" w:ascii="黑体" w:hAnsi="宋体" w:eastAsia="黑体"/>
          <w:b/>
          <w:sz w:val="32"/>
          <w:lang w:val="zh-CN"/>
        </w:rPr>
      </w:pPr>
      <w:r>
        <w:rPr>
          <w:rFonts w:hint="eastAsia" w:ascii="黑体" w:hAnsi="宋体" w:eastAsia="黑体"/>
          <w:b/>
          <w:sz w:val="32"/>
        </w:rPr>
        <w:t>一、</w:t>
      </w:r>
      <w:r>
        <w:rPr>
          <w:rFonts w:hint="eastAsia" w:ascii="黑体" w:hAnsi="宋体" w:eastAsia="黑体"/>
          <w:b/>
          <w:sz w:val="32"/>
          <w:lang w:val="zh-CN"/>
        </w:rPr>
        <w:t>项目概况</w:t>
      </w:r>
    </w:p>
    <w:p>
      <w:pPr>
        <w:widowControl/>
        <w:numPr>
          <w:numId w:val="0"/>
        </w:numPr>
        <w:adjustRightInd w:val="0"/>
        <w:snapToGrid w:val="0"/>
        <w:spacing w:beforeLines="0" w:afterLines="0" w:line="360" w:lineRule="auto"/>
        <w:ind w:firstLine="643" w:firstLineChars="200"/>
        <w:jc w:val="left"/>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（一）设立背景及基本情况。</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广元市</w:t>
      </w:r>
      <w:r>
        <w:rPr>
          <w:rFonts w:hint="eastAsia" w:eastAsia="仿宋_GB2312"/>
          <w:sz w:val="32"/>
        </w:rPr>
        <w:t>中级人民法院是独立核算的一级预算部门，</w:t>
      </w:r>
      <w:r>
        <w:rPr>
          <w:rFonts w:hint="eastAsia" w:eastAsia="仿宋_GB2312"/>
          <w:sz w:val="32"/>
          <w:lang w:val="zh-CN"/>
        </w:rPr>
        <w:t>负责法院破产管理专项资金项目年初预算的编制和绩效目标的设置，确保项目预算的科学性、合理性、可行性。负责推进项目执行以及项目实施过程管理，包括项目进度监控、成本控制、风险预警、资金支付、财务核算等。项目完成后的决算编审、绩效目标考核和项目自评，以及其他与项目相关工作。</w:t>
      </w:r>
    </w:p>
    <w:p>
      <w:pPr>
        <w:adjustRightInd w:val="0"/>
        <w:snapToGrid w:val="0"/>
        <w:spacing w:beforeLines="0" w:afterLines="0" w:line="360" w:lineRule="auto"/>
        <w:ind w:firstLine="640" w:firstLineChars="200"/>
        <w:rPr>
          <w:rFonts w:hint="eastAsia"/>
          <w:sz w:val="32"/>
          <w:lang w:val="zh-CN"/>
        </w:rPr>
      </w:pPr>
      <w:r>
        <w:rPr>
          <w:rFonts w:hint="eastAsia" w:eastAsia="仿宋_GB2312"/>
          <w:color w:val="auto"/>
          <w:sz w:val="32"/>
          <w:lang w:val="zh-CN"/>
        </w:rPr>
        <w:t>根据《2021年四川省营商环境评价报告》、《关于破产专项资金的管理办法（试行）》的相关要求，我院建立破产专项基金。本项目设立立足广元营商环境现状</w:t>
      </w:r>
      <w:r>
        <w:rPr>
          <w:rFonts w:hint="eastAsia" w:eastAsia="仿宋_GB2312"/>
          <w:color w:val="auto"/>
          <w:sz w:val="32"/>
        </w:rPr>
        <w:t>，为无产可破的企业及破产清算企业提供司法服务，</w:t>
      </w:r>
      <w:r>
        <w:rPr>
          <w:rFonts w:hint="eastAsia" w:eastAsia="仿宋_GB2312"/>
          <w:sz w:val="32"/>
          <w:lang w:val="zh-CN"/>
        </w:rPr>
        <w:t>我院特设立破产案件专项资金项目，申报破产管理专项资金</w:t>
      </w:r>
      <w:r>
        <w:rPr>
          <w:rFonts w:hint="eastAsia" w:eastAsia="仿宋_GB2312"/>
          <w:sz w:val="32"/>
        </w:rPr>
        <w:t>10万元。</w:t>
      </w:r>
    </w:p>
    <w:p>
      <w:pPr>
        <w:numPr>
          <w:numId w:val="0"/>
        </w:numPr>
        <w:adjustRightInd w:val="0"/>
        <w:snapToGrid w:val="0"/>
        <w:spacing w:beforeLines="0" w:afterLines="0" w:line="360" w:lineRule="auto"/>
        <w:rPr>
          <w:rFonts w:hint="eastAsia" w:ascii="楷体_GB2312" w:hAnsi="宋体" w:eastAsia="楷体_GB2312"/>
          <w:b/>
          <w:color w:val="auto"/>
          <w:sz w:val="32"/>
        </w:rPr>
      </w:pPr>
      <w:r>
        <w:rPr>
          <w:rFonts w:hint="eastAsia" w:ascii="楷体_GB2312" w:hAnsi="宋体" w:eastAsia="楷体_GB2312"/>
          <w:b/>
          <w:color w:val="auto"/>
          <w:sz w:val="32"/>
          <w:lang w:val="en-US" w:eastAsia="zh-CN"/>
        </w:rPr>
        <w:t xml:space="preserve">    （二）</w:t>
      </w:r>
      <w:r>
        <w:rPr>
          <w:rFonts w:hint="eastAsia" w:ascii="楷体_GB2312" w:hAnsi="宋体" w:eastAsia="楷体_GB2312"/>
          <w:b/>
          <w:color w:val="auto"/>
          <w:sz w:val="32"/>
        </w:rPr>
        <w:t>实施目的及支持方向。</w:t>
      </w:r>
    </w:p>
    <w:p>
      <w:pPr>
        <w:adjustRightInd w:val="0"/>
        <w:snapToGrid w:val="0"/>
        <w:spacing w:beforeLines="0" w:afterLines="0" w:line="360" w:lineRule="auto"/>
        <w:ind w:firstLine="640" w:firstLineChars="200"/>
        <w:rPr>
          <w:rFonts w:hint="eastAsia"/>
          <w:sz w:val="32"/>
          <w:lang w:val="zh-CN"/>
        </w:rPr>
      </w:pPr>
      <w:r>
        <w:rPr>
          <w:rFonts w:hint="eastAsia" w:ascii="仿宋_GB2312" w:hAnsi="仿宋_GB2312" w:eastAsia="仿宋_GB2312"/>
          <w:color w:val="auto"/>
          <w:kern w:val="0"/>
          <w:sz w:val="32"/>
          <w:shd w:val="clear" w:color="auto" w:fill="FFFFFF"/>
        </w:rPr>
        <w:t xml:space="preserve"> </w:t>
      </w:r>
      <w:r>
        <w:rPr>
          <w:rFonts w:hint="eastAsia" w:eastAsia="仿宋_GB2312"/>
          <w:sz w:val="32"/>
          <w:lang w:val="zh-CN"/>
        </w:rPr>
        <w:t>破产管理专项资金项目预算编制立足广元地区营商环境现状，落实省市两级优化营商环境战略方针，旨在强化企业破产保障，清理“僵尸企业”，优化产能，提升破产案件审理效率，减少企业破产成本。</w:t>
      </w:r>
    </w:p>
    <w:p>
      <w:pPr>
        <w:adjustRightInd w:val="0"/>
        <w:snapToGrid w:val="0"/>
        <w:spacing w:beforeLines="0" w:afterLines="0" w:line="360" w:lineRule="auto"/>
        <w:ind w:firstLine="640" w:firstLineChars="200"/>
        <w:rPr>
          <w:rFonts w:hint="eastAsia" w:ascii="仿宋_GB2312" w:hAnsi="宋体" w:eastAsia="仿宋_GB2312"/>
          <w:sz w:val="32"/>
          <w:lang w:val="zh-CN"/>
        </w:rPr>
      </w:pPr>
      <w:r>
        <w:rPr>
          <w:rFonts w:hint="eastAsia" w:eastAsia="仿宋_GB2312"/>
          <w:sz w:val="32"/>
          <w:lang w:val="zh-CN"/>
        </w:rPr>
        <w:t>项目资金来源系财政全额拨款的一般公共预算资金，按照我院财务管理办法及专项资金管理细则，实行专款专用。项目的所有经费开支均经过项目责任人、财务负责人、分管院领导的审批签字，并在对应的科目进行专项核算。</w:t>
      </w:r>
    </w:p>
    <w:p>
      <w:pPr>
        <w:widowControl/>
        <w:numPr>
          <w:numId w:val="0"/>
        </w:numPr>
        <w:adjustRightInd w:val="0"/>
        <w:snapToGrid w:val="0"/>
        <w:spacing w:beforeLines="0" w:afterLines="0" w:line="360" w:lineRule="auto"/>
        <w:jc w:val="left"/>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（三）</w:t>
      </w:r>
      <w:r>
        <w:rPr>
          <w:rFonts w:hint="eastAsia" w:ascii="楷体_GB2312" w:hAnsi="宋体" w:eastAsia="楷体_GB2312"/>
          <w:b/>
          <w:color w:val="auto"/>
          <w:sz w:val="32"/>
        </w:rPr>
        <w:t>预算安排及分配管理</w:t>
      </w:r>
      <w:r>
        <w:rPr>
          <w:rFonts w:hint="eastAsia" w:ascii="楷体_GB2312" w:hAnsi="宋体" w:eastAsia="楷体_GB2312"/>
          <w:b/>
          <w:color w:val="auto"/>
          <w:sz w:val="32"/>
          <w:lang w:val="zh-CN"/>
        </w:rPr>
        <w:t>。</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破产管理专项资金项目</w:t>
      </w:r>
      <w:r>
        <w:rPr>
          <w:rFonts w:hint="eastAsia" w:eastAsia="仿宋_GB2312"/>
          <w:sz w:val="32"/>
        </w:rPr>
        <w:t>报送人代会通过后批复</w:t>
      </w:r>
      <w:r>
        <w:rPr>
          <w:rFonts w:hint="eastAsia" w:ascii="仿宋_GB2312" w:hAnsi="仿宋_GB2312" w:eastAsia="仿宋_GB2312"/>
          <w:color w:val="auto"/>
          <w:kern w:val="0"/>
          <w:sz w:val="32"/>
          <w:shd w:val="clear" w:color="auto" w:fill="FFFFFF"/>
          <w:lang w:val="zh-CN"/>
        </w:rPr>
        <w:t>预算为一般</w:t>
      </w:r>
      <w:r>
        <w:rPr>
          <w:rFonts w:hint="eastAsia" w:eastAsia="仿宋_GB2312"/>
          <w:sz w:val="32"/>
          <w:lang w:val="zh-CN"/>
        </w:rPr>
        <w:t>公共预算资金</w:t>
      </w:r>
      <w:r>
        <w:rPr>
          <w:rFonts w:hint="eastAsia" w:eastAsia="仿宋_GB2312"/>
          <w:sz w:val="32"/>
        </w:rPr>
        <w:t>10万元，</w:t>
      </w:r>
      <w:r>
        <w:rPr>
          <w:rFonts w:hint="eastAsia" w:eastAsia="仿宋_GB2312"/>
          <w:sz w:val="32"/>
          <w:lang w:val="zh-CN"/>
        </w:rPr>
        <w:t>资金分配严格按照预算安排，一是深化供给侧结构性改革、清理“僵尸企业”，优化产能，减少企业破产成本；二是保障办理破产类案件的办案经费开支，弥补无产可破企业在破产行为发生时的评估、鉴定、诉讼等费用缺口。</w:t>
      </w:r>
    </w:p>
    <w:p>
      <w:pPr>
        <w:keepLines/>
        <w:numPr>
          <w:numId w:val="0"/>
        </w:numPr>
        <w:adjustRightInd w:val="0"/>
        <w:snapToGrid w:val="0"/>
        <w:spacing w:beforeLines="0" w:afterLines="0" w:line="360" w:lineRule="auto"/>
        <w:ind w:firstLine="643" w:firstLineChars="200"/>
        <w:rPr>
          <w:rFonts w:hint="eastAsia" w:eastAsia="仿宋_GB2312"/>
          <w:sz w:val="32"/>
          <w:lang w:val="zh-CN"/>
        </w:rPr>
      </w:pPr>
      <w:r>
        <w:rPr>
          <w:rFonts w:hint="eastAsia" w:ascii="楷体_GB2312" w:hAnsi="宋体" w:eastAsia="楷体_GB2312"/>
          <w:b/>
          <w:color w:val="auto"/>
          <w:sz w:val="32"/>
          <w:lang w:val="zh-CN"/>
        </w:rPr>
        <w:t>（四）项目绩效目标设置。</w:t>
      </w:r>
    </w:p>
    <w:p>
      <w:pPr>
        <w:keepLines/>
        <w:numPr>
          <w:numId w:val="0"/>
        </w:num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202</w:t>
      </w:r>
      <w:r>
        <w:rPr>
          <w:rFonts w:hint="eastAsia" w:eastAsia="仿宋_GB2312"/>
          <w:sz w:val="32"/>
        </w:rPr>
        <w:t>3</w:t>
      </w:r>
      <w:r>
        <w:rPr>
          <w:rFonts w:hint="eastAsia" w:eastAsia="仿宋_GB2312"/>
          <w:sz w:val="32"/>
          <w:lang w:val="zh-CN"/>
        </w:rPr>
        <w:t>年破产管理专项项目资金用于办理破产申请、破产清算、强制清算等类型案件，着力保障办理此类案件的办公经费、调查费、公告费、必要的审计鉴定费等，帮助破产企业减少破产成本，清理“僵尸企业”，优化地区营商环境</w:t>
      </w:r>
      <w:r>
        <w:rPr>
          <w:rFonts w:hint="eastAsia" w:eastAsia="仿宋_GB2312"/>
          <w:sz w:val="32"/>
        </w:rPr>
        <w:t>。</w:t>
      </w:r>
    </w:p>
    <w:p>
      <w:pPr>
        <w:keepLines/>
        <w:numPr>
          <w:numId w:val="0"/>
        </w:numPr>
        <w:adjustRightInd w:val="0"/>
        <w:snapToGrid w:val="0"/>
        <w:spacing w:beforeLines="0" w:afterLines="0" w:line="360" w:lineRule="auto"/>
        <w:ind w:firstLine="640" w:firstLineChars="200"/>
        <w:rPr>
          <w:rFonts w:hint="eastAsia" w:eastAsia="仿宋_GB2312"/>
          <w:sz w:val="32"/>
          <w:lang w:val="zh-CN"/>
        </w:rPr>
      </w:pPr>
      <w:r>
        <w:rPr>
          <w:rFonts w:hint="eastAsia" w:eastAsia="仿宋_GB2312"/>
          <w:sz w:val="32"/>
          <w:lang w:val="zh-CN"/>
        </w:rPr>
        <w:t>该项目预算执行情况自评权重为</w:t>
      </w:r>
      <w:r>
        <w:rPr>
          <w:rFonts w:hint="eastAsia" w:eastAsia="仿宋_GB2312"/>
          <w:sz w:val="32"/>
        </w:rPr>
        <w:t>10%，满分为10分，其余产出指标、效益指标、成本指标，满意度指标绩效目标设置权重为90%，具体明细见下表：</w:t>
      </w:r>
    </w:p>
    <w:tbl>
      <w:tblPr>
        <w:tblStyle w:val="25"/>
        <w:tblW w:w="8641"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5"/>
        <w:gridCol w:w="942"/>
        <w:gridCol w:w="1200"/>
        <w:gridCol w:w="2429"/>
        <w:gridCol w:w="978"/>
        <w:gridCol w:w="737"/>
        <w:gridCol w:w="882"/>
        <w:gridCol w:w="7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restart"/>
            <w:tcBorders>
              <w:top w:val="single" w:color="000000" w:sz="4" w:space="0"/>
              <w:left w:val="single" w:color="000000" w:sz="4" w:space="0"/>
              <w:bottom w:val="nil"/>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绩效指标（90分）</w:t>
            </w:r>
          </w:p>
        </w:tc>
        <w:tc>
          <w:tcPr>
            <w:tcW w:w="9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一级指标</w:t>
            </w:r>
          </w:p>
        </w:tc>
        <w:tc>
          <w:tcPr>
            <w:tcW w:w="12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二级指标</w:t>
            </w:r>
          </w:p>
        </w:tc>
        <w:tc>
          <w:tcPr>
            <w:tcW w:w="24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三级指标</w:t>
            </w:r>
          </w:p>
        </w:tc>
        <w:tc>
          <w:tcPr>
            <w:tcW w:w="97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指标性质</w:t>
            </w:r>
          </w:p>
        </w:tc>
        <w:tc>
          <w:tcPr>
            <w:tcW w:w="7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指标值</w:t>
            </w:r>
          </w:p>
        </w:tc>
        <w:tc>
          <w:tcPr>
            <w:tcW w:w="88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度量单位</w:t>
            </w:r>
          </w:p>
        </w:tc>
        <w:tc>
          <w:tcPr>
            <w:tcW w:w="70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942"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产出指标</w:t>
            </w:r>
          </w:p>
        </w:tc>
        <w:tc>
          <w:tcPr>
            <w:tcW w:w="1200"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数量指标</w:t>
            </w:r>
          </w:p>
        </w:tc>
        <w:tc>
          <w:tcPr>
            <w:tcW w:w="24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帮助无产可破市场主体</w:t>
            </w:r>
          </w:p>
        </w:tc>
        <w:tc>
          <w:tcPr>
            <w:tcW w:w="97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w:t>
            </w:r>
          </w:p>
        </w:tc>
        <w:tc>
          <w:tcPr>
            <w:tcW w:w="7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w:t>
            </w:r>
          </w:p>
        </w:tc>
        <w:tc>
          <w:tcPr>
            <w:tcW w:w="88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个</w:t>
            </w:r>
          </w:p>
        </w:tc>
        <w:tc>
          <w:tcPr>
            <w:tcW w:w="70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jc w:val="center"/>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942"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20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24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提供破产管理人帮助人数</w:t>
            </w:r>
          </w:p>
        </w:tc>
        <w:tc>
          <w:tcPr>
            <w:tcW w:w="97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w:t>
            </w:r>
          </w:p>
        </w:tc>
        <w:tc>
          <w:tcPr>
            <w:tcW w:w="7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w:t>
            </w:r>
          </w:p>
        </w:tc>
        <w:tc>
          <w:tcPr>
            <w:tcW w:w="88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人</w:t>
            </w:r>
          </w:p>
        </w:tc>
        <w:tc>
          <w:tcPr>
            <w:tcW w:w="70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942"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2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质量指标</w:t>
            </w:r>
          </w:p>
        </w:tc>
        <w:tc>
          <w:tcPr>
            <w:tcW w:w="24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通过支付或垫付破产案件相关费用或补偿管理人报酬，及时帮助破产企业顺利退出市场。</w:t>
            </w:r>
          </w:p>
        </w:tc>
        <w:tc>
          <w:tcPr>
            <w:tcW w:w="97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定性</w:t>
            </w:r>
          </w:p>
        </w:tc>
        <w:tc>
          <w:tcPr>
            <w:tcW w:w="7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优</w:t>
            </w:r>
          </w:p>
        </w:tc>
        <w:tc>
          <w:tcPr>
            <w:tcW w:w="88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级</w:t>
            </w:r>
          </w:p>
        </w:tc>
        <w:tc>
          <w:tcPr>
            <w:tcW w:w="70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942"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2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时效指标</w:t>
            </w:r>
          </w:p>
        </w:tc>
        <w:tc>
          <w:tcPr>
            <w:tcW w:w="24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该项目完成时限</w:t>
            </w:r>
          </w:p>
        </w:tc>
        <w:tc>
          <w:tcPr>
            <w:tcW w:w="97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w:t>
            </w:r>
          </w:p>
        </w:tc>
        <w:tc>
          <w:tcPr>
            <w:tcW w:w="7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w:t>
            </w:r>
          </w:p>
        </w:tc>
        <w:tc>
          <w:tcPr>
            <w:tcW w:w="88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年</w:t>
            </w:r>
          </w:p>
        </w:tc>
        <w:tc>
          <w:tcPr>
            <w:tcW w:w="70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jc w:val="center"/>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942"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效益指标</w:t>
            </w:r>
          </w:p>
        </w:tc>
        <w:tc>
          <w:tcPr>
            <w:tcW w:w="12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社会效益指标</w:t>
            </w:r>
          </w:p>
        </w:tc>
        <w:tc>
          <w:tcPr>
            <w:tcW w:w="24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强化企业破产保障，促进经济转型升级，进一步优化营商环境。</w:t>
            </w:r>
          </w:p>
        </w:tc>
        <w:tc>
          <w:tcPr>
            <w:tcW w:w="97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定性</w:t>
            </w:r>
          </w:p>
        </w:tc>
        <w:tc>
          <w:tcPr>
            <w:tcW w:w="7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优</w:t>
            </w:r>
          </w:p>
        </w:tc>
        <w:tc>
          <w:tcPr>
            <w:tcW w:w="88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级</w:t>
            </w:r>
          </w:p>
        </w:tc>
        <w:tc>
          <w:tcPr>
            <w:tcW w:w="70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942"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12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可持续影响指标</w:t>
            </w:r>
          </w:p>
        </w:tc>
        <w:tc>
          <w:tcPr>
            <w:tcW w:w="24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加快“无产可破”、“少产多破”等破产案件的启动、处置难题，提高管理人积极性。</w:t>
            </w:r>
          </w:p>
        </w:tc>
        <w:tc>
          <w:tcPr>
            <w:tcW w:w="97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定性</w:t>
            </w:r>
          </w:p>
        </w:tc>
        <w:tc>
          <w:tcPr>
            <w:tcW w:w="7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优</w:t>
            </w:r>
          </w:p>
        </w:tc>
        <w:tc>
          <w:tcPr>
            <w:tcW w:w="88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级</w:t>
            </w:r>
          </w:p>
        </w:tc>
        <w:tc>
          <w:tcPr>
            <w:tcW w:w="70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9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满意度指标</w:t>
            </w:r>
          </w:p>
        </w:tc>
        <w:tc>
          <w:tcPr>
            <w:tcW w:w="12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满意度指标</w:t>
            </w:r>
          </w:p>
        </w:tc>
        <w:tc>
          <w:tcPr>
            <w:tcW w:w="24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破产管理人满意度</w:t>
            </w:r>
          </w:p>
        </w:tc>
        <w:tc>
          <w:tcPr>
            <w:tcW w:w="97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w:t>
            </w:r>
          </w:p>
        </w:tc>
        <w:tc>
          <w:tcPr>
            <w:tcW w:w="7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90</w:t>
            </w:r>
          </w:p>
        </w:tc>
        <w:tc>
          <w:tcPr>
            <w:tcW w:w="88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w:t>
            </w:r>
          </w:p>
        </w:tc>
        <w:tc>
          <w:tcPr>
            <w:tcW w:w="70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1"/>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nil"/>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1"/>
                <w:szCs w:val="20"/>
              </w:rPr>
            </w:pPr>
          </w:p>
        </w:tc>
        <w:tc>
          <w:tcPr>
            <w:tcW w:w="9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成本指标</w:t>
            </w:r>
          </w:p>
        </w:tc>
        <w:tc>
          <w:tcPr>
            <w:tcW w:w="12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经济成本指标</w:t>
            </w:r>
          </w:p>
        </w:tc>
        <w:tc>
          <w:tcPr>
            <w:tcW w:w="242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项目资金使用成本</w:t>
            </w:r>
          </w:p>
        </w:tc>
        <w:tc>
          <w:tcPr>
            <w:tcW w:w="97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w:t>
            </w:r>
          </w:p>
        </w:tc>
        <w:tc>
          <w:tcPr>
            <w:tcW w:w="7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10</w:t>
            </w:r>
          </w:p>
        </w:tc>
        <w:tc>
          <w:tcPr>
            <w:tcW w:w="88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万元</w:t>
            </w:r>
          </w:p>
        </w:tc>
        <w:tc>
          <w:tcPr>
            <w:tcW w:w="70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20</w:t>
            </w:r>
          </w:p>
        </w:tc>
      </w:tr>
    </w:tbl>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我院对于该项目的申报内容与实际业务的开展相关且符合工作实际，申报的绩效目标易于考核，合理可行，操作性强。项目绩效自评采用中期监控和年终绩效考核相结合的方式进行。项目绩效自评由项目实施的民三庭报送年度内具体工作开展情况，并对项目的实施情况总结并自评，督察室监督审核工作的完成进度并进行项目验收，行装处负责统计相关项目工作的资金支付情况，并通过共同研讨、数据对比等方法对该项目进行自评打分。</w:t>
      </w:r>
    </w:p>
    <w:p>
      <w:pPr>
        <w:adjustRightInd w:val="0"/>
        <w:snapToGrid w:val="0"/>
        <w:spacing w:beforeLines="0" w:afterLines="0" w:line="360" w:lineRule="auto"/>
        <w:ind w:firstLine="643" w:firstLineChars="200"/>
        <w:rPr>
          <w:rFonts w:hint="eastAsia" w:ascii="黑体" w:hAnsi="宋体" w:eastAsia="黑体"/>
          <w:b/>
          <w:sz w:val="32"/>
        </w:rPr>
      </w:pPr>
      <w:r>
        <w:rPr>
          <w:rFonts w:hint="eastAsia" w:ascii="黑体" w:hAnsi="宋体" w:eastAsia="黑体"/>
          <w:b/>
          <w:sz w:val="32"/>
        </w:rPr>
        <w:t>二、评价实施</w:t>
      </w:r>
    </w:p>
    <w:p>
      <w:pPr>
        <w:spacing w:beforeLines="0" w:afterLines="0" w:line="360" w:lineRule="auto"/>
        <w:ind w:firstLine="643" w:firstLineChars="200"/>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（一）评价目的。</w:t>
      </w:r>
    </w:p>
    <w:p>
      <w:pPr>
        <w:spacing w:beforeLines="0" w:afterLines="0" w:line="360" w:lineRule="auto"/>
        <w:ind w:firstLine="640" w:firstLineChars="200"/>
        <w:rPr>
          <w:rFonts w:hint="eastAsia"/>
          <w:sz w:val="32"/>
        </w:rPr>
      </w:pPr>
      <w:r>
        <w:rPr>
          <w:rFonts w:hint="eastAsia" w:eastAsia="仿宋_GB2312"/>
          <w:sz w:val="32"/>
        </w:rPr>
        <w:t>通过项目绩效自评要实现对破产管理专项资金</w:t>
      </w:r>
      <w:r>
        <w:rPr>
          <w:rFonts w:hint="eastAsia" w:eastAsia="仿宋_GB2312"/>
          <w:sz w:val="32"/>
          <w:lang w:val="zh-CN"/>
        </w:rPr>
        <w:t>项目资金效益的监督及项目目标实现度的管理，促进财政资金发挥更大的效益，</w:t>
      </w:r>
      <w:r>
        <w:rPr>
          <w:rFonts w:hint="eastAsia" w:eastAsia="仿宋_GB2312"/>
          <w:sz w:val="32"/>
        </w:rPr>
        <w:t>帮助破产企业减少破产成本，清理本土“僵尸企业”，切实解决部分破产案件无可变现财产导致无法支付破产费用和管理人报酬的现实问题，优化地区营商环境。</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（二）</w:t>
      </w:r>
      <w:r>
        <w:rPr>
          <w:rFonts w:hint="eastAsia" w:ascii="楷体_GB2312" w:hAnsi="宋体" w:eastAsia="楷体_GB2312"/>
          <w:b/>
          <w:color w:val="auto"/>
          <w:sz w:val="32"/>
          <w:lang w:val="zh-CN"/>
        </w:rPr>
        <w:t>预设问题及评价重点。</w:t>
      </w:r>
    </w:p>
    <w:p>
      <w:pPr>
        <w:numPr>
          <w:numId w:val="0"/>
        </w:num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该项目资金为一般公共预算财政拨款收入安排，市财政局通过预算对我院下达此专项资金</w:t>
      </w:r>
      <w:r>
        <w:rPr>
          <w:rFonts w:hint="eastAsia" w:eastAsia="仿宋_GB2312"/>
          <w:sz w:val="32"/>
        </w:rPr>
        <w:t>10万元，</w:t>
      </w:r>
      <w:r>
        <w:rPr>
          <w:rFonts w:hint="eastAsia" w:eastAsia="仿宋_GB2312"/>
          <w:sz w:val="32"/>
          <w:lang w:val="zh-CN"/>
        </w:rPr>
        <w:t>资金及时到位，资金到位率100%，到位及时率100%，预算执行率</w:t>
      </w:r>
      <w:r>
        <w:rPr>
          <w:rFonts w:hint="eastAsia" w:eastAsia="仿宋_GB2312"/>
          <w:sz w:val="32"/>
        </w:rPr>
        <w:t>100%。顺利完成了该项目的实施和资金支付。</w:t>
      </w:r>
      <w:r>
        <w:rPr>
          <w:rFonts w:hint="eastAsia" w:eastAsia="仿宋_GB2312"/>
          <w:sz w:val="32"/>
          <w:lang w:val="zh-CN"/>
        </w:rPr>
        <w:t>项目实行专项核算，资金支付合规、合法，无超预算和范围支付情况，无截留、挤占、挪用专项资金现象，无虚列项目成本、无进行大额现金支付现象，项目资金使用均按规定标准执行。</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（三）</w:t>
      </w:r>
      <w:r>
        <w:rPr>
          <w:rFonts w:hint="eastAsia" w:ascii="楷体_GB2312" w:hAnsi="宋体" w:eastAsia="楷体_GB2312"/>
          <w:b/>
          <w:color w:val="auto"/>
          <w:sz w:val="32"/>
          <w:lang w:val="zh-CN"/>
        </w:rPr>
        <w:t>评价选点。</w:t>
      </w:r>
    </w:p>
    <w:p>
      <w:pPr>
        <w:numPr>
          <w:numId w:val="0"/>
        </w:numPr>
        <w:adjustRightInd w:val="0"/>
        <w:snapToGrid w:val="0"/>
        <w:spacing w:beforeLines="0" w:afterLines="0" w:line="360" w:lineRule="auto"/>
        <w:ind w:firstLine="640" w:firstLineChars="200"/>
        <w:rPr>
          <w:rFonts w:hint="eastAsia" w:eastAsia="仿宋_GB2312"/>
          <w:sz w:val="32"/>
          <w:lang w:val="zh-CN"/>
        </w:rPr>
      </w:pPr>
      <w:r>
        <w:rPr>
          <w:rFonts w:hint="eastAsia" w:eastAsia="仿宋_GB2312"/>
          <w:sz w:val="32"/>
        </w:rPr>
        <w:t>破产管理专项资金</w:t>
      </w:r>
      <w:r>
        <w:rPr>
          <w:rFonts w:hint="eastAsia" w:eastAsia="仿宋_GB2312"/>
          <w:sz w:val="32"/>
          <w:lang w:val="zh-CN"/>
        </w:rPr>
        <w:t>项目绩效自评分别抽取四川中玉律师事务所、四川力发律师事务所、广元弘益破产清算事务所三家破产管理人进行复核破产事项及援助资金拨付情况。</w:t>
      </w:r>
    </w:p>
    <w:p>
      <w:pPr>
        <w:numPr>
          <w:numId w:val="0"/>
        </w:num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（四）</w:t>
      </w:r>
      <w:r>
        <w:rPr>
          <w:rFonts w:hint="eastAsia" w:ascii="楷体_GB2312" w:hAnsi="宋体" w:eastAsia="楷体_GB2312"/>
          <w:b/>
          <w:color w:val="auto"/>
          <w:sz w:val="32"/>
          <w:lang w:val="zh-CN"/>
        </w:rPr>
        <w:t>评价方法。</w:t>
      </w:r>
    </w:p>
    <w:p>
      <w:pPr>
        <w:numPr>
          <w:numId w:val="0"/>
        </w:numPr>
        <w:spacing w:beforeLines="0" w:afterLines="0" w:line="360" w:lineRule="auto"/>
        <w:rPr>
          <w:rFonts w:hint="eastAsia" w:eastAsia="仿宋_GB2312"/>
          <w:sz w:val="32"/>
        </w:rPr>
      </w:pPr>
      <w:r>
        <w:rPr>
          <w:rFonts w:hint="eastAsia" w:eastAsia="仿宋_GB2312"/>
          <w:sz w:val="32"/>
        </w:rPr>
        <w:t xml:space="preserve">    根据项目情况和评价重点，采用单位自评法、座谈调研法用来收集相关材料和开展具体评价的方法。</w:t>
      </w:r>
    </w:p>
    <w:p>
      <w:p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rPr>
        <w:t xml:space="preserve">   </w:t>
      </w:r>
      <w:r>
        <w:rPr>
          <w:rFonts w:hint="eastAsia" w:ascii="楷体_GB2312" w:hAnsi="宋体" w:eastAsia="楷体_GB2312"/>
          <w:b/>
          <w:color w:val="auto"/>
          <w:sz w:val="32"/>
          <w:lang w:val="zh-CN"/>
        </w:rPr>
        <w:t>（五）评价组织。</w:t>
      </w:r>
    </w:p>
    <w:p>
      <w:pPr>
        <w:adjustRightInd w:val="0"/>
        <w:snapToGrid w:val="0"/>
        <w:spacing w:beforeLines="0" w:afterLines="0" w:line="360" w:lineRule="auto"/>
        <w:rPr>
          <w:rFonts w:hint="eastAsia"/>
          <w:sz w:val="32"/>
        </w:rPr>
      </w:pPr>
      <w:r>
        <w:rPr>
          <w:rFonts w:hint="eastAsia" w:eastAsia="仿宋_GB2312"/>
          <w:sz w:val="32"/>
        </w:rPr>
        <w:t xml:space="preserve">    绩效评价领导小组以常务副院长为组长，各业务部门、行装处、督查室部门领导为组员组成；绩效评价工作小组由各部门内勤及财务人员组成。采取“谁申报项目，谁负责绩效评价”的原则，由项目部门</w:t>
      </w:r>
      <w:r>
        <w:rPr>
          <w:rFonts w:hint="eastAsia" w:eastAsia="仿宋_GB2312"/>
          <w:sz w:val="32"/>
          <w:lang w:val="zh-CN"/>
        </w:rPr>
        <w:t>（民三庭）</w:t>
      </w:r>
      <w:r>
        <w:rPr>
          <w:rFonts w:hint="eastAsia" w:eastAsia="仿宋_GB2312"/>
          <w:sz w:val="32"/>
        </w:rPr>
        <w:t>牵头，召集工作小组对项目进行初评，然后呈报至领导小组复核。根据财政专项项目管理办法及财政资金管理要求，</w:t>
      </w:r>
      <w:r>
        <w:rPr>
          <w:rFonts w:hint="eastAsia" w:eastAsia="仿宋_GB2312"/>
          <w:sz w:val="32"/>
          <w:lang w:val="zh-CN"/>
        </w:rPr>
        <w:t>行装处严格审核项目报销凭证，加快专项资金支付，及时进行会计核算。</w:t>
      </w:r>
      <w:r>
        <w:rPr>
          <w:rFonts w:hint="eastAsia" w:eastAsia="仿宋_GB2312"/>
          <w:sz w:val="32"/>
        </w:rPr>
        <w:t>督察室进行定期监督，做到了专款专用，执行有力，且没有超预算和范围、违规报销行为，没有滞留、截流、挤占、挪用项目资金的现象。</w:t>
      </w:r>
    </w:p>
    <w:p>
      <w:pPr>
        <w:adjustRightInd w:val="0"/>
        <w:snapToGrid w:val="0"/>
        <w:spacing w:beforeLines="0" w:afterLines="0" w:line="360" w:lineRule="auto"/>
        <w:ind w:firstLine="643" w:firstLineChars="200"/>
        <w:rPr>
          <w:rFonts w:hint="eastAsia" w:ascii="仿宋_GB2312" w:hAnsi="宋体" w:eastAsia="仿宋_GB2312"/>
          <w:b/>
          <w:color w:val="auto"/>
          <w:sz w:val="32"/>
          <w:lang w:val="zh-CN"/>
        </w:rPr>
      </w:pPr>
      <w:r>
        <w:rPr>
          <w:rFonts w:hint="eastAsia" w:ascii="黑体" w:hAnsi="宋体" w:eastAsia="黑体"/>
          <w:b/>
          <w:color w:val="auto"/>
          <w:sz w:val="32"/>
        </w:rPr>
        <w:t>三、绩效分析</w:t>
      </w:r>
      <w:r>
        <w:rPr>
          <w:rFonts w:hint="eastAsia" w:ascii="仿宋_GB2312" w:hAnsi="宋体" w:eastAsia="仿宋_GB2312"/>
          <w:b/>
          <w:color w:val="auto"/>
          <w:sz w:val="32"/>
          <w:lang w:val="zh-CN"/>
        </w:rPr>
        <w:tab/>
      </w:r>
    </w:p>
    <w:p>
      <w:pPr>
        <w:spacing w:beforeLines="0" w:afterLines="0" w:line="360" w:lineRule="auto"/>
        <w:rPr>
          <w:rFonts w:hint="eastAsia" w:ascii="楷体_GB2312" w:hAnsi="宋体" w:eastAsia="楷体_GB2312"/>
          <w:b/>
          <w:color w:val="auto"/>
          <w:sz w:val="32"/>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（一）</w:t>
      </w:r>
      <w:r>
        <w:rPr>
          <w:rFonts w:hint="eastAsia" w:ascii="楷体_GB2312" w:hAnsi="宋体" w:eastAsia="楷体_GB2312"/>
          <w:b/>
          <w:color w:val="auto"/>
          <w:sz w:val="32"/>
        </w:rPr>
        <w:t>通用指标</w:t>
      </w:r>
      <w:r>
        <w:rPr>
          <w:rFonts w:hint="eastAsia" w:eastAsia="楷体_GB2312"/>
          <w:b/>
          <w:color w:val="000000"/>
          <w:kern w:val="0"/>
          <w:sz w:val="32"/>
          <w:shd w:val="clear" w:color="auto" w:fill="FFFFFF"/>
          <w:lang w:val="zh-CN"/>
        </w:rPr>
        <w:t>绩效得分</w:t>
      </w:r>
      <w:r>
        <w:rPr>
          <w:rFonts w:hint="eastAsia" w:eastAsia="楷体_GB2312"/>
          <w:b/>
          <w:color w:val="000000"/>
          <w:kern w:val="0"/>
          <w:sz w:val="32"/>
          <w:shd w:val="clear" w:color="auto" w:fill="FFFFFF"/>
        </w:rPr>
        <w:t>54分</w:t>
      </w:r>
      <w:r>
        <w:rPr>
          <w:rFonts w:hint="eastAsia" w:eastAsia="楷体_GB2312"/>
          <w:b/>
          <w:color w:val="000000"/>
          <w:kern w:val="0"/>
          <w:sz w:val="32"/>
          <w:shd w:val="clear" w:color="auto" w:fill="FFFFFF"/>
          <w:lang w:val="zh-CN"/>
        </w:rPr>
        <w:t>。</w:t>
      </w:r>
    </w:p>
    <w:p>
      <w:p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1.项目决策评分为18分。</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决策程序：</w:t>
      </w:r>
      <w:r>
        <w:rPr>
          <w:rFonts w:hint="eastAsia" w:eastAsia="仿宋_GB2312"/>
          <w:sz w:val="32"/>
        </w:rPr>
        <w:t>根据</w:t>
      </w:r>
      <w:r>
        <w:rPr>
          <w:rFonts w:hint="eastAsia" w:eastAsia="仿宋_GB2312"/>
          <w:sz w:val="32"/>
          <w:lang w:val="zh-CN"/>
        </w:rPr>
        <w:t>我院审判职能职责定位</w:t>
      </w:r>
      <w:r>
        <w:rPr>
          <w:rFonts w:hint="eastAsia" w:eastAsia="仿宋_GB2312"/>
          <w:sz w:val="32"/>
        </w:rPr>
        <w:t>，</w:t>
      </w:r>
      <w:r>
        <w:rPr>
          <w:rFonts w:hint="eastAsia" w:eastAsia="仿宋_GB2312"/>
          <w:sz w:val="32"/>
          <w:lang w:val="zh-CN"/>
        </w:rPr>
        <w:t>项目设立有必要，立项依据充分，</w:t>
      </w:r>
      <w:r>
        <w:rPr>
          <w:rFonts w:hint="eastAsia" w:eastAsia="仿宋_GB2312"/>
          <w:sz w:val="32"/>
        </w:rPr>
        <w:t>安排</w:t>
      </w:r>
      <w:r>
        <w:rPr>
          <w:rFonts w:hint="eastAsia" w:eastAsia="仿宋_GB2312"/>
          <w:sz w:val="32"/>
          <w:lang w:val="zh-CN"/>
        </w:rPr>
        <w:t>项目资金预算</w:t>
      </w:r>
      <w:r>
        <w:rPr>
          <w:rFonts w:hint="eastAsia" w:eastAsia="仿宋_GB2312"/>
          <w:sz w:val="32"/>
        </w:rPr>
        <w:t>10</w:t>
      </w:r>
      <w:r>
        <w:rPr>
          <w:rFonts w:hint="eastAsia" w:eastAsia="仿宋_GB2312"/>
          <w:sz w:val="32"/>
          <w:lang w:val="zh-CN"/>
        </w:rPr>
        <w:t>万元合理，符合资金管理基本规范和决策程序要求，故该项评分为</w:t>
      </w:r>
      <w:r>
        <w:rPr>
          <w:rFonts w:hint="eastAsia" w:eastAsia="仿宋_GB2312"/>
          <w:sz w:val="32"/>
        </w:rPr>
        <w:t>6分</w:t>
      </w:r>
      <w:r>
        <w:rPr>
          <w:rFonts w:hint="eastAsia" w:eastAsia="仿宋_GB2312"/>
          <w:sz w:val="32"/>
          <w:lang w:val="zh-CN"/>
        </w:rPr>
        <w:t>。</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规划论证：该项目规划符合法院主要职能职责定位，预算申报前，充分征求了民事审判第三庭意见，论证了项目必要性、前瞻性、合理性和可行性，立足于近三年破产案件的增长趋势和破产情况，项目总体绩效目标设置合理，绩效目标规范完整、量化细化，预算匹配度较好，故此项评分为</w:t>
      </w:r>
      <w:r>
        <w:rPr>
          <w:rFonts w:hint="eastAsia" w:eastAsia="仿宋_GB2312"/>
          <w:sz w:val="32"/>
        </w:rPr>
        <w:t>6分。</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资金投向：破产管理专项预算资金下达</w:t>
      </w:r>
      <w:r>
        <w:rPr>
          <w:rFonts w:hint="eastAsia" w:eastAsia="仿宋_GB2312"/>
          <w:sz w:val="32"/>
        </w:rPr>
        <w:t>10万元，用于保障办理此类案件的办公经费、调查费、公告费、必要的审计鉴定费开支及支付给破产管理的部分经费及报酬等</w:t>
      </w:r>
      <w:r>
        <w:rPr>
          <w:rFonts w:hint="eastAsia" w:eastAsia="仿宋_GB2312"/>
          <w:sz w:val="32"/>
          <w:lang w:val="zh-CN"/>
        </w:rPr>
        <w:t>，属于法院主要职能之一，是重点领域的重点任务，与法院主责主业要求相匹配，故此项评分为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项目管理评分为18分。</w:t>
      </w:r>
    </w:p>
    <w:p>
      <w:pPr>
        <w:numPr>
          <w:numId w:val="0"/>
        </w:numPr>
        <w:adjustRightInd w:val="0"/>
        <w:snapToGrid w:val="0"/>
        <w:spacing w:beforeLines="0" w:afterLines="0" w:line="360" w:lineRule="auto"/>
        <w:ind w:firstLine="640" w:firstLineChars="200"/>
        <w:rPr>
          <w:rFonts w:hint="eastAsia" w:eastAsia="仿宋_GB2312"/>
          <w:sz w:val="32"/>
        </w:rPr>
      </w:pPr>
      <w:r>
        <w:rPr>
          <w:rFonts w:hint="eastAsia" w:eastAsia="仿宋_GB2312"/>
          <w:sz w:val="32"/>
        </w:rPr>
        <w:t>制度办法：</w:t>
      </w:r>
      <w:r>
        <w:rPr>
          <w:rFonts w:hint="eastAsia" w:eastAsia="仿宋_GB2312"/>
          <w:sz w:val="32"/>
          <w:lang w:val="zh-CN"/>
        </w:rPr>
        <w:t>我院按部门职责分工明确，严格遵循工作计划稳步推进实施。完善各项内部控制与考核制度，建立较为完善的财务管理制度《广元市中级人民法院财务管理制度》、《广元市中级人民法院预算管理制度》、《关于破产专项资金的管理办法（试行）》，且严格执行。</w:t>
      </w:r>
      <w:r>
        <w:rPr>
          <w:rFonts w:hint="eastAsia" w:eastAsia="仿宋_GB2312"/>
          <w:sz w:val="32"/>
        </w:rPr>
        <w:t>并在资金使用过程中严格按照破产资金经费开支范围及要求，做到超范围不支出，故此项评分为2分。</w:t>
      </w:r>
    </w:p>
    <w:p>
      <w:pPr>
        <w:numPr>
          <w:numId w:val="0"/>
        </w:numPr>
        <w:adjustRightInd w:val="0"/>
        <w:snapToGrid w:val="0"/>
        <w:spacing w:beforeLines="0" w:afterLines="0" w:line="360" w:lineRule="auto"/>
        <w:ind w:firstLine="640" w:firstLineChars="200"/>
        <w:rPr>
          <w:rFonts w:hint="eastAsia" w:eastAsia="仿宋_GB2312"/>
          <w:sz w:val="32"/>
          <w:lang w:val="zh-CN"/>
        </w:rPr>
      </w:pPr>
      <w:r>
        <w:rPr>
          <w:rFonts w:hint="eastAsia" w:eastAsia="仿宋_GB2312"/>
          <w:sz w:val="32"/>
          <w:lang w:val="zh-CN"/>
        </w:rPr>
        <w:t>分配管理：此项目预算资金分配上严格按照管理办法和破产案件经费开支程序执行，决策程序符合三重一大要求，资金支付及时高效。且在项目申报前期，充分调研了近三年破产案件的增长趋势和破产需求，在资金分配上根据比例进行合理划分。项目做到了财政资金专款专用，资金支付有相关审批程序和合规手续，账务处理及时，会计核算规范。项目管理人员及督察部门对项目实施全过程监控，对偏离预算执行的项目及时纠偏和调整，财务报销严格执行财务审批程序。故此项评分为</w:t>
      </w:r>
      <w:r>
        <w:rPr>
          <w:rFonts w:hint="eastAsia" w:eastAsia="仿宋_GB2312"/>
          <w:sz w:val="32"/>
        </w:rPr>
        <w:t>10分。</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绩效监管：该项目全面完成了事前评估、绩效目标设置、绩效监控、绩效督促、问题整改等预算绩效管理工作，评分为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项目实施评分为9分。</w:t>
      </w:r>
    </w:p>
    <w:p>
      <w:pPr>
        <w:numPr>
          <w:numId w:val="0"/>
        </w:numPr>
        <w:adjustRightInd w:val="0"/>
        <w:snapToGrid w:val="0"/>
        <w:spacing w:beforeLines="0" w:afterLines="0" w:line="360" w:lineRule="auto"/>
        <w:ind w:firstLine="640" w:firstLineChars="200"/>
        <w:rPr>
          <w:rFonts w:hint="eastAsia" w:ascii="仿宋_GB2312" w:eastAsia="仿宋_GB2312"/>
          <w:sz w:val="32"/>
        </w:rPr>
      </w:pPr>
      <w:r>
        <w:rPr>
          <w:rFonts w:hint="eastAsia" w:ascii="仿宋_GB2312" w:eastAsia="仿宋_GB2312"/>
          <w:sz w:val="32"/>
          <w:lang w:val="zh-CN"/>
        </w:rPr>
        <w:t>预算执行：该项目预算执行进度好，该项指标得分</w:t>
      </w:r>
      <w:r>
        <w:rPr>
          <w:rFonts w:hint="eastAsia" w:ascii="仿宋_GB2312" w:eastAsia="仿宋_GB2312"/>
          <w:sz w:val="32"/>
        </w:rPr>
        <w:t>=财政资金拨付率100%*100%*3+单位资金使用率100%*100%*3=6分。</w:t>
      </w:r>
    </w:p>
    <w:p>
      <w:pPr>
        <w:adjustRightInd w:val="0"/>
        <w:snapToGrid w:val="0"/>
        <w:spacing w:beforeLines="0" w:afterLines="0" w:line="360" w:lineRule="auto"/>
        <w:ind w:firstLine="640" w:firstLineChars="200"/>
        <w:rPr>
          <w:rFonts w:hint="eastAsia" w:eastAsia="仿宋_GB2312"/>
          <w:color w:val="auto"/>
          <w:sz w:val="32"/>
        </w:rPr>
      </w:pPr>
      <w:r>
        <w:rPr>
          <w:rFonts w:hint="eastAsia" w:ascii="仿宋_GB2312" w:eastAsia="仿宋_GB2312"/>
          <w:sz w:val="32"/>
          <w:lang w:val="zh-CN"/>
        </w:rPr>
        <w:t>资金使用：该项目资金使用拨付，严格遵循《四川省广元市中级人民法院破产管理专项资金绩效管理办法》，项目实施符合财务管理制度。事前</w:t>
      </w:r>
      <w:r>
        <w:rPr>
          <w:rFonts w:hint="eastAsia" w:eastAsia="仿宋_GB2312"/>
          <w:sz w:val="32"/>
          <w:lang w:val="zh-CN"/>
        </w:rPr>
        <w:t>严格审核项目实施可行性与合理性，</w:t>
      </w:r>
      <w:r>
        <w:rPr>
          <w:rFonts w:hint="eastAsia" w:ascii="仿宋_GB2312" w:eastAsia="仿宋_GB2312"/>
          <w:sz w:val="32"/>
          <w:lang w:val="zh-CN"/>
        </w:rPr>
        <w:t>按照办理破产案件过程中预计发生的各项必要开支，由民三庭申报报销，并由其分管院领导审批，行装处严格把关费用审核，严控不必要支出</w:t>
      </w:r>
      <w:r>
        <w:rPr>
          <w:rFonts w:hint="eastAsia" w:eastAsia="仿宋_GB2312"/>
          <w:sz w:val="32"/>
          <w:lang w:val="zh-CN"/>
        </w:rPr>
        <w:t>，及时进行会计核算，院督察室定期对项目经费使用效益进行监督，该项评分为</w:t>
      </w:r>
      <w:r>
        <w:rPr>
          <w:rFonts w:hint="eastAsia" w:eastAsia="仿宋_GB2312"/>
          <w:sz w:val="32"/>
        </w:rPr>
        <w:t>3分。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项目结果评分为9分。</w:t>
      </w:r>
    </w:p>
    <w:p>
      <w:pPr>
        <w:numPr>
          <w:numId w:val="0"/>
        </w:numPr>
        <w:adjustRightInd w:val="0"/>
        <w:snapToGrid w:val="0"/>
        <w:spacing w:beforeLines="0" w:afterLines="0" w:line="360" w:lineRule="auto"/>
        <w:ind w:firstLine="640" w:firstLineChars="200"/>
        <w:rPr>
          <w:rFonts w:hint="eastAsia" w:eastAsia="仿宋_GB2312"/>
          <w:color w:val="auto"/>
          <w:sz w:val="32"/>
        </w:rPr>
      </w:pPr>
      <w:r>
        <w:rPr>
          <w:rFonts w:hint="eastAsia" w:eastAsia="仿宋_GB2312"/>
          <w:color w:val="auto"/>
          <w:sz w:val="32"/>
        </w:rPr>
        <w:t>目标完成：该项目已100%完成预算支出，较好地保障了</w:t>
      </w:r>
      <w:r>
        <w:rPr>
          <w:rFonts w:hint="eastAsia" w:eastAsia="仿宋_GB2312"/>
          <w:sz w:val="32"/>
        </w:rPr>
        <w:t>部分破产案件无可变现财产导致无法支付破产费用和管理人报酬的现实问题，</w:t>
      </w:r>
      <w:r>
        <w:rPr>
          <w:rFonts w:hint="eastAsia" w:eastAsia="仿宋_GB2312"/>
          <w:color w:val="auto"/>
          <w:sz w:val="32"/>
        </w:rPr>
        <w:t>顺利达成此项目设置的绩效目标，评分为6分。</w:t>
      </w:r>
    </w:p>
    <w:p>
      <w:pPr>
        <w:spacing w:beforeLines="0" w:afterLines="0" w:line="360" w:lineRule="auto"/>
        <w:ind w:firstLine="640" w:firstLineChars="200"/>
        <w:rPr>
          <w:rFonts w:hint="eastAsia" w:ascii="楷体_GB2312" w:hAnsi="楷体_GB2312" w:eastAsia="楷体_GB2312"/>
          <w:color w:val="auto"/>
          <w:sz w:val="32"/>
        </w:rPr>
      </w:pPr>
      <w:r>
        <w:rPr>
          <w:rFonts w:hint="eastAsia" w:eastAsia="仿宋_GB2312"/>
          <w:sz w:val="32"/>
        </w:rPr>
        <w:t>完成时效：该项目于2024年12月31日前审结完成13件破产案件，援助破产管理人完成破产程序，资金拨付及时到位，评分为3分。</w:t>
      </w:r>
    </w:p>
    <w:p>
      <w:pPr>
        <w:spacing w:beforeLines="0" w:afterLines="0" w:line="360" w:lineRule="auto"/>
        <w:rPr>
          <w:rFonts w:hint="eastAsia" w:ascii="楷体_GB2312" w:hAnsi="楷体_GB2312" w:eastAsia="楷体_GB2312"/>
          <w:color w:val="auto"/>
          <w:sz w:val="32"/>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（二）</w:t>
      </w:r>
      <w:r>
        <w:rPr>
          <w:rFonts w:hint="eastAsia" w:ascii="楷体_GB2312" w:hAnsi="宋体" w:eastAsia="楷体_GB2312"/>
          <w:b/>
          <w:color w:val="auto"/>
          <w:sz w:val="32"/>
        </w:rPr>
        <w:t>专用指标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30分</w:t>
      </w:r>
      <w:r>
        <w:rPr>
          <w:rFonts w:hint="eastAsia" w:eastAsia="楷体_GB2312"/>
          <w:b/>
          <w:color w:val="000000"/>
          <w:kern w:val="0"/>
          <w:sz w:val="32"/>
          <w:shd w:val="clear" w:color="auto" w:fill="FFFFFF"/>
          <w:lang w:val="zh-CN"/>
        </w:rPr>
        <w:t>。</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1.产业发展。</w:t>
      </w:r>
      <w:r>
        <w:rPr>
          <w:rFonts w:hint="eastAsia" w:eastAsia="仿宋_GB2312"/>
          <w:color w:val="auto"/>
          <w:sz w:val="32"/>
        </w:rPr>
        <w:t xml:space="preserve">不涉及。 </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2.</w:t>
      </w:r>
      <w:r>
        <w:rPr>
          <w:rFonts w:hint="eastAsia" w:ascii="楷体_GB2312" w:hAnsi="楷体_GB2312" w:eastAsia="楷体_GB2312"/>
          <w:color w:val="auto"/>
          <w:sz w:val="32"/>
          <w:lang w:val="zh-CN"/>
        </w:rPr>
        <w:t>民生保障。</w:t>
      </w:r>
      <w:r>
        <w:rPr>
          <w:rFonts w:hint="eastAsia" w:eastAsia="仿宋_GB2312"/>
          <w:color w:val="auto"/>
          <w:sz w:val="32"/>
          <w:lang w:val="zh-CN"/>
        </w:rPr>
        <w:t>较好地保障了</w:t>
      </w:r>
      <w:r>
        <w:rPr>
          <w:rFonts w:hint="eastAsia" w:eastAsia="仿宋_GB2312"/>
          <w:sz w:val="32"/>
        </w:rPr>
        <w:t>部分破产案件无可变现财产导致无法支付破产费用和管理人报酬的现实问题，帮助破产企业减少了破产成本，清理了本土“僵尸企业”，优化了地区营商环境，该项评分为15分</w:t>
      </w:r>
      <w:r>
        <w:rPr>
          <w:rFonts w:hint="eastAsia" w:eastAsia="仿宋_GB2312"/>
          <w:color w:val="auto"/>
          <w:sz w:val="32"/>
        </w:rPr>
        <w:t>。</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3.基础设施。</w:t>
      </w:r>
      <w:r>
        <w:rPr>
          <w:rFonts w:hint="eastAsia" w:eastAsia="仿宋_GB2312"/>
          <w:color w:val="auto"/>
          <w:sz w:val="32"/>
        </w:rPr>
        <w:t>不涉及。</w:t>
      </w:r>
    </w:p>
    <w:p>
      <w:pPr>
        <w:spacing w:beforeLines="0" w:afterLines="0" w:line="360" w:lineRule="auto"/>
        <w:ind w:firstLine="640" w:firstLineChars="200"/>
        <w:rPr>
          <w:rFonts w:hint="eastAsia" w:ascii="楷体_GB2312" w:hAnsi="楷体_GB2312" w:eastAsia="楷体_GB2312"/>
          <w:color w:val="auto"/>
          <w:sz w:val="32"/>
          <w:lang w:val="zh-CN"/>
        </w:rPr>
      </w:pPr>
      <w:r>
        <w:rPr>
          <w:rFonts w:hint="eastAsia" w:ascii="楷体_GB2312" w:hAnsi="楷体_GB2312" w:eastAsia="楷体_GB2312"/>
          <w:color w:val="auto"/>
          <w:sz w:val="32"/>
        </w:rPr>
        <w:t>4.</w:t>
      </w:r>
      <w:r>
        <w:rPr>
          <w:rFonts w:hint="eastAsia" w:ascii="楷体_GB2312" w:hAnsi="楷体_GB2312" w:eastAsia="楷体_GB2312"/>
          <w:color w:val="auto"/>
          <w:sz w:val="32"/>
          <w:lang w:val="zh-CN"/>
        </w:rPr>
        <w:t>行政运转。</w:t>
      </w:r>
      <w:r>
        <w:rPr>
          <w:rFonts w:hint="eastAsia" w:eastAsia="仿宋_GB2312"/>
          <w:sz w:val="32"/>
          <w:lang w:val="zh-CN"/>
        </w:rPr>
        <w:t>项目资金实行专款专用，用途符合破产管理专项资金各项开支范围、支出审批手续齐全，该项评分为</w:t>
      </w:r>
      <w:r>
        <w:rPr>
          <w:rFonts w:hint="eastAsia" w:eastAsia="仿宋_GB2312"/>
          <w:sz w:val="32"/>
        </w:rPr>
        <w:t>15分</w:t>
      </w:r>
      <w:r>
        <w:rPr>
          <w:rFonts w:hint="eastAsia" w:eastAsia="仿宋_GB2312"/>
          <w:sz w:val="32"/>
          <w:lang w:val="zh-CN"/>
        </w:rPr>
        <w:t>。</w:t>
      </w:r>
    </w:p>
    <w:p>
      <w:pPr>
        <w:numPr>
          <w:numId w:val="0"/>
        </w:numPr>
        <w:adjustRightInd w:val="0"/>
        <w:snapToGrid w:val="0"/>
        <w:spacing w:beforeLines="0" w:afterLines="0" w:line="360" w:lineRule="auto"/>
        <w:rPr>
          <w:rFonts w:hint="eastAsia"/>
          <w:b/>
          <w:color w:val="000000"/>
          <w:kern w:val="0"/>
          <w:sz w:val="32"/>
          <w:shd w:val="clear" w:color="auto" w:fill="FFFFFF"/>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（三）</w:t>
      </w:r>
      <w:r>
        <w:rPr>
          <w:rFonts w:hint="eastAsia" w:ascii="楷体_GB2312" w:hAnsi="宋体" w:eastAsia="楷体_GB2312"/>
          <w:b/>
          <w:color w:val="auto"/>
          <w:sz w:val="32"/>
        </w:rPr>
        <w:t>个性指标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16分</w:t>
      </w:r>
      <w:r>
        <w:rPr>
          <w:rFonts w:hint="eastAsia" w:eastAsia="楷体_GB2312"/>
          <w:b/>
          <w:color w:val="000000"/>
          <w:kern w:val="0"/>
          <w:sz w:val="32"/>
          <w:shd w:val="clear" w:color="auto" w:fill="FFFFFF"/>
          <w:lang w:val="zh-CN"/>
        </w:rPr>
        <w:t>。</w:t>
      </w:r>
    </w:p>
    <w:p>
      <w:pPr>
        <w:pStyle w:val="2"/>
        <w:spacing w:beforeLines="0" w:after="0" w:afterLines="0" w:line="360" w:lineRule="auto"/>
        <w:ind w:left="0" w:leftChars="0" w:firstLine="0" w:firstLineChars="0"/>
        <w:rPr>
          <w:rFonts w:hint="eastAsia"/>
          <w:sz w:val="32"/>
          <w:lang w:val="zh-CN"/>
        </w:rPr>
      </w:pPr>
      <w:r>
        <w:rPr>
          <w:rFonts w:hint="eastAsia" w:eastAsia="仿宋_GB2312"/>
          <w:sz w:val="32"/>
        </w:rPr>
        <w:t xml:space="preserve">    年初设定的绩效目标均已达成，取得良好的援助效用，个性指标评分为16分</w:t>
      </w:r>
    </w:p>
    <w:tbl>
      <w:tblPr>
        <w:tblStyle w:val="25"/>
        <w:tblW w:w="83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5"/>
        <w:gridCol w:w="1045"/>
        <w:gridCol w:w="1026"/>
        <w:gridCol w:w="1877"/>
        <w:gridCol w:w="606"/>
        <w:gridCol w:w="932"/>
        <w:gridCol w:w="664"/>
        <w:gridCol w:w="781"/>
        <w:gridCol w:w="6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765" w:type="dxa"/>
            <w:vMerge w:val="restart"/>
            <w:tcBorders>
              <w:top w:val="single" w:color="000000" w:sz="4" w:space="0"/>
              <w:left w:val="single" w:color="000000" w:sz="4" w:space="0"/>
              <w:bottom w:val="nil"/>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绩效指标（90分）</w:t>
            </w:r>
          </w:p>
        </w:tc>
        <w:tc>
          <w:tcPr>
            <w:tcW w:w="104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一级指标</w:t>
            </w:r>
          </w:p>
        </w:tc>
        <w:tc>
          <w:tcPr>
            <w:tcW w:w="102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二级指标</w:t>
            </w:r>
          </w:p>
        </w:tc>
        <w:tc>
          <w:tcPr>
            <w:tcW w:w="18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三级指标</w:t>
            </w:r>
          </w:p>
        </w:tc>
        <w:tc>
          <w:tcPr>
            <w:tcW w:w="60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指标性质</w:t>
            </w:r>
          </w:p>
        </w:tc>
        <w:tc>
          <w:tcPr>
            <w:tcW w:w="9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指标值</w:t>
            </w:r>
          </w:p>
        </w:tc>
        <w:tc>
          <w:tcPr>
            <w:tcW w:w="6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度量单位</w:t>
            </w:r>
          </w:p>
        </w:tc>
        <w:tc>
          <w:tcPr>
            <w:tcW w:w="7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完成值</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2"/>
                <w:szCs w:val="20"/>
              </w:rPr>
            </w:pPr>
          </w:p>
        </w:tc>
        <w:tc>
          <w:tcPr>
            <w:tcW w:w="1045"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产出指标</w:t>
            </w:r>
          </w:p>
        </w:tc>
        <w:tc>
          <w:tcPr>
            <w:tcW w:w="1026"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数量指标</w:t>
            </w:r>
          </w:p>
        </w:tc>
        <w:tc>
          <w:tcPr>
            <w:tcW w:w="18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帮助无产可破市场主体</w:t>
            </w:r>
          </w:p>
        </w:tc>
        <w:tc>
          <w:tcPr>
            <w:tcW w:w="60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w:t>
            </w:r>
          </w:p>
        </w:tc>
        <w:tc>
          <w:tcPr>
            <w:tcW w:w="9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1</w:t>
            </w:r>
          </w:p>
        </w:tc>
        <w:tc>
          <w:tcPr>
            <w:tcW w:w="6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个</w:t>
            </w:r>
          </w:p>
        </w:tc>
        <w:tc>
          <w:tcPr>
            <w:tcW w:w="7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i/>
                <w:color w:val="000000"/>
                <w:sz w:val="22"/>
                <w:szCs w:val="20"/>
              </w:rPr>
            </w:pPr>
            <w:r>
              <w:rPr>
                <w:rFonts w:hint="eastAsia" w:ascii="宋体" w:hAnsi="宋体" w:eastAsia="宋体" w:cs="Times New Roman"/>
                <w:color w:val="000000"/>
                <w:kern w:val="0"/>
                <w:sz w:val="18"/>
                <w:szCs w:val="20"/>
              </w:rPr>
              <w:t>13</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2"/>
                <w:szCs w:val="20"/>
              </w:rPr>
            </w:pPr>
          </w:p>
        </w:tc>
        <w:tc>
          <w:tcPr>
            <w:tcW w:w="104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2"/>
                <w:szCs w:val="20"/>
              </w:rPr>
            </w:pP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2"/>
                <w:szCs w:val="20"/>
              </w:rPr>
            </w:pPr>
          </w:p>
        </w:tc>
        <w:tc>
          <w:tcPr>
            <w:tcW w:w="18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提供破产管理人帮助人数</w:t>
            </w:r>
          </w:p>
        </w:tc>
        <w:tc>
          <w:tcPr>
            <w:tcW w:w="60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w:t>
            </w:r>
          </w:p>
        </w:tc>
        <w:tc>
          <w:tcPr>
            <w:tcW w:w="9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1</w:t>
            </w:r>
          </w:p>
        </w:tc>
        <w:tc>
          <w:tcPr>
            <w:tcW w:w="6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人</w:t>
            </w:r>
          </w:p>
        </w:tc>
        <w:tc>
          <w:tcPr>
            <w:tcW w:w="7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i/>
                <w:color w:val="000000"/>
                <w:sz w:val="22"/>
                <w:szCs w:val="20"/>
              </w:rPr>
            </w:pPr>
            <w:r>
              <w:rPr>
                <w:rFonts w:hint="eastAsia" w:ascii="宋体" w:hAnsi="宋体" w:eastAsia="宋体" w:cs="Times New Roman"/>
                <w:color w:val="000000"/>
                <w:kern w:val="0"/>
                <w:sz w:val="18"/>
                <w:szCs w:val="20"/>
              </w:rPr>
              <w:t>13</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2"/>
                <w:szCs w:val="20"/>
              </w:rPr>
            </w:pPr>
          </w:p>
        </w:tc>
        <w:tc>
          <w:tcPr>
            <w:tcW w:w="104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2"/>
                <w:szCs w:val="20"/>
              </w:rPr>
            </w:pPr>
          </w:p>
        </w:tc>
        <w:tc>
          <w:tcPr>
            <w:tcW w:w="102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质量指标</w:t>
            </w:r>
          </w:p>
        </w:tc>
        <w:tc>
          <w:tcPr>
            <w:tcW w:w="18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通过支付或垫付破产案件相关费用或补偿管理人报酬，及时帮助破产企业顺利退出市场。</w:t>
            </w:r>
          </w:p>
        </w:tc>
        <w:tc>
          <w:tcPr>
            <w:tcW w:w="60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定性</w:t>
            </w:r>
          </w:p>
        </w:tc>
        <w:tc>
          <w:tcPr>
            <w:tcW w:w="9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优</w:t>
            </w:r>
          </w:p>
        </w:tc>
        <w:tc>
          <w:tcPr>
            <w:tcW w:w="6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级</w:t>
            </w:r>
          </w:p>
        </w:tc>
        <w:tc>
          <w:tcPr>
            <w:tcW w:w="7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i/>
                <w:color w:val="000000"/>
                <w:sz w:val="22"/>
                <w:szCs w:val="20"/>
              </w:rPr>
            </w:pPr>
            <w:r>
              <w:rPr>
                <w:rFonts w:hint="eastAsia" w:ascii="宋体" w:hAnsi="宋体" w:eastAsia="宋体" w:cs="Times New Roman"/>
                <w:color w:val="000000"/>
                <w:kern w:val="0"/>
                <w:sz w:val="18"/>
                <w:szCs w:val="20"/>
              </w:rPr>
              <w:t>优</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trPr>
        <w:tc>
          <w:tcPr>
            <w:tcW w:w="76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2"/>
                <w:szCs w:val="20"/>
              </w:rPr>
            </w:pPr>
          </w:p>
        </w:tc>
        <w:tc>
          <w:tcPr>
            <w:tcW w:w="104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2"/>
                <w:szCs w:val="20"/>
              </w:rPr>
            </w:pPr>
          </w:p>
        </w:tc>
        <w:tc>
          <w:tcPr>
            <w:tcW w:w="102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时效指标</w:t>
            </w:r>
          </w:p>
        </w:tc>
        <w:tc>
          <w:tcPr>
            <w:tcW w:w="18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该项目完成时限</w:t>
            </w:r>
          </w:p>
        </w:tc>
        <w:tc>
          <w:tcPr>
            <w:tcW w:w="60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w:t>
            </w:r>
          </w:p>
        </w:tc>
        <w:tc>
          <w:tcPr>
            <w:tcW w:w="9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1</w:t>
            </w:r>
          </w:p>
        </w:tc>
        <w:tc>
          <w:tcPr>
            <w:tcW w:w="6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年</w:t>
            </w:r>
          </w:p>
        </w:tc>
        <w:tc>
          <w:tcPr>
            <w:tcW w:w="7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i/>
                <w:color w:val="000000"/>
                <w:sz w:val="22"/>
                <w:szCs w:val="20"/>
              </w:rPr>
            </w:pPr>
            <w:r>
              <w:rPr>
                <w:rFonts w:hint="eastAsia" w:ascii="宋体" w:hAnsi="宋体" w:eastAsia="宋体" w:cs="Times New Roman"/>
                <w:color w:val="000000"/>
                <w:kern w:val="0"/>
                <w:sz w:val="18"/>
                <w:szCs w:val="20"/>
              </w:rPr>
              <w:t>1</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765" w:type="dxa"/>
            <w:vMerge w:val="continue"/>
            <w:tcBorders>
              <w:top w:val="nil"/>
              <w:left w:val="single" w:color="000000" w:sz="4" w:space="0"/>
              <w:bottom w:val="single" w:color="auto"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2"/>
                <w:szCs w:val="20"/>
              </w:rPr>
            </w:pPr>
          </w:p>
        </w:tc>
        <w:tc>
          <w:tcPr>
            <w:tcW w:w="1045"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效益指标</w:t>
            </w:r>
          </w:p>
        </w:tc>
        <w:tc>
          <w:tcPr>
            <w:tcW w:w="102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社会效益指标</w:t>
            </w:r>
          </w:p>
        </w:tc>
        <w:tc>
          <w:tcPr>
            <w:tcW w:w="18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强化企业破产保障，促进经济转型升级，进一步优化营商环境。</w:t>
            </w:r>
          </w:p>
        </w:tc>
        <w:tc>
          <w:tcPr>
            <w:tcW w:w="60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定性</w:t>
            </w:r>
          </w:p>
        </w:tc>
        <w:tc>
          <w:tcPr>
            <w:tcW w:w="9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优</w:t>
            </w:r>
          </w:p>
        </w:tc>
        <w:tc>
          <w:tcPr>
            <w:tcW w:w="6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级</w:t>
            </w:r>
          </w:p>
        </w:tc>
        <w:tc>
          <w:tcPr>
            <w:tcW w:w="7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i/>
                <w:color w:val="000000"/>
                <w:sz w:val="22"/>
                <w:szCs w:val="20"/>
              </w:rPr>
            </w:pPr>
            <w:r>
              <w:rPr>
                <w:rFonts w:hint="eastAsia" w:ascii="宋体" w:hAnsi="宋体" w:eastAsia="宋体" w:cs="Times New Roman"/>
                <w:color w:val="000000"/>
                <w:kern w:val="0"/>
                <w:sz w:val="18"/>
                <w:szCs w:val="20"/>
              </w:rPr>
              <w:t>优</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765" w:type="dxa"/>
            <w:vMerge w:val="continue"/>
            <w:tcBorders>
              <w:top w:val="single" w:color="auto" w:sz="4" w:space="0"/>
              <w:left w:val="single" w:color="000000" w:sz="4" w:space="0"/>
              <w:bottom w:val="single" w:color="auto"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2"/>
                <w:szCs w:val="20"/>
              </w:rPr>
            </w:pPr>
          </w:p>
        </w:tc>
        <w:tc>
          <w:tcPr>
            <w:tcW w:w="104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2"/>
                <w:szCs w:val="20"/>
              </w:rPr>
            </w:pPr>
          </w:p>
        </w:tc>
        <w:tc>
          <w:tcPr>
            <w:tcW w:w="102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可持续影响指标</w:t>
            </w:r>
          </w:p>
        </w:tc>
        <w:tc>
          <w:tcPr>
            <w:tcW w:w="18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加快“无产可破”、“少产多破”等破产案件的启动、处置难题，提高管理人积极性。</w:t>
            </w:r>
          </w:p>
        </w:tc>
        <w:tc>
          <w:tcPr>
            <w:tcW w:w="60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定性</w:t>
            </w:r>
          </w:p>
        </w:tc>
        <w:tc>
          <w:tcPr>
            <w:tcW w:w="9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优</w:t>
            </w:r>
          </w:p>
        </w:tc>
        <w:tc>
          <w:tcPr>
            <w:tcW w:w="6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级</w:t>
            </w:r>
          </w:p>
        </w:tc>
        <w:tc>
          <w:tcPr>
            <w:tcW w:w="7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i/>
                <w:color w:val="000000"/>
                <w:sz w:val="22"/>
                <w:szCs w:val="20"/>
              </w:rPr>
            </w:pPr>
            <w:r>
              <w:rPr>
                <w:rFonts w:hint="eastAsia" w:ascii="宋体" w:hAnsi="宋体" w:eastAsia="宋体" w:cs="Times New Roman"/>
                <w:color w:val="000000"/>
                <w:kern w:val="0"/>
                <w:sz w:val="18"/>
                <w:szCs w:val="20"/>
              </w:rPr>
              <w:t>优</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765" w:type="dxa"/>
            <w:vMerge w:val="continue"/>
            <w:tcBorders>
              <w:top w:val="single" w:color="auto" w:sz="4" w:space="0"/>
              <w:left w:val="single" w:color="000000" w:sz="4" w:space="0"/>
              <w:bottom w:val="single" w:color="auto"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2"/>
                <w:szCs w:val="20"/>
              </w:rPr>
            </w:pPr>
          </w:p>
        </w:tc>
        <w:tc>
          <w:tcPr>
            <w:tcW w:w="104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满意度指标</w:t>
            </w:r>
          </w:p>
        </w:tc>
        <w:tc>
          <w:tcPr>
            <w:tcW w:w="102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满意度指标</w:t>
            </w:r>
          </w:p>
        </w:tc>
        <w:tc>
          <w:tcPr>
            <w:tcW w:w="18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破产管理人满意度</w:t>
            </w:r>
          </w:p>
        </w:tc>
        <w:tc>
          <w:tcPr>
            <w:tcW w:w="60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w:t>
            </w:r>
          </w:p>
        </w:tc>
        <w:tc>
          <w:tcPr>
            <w:tcW w:w="9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90</w:t>
            </w:r>
          </w:p>
        </w:tc>
        <w:tc>
          <w:tcPr>
            <w:tcW w:w="6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w:t>
            </w:r>
          </w:p>
        </w:tc>
        <w:tc>
          <w:tcPr>
            <w:tcW w:w="7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i/>
                <w:color w:val="000000"/>
                <w:sz w:val="22"/>
                <w:szCs w:val="20"/>
              </w:rPr>
            </w:pPr>
            <w:r>
              <w:rPr>
                <w:rFonts w:hint="eastAsia" w:ascii="宋体" w:hAnsi="宋体" w:eastAsia="宋体" w:cs="Times New Roman"/>
                <w:color w:val="000000"/>
                <w:kern w:val="0"/>
                <w:sz w:val="18"/>
                <w:szCs w:val="20"/>
              </w:rPr>
              <w:t>92</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22"/>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765" w:type="dxa"/>
            <w:vMerge w:val="continue"/>
            <w:tcBorders>
              <w:top w:val="single" w:color="auto" w:sz="4" w:space="0"/>
              <w:left w:val="single" w:color="000000" w:sz="4" w:space="0"/>
              <w:bottom w:val="single" w:color="auto"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22"/>
                <w:szCs w:val="20"/>
              </w:rPr>
            </w:pPr>
          </w:p>
        </w:tc>
        <w:tc>
          <w:tcPr>
            <w:tcW w:w="104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成本指标</w:t>
            </w:r>
          </w:p>
        </w:tc>
        <w:tc>
          <w:tcPr>
            <w:tcW w:w="102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经济成本指标</w:t>
            </w:r>
          </w:p>
        </w:tc>
        <w:tc>
          <w:tcPr>
            <w:tcW w:w="187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项目资金使用成本</w:t>
            </w:r>
          </w:p>
        </w:tc>
        <w:tc>
          <w:tcPr>
            <w:tcW w:w="60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w:t>
            </w:r>
          </w:p>
        </w:tc>
        <w:tc>
          <w:tcPr>
            <w:tcW w:w="9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10</w:t>
            </w:r>
          </w:p>
        </w:tc>
        <w:tc>
          <w:tcPr>
            <w:tcW w:w="6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万元</w:t>
            </w:r>
          </w:p>
        </w:tc>
        <w:tc>
          <w:tcPr>
            <w:tcW w:w="7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10</w:t>
            </w:r>
          </w:p>
        </w:tc>
        <w:tc>
          <w:tcPr>
            <w:tcW w:w="64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20</w:t>
            </w:r>
          </w:p>
        </w:tc>
      </w:tr>
    </w:tbl>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rPr>
      </w:pPr>
      <w:r>
        <w:rPr>
          <w:rFonts w:hint="eastAsia" w:ascii="黑体" w:hAnsi="宋体" w:eastAsia="黑体"/>
          <w:b/>
          <w:color w:val="auto"/>
          <w:sz w:val="32"/>
          <w:lang w:eastAsia="zh-CN"/>
        </w:rPr>
        <w:t>四</w:t>
      </w:r>
      <w:r>
        <w:rPr>
          <w:rFonts w:hint="eastAsia" w:ascii="黑体" w:hAnsi="宋体" w:eastAsia="黑体"/>
          <w:b/>
          <w:color w:val="auto"/>
          <w:sz w:val="32"/>
        </w:rPr>
        <w:t>、评价结论</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rPr>
        <w:t>该项目自评得分为100分。该项目决策符合国家政策方针，项目预算执行进度推进有力，项目监督管控及时有效，项目资金支付合理合规。</w:t>
      </w:r>
      <w:r>
        <w:rPr>
          <w:rFonts w:hint="eastAsia" w:eastAsia="仿宋_GB2312"/>
          <w:sz w:val="32"/>
          <w:lang w:val="zh-CN"/>
        </w:rPr>
        <w:t>通过项目的实施，</w:t>
      </w:r>
      <w:r>
        <w:rPr>
          <w:rFonts w:hint="eastAsia" w:eastAsia="仿宋_GB2312"/>
          <w:sz w:val="32"/>
        </w:rPr>
        <w:t>帮助破产企业减少了破产成本，清理了本土“僵尸企业”，切实解决部分破产案件无可变现财产导致无法支付破产费用和管理人报酬的现实问题，优化了地区营商环境。</w:t>
      </w: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eastAsia="zh-CN"/>
        </w:rPr>
      </w:pPr>
      <w:r>
        <w:rPr>
          <w:rFonts w:hint="eastAsia" w:ascii="黑体" w:hAnsi="宋体" w:eastAsia="黑体"/>
          <w:b/>
          <w:color w:val="auto"/>
          <w:sz w:val="32"/>
          <w:lang w:eastAsia="zh-CN"/>
        </w:rPr>
        <w:t>五、存在主要问题</w:t>
      </w:r>
    </w:p>
    <w:p>
      <w:pPr>
        <w:pStyle w:val="8"/>
        <w:numPr>
          <w:numId w:val="0"/>
        </w:numPr>
        <w:tabs>
          <w:tab w:val="left" w:pos="2160"/>
        </w:tabs>
        <w:spacing w:beforeLines="0" w:afterLines="0" w:line="360" w:lineRule="auto"/>
        <w:ind w:firstLine="640" w:firstLineChars="200"/>
        <w:rPr>
          <w:rFonts w:hint="eastAsia" w:ascii="黑体" w:hAnsi="黑体" w:eastAsia="黑体"/>
          <w:kern w:val="2"/>
          <w:sz w:val="32"/>
          <w:lang w:eastAsia="zh-CN"/>
        </w:rPr>
      </w:pPr>
      <w:r>
        <w:rPr>
          <w:rFonts w:hint="eastAsia" w:ascii="仿宋_GB2312" w:hAnsi="仿宋_GB2312" w:eastAsia="仿宋_GB2312"/>
          <w:sz w:val="32"/>
          <w:lang w:eastAsia="zh-CN"/>
        </w:rPr>
        <w:t>无。</w:t>
      </w: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val="zh-CN" w:eastAsia="zh-CN"/>
        </w:rPr>
      </w:pPr>
      <w:r>
        <w:rPr>
          <w:rFonts w:hint="eastAsia" w:ascii="黑体" w:hAnsi="宋体" w:eastAsia="黑体"/>
          <w:b/>
          <w:color w:val="auto"/>
          <w:sz w:val="32"/>
          <w:lang w:val="zh-CN" w:eastAsia="zh-CN"/>
        </w:rPr>
        <w:t>六、改进建议</w:t>
      </w:r>
    </w:p>
    <w:p>
      <w:pPr>
        <w:pStyle w:val="34"/>
        <w:widowControl/>
        <w:spacing w:before="0" w:beforeLines="0" w:after="0" w:afterLines="0" w:line="360" w:lineRule="auto"/>
        <w:ind w:firstLine="640" w:firstLineChars="200"/>
        <w:rPr>
          <w:rFonts w:hint="default" w:eastAsia="仿宋_GB2312"/>
          <w:sz w:val="32"/>
        </w:rPr>
      </w:pPr>
      <w:r>
        <w:rPr>
          <w:rFonts w:hint="eastAsia" w:ascii="仿宋_GB2312" w:hAnsi="仿宋_GB2312" w:eastAsia="仿宋_GB2312"/>
          <w:b w:val="0"/>
          <w:kern w:val="0"/>
          <w:sz w:val="32"/>
        </w:rPr>
        <w:t>无。</w:t>
      </w:r>
    </w:p>
    <w:p>
      <w:pPr>
        <w:snapToGrid w:val="0"/>
        <w:spacing w:beforeLines="0" w:afterLines="0" w:line="360" w:lineRule="auto"/>
        <w:ind w:firstLine="640" w:firstLineChars="200"/>
        <w:rPr>
          <w:rFonts w:hint="eastAsia" w:eastAsia="仿宋_GB2312"/>
          <w:color w:val="000000"/>
          <w:kern w:val="0"/>
          <w:sz w:val="32"/>
          <w:shd w:val="clear" w:color="auto" w:fill="FFFFFF"/>
        </w:rPr>
      </w:pPr>
    </w:p>
    <w:p>
      <w:pPr>
        <w:pStyle w:val="36"/>
        <w:spacing w:beforeLines="0" w:afterLines="0"/>
        <w:ind w:firstLine="883" w:firstLineChars="20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四川省广元市中级人民法院</w:t>
      </w:r>
    </w:p>
    <w:p>
      <w:pPr>
        <w:pStyle w:val="36"/>
        <w:spacing w:beforeLines="0" w:afterLines="0"/>
        <w:ind w:firstLine="883" w:firstLineChars="20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2024年司法救助（单列）预算项目</w:t>
      </w:r>
    </w:p>
    <w:p>
      <w:pPr>
        <w:pStyle w:val="36"/>
        <w:spacing w:beforeLines="0" w:afterLines="0"/>
        <w:ind w:firstLine="883" w:firstLineChars="200"/>
        <w:jc w:val="center"/>
        <w:rPr>
          <w:rFonts w:hint="eastAsia" w:ascii="宋体" w:hAnsi="宋体"/>
          <w:color w:val="auto"/>
          <w:kern w:val="2"/>
          <w:sz w:val="32"/>
        </w:rPr>
      </w:pPr>
      <w:r>
        <w:rPr>
          <w:rFonts w:hint="eastAsia" w:ascii="黑体" w:hAnsi="黑体" w:eastAsia="黑体"/>
          <w:b/>
          <w:color w:val="auto"/>
          <w:kern w:val="2"/>
          <w:sz w:val="44"/>
          <w:lang w:val="en-US"/>
        </w:rPr>
        <w:t>支出绩效评价报告</w:t>
      </w:r>
    </w:p>
    <w:p>
      <w:pPr>
        <w:adjustRightInd w:val="0"/>
        <w:snapToGrid w:val="0"/>
        <w:spacing w:beforeLines="0" w:afterLines="0" w:line="360" w:lineRule="auto"/>
        <w:ind w:firstLine="643" w:firstLineChars="200"/>
        <w:rPr>
          <w:rFonts w:hint="eastAsia" w:ascii="黑体" w:hAnsi="宋体" w:eastAsia="黑体"/>
          <w:b/>
          <w:sz w:val="32"/>
          <w:lang w:val="zh-CN"/>
        </w:rPr>
      </w:pPr>
      <w:r>
        <w:rPr>
          <w:rFonts w:hint="eastAsia" w:ascii="黑体" w:hAnsi="宋体" w:eastAsia="黑体"/>
          <w:b/>
          <w:sz w:val="32"/>
        </w:rPr>
        <w:t>一、</w:t>
      </w:r>
      <w:r>
        <w:rPr>
          <w:rFonts w:hint="eastAsia" w:ascii="黑体" w:hAnsi="宋体" w:eastAsia="黑体"/>
          <w:b/>
          <w:sz w:val="32"/>
          <w:lang w:val="zh-CN"/>
        </w:rPr>
        <w:t>项目概况</w:t>
      </w:r>
    </w:p>
    <w:p>
      <w:pPr>
        <w:widowControl/>
        <w:numPr>
          <w:numId w:val="0"/>
        </w:numPr>
        <w:adjustRightInd w:val="0"/>
        <w:snapToGrid w:val="0"/>
        <w:spacing w:beforeLines="0" w:afterLines="0" w:line="360" w:lineRule="auto"/>
        <w:ind w:firstLine="643" w:firstLineChars="200"/>
        <w:jc w:val="left"/>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（一）设立背景及基本情况。</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广元市</w:t>
      </w:r>
      <w:r>
        <w:rPr>
          <w:rFonts w:hint="eastAsia" w:eastAsia="仿宋_GB2312"/>
          <w:sz w:val="32"/>
        </w:rPr>
        <w:t>中级人民法院是独立核算的一级预算部门，</w:t>
      </w:r>
      <w:r>
        <w:rPr>
          <w:rFonts w:hint="eastAsia" w:eastAsia="仿宋_GB2312"/>
          <w:sz w:val="32"/>
          <w:lang w:val="zh-CN"/>
        </w:rPr>
        <w:t>负责法院司法救助（单列）项目年初预算的编制和绩效目标的设置，确保项目预算的科学性、合理性、可行性。负责推进项目执行以及项目实施过程管理，包括项目进度监控、成本控制、风险预警、资金支付、财务核算等。项目完成后的决算编审、绩效目标考核和项目自评，以及其他与项目相关工作。</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rPr>
        <w:t>根据我院以往年度司法救助工作开展实际，给予</w:t>
      </w:r>
      <w:r>
        <w:rPr>
          <w:rFonts w:hint="eastAsia" w:eastAsia="仿宋_GB2312"/>
          <w:sz w:val="32"/>
          <w:lang w:val="zh-CN"/>
        </w:rPr>
        <w:t>因案件导致生活困难且无法通过诉讼或案件执行获得赔偿的当事人一定经济救助，</w:t>
      </w:r>
      <w:r>
        <w:rPr>
          <w:rFonts w:hint="eastAsia" w:eastAsia="仿宋_GB2312"/>
          <w:sz w:val="32"/>
        </w:rPr>
        <w:t>营造健康向上的社会秩序。根据往年该项目实施情况及本年需求，2024年</w:t>
      </w:r>
      <w:r>
        <w:rPr>
          <w:rFonts w:hint="eastAsia" w:eastAsia="仿宋_GB2312"/>
          <w:sz w:val="32"/>
          <w:lang w:val="zh-CN"/>
        </w:rPr>
        <w:t>司法救助（单列）项目资金</w:t>
      </w:r>
      <w:r>
        <w:rPr>
          <w:rFonts w:hint="eastAsia" w:eastAsia="仿宋_GB2312"/>
          <w:sz w:val="32"/>
        </w:rPr>
        <w:t>10万元。</w:t>
      </w:r>
    </w:p>
    <w:p>
      <w:pPr>
        <w:numPr>
          <w:numId w:val="0"/>
        </w:numPr>
        <w:adjustRightInd w:val="0"/>
        <w:snapToGrid w:val="0"/>
        <w:spacing w:beforeLines="0" w:afterLines="0" w:line="360" w:lineRule="auto"/>
        <w:rPr>
          <w:rFonts w:hint="eastAsia" w:ascii="楷体_GB2312" w:hAnsi="宋体" w:eastAsia="楷体_GB2312"/>
          <w:b/>
          <w:color w:val="auto"/>
          <w:sz w:val="32"/>
        </w:rPr>
      </w:pPr>
      <w:r>
        <w:rPr>
          <w:rFonts w:hint="eastAsia" w:ascii="楷体_GB2312" w:hAnsi="宋体" w:eastAsia="楷体_GB2312"/>
          <w:b/>
          <w:color w:val="auto"/>
          <w:sz w:val="32"/>
          <w:lang w:val="en-US" w:eastAsia="zh-CN"/>
        </w:rPr>
        <w:t xml:space="preserve">    （二）</w:t>
      </w:r>
      <w:r>
        <w:rPr>
          <w:rFonts w:hint="eastAsia" w:ascii="楷体_GB2312" w:hAnsi="宋体" w:eastAsia="楷体_GB2312"/>
          <w:b/>
          <w:color w:val="auto"/>
          <w:sz w:val="32"/>
        </w:rPr>
        <w:t>实施目的及支持方向。</w:t>
      </w:r>
    </w:p>
    <w:p>
      <w:pPr>
        <w:adjustRightInd w:val="0"/>
        <w:snapToGrid w:val="0"/>
        <w:spacing w:beforeLines="0" w:afterLines="0" w:line="360" w:lineRule="auto"/>
        <w:ind w:firstLine="640" w:firstLineChars="200"/>
        <w:rPr>
          <w:rFonts w:hint="eastAsia"/>
          <w:sz w:val="32"/>
          <w:lang w:val="zh-CN"/>
        </w:rPr>
      </w:pPr>
      <w:r>
        <w:rPr>
          <w:rFonts w:hint="eastAsia" w:ascii="仿宋_GB2312" w:hAnsi="仿宋_GB2312" w:eastAsia="仿宋_GB2312"/>
          <w:color w:val="auto"/>
          <w:kern w:val="0"/>
          <w:sz w:val="32"/>
          <w:shd w:val="clear" w:color="auto" w:fill="FFFFFF"/>
        </w:rPr>
        <w:t xml:space="preserve"> </w:t>
      </w:r>
      <w:r>
        <w:rPr>
          <w:rFonts w:hint="eastAsia" w:eastAsia="仿宋_GB2312"/>
          <w:sz w:val="32"/>
          <w:lang w:val="zh-CN"/>
        </w:rPr>
        <w:t>司法救助（单列）项目预算编制立足上年项目执行情况和当年工作实际，绩效目标和项目指标编制科学、合理。</w:t>
      </w:r>
    </w:p>
    <w:p>
      <w:pPr>
        <w:adjustRightInd w:val="0"/>
        <w:snapToGrid w:val="0"/>
        <w:spacing w:beforeLines="0" w:afterLines="0" w:line="360" w:lineRule="auto"/>
        <w:ind w:firstLine="640" w:firstLineChars="200"/>
        <w:rPr>
          <w:rFonts w:hint="eastAsia" w:ascii="仿宋_GB2312" w:hAnsi="宋体" w:eastAsia="仿宋_GB2312"/>
          <w:sz w:val="32"/>
          <w:lang w:val="zh-CN"/>
        </w:rPr>
      </w:pPr>
      <w:r>
        <w:rPr>
          <w:rFonts w:hint="eastAsia" w:eastAsia="仿宋_GB2312"/>
          <w:sz w:val="32"/>
        </w:rPr>
        <w:t xml:space="preserve"> </w:t>
      </w:r>
      <w:r>
        <w:rPr>
          <w:rFonts w:hint="eastAsia" w:eastAsia="仿宋_GB2312"/>
          <w:sz w:val="32"/>
          <w:lang w:val="zh-CN"/>
        </w:rPr>
        <w:t>项目资金来源系财政全额拨款的一般公共预算资金，按照我院财务管理办法及专项资金管理细则，实行专款专用。项目的所有经费开支均经过项目责任人、财务负责人、分管院领导的审批签字，并在对应的科目进行专项核算。</w:t>
      </w:r>
    </w:p>
    <w:p>
      <w:pPr>
        <w:widowControl/>
        <w:numPr>
          <w:numId w:val="0"/>
        </w:numPr>
        <w:adjustRightInd w:val="0"/>
        <w:snapToGrid w:val="0"/>
        <w:spacing w:beforeLines="0" w:afterLines="0" w:line="360" w:lineRule="auto"/>
        <w:jc w:val="left"/>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（三）</w:t>
      </w:r>
      <w:r>
        <w:rPr>
          <w:rFonts w:hint="eastAsia" w:ascii="楷体_GB2312" w:hAnsi="宋体" w:eastAsia="楷体_GB2312"/>
          <w:b/>
          <w:color w:val="auto"/>
          <w:sz w:val="32"/>
        </w:rPr>
        <w:t>预算安排及分配管理</w:t>
      </w:r>
      <w:r>
        <w:rPr>
          <w:rFonts w:hint="eastAsia" w:ascii="楷体_GB2312" w:hAnsi="宋体" w:eastAsia="楷体_GB2312"/>
          <w:b/>
          <w:color w:val="auto"/>
          <w:sz w:val="32"/>
          <w:lang w:val="zh-CN"/>
        </w:rPr>
        <w:t>。</w:t>
      </w:r>
    </w:p>
    <w:p>
      <w:pPr>
        <w:adjustRightInd w:val="0"/>
        <w:snapToGrid w:val="0"/>
        <w:spacing w:beforeLines="0" w:afterLines="0" w:line="360" w:lineRule="auto"/>
        <w:ind w:firstLine="640" w:firstLineChars="200"/>
        <w:rPr>
          <w:rFonts w:hint="eastAsia" w:eastAsia="仿宋_GB2312"/>
          <w:sz w:val="32"/>
          <w:lang w:val="zh-CN"/>
        </w:rPr>
      </w:pPr>
      <w:r>
        <w:rPr>
          <w:rFonts w:hint="eastAsia" w:eastAsia="仿宋_GB2312"/>
          <w:sz w:val="32"/>
          <w:lang w:val="zh-CN"/>
        </w:rPr>
        <w:t>司法救助（单列）项目</w:t>
      </w:r>
      <w:r>
        <w:rPr>
          <w:rFonts w:hint="eastAsia" w:eastAsia="仿宋_GB2312"/>
          <w:sz w:val="32"/>
        </w:rPr>
        <w:t>报送人代会通过后批复</w:t>
      </w:r>
      <w:r>
        <w:rPr>
          <w:rFonts w:hint="eastAsia" w:ascii="仿宋_GB2312" w:hAnsi="仿宋_GB2312" w:eastAsia="仿宋_GB2312"/>
          <w:color w:val="auto"/>
          <w:kern w:val="0"/>
          <w:sz w:val="32"/>
          <w:shd w:val="clear" w:color="auto" w:fill="FFFFFF"/>
          <w:lang w:val="zh-CN"/>
        </w:rPr>
        <w:t>预算为一般</w:t>
      </w:r>
      <w:r>
        <w:rPr>
          <w:rFonts w:hint="eastAsia" w:eastAsia="仿宋_GB2312"/>
          <w:sz w:val="32"/>
          <w:lang w:val="zh-CN"/>
        </w:rPr>
        <w:t>公共预算资金</w:t>
      </w:r>
      <w:r>
        <w:rPr>
          <w:rFonts w:hint="eastAsia" w:eastAsia="仿宋_GB2312"/>
          <w:sz w:val="32"/>
        </w:rPr>
        <w:t>10万元，</w:t>
      </w:r>
      <w:r>
        <w:rPr>
          <w:rFonts w:hint="eastAsia" w:eastAsia="仿宋_GB2312"/>
          <w:sz w:val="32"/>
          <w:lang w:val="zh-CN"/>
        </w:rPr>
        <w:t>资金分配严格按照预算安排，主要用于对司法工作中确有困难群众提供一定救助。</w:t>
      </w:r>
    </w:p>
    <w:p>
      <w:pPr>
        <w:keepLines/>
        <w:numPr>
          <w:numId w:val="0"/>
        </w:numPr>
        <w:adjustRightInd w:val="0"/>
        <w:snapToGrid w:val="0"/>
        <w:spacing w:beforeLines="0" w:afterLines="0" w:line="360" w:lineRule="auto"/>
        <w:ind w:leftChars="200"/>
        <w:rPr>
          <w:rFonts w:hint="eastAsia" w:eastAsia="仿宋_GB2312"/>
          <w:sz w:val="32"/>
          <w:lang w:val="zh-CN"/>
        </w:rPr>
      </w:pPr>
      <w:r>
        <w:rPr>
          <w:rFonts w:hint="eastAsia" w:ascii="楷体_GB2312" w:hAnsi="宋体" w:eastAsia="楷体_GB2312"/>
          <w:b/>
          <w:color w:val="auto"/>
          <w:sz w:val="32"/>
          <w:lang w:val="zh-CN"/>
        </w:rPr>
        <w:t>（四）项目绩效目标设置。</w:t>
      </w:r>
    </w:p>
    <w:p>
      <w:pPr>
        <w:keepLines/>
        <w:numPr>
          <w:numId w:val="0"/>
        </w:numPr>
        <w:adjustRightInd w:val="0"/>
        <w:snapToGrid w:val="0"/>
        <w:spacing w:beforeLines="0" w:afterLines="0" w:line="360" w:lineRule="auto"/>
        <w:ind w:firstLine="642"/>
        <w:rPr>
          <w:rFonts w:hint="eastAsia" w:eastAsia="仿宋_GB2312"/>
          <w:sz w:val="32"/>
        </w:rPr>
      </w:pPr>
      <w:r>
        <w:rPr>
          <w:rFonts w:hint="eastAsia" w:eastAsia="仿宋_GB2312"/>
          <w:sz w:val="32"/>
          <w:lang w:val="zh-CN"/>
        </w:rPr>
        <w:t>202</w:t>
      </w:r>
      <w:r>
        <w:rPr>
          <w:rFonts w:hint="eastAsia" w:eastAsia="仿宋_GB2312"/>
          <w:sz w:val="32"/>
        </w:rPr>
        <w:t>4</w:t>
      </w:r>
      <w:r>
        <w:rPr>
          <w:rFonts w:hint="eastAsia" w:eastAsia="仿宋_GB2312"/>
          <w:sz w:val="32"/>
          <w:lang w:val="zh-CN"/>
        </w:rPr>
        <w:t>年司法救助（单列）项目资金用于因案件导致生活困难且无法通过诉讼或案件执行获得赔偿的当事人给予经济救助，</w:t>
      </w:r>
      <w:r>
        <w:rPr>
          <w:rFonts w:hint="eastAsia" w:eastAsia="仿宋_GB2312"/>
          <w:sz w:val="32"/>
        </w:rPr>
        <w:t>保障当事人合法权益，维护公平正义的社会环境。</w:t>
      </w:r>
    </w:p>
    <w:p>
      <w:pPr>
        <w:keepLines/>
        <w:numPr>
          <w:numId w:val="0"/>
        </w:numPr>
        <w:adjustRightInd w:val="0"/>
        <w:snapToGrid w:val="0"/>
        <w:spacing w:beforeLines="0" w:afterLines="0" w:line="360" w:lineRule="auto"/>
        <w:ind w:firstLine="642"/>
        <w:rPr>
          <w:rFonts w:hint="eastAsia" w:eastAsia="仿宋_GB2312"/>
          <w:sz w:val="32"/>
        </w:rPr>
      </w:pPr>
      <w:r>
        <w:rPr>
          <w:rFonts w:hint="eastAsia" w:eastAsia="仿宋_GB2312"/>
          <w:sz w:val="32"/>
          <w:lang w:val="zh-CN"/>
        </w:rPr>
        <w:t>该项目预算执行情况自评权重为</w:t>
      </w:r>
      <w:r>
        <w:rPr>
          <w:rFonts w:hint="eastAsia" w:eastAsia="仿宋_GB2312"/>
          <w:sz w:val="32"/>
        </w:rPr>
        <w:t>10%，满分为10分，其余产出指标、效益指标、成本指标，满意度指标绩效目标设置权重为90%，具体明细见下表：</w:t>
      </w:r>
    </w:p>
    <w:tbl>
      <w:tblPr>
        <w:tblStyle w:val="25"/>
        <w:tblW w:w="9999" w:type="dxa"/>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4"/>
        <w:gridCol w:w="2052"/>
        <w:gridCol w:w="1775"/>
        <w:gridCol w:w="2264"/>
        <w:gridCol w:w="521"/>
        <w:gridCol w:w="1677"/>
        <w:gridCol w:w="521"/>
        <w:gridCol w:w="5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2" w:hRule="atLeast"/>
        </w:trPr>
        <w:tc>
          <w:tcPr>
            <w:tcW w:w="684" w:type="dxa"/>
            <w:vMerge w:val="restart"/>
            <w:tcBorders>
              <w:top w:val="single" w:color="000000" w:sz="6" w:space="0"/>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绩效指标（90分）</w:t>
            </w:r>
          </w:p>
        </w:tc>
        <w:tc>
          <w:tcPr>
            <w:tcW w:w="2052"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一级指标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二级指标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三级指标</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指标性质</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指标值</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度量单位</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 w:hRule="atLeast"/>
        </w:trPr>
        <w:tc>
          <w:tcPr>
            <w:tcW w:w="684" w:type="dxa"/>
            <w:vMerge w:val="continue"/>
            <w:tcBorders>
              <w:top w:val="nil"/>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restart"/>
            <w:tcBorders>
              <w:top w:val="single" w:color="000000" w:sz="6" w:space="0"/>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产出指标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数量指标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司法救助人数</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人</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4" w:hRule="atLeast"/>
        </w:trPr>
        <w:tc>
          <w:tcPr>
            <w:tcW w:w="684" w:type="dxa"/>
            <w:vMerge w:val="continue"/>
            <w:tcBorders>
              <w:top w:val="nil"/>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continue"/>
            <w:tcBorders>
              <w:top w:val="nil"/>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质量指标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司法救助工作为司法工作中确有困难群众提供一定救助，保障了当事人合法权益。</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定性</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优</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级</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 w:hRule="atLeast"/>
        </w:trPr>
        <w:tc>
          <w:tcPr>
            <w:tcW w:w="684" w:type="dxa"/>
            <w:vMerge w:val="continue"/>
            <w:tcBorders>
              <w:top w:val="nil"/>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continue"/>
            <w:tcBorders>
              <w:top w:val="nil"/>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时效指标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项目完成时限</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年</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684" w:type="dxa"/>
            <w:vMerge w:val="continue"/>
            <w:tcBorders>
              <w:top w:val="single" w:color="auto" w:sz="4" w:space="0"/>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restart"/>
            <w:tcBorders>
              <w:top w:val="single" w:color="000000" w:sz="6" w:space="0"/>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效益指标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社会效益指标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司法制度对弱势群体的关爱，营造健康向上的社会秩序</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定性</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优</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级</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56" w:hRule="atLeast"/>
        </w:trPr>
        <w:tc>
          <w:tcPr>
            <w:tcW w:w="684" w:type="dxa"/>
            <w:vMerge w:val="continue"/>
            <w:tcBorders>
              <w:top w:val="single" w:color="auto" w:sz="4" w:space="0"/>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continue"/>
            <w:tcBorders>
              <w:top w:val="single" w:color="auto" w:sz="4" w:space="0"/>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可持续发展指标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减轻因案件导致生活困难且无法通过诉讼或案件执行获得赔偿的当事人经济负担或压力。</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定性</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优</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级</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2" w:hRule="atLeast"/>
        </w:trPr>
        <w:tc>
          <w:tcPr>
            <w:tcW w:w="684" w:type="dxa"/>
            <w:vMerge w:val="continue"/>
            <w:tcBorders>
              <w:top w:val="single" w:color="auto" w:sz="4" w:space="0"/>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tcBorders>
              <w:top w:val="single" w:color="auto" w:sz="4"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满意度指标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服务对象满意度指标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救助人员满意度</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95</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 w:hRule="atLeast"/>
        </w:trPr>
        <w:tc>
          <w:tcPr>
            <w:tcW w:w="684" w:type="dxa"/>
            <w:vMerge w:val="continue"/>
            <w:tcBorders>
              <w:top w:val="single" w:color="auto" w:sz="4" w:space="0"/>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成本指标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经济成本指标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项目总成本</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万元</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20</w:t>
            </w:r>
          </w:p>
        </w:tc>
      </w:tr>
    </w:tbl>
    <w:p>
      <w:pPr>
        <w:pStyle w:val="2"/>
        <w:spacing w:beforeLines="0" w:afterLines="0"/>
        <w:ind w:left="0" w:leftChars="0" w:firstLine="0" w:firstLineChars="0"/>
        <w:rPr>
          <w:rFonts w:hint="eastAsia"/>
          <w:sz w:val="32"/>
          <w:lang w:val="zh-CN"/>
        </w:rPr>
      </w:pP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我院对于该项目的申报内容与实际业务的开展相关且符合工作实际，申报的绩效目标易于考核，合理可行，操作性强。项目绩效自评采用中期监控和年终绩效考核相结合的方式进行。项目绩效自评由项目实施的业务部门赔委办报送年度内具体工作开展情况，并对项目的实施情况总结并自评，督察室监督审核工作的完成进度并进行项目验收，行装处负责统计相关项目工作的资金支付情况，并通过共同研讨、数据对比等方法对该项目进行自评打分。</w:t>
      </w:r>
    </w:p>
    <w:p>
      <w:pPr>
        <w:adjustRightInd w:val="0"/>
        <w:snapToGrid w:val="0"/>
        <w:spacing w:beforeLines="0" w:afterLines="0" w:line="360" w:lineRule="auto"/>
        <w:ind w:firstLine="643" w:firstLineChars="200"/>
        <w:rPr>
          <w:rFonts w:hint="eastAsia" w:ascii="黑体" w:hAnsi="宋体" w:eastAsia="黑体"/>
          <w:b/>
          <w:sz w:val="32"/>
        </w:rPr>
      </w:pPr>
      <w:r>
        <w:rPr>
          <w:rFonts w:hint="eastAsia" w:ascii="黑体" w:hAnsi="宋体" w:eastAsia="黑体"/>
          <w:b/>
          <w:sz w:val="32"/>
        </w:rPr>
        <w:t>二、评价实施</w:t>
      </w:r>
    </w:p>
    <w:p>
      <w:pPr>
        <w:spacing w:beforeLines="0" w:afterLines="0" w:line="360" w:lineRule="auto"/>
        <w:ind w:firstLine="640"/>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（一）评价目的。</w:t>
      </w:r>
    </w:p>
    <w:p>
      <w:pPr>
        <w:spacing w:beforeLines="0" w:afterLines="0" w:line="360" w:lineRule="auto"/>
        <w:ind w:firstLine="640"/>
        <w:rPr>
          <w:rFonts w:hint="eastAsia"/>
          <w:sz w:val="32"/>
        </w:rPr>
      </w:pPr>
      <w:r>
        <w:rPr>
          <w:rFonts w:hint="eastAsia" w:eastAsia="仿宋_GB2312"/>
          <w:sz w:val="32"/>
        </w:rPr>
        <w:t>通过项目绩效自评要实现对司法救助（单列）</w:t>
      </w:r>
      <w:r>
        <w:rPr>
          <w:rFonts w:hint="eastAsia" w:eastAsia="仿宋_GB2312"/>
          <w:sz w:val="32"/>
          <w:lang w:val="zh-CN"/>
        </w:rPr>
        <w:t>项目资金效益的监督及项目目标实现度的管理，促进财政资金发挥更大的效益，保障在司法工作中为确有困难群众提供一定救助，体现司法制度对弱势群体的关爱，营造健康向上的社会秩序，维护社会公平正义</w:t>
      </w:r>
      <w:r>
        <w:rPr>
          <w:rFonts w:hint="eastAsia" w:eastAsia="仿宋_GB2312"/>
          <w:sz w:val="32"/>
        </w:rPr>
        <w:t>。</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（二）</w:t>
      </w:r>
      <w:r>
        <w:rPr>
          <w:rFonts w:hint="eastAsia" w:ascii="楷体_GB2312" w:hAnsi="宋体" w:eastAsia="楷体_GB2312"/>
          <w:b/>
          <w:color w:val="auto"/>
          <w:sz w:val="32"/>
          <w:lang w:val="zh-CN"/>
        </w:rPr>
        <w:t>预设问题及评价重点。</w:t>
      </w:r>
    </w:p>
    <w:p>
      <w:pPr>
        <w:numPr>
          <w:numId w:val="0"/>
        </w:numPr>
        <w:adjustRightInd w:val="0"/>
        <w:snapToGrid w:val="0"/>
        <w:spacing w:beforeLines="0" w:afterLines="0" w:line="360" w:lineRule="auto"/>
        <w:rPr>
          <w:rFonts w:hint="eastAsia"/>
          <w:sz w:val="32"/>
          <w:lang w:val="zh-CN"/>
        </w:rPr>
      </w:pPr>
      <w:r>
        <w:rPr>
          <w:rFonts w:hint="eastAsia" w:eastAsia="仿宋_GB2312"/>
          <w:sz w:val="32"/>
        </w:rPr>
        <w:t xml:space="preserve">    </w:t>
      </w:r>
      <w:r>
        <w:rPr>
          <w:rFonts w:hint="eastAsia" w:eastAsia="仿宋_GB2312"/>
          <w:sz w:val="32"/>
          <w:lang w:val="zh-CN"/>
        </w:rPr>
        <w:t>该项目资金为一般公共预算财政拨款收入安排，市财政局通过预算对我院下达此专项资金</w:t>
      </w:r>
      <w:r>
        <w:rPr>
          <w:rFonts w:hint="eastAsia" w:eastAsia="仿宋_GB2312"/>
          <w:sz w:val="32"/>
        </w:rPr>
        <w:t>10万元，</w:t>
      </w:r>
      <w:r>
        <w:rPr>
          <w:rFonts w:hint="eastAsia" w:eastAsia="仿宋_GB2312"/>
          <w:sz w:val="32"/>
          <w:lang w:val="zh-CN"/>
        </w:rPr>
        <w:t>资金及时到位，资金到位率100%，到位及时率100%，预算执行率</w:t>
      </w:r>
      <w:r>
        <w:rPr>
          <w:rFonts w:hint="eastAsia" w:eastAsia="仿宋_GB2312"/>
          <w:sz w:val="32"/>
        </w:rPr>
        <w:t>100%。顺利完成了该项目的实施和资金支付。</w:t>
      </w:r>
      <w:r>
        <w:rPr>
          <w:rFonts w:hint="eastAsia" w:eastAsia="仿宋_GB2312"/>
          <w:sz w:val="32"/>
          <w:lang w:val="zh-CN"/>
        </w:rPr>
        <w:t>项目实行专项核算，资金支付合规、合法，无超预算和范围支付情况，无截留、挤占、挪用专项资金现象，无虚列项目成本、无进行大额现金支付现象，项目资金使用均按规定标准执行。</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（三）</w:t>
      </w:r>
      <w:r>
        <w:rPr>
          <w:rFonts w:hint="eastAsia" w:ascii="楷体_GB2312" w:hAnsi="宋体" w:eastAsia="楷体_GB2312"/>
          <w:b/>
          <w:color w:val="auto"/>
          <w:sz w:val="32"/>
          <w:lang w:val="zh-CN"/>
        </w:rPr>
        <w:t>评价选点。</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rPr>
        <w:t>选取5笔与司法救助相关的支出作为评价样本，核查资金支出方向及审批手续，调研该司法救助案件取得的社会效益</w:t>
      </w:r>
      <w:r>
        <w:rPr>
          <w:rFonts w:hint="eastAsia" w:eastAsia="仿宋_GB2312"/>
          <w:sz w:val="32"/>
          <w:lang w:val="zh-CN"/>
        </w:rPr>
        <w:t>。</w:t>
      </w:r>
    </w:p>
    <w:p>
      <w:pPr>
        <w:numPr>
          <w:numId w:val="0"/>
        </w:num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（四）</w:t>
      </w:r>
      <w:r>
        <w:rPr>
          <w:rFonts w:hint="eastAsia" w:ascii="楷体_GB2312" w:hAnsi="宋体" w:eastAsia="楷体_GB2312"/>
          <w:b/>
          <w:color w:val="auto"/>
          <w:sz w:val="32"/>
          <w:lang w:val="zh-CN"/>
        </w:rPr>
        <w:t>评价方法。</w:t>
      </w:r>
    </w:p>
    <w:p>
      <w:pPr>
        <w:numPr>
          <w:numId w:val="0"/>
        </w:numPr>
        <w:spacing w:beforeLines="0" w:afterLines="0" w:line="360" w:lineRule="auto"/>
        <w:rPr>
          <w:rFonts w:hint="eastAsia" w:eastAsia="仿宋_GB2312"/>
          <w:sz w:val="32"/>
        </w:rPr>
      </w:pPr>
      <w:r>
        <w:rPr>
          <w:rFonts w:hint="eastAsia" w:eastAsia="仿宋_GB2312"/>
          <w:sz w:val="32"/>
        </w:rPr>
        <w:t xml:space="preserve">    根据项目情况和评价重点，采用单位自评法、座谈调研法用来收集相关材料和开展具体评价的方法。</w:t>
      </w:r>
    </w:p>
    <w:p>
      <w:p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rPr>
        <w:t xml:space="preserve">   </w:t>
      </w:r>
      <w:r>
        <w:rPr>
          <w:rFonts w:hint="eastAsia" w:ascii="楷体_GB2312" w:hAnsi="宋体" w:eastAsia="楷体_GB2312"/>
          <w:b/>
          <w:color w:val="auto"/>
          <w:sz w:val="32"/>
          <w:lang w:val="zh-CN"/>
        </w:rPr>
        <w:t>（五）评价组织。</w:t>
      </w:r>
    </w:p>
    <w:p>
      <w:pPr>
        <w:adjustRightInd w:val="0"/>
        <w:snapToGrid w:val="0"/>
        <w:spacing w:beforeLines="0" w:afterLines="0" w:line="360" w:lineRule="auto"/>
        <w:ind w:firstLine="640" w:firstLineChars="200"/>
        <w:rPr>
          <w:rFonts w:hint="eastAsia"/>
          <w:sz w:val="32"/>
        </w:rPr>
      </w:pPr>
      <w:r>
        <w:rPr>
          <w:rFonts w:hint="eastAsia" w:eastAsia="仿宋_GB2312"/>
          <w:sz w:val="32"/>
        </w:rPr>
        <w:t>绩效评价小组以常务副院长为组长，各业务部门、行装处、督查室部门领导为组员组成；绩效评价工作小组由各部门内勤及财务人员组成。采取“谁申报项目，谁负责绩效评价”的原则，由项目部门</w:t>
      </w:r>
      <w:r>
        <w:rPr>
          <w:rFonts w:hint="eastAsia" w:eastAsia="仿宋_GB2312"/>
          <w:sz w:val="32"/>
          <w:lang w:val="zh-CN"/>
        </w:rPr>
        <w:t>（赔委办）</w:t>
      </w:r>
      <w:r>
        <w:rPr>
          <w:rFonts w:hint="eastAsia" w:eastAsia="仿宋_GB2312"/>
          <w:sz w:val="32"/>
        </w:rPr>
        <w:t>牵头，召集工作小组对项目进行初评，然后呈报至领导小组复核。根据财政专项项目管理办法及财政资金管理要求，</w:t>
      </w:r>
      <w:r>
        <w:rPr>
          <w:rFonts w:hint="eastAsia" w:eastAsia="仿宋_GB2312"/>
          <w:sz w:val="32"/>
          <w:lang w:val="zh-CN"/>
        </w:rPr>
        <w:t>行装处严格审核项目报销凭证，加快专项资金支付，及时进行会计核算。</w:t>
      </w:r>
      <w:r>
        <w:rPr>
          <w:rFonts w:hint="eastAsia" w:eastAsia="仿宋_GB2312"/>
          <w:sz w:val="32"/>
        </w:rPr>
        <w:t>督察室进行定期监督，做到了专款专用，执行有力，且没有超预算和范围、违规报销行为，没有滞留、截流、挤占、挪用项目资金的现象。</w:t>
      </w:r>
    </w:p>
    <w:p>
      <w:pPr>
        <w:numPr>
          <w:ilvl w:val="0"/>
          <w:numId w:val="7"/>
        </w:numPr>
        <w:adjustRightInd w:val="0"/>
        <w:snapToGrid w:val="0"/>
        <w:spacing w:beforeLines="0" w:afterLines="0" w:line="360" w:lineRule="auto"/>
        <w:ind w:firstLine="643" w:firstLineChars="200"/>
        <w:rPr>
          <w:rFonts w:hint="eastAsia" w:ascii="仿宋_GB2312" w:hAnsi="宋体" w:eastAsia="仿宋_GB2312"/>
          <w:b/>
          <w:color w:val="auto"/>
          <w:sz w:val="32"/>
          <w:lang w:val="zh-CN"/>
        </w:rPr>
      </w:pPr>
      <w:r>
        <w:rPr>
          <w:rFonts w:hint="eastAsia" w:ascii="黑体" w:hAnsi="宋体" w:eastAsia="黑体"/>
          <w:b/>
          <w:color w:val="auto"/>
          <w:sz w:val="32"/>
        </w:rPr>
        <w:t>绩效分析</w:t>
      </w:r>
      <w:r>
        <w:rPr>
          <w:rFonts w:hint="eastAsia" w:ascii="仿宋_GB2312" w:hAnsi="宋体" w:eastAsia="仿宋_GB2312"/>
          <w:b/>
          <w:color w:val="auto"/>
          <w:sz w:val="32"/>
          <w:lang w:val="zh-CN"/>
        </w:rPr>
        <w:tab/>
      </w:r>
    </w:p>
    <w:p>
      <w:pPr>
        <w:numPr>
          <w:numId w:val="0"/>
        </w:numPr>
        <w:adjustRightInd w:val="0"/>
        <w:snapToGrid w:val="0"/>
        <w:spacing w:beforeLines="0" w:afterLines="0" w:line="360" w:lineRule="auto"/>
        <w:ind w:leftChars="200"/>
        <w:rPr>
          <w:rFonts w:hint="eastAsia" w:ascii="楷体_GB2312" w:hAnsi="宋体" w:eastAsia="楷体_GB2312"/>
          <w:b/>
          <w:color w:val="auto"/>
          <w:sz w:val="32"/>
        </w:rPr>
      </w:pPr>
      <w:r>
        <w:rPr>
          <w:rFonts w:hint="eastAsia" w:ascii="楷体_GB2312" w:hAnsi="宋体" w:eastAsia="楷体_GB2312"/>
          <w:b/>
          <w:color w:val="auto"/>
          <w:sz w:val="32"/>
          <w:lang w:val="zh-CN"/>
        </w:rPr>
        <w:t>（一）</w:t>
      </w:r>
      <w:r>
        <w:rPr>
          <w:rFonts w:hint="eastAsia" w:ascii="楷体_GB2312" w:hAnsi="宋体" w:eastAsia="楷体_GB2312"/>
          <w:b/>
          <w:color w:val="auto"/>
          <w:sz w:val="32"/>
        </w:rPr>
        <w:t>通用指标</w:t>
      </w:r>
      <w:r>
        <w:rPr>
          <w:rFonts w:hint="eastAsia" w:eastAsia="楷体_GB2312"/>
          <w:b/>
          <w:color w:val="000000"/>
          <w:kern w:val="0"/>
          <w:sz w:val="32"/>
          <w:shd w:val="clear" w:color="auto" w:fill="FFFFFF"/>
          <w:lang w:val="zh-CN"/>
        </w:rPr>
        <w:t>绩效得分</w:t>
      </w:r>
      <w:r>
        <w:rPr>
          <w:rFonts w:hint="eastAsia" w:eastAsia="楷体_GB2312"/>
          <w:b/>
          <w:color w:val="000000"/>
          <w:kern w:val="0"/>
          <w:sz w:val="32"/>
          <w:shd w:val="clear" w:color="auto" w:fill="FFFFFF"/>
        </w:rPr>
        <w:t>54分</w:t>
      </w:r>
      <w:r>
        <w:rPr>
          <w:rFonts w:hint="eastAsia" w:eastAsia="楷体_GB2312"/>
          <w:b/>
          <w:color w:val="000000"/>
          <w:kern w:val="0"/>
          <w:sz w:val="32"/>
          <w:shd w:val="clear" w:color="auto" w:fill="FFFFFF"/>
          <w:lang w:val="zh-CN"/>
        </w:rPr>
        <w:t>。</w:t>
      </w:r>
    </w:p>
    <w:p>
      <w:p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1.项目决策评分为18分。</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决策程序：</w:t>
      </w:r>
      <w:r>
        <w:rPr>
          <w:rFonts w:hint="eastAsia" w:eastAsia="仿宋_GB2312"/>
          <w:sz w:val="32"/>
        </w:rPr>
        <w:t>根据</w:t>
      </w:r>
      <w:r>
        <w:rPr>
          <w:rFonts w:hint="eastAsia" w:eastAsia="仿宋_GB2312"/>
          <w:sz w:val="32"/>
          <w:lang w:val="zh-CN"/>
        </w:rPr>
        <w:t>我院职能职责定位</w:t>
      </w:r>
      <w:r>
        <w:rPr>
          <w:rFonts w:hint="eastAsia" w:eastAsia="仿宋_GB2312"/>
          <w:sz w:val="32"/>
        </w:rPr>
        <w:t>，</w:t>
      </w:r>
      <w:r>
        <w:rPr>
          <w:rFonts w:hint="eastAsia" w:eastAsia="仿宋_GB2312"/>
          <w:sz w:val="32"/>
          <w:lang w:val="zh-CN"/>
        </w:rPr>
        <w:t>项目设立有必要，立项依据充分，</w:t>
      </w:r>
      <w:r>
        <w:rPr>
          <w:rFonts w:hint="eastAsia" w:eastAsia="仿宋_GB2312"/>
          <w:sz w:val="32"/>
        </w:rPr>
        <w:t>安排</w:t>
      </w:r>
      <w:r>
        <w:rPr>
          <w:rFonts w:hint="eastAsia" w:eastAsia="仿宋_GB2312"/>
          <w:sz w:val="32"/>
          <w:lang w:val="zh-CN"/>
        </w:rPr>
        <w:t>项目资金预算</w:t>
      </w:r>
      <w:r>
        <w:rPr>
          <w:rFonts w:hint="eastAsia" w:eastAsia="仿宋_GB2312"/>
          <w:sz w:val="32"/>
        </w:rPr>
        <w:t>10</w:t>
      </w:r>
      <w:r>
        <w:rPr>
          <w:rFonts w:hint="eastAsia" w:eastAsia="仿宋_GB2312"/>
          <w:sz w:val="32"/>
          <w:lang w:val="zh-CN"/>
        </w:rPr>
        <w:t>万元合理，符合资金管理基本规范和决策程序要求，故该项评分为</w:t>
      </w:r>
      <w:r>
        <w:rPr>
          <w:rFonts w:hint="eastAsia" w:eastAsia="仿宋_GB2312"/>
          <w:sz w:val="32"/>
        </w:rPr>
        <w:t>6分</w:t>
      </w:r>
      <w:r>
        <w:rPr>
          <w:rFonts w:hint="eastAsia" w:eastAsia="仿宋_GB2312"/>
          <w:sz w:val="32"/>
          <w:lang w:val="zh-CN"/>
        </w:rPr>
        <w:t>。</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规划论证：该项目规划符合省高院及市委市政府有关决策部署安排，预算申报前，充分征求了相关部门论证了项目必要性、前瞻性、合理性和可行性，充分调研了近三年诉讼案件的增长趋势，项目总体绩效目标设置合理，绩效目标规范完整、量化细化，预算匹配度较好，故此项评分为</w:t>
      </w:r>
      <w:r>
        <w:rPr>
          <w:rFonts w:hint="eastAsia" w:eastAsia="仿宋_GB2312"/>
          <w:sz w:val="32"/>
        </w:rPr>
        <w:t>6分。</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资金投向：司法救助（单列）项目预算资金主要是</w:t>
      </w:r>
      <w:r>
        <w:rPr>
          <w:rFonts w:hint="eastAsia" w:eastAsia="仿宋_GB2312"/>
          <w:sz w:val="32"/>
        </w:rPr>
        <w:t>给予因案件导致生活困难且无法通过诉讼赔偿的当事人一定经济救助</w:t>
      </w:r>
      <w:r>
        <w:rPr>
          <w:rFonts w:hint="eastAsia" w:eastAsia="仿宋_GB2312"/>
          <w:sz w:val="32"/>
          <w:lang w:val="zh-CN"/>
        </w:rPr>
        <w:t>，该项工作属于法院主要职能之一，是重点领域的重点任务，与法院总体规划相匹配，故此项评分为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项目管理评分为18分。</w:t>
      </w:r>
    </w:p>
    <w:p>
      <w:pPr>
        <w:numPr>
          <w:numId w:val="0"/>
        </w:numPr>
        <w:adjustRightInd w:val="0"/>
        <w:snapToGrid w:val="0"/>
        <w:spacing w:beforeLines="0" w:afterLines="0" w:line="360" w:lineRule="auto"/>
        <w:ind w:firstLine="640"/>
        <w:rPr>
          <w:rFonts w:hint="eastAsia" w:eastAsia="仿宋_GB2312"/>
          <w:sz w:val="32"/>
        </w:rPr>
      </w:pPr>
      <w:r>
        <w:rPr>
          <w:rFonts w:hint="eastAsia" w:eastAsia="仿宋_GB2312"/>
          <w:sz w:val="32"/>
        </w:rPr>
        <w:t>制度办法：</w:t>
      </w:r>
      <w:r>
        <w:rPr>
          <w:rFonts w:hint="eastAsia" w:eastAsia="仿宋_GB2312"/>
          <w:sz w:val="32"/>
          <w:lang w:val="zh-CN"/>
        </w:rPr>
        <w:t>我院按部门职责分工明确，严格遵循工作计划稳步推进实施。完善各项内部控制与考核制度，建立较为完善的财务管理制度《广元市中级人民法院财务管理制度》、《广元市中级人民法院预算管理制度》，且严格执行。</w:t>
      </w:r>
      <w:r>
        <w:rPr>
          <w:rFonts w:hint="eastAsia" w:eastAsia="仿宋_GB2312"/>
          <w:sz w:val="32"/>
        </w:rPr>
        <w:t>并在资金使用过程中严格按照《最高人民法院关于加强和规范人民法院国家司法救助工作的意见》中规定的范围及开支要求，做到支出合规合理，故此项评分为2分。</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lang w:val="zh-CN"/>
        </w:rPr>
        <w:t>分配管理：此项目预算资金分配上严格按照管理办法和司法救助经费开支程序执行，决策程序符合三重一大要求，资金支付及时高效。且在项目申报前期，充分调研了近三年司法救助案件的变化趋势，在资金分配上根据比例进行合理划分。项目做到了财政资金专款专用，资金支付有相关审批程序和合规手续，账务处理及时，会计核算规范。项目管理人员及督察部门对项目实施全过程监控，对偏离预算执行的项目及时纠偏和调整，财务报销严格执行财务审批程序。故此项评分为</w:t>
      </w:r>
      <w:r>
        <w:rPr>
          <w:rFonts w:hint="eastAsia" w:eastAsia="仿宋_GB2312"/>
          <w:sz w:val="32"/>
        </w:rPr>
        <w:t>10分。</w:t>
      </w:r>
    </w:p>
    <w:p>
      <w:p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eastAsia="仿宋_GB2312"/>
          <w:sz w:val="32"/>
          <w:lang w:val="zh-CN"/>
        </w:rPr>
        <w:t>绩效监管：该项目全面完成了事前评估、绩效目标设置、绩效监控、绩效督促、问题整改等预算绩效管理工作，评分为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项目实施评分为9分。</w:t>
      </w:r>
    </w:p>
    <w:p>
      <w:pPr>
        <w:numPr>
          <w:numId w:val="0"/>
        </w:numPr>
        <w:adjustRightInd w:val="0"/>
        <w:snapToGrid w:val="0"/>
        <w:spacing w:beforeLines="0" w:afterLines="0" w:line="360" w:lineRule="auto"/>
        <w:ind w:firstLine="640"/>
        <w:rPr>
          <w:rFonts w:hint="eastAsia" w:ascii="仿宋_GB2312" w:eastAsia="仿宋_GB2312"/>
          <w:sz w:val="32"/>
        </w:rPr>
      </w:pPr>
      <w:r>
        <w:rPr>
          <w:rFonts w:hint="eastAsia" w:ascii="仿宋_GB2312" w:eastAsia="仿宋_GB2312"/>
          <w:sz w:val="32"/>
          <w:lang w:val="zh-CN"/>
        </w:rPr>
        <w:t>预算执行：该项目预算执行进度好，该项指标得分</w:t>
      </w:r>
      <w:r>
        <w:rPr>
          <w:rFonts w:hint="eastAsia" w:ascii="仿宋_GB2312" w:eastAsia="仿宋_GB2312"/>
          <w:sz w:val="32"/>
        </w:rPr>
        <w:t>=财政资金拨付率100%*100%*3+单位资金使用率100%*100%*3=6分。</w:t>
      </w:r>
    </w:p>
    <w:p>
      <w:pPr>
        <w:numPr>
          <w:numId w:val="0"/>
        </w:numPr>
        <w:adjustRightInd w:val="0"/>
        <w:snapToGrid w:val="0"/>
        <w:spacing w:beforeLines="0" w:afterLines="0" w:line="360" w:lineRule="auto"/>
        <w:ind w:firstLine="640"/>
        <w:rPr>
          <w:rFonts w:hint="eastAsia" w:ascii="楷体_GB2312" w:hAnsi="楷体_GB2312" w:eastAsia="楷体_GB2312"/>
          <w:color w:val="auto"/>
          <w:sz w:val="32"/>
        </w:rPr>
      </w:pPr>
      <w:r>
        <w:rPr>
          <w:rFonts w:hint="eastAsia" w:ascii="仿宋_GB2312" w:eastAsia="仿宋_GB2312"/>
          <w:sz w:val="32"/>
          <w:lang w:val="zh-CN"/>
        </w:rPr>
        <w:t>资金使用：该项目资金使用拨付，项目实施符合财务管理制度。事前</w:t>
      </w:r>
      <w:r>
        <w:rPr>
          <w:rFonts w:hint="eastAsia" w:eastAsia="仿宋_GB2312"/>
          <w:sz w:val="32"/>
          <w:lang w:val="zh-CN"/>
        </w:rPr>
        <w:t>严格审核项目实施可行性与合理性，</w:t>
      </w:r>
      <w:r>
        <w:rPr>
          <w:rFonts w:hint="eastAsia" w:ascii="仿宋_GB2312" w:eastAsia="仿宋_GB2312"/>
          <w:sz w:val="32"/>
          <w:lang w:val="zh-CN"/>
        </w:rPr>
        <w:t>由赔委办对司法救助案件是否满足救助条件和范围进行审核，并由其分管院领导审批，行装处严格把关费用审核，严控不必要支出</w:t>
      </w:r>
      <w:r>
        <w:rPr>
          <w:rFonts w:hint="eastAsia" w:eastAsia="仿宋_GB2312"/>
          <w:sz w:val="32"/>
          <w:lang w:val="zh-CN"/>
        </w:rPr>
        <w:t>，及时进行会计核算，院督察室定期对项目经费使用效益进行监督。行装处严格审核项目报销凭证，加快专项资金支付，及时进行会计核算。故该项评分为</w:t>
      </w:r>
      <w:r>
        <w:rPr>
          <w:rFonts w:hint="eastAsia" w:eastAsia="仿宋_GB2312"/>
          <w:sz w:val="32"/>
        </w:rPr>
        <w:t>3分。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项目结果评分为9分。</w:t>
      </w:r>
    </w:p>
    <w:p>
      <w:pPr>
        <w:numPr>
          <w:numId w:val="0"/>
        </w:numPr>
        <w:adjustRightInd w:val="0"/>
        <w:snapToGrid w:val="0"/>
        <w:spacing w:beforeLines="0" w:afterLines="0" w:line="360" w:lineRule="auto"/>
        <w:ind w:firstLine="640"/>
        <w:rPr>
          <w:rFonts w:hint="eastAsia" w:eastAsia="仿宋_GB2312"/>
          <w:color w:val="auto"/>
          <w:sz w:val="32"/>
        </w:rPr>
      </w:pPr>
      <w:r>
        <w:rPr>
          <w:rFonts w:hint="eastAsia" w:eastAsia="仿宋_GB2312"/>
          <w:color w:val="auto"/>
          <w:sz w:val="32"/>
        </w:rPr>
        <w:t>目标完成：该项目已100%完成预算支出，较好地保障了</w:t>
      </w:r>
      <w:r>
        <w:rPr>
          <w:rFonts w:hint="eastAsia" w:eastAsia="仿宋_GB2312"/>
          <w:sz w:val="32"/>
        </w:rPr>
        <w:t>7件司法救助案件救助经费，</w:t>
      </w:r>
      <w:r>
        <w:rPr>
          <w:rFonts w:hint="eastAsia" w:eastAsia="仿宋_GB2312"/>
          <w:color w:val="auto"/>
          <w:sz w:val="32"/>
        </w:rPr>
        <w:t>顺利达成此项目设置的绩效目标，评分为6分。</w:t>
      </w:r>
    </w:p>
    <w:p>
      <w:pPr>
        <w:numPr>
          <w:numId w:val="0"/>
        </w:numPr>
        <w:adjustRightInd w:val="0"/>
        <w:snapToGrid w:val="0"/>
        <w:spacing w:beforeLines="0" w:afterLines="0" w:line="360" w:lineRule="auto"/>
        <w:ind w:firstLine="640"/>
        <w:rPr>
          <w:rFonts w:hint="eastAsia" w:eastAsia="仿宋_GB2312"/>
          <w:sz w:val="32"/>
        </w:rPr>
      </w:pPr>
      <w:r>
        <w:rPr>
          <w:rFonts w:hint="eastAsia" w:eastAsia="仿宋_GB2312"/>
          <w:sz w:val="32"/>
        </w:rPr>
        <w:t>完成时效：该项目于2024年12月31日前完成资金的支付，评分为3分。</w:t>
      </w:r>
    </w:p>
    <w:p>
      <w:pPr>
        <w:spacing w:beforeLines="0" w:afterLines="0" w:line="360" w:lineRule="auto"/>
        <w:rPr>
          <w:rFonts w:hint="eastAsia" w:ascii="楷体_GB2312" w:hAnsi="楷体_GB2312" w:eastAsia="楷体_GB2312"/>
          <w:color w:val="auto"/>
          <w:sz w:val="32"/>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（二）</w:t>
      </w:r>
      <w:r>
        <w:rPr>
          <w:rFonts w:hint="eastAsia" w:ascii="楷体_GB2312" w:hAnsi="宋体" w:eastAsia="楷体_GB2312"/>
          <w:b/>
          <w:color w:val="auto"/>
          <w:sz w:val="32"/>
        </w:rPr>
        <w:t>专用指标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30分</w:t>
      </w:r>
      <w:r>
        <w:rPr>
          <w:rFonts w:hint="eastAsia" w:eastAsia="楷体_GB2312"/>
          <w:b/>
          <w:color w:val="000000"/>
          <w:kern w:val="0"/>
          <w:sz w:val="32"/>
          <w:shd w:val="clear" w:color="auto" w:fill="FFFFFF"/>
          <w:lang w:val="zh-CN"/>
        </w:rPr>
        <w:t>。</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1.产业发展。</w:t>
      </w:r>
      <w:r>
        <w:rPr>
          <w:rFonts w:hint="eastAsia" w:eastAsia="仿宋_GB2312"/>
          <w:color w:val="auto"/>
          <w:sz w:val="32"/>
        </w:rPr>
        <w:t xml:space="preserve">不涉及。 </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2.</w:t>
      </w:r>
      <w:r>
        <w:rPr>
          <w:rFonts w:hint="eastAsia" w:ascii="楷体_GB2312" w:hAnsi="楷体_GB2312" w:eastAsia="楷体_GB2312"/>
          <w:color w:val="auto"/>
          <w:sz w:val="32"/>
          <w:lang w:val="zh-CN"/>
        </w:rPr>
        <w:t>民生保障。</w:t>
      </w:r>
      <w:r>
        <w:rPr>
          <w:rFonts w:hint="eastAsia" w:eastAsia="仿宋_GB2312"/>
          <w:color w:val="auto"/>
          <w:sz w:val="32"/>
          <w:lang w:val="zh-CN"/>
        </w:rPr>
        <w:t>保障了司法救助工作的顺利推进，体现了司法制度对弱势群体的关爱，营造了健康向上的社会秩序，有效维护了当事人合法权益</w:t>
      </w:r>
      <w:r>
        <w:rPr>
          <w:rFonts w:hint="eastAsia" w:eastAsia="仿宋_GB2312"/>
          <w:color w:val="auto"/>
          <w:sz w:val="32"/>
        </w:rPr>
        <w:t>。该项评分为15分。</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3.基础设施。</w:t>
      </w:r>
      <w:r>
        <w:rPr>
          <w:rFonts w:hint="eastAsia" w:eastAsia="仿宋_GB2312"/>
          <w:color w:val="auto"/>
          <w:sz w:val="32"/>
        </w:rPr>
        <w:t>不涉及。</w:t>
      </w:r>
    </w:p>
    <w:p>
      <w:pPr>
        <w:spacing w:beforeLines="0" w:afterLines="0" w:line="360" w:lineRule="auto"/>
        <w:ind w:firstLine="640" w:firstLineChars="200"/>
        <w:rPr>
          <w:rFonts w:hint="eastAsia" w:ascii="楷体_GB2312" w:hAnsi="楷体_GB2312" w:eastAsia="楷体_GB2312"/>
          <w:color w:val="auto"/>
          <w:sz w:val="32"/>
          <w:lang w:val="zh-CN"/>
        </w:rPr>
      </w:pPr>
      <w:r>
        <w:rPr>
          <w:rFonts w:hint="eastAsia" w:ascii="楷体_GB2312" w:hAnsi="楷体_GB2312" w:eastAsia="楷体_GB2312"/>
          <w:color w:val="auto"/>
          <w:sz w:val="32"/>
        </w:rPr>
        <w:t>4.</w:t>
      </w:r>
      <w:r>
        <w:rPr>
          <w:rFonts w:hint="eastAsia" w:ascii="楷体_GB2312" w:hAnsi="楷体_GB2312" w:eastAsia="楷体_GB2312"/>
          <w:color w:val="auto"/>
          <w:sz w:val="32"/>
          <w:lang w:val="zh-CN"/>
        </w:rPr>
        <w:t>行政运转。</w:t>
      </w:r>
      <w:r>
        <w:rPr>
          <w:rFonts w:hint="eastAsia" w:eastAsia="仿宋_GB2312"/>
          <w:sz w:val="32"/>
          <w:lang w:val="zh-CN"/>
        </w:rPr>
        <w:t>项目资金实行专款专用，用途符合司法救助专项资金各项开支范围、支出审批手续齐全，充分发挥法院司法职能，该项评分为</w:t>
      </w:r>
      <w:r>
        <w:rPr>
          <w:rFonts w:hint="eastAsia" w:eastAsia="仿宋_GB2312"/>
          <w:sz w:val="32"/>
        </w:rPr>
        <w:t>15分</w:t>
      </w:r>
      <w:r>
        <w:rPr>
          <w:rFonts w:hint="eastAsia" w:eastAsia="仿宋_GB2312"/>
          <w:sz w:val="32"/>
          <w:lang w:val="zh-CN"/>
        </w:rPr>
        <w:t>。</w:t>
      </w:r>
    </w:p>
    <w:p>
      <w:pPr>
        <w:numPr>
          <w:numId w:val="0"/>
        </w:numPr>
        <w:adjustRightInd w:val="0"/>
        <w:snapToGrid w:val="0"/>
        <w:spacing w:beforeLines="0" w:afterLines="0" w:line="360" w:lineRule="auto"/>
        <w:rPr>
          <w:rFonts w:hint="eastAsia"/>
          <w:b/>
          <w:color w:val="000000"/>
          <w:kern w:val="0"/>
          <w:sz w:val="32"/>
          <w:shd w:val="clear" w:color="auto" w:fill="FFFFFF"/>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（三）</w:t>
      </w:r>
      <w:r>
        <w:rPr>
          <w:rFonts w:hint="eastAsia" w:ascii="楷体_GB2312" w:hAnsi="宋体" w:eastAsia="楷体_GB2312"/>
          <w:b/>
          <w:color w:val="auto"/>
          <w:sz w:val="32"/>
        </w:rPr>
        <w:t>个性指标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16分</w:t>
      </w:r>
      <w:r>
        <w:rPr>
          <w:rFonts w:hint="eastAsia" w:eastAsia="楷体_GB2312"/>
          <w:b/>
          <w:color w:val="000000"/>
          <w:kern w:val="0"/>
          <w:sz w:val="32"/>
          <w:shd w:val="clear" w:color="auto" w:fill="FFFFFF"/>
          <w:lang w:val="zh-CN"/>
        </w:rPr>
        <w:t>。</w:t>
      </w:r>
    </w:p>
    <w:p>
      <w:pPr>
        <w:numPr>
          <w:numId w:val="0"/>
        </w:numPr>
        <w:adjustRightInd w:val="0"/>
        <w:snapToGrid w:val="0"/>
        <w:spacing w:beforeLines="0" w:afterLines="0" w:line="360" w:lineRule="auto"/>
        <w:ind w:firstLine="640" w:firstLineChars="200"/>
        <w:rPr>
          <w:rFonts w:hint="eastAsia"/>
          <w:sz w:val="32"/>
          <w:lang w:val="zh-CN"/>
        </w:rPr>
      </w:pPr>
      <w:r>
        <w:rPr>
          <w:rFonts w:hint="eastAsia" w:eastAsia="仿宋_GB2312"/>
          <w:sz w:val="32"/>
        </w:rPr>
        <w:t>年初设定的绩效目标均已达成，取得良好的效用，个性指标评分为16分。</w:t>
      </w:r>
    </w:p>
    <w:tbl>
      <w:tblPr>
        <w:tblStyle w:val="25"/>
        <w:tblW w:w="789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5"/>
        <w:gridCol w:w="803"/>
        <w:gridCol w:w="862"/>
        <w:gridCol w:w="1666"/>
        <w:gridCol w:w="804"/>
        <w:gridCol w:w="734"/>
        <w:gridCol w:w="774"/>
        <w:gridCol w:w="886"/>
        <w:gridCol w:w="5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绩效指标（90分）</w:t>
            </w:r>
          </w:p>
        </w:tc>
        <w:tc>
          <w:tcPr>
            <w:tcW w:w="80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一级指标</w:t>
            </w: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二级指标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三级指标</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指标性质</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指标值</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度量单位</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完成值</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8"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产出指标</w:t>
            </w: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数量指标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司法救助人数</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人</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7</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质量指标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司法救助工作为司法工作中确有困难群众提供一定救助，保障了当事人合法权益。</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优</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时效指标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项目完成时限</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年</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1</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效益指标</w:t>
            </w: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社会效益指标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司法制度对弱势群体的关爱，营造健康向上的社会秩序</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优</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可持续发展指标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通过对当事人缓交，减交或免交诉讼费的救济措施，减轻或者免除经济上确有困难的当事人的负担，畅通当事人维权渠道。</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优</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满意度指标</w:t>
            </w: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服务对象满意度指标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救助人员满意度</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95</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95</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成本指标</w:t>
            </w: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经济成本指标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项目总成本</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万元</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10</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20</w:t>
            </w:r>
          </w:p>
        </w:tc>
      </w:tr>
    </w:tbl>
    <w:p>
      <w:pPr>
        <w:pStyle w:val="8"/>
        <w:numPr>
          <w:numId w:val="0"/>
        </w:numPr>
        <w:tabs>
          <w:tab w:val="left" w:pos="2160"/>
        </w:tabs>
        <w:spacing w:beforeLines="0" w:afterLines="0" w:line="360" w:lineRule="auto"/>
        <w:rPr>
          <w:rFonts w:hint="eastAsia" w:ascii="黑体" w:hAnsi="宋体" w:eastAsia="黑体"/>
          <w:b/>
          <w:color w:val="auto"/>
          <w:sz w:val="32"/>
          <w:lang w:eastAsia="zh-CN"/>
        </w:rPr>
      </w:pP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rPr>
      </w:pPr>
      <w:r>
        <w:rPr>
          <w:rFonts w:hint="eastAsia" w:ascii="黑体" w:hAnsi="宋体" w:eastAsia="黑体"/>
          <w:b/>
          <w:color w:val="auto"/>
          <w:sz w:val="32"/>
          <w:lang w:eastAsia="zh-CN"/>
        </w:rPr>
        <w:t>四</w:t>
      </w:r>
      <w:r>
        <w:rPr>
          <w:rFonts w:hint="eastAsia" w:ascii="黑体" w:hAnsi="宋体" w:eastAsia="黑体"/>
          <w:b/>
          <w:color w:val="auto"/>
          <w:sz w:val="32"/>
        </w:rPr>
        <w:t>、评价结论</w:t>
      </w:r>
    </w:p>
    <w:p>
      <w:pPr>
        <w:keepLines/>
        <w:numPr>
          <w:numId w:val="0"/>
        </w:numPr>
        <w:adjustRightInd w:val="0"/>
        <w:snapToGrid w:val="0"/>
        <w:spacing w:beforeLines="0" w:afterLines="0" w:line="360" w:lineRule="auto"/>
        <w:ind w:firstLine="642"/>
        <w:rPr>
          <w:rFonts w:hint="eastAsia" w:eastAsia="仿宋_GB2312"/>
          <w:sz w:val="32"/>
        </w:rPr>
      </w:pPr>
      <w:r>
        <w:rPr>
          <w:rFonts w:hint="eastAsia" w:eastAsia="仿宋_GB2312"/>
          <w:sz w:val="32"/>
        </w:rPr>
        <w:t>该项目自评得分为100分。该项目决策符合国家政策方针，项目预算执行进度推进有力，项目监督管控及时有效，项目资金支付合理合规。</w:t>
      </w:r>
      <w:r>
        <w:rPr>
          <w:rFonts w:hint="eastAsia" w:eastAsia="仿宋_GB2312"/>
          <w:sz w:val="32"/>
          <w:lang w:val="zh-CN"/>
        </w:rPr>
        <w:t>通过项目的实施，</w:t>
      </w:r>
      <w:r>
        <w:rPr>
          <w:rFonts w:hint="eastAsia" w:eastAsia="仿宋_GB2312"/>
          <w:sz w:val="32"/>
        </w:rPr>
        <w:t>给予</w:t>
      </w:r>
      <w:r>
        <w:rPr>
          <w:rFonts w:hint="eastAsia" w:eastAsia="仿宋_GB2312"/>
          <w:sz w:val="32"/>
          <w:lang w:val="zh-CN"/>
        </w:rPr>
        <w:t>因案件导致生活困难且无法通过诉讼或案件执行获得赔偿的当事人一定经济救助，有效</w:t>
      </w:r>
      <w:r>
        <w:rPr>
          <w:rFonts w:hint="eastAsia" w:eastAsia="仿宋_GB2312"/>
          <w:sz w:val="32"/>
        </w:rPr>
        <w:t>保障当事人合法权益，</w:t>
      </w:r>
      <w:r>
        <w:rPr>
          <w:rFonts w:hint="eastAsia" w:eastAsia="仿宋_GB2312"/>
          <w:sz w:val="32"/>
          <w:lang w:val="zh-CN"/>
        </w:rPr>
        <w:t>体现了司法对弱势群体的关爱，</w:t>
      </w:r>
      <w:r>
        <w:rPr>
          <w:rFonts w:hint="eastAsia" w:eastAsia="仿宋_GB2312"/>
          <w:sz w:val="32"/>
        </w:rPr>
        <w:t>营造健康向上的社会秩序</w:t>
      </w:r>
      <w:r>
        <w:rPr>
          <w:rFonts w:hint="eastAsia" w:eastAsia="仿宋_GB2312"/>
          <w:sz w:val="32"/>
          <w:lang w:val="zh-CN"/>
        </w:rPr>
        <w:t>，</w:t>
      </w:r>
      <w:r>
        <w:rPr>
          <w:rFonts w:hint="eastAsia" w:eastAsia="仿宋_GB2312"/>
          <w:sz w:val="32"/>
        </w:rPr>
        <w:t>维护了公平正义的社会环境。</w:t>
      </w: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eastAsia="zh-CN"/>
        </w:rPr>
      </w:pPr>
      <w:r>
        <w:rPr>
          <w:rFonts w:hint="eastAsia" w:ascii="黑体" w:hAnsi="宋体" w:eastAsia="黑体"/>
          <w:b/>
          <w:color w:val="auto"/>
          <w:sz w:val="32"/>
          <w:lang w:eastAsia="zh-CN"/>
        </w:rPr>
        <w:t>五、存在主要问题</w:t>
      </w:r>
    </w:p>
    <w:p>
      <w:pPr>
        <w:pStyle w:val="8"/>
        <w:numPr>
          <w:numId w:val="0"/>
        </w:numPr>
        <w:tabs>
          <w:tab w:val="left" w:pos="2160"/>
        </w:tabs>
        <w:spacing w:beforeLines="0" w:afterLines="0" w:line="360" w:lineRule="auto"/>
        <w:ind w:firstLine="640" w:firstLineChars="200"/>
        <w:rPr>
          <w:rFonts w:hint="eastAsia" w:ascii="黑体" w:hAnsi="黑体" w:eastAsia="黑体"/>
          <w:kern w:val="2"/>
          <w:sz w:val="32"/>
          <w:lang w:eastAsia="zh-CN"/>
        </w:rPr>
      </w:pPr>
      <w:r>
        <w:rPr>
          <w:rFonts w:hint="eastAsia" w:ascii="仿宋_GB2312" w:hAnsi="仿宋_GB2312" w:eastAsia="仿宋_GB2312"/>
          <w:sz w:val="32"/>
          <w:lang w:eastAsia="zh-CN"/>
        </w:rPr>
        <w:t>无。</w:t>
      </w: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val="zh-CN" w:eastAsia="zh-CN"/>
        </w:rPr>
      </w:pPr>
      <w:r>
        <w:rPr>
          <w:rFonts w:hint="eastAsia" w:ascii="黑体" w:hAnsi="宋体" w:eastAsia="黑体"/>
          <w:b/>
          <w:color w:val="auto"/>
          <w:sz w:val="32"/>
          <w:lang w:val="zh-CN" w:eastAsia="zh-CN"/>
        </w:rPr>
        <w:t>六、改进建议</w:t>
      </w:r>
    </w:p>
    <w:p>
      <w:pPr>
        <w:pStyle w:val="34"/>
        <w:widowControl/>
        <w:spacing w:before="0" w:beforeLines="0" w:after="0" w:afterLines="0" w:line="360" w:lineRule="auto"/>
        <w:ind w:firstLine="640" w:firstLineChars="200"/>
        <w:rPr>
          <w:rFonts w:hint="default" w:eastAsia="仿宋_GB2312"/>
          <w:sz w:val="32"/>
        </w:rPr>
      </w:pPr>
      <w:r>
        <w:rPr>
          <w:rFonts w:hint="eastAsia" w:ascii="仿宋_GB2312" w:hAnsi="仿宋_GB2312" w:eastAsia="仿宋_GB2312"/>
          <w:b w:val="0"/>
          <w:kern w:val="0"/>
          <w:sz w:val="32"/>
        </w:rPr>
        <w:t>无。</w:t>
      </w:r>
    </w:p>
    <w:p>
      <w:pPr>
        <w:pStyle w:val="36"/>
        <w:spacing w:beforeLines="0" w:afterLines="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四川省广元市中级人民法院</w:t>
      </w:r>
    </w:p>
    <w:p>
      <w:pPr>
        <w:pStyle w:val="36"/>
        <w:spacing w:beforeLines="0" w:afterLines="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2024年维修维护费专项预算项目</w:t>
      </w:r>
    </w:p>
    <w:p>
      <w:pPr>
        <w:pStyle w:val="36"/>
        <w:spacing w:beforeLines="0" w:afterLines="0"/>
        <w:jc w:val="center"/>
        <w:rPr>
          <w:rFonts w:hint="eastAsia" w:ascii="宋体" w:hAnsi="宋体"/>
          <w:b/>
          <w:color w:val="auto"/>
          <w:kern w:val="2"/>
          <w:sz w:val="32"/>
        </w:rPr>
      </w:pPr>
      <w:r>
        <w:rPr>
          <w:rFonts w:hint="eastAsia" w:ascii="黑体" w:hAnsi="黑体" w:eastAsia="黑体"/>
          <w:b/>
          <w:color w:val="auto"/>
          <w:kern w:val="2"/>
          <w:sz w:val="44"/>
          <w:lang w:val="en-US"/>
        </w:rPr>
        <w:t>绩效评价报告</w:t>
      </w:r>
    </w:p>
    <w:p>
      <w:pPr>
        <w:adjustRightInd w:val="0"/>
        <w:snapToGrid w:val="0"/>
        <w:spacing w:beforeLines="0" w:afterLines="0" w:line="360" w:lineRule="auto"/>
        <w:ind w:firstLine="643" w:firstLineChars="200"/>
        <w:rPr>
          <w:rFonts w:hint="eastAsia" w:ascii="黑体" w:hAnsi="宋体" w:eastAsia="黑体"/>
          <w:b/>
          <w:sz w:val="32"/>
          <w:lang w:val="zh-CN"/>
        </w:rPr>
      </w:pPr>
      <w:r>
        <w:rPr>
          <w:rFonts w:hint="eastAsia" w:ascii="黑体" w:hAnsi="宋体" w:eastAsia="黑体"/>
          <w:b/>
          <w:sz w:val="32"/>
        </w:rPr>
        <w:t>一、</w:t>
      </w:r>
      <w:r>
        <w:rPr>
          <w:rFonts w:hint="eastAsia" w:ascii="黑体" w:hAnsi="宋体" w:eastAsia="黑体"/>
          <w:b/>
          <w:sz w:val="32"/>
          <w:lang w:val="zh-CN"/>
        </w:rPr>
        <w:t>项目概况</w:t>
      </w:r>
    </w:p>
    <w:p>
      <w:pPr>
        <w:widowControl/>
        <w:numPr>
          <w:numId w:val="0"/>
        </w:numPr>
        <w:adjustRightInd w:val="0"/>
        <w:snapToGrid w:val="0"/>
        <w:spacing w:beforeLines="0" w:afterLines="0" w:line="360" w:lineRule="auto"/>
        <w:ind w:firstLine="643" w:firstLineChars="200"/>
        <w:jc w:val="left"/>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（一）设立背景及基本情况。</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广元市</w:t>
      </w:r>
      <w:r>
        <w:rPr>
          <w:rFonts w:hint="eastAsia" w:eastAsia="仿宋_GB2312"/>
          <w:sz w:val="32"/>
        </w:rPr>
        <w:t>中级人民法院是独立核算的一级预算部门，</w:t>
      </w:r>
      <w:r>
        <w:rPr>
          <w:rFonts w:hint="eastAsia" w:eastAsia="仿宋_GB2312"/>
          <w:sz w:val="32"/>
          <w:lang w:val="zh-CN"/>
        </w:rPr>
        <w:t>负责维修维护费项目年初预算的编制和绩效目标的设置，确保项目预算的科学性、合理性、可行性；负责推进项目执行以及项目实施过程管理，包括项目进度监控、成本控制、风险预警、资金支付、财务核算等；项目完成后的决算编审、绩效目标考核和项目自评，以及其他与项目相关工作。</w:t>
      </w:r>
    </w:p>
    <w:p>
      <w:pPr>
        <w:adjustRightInd w:val="0"/>
        <w:snapToGrid w:val="0"/>
        <w:spacing w:beforeLines="0" w:afterLines="0" w:line="360" w:lineRule="auto"/>
        <w:ind w:firstLine="640" w:firstLineChars="200"/>
        <w:rPr>
          <w:rFonts w:hint="eastAsia"/>
          <w:sz w:val="32"/>
          <w:lang w:val="zh-CN"/>
        </w:rPr>
      </w:pPr>
      <w:r>
        <w:rPr>
          <w:rFonts w:hint="eastAsia" w:ascii="仿宋_GB2312" w:hAnsi="仿宋_GB2312" w:eastAsia="仿宋_GB2312"/>
          <w:sz w:val="32"/>
        </w:rPr>
        <w:t>我院办公大楼于2009年修建并验收合格投入使用，使用年限已超过10年，房屋及建筑物存在部分老化，需保障机关大楼内外墙、防水、审判法庭、地下室、办公区等的各项维修维护。保障日常办公办案设备如电脑、打印机、复印机、审判法庭设施设备等的维修维护，为案件办理和执行等各项工作提供重要后勤保障。</w:t>
      </w:r>
    </w:p>
    <w:p>
      <w:pPr>
        <w:numPr>
          <w:numId w:val="0"/>
        </w:numPr>
        <w:adjustRightInd w:val="0"/>
        <w:snapToGrid w:val="0"/>
        <w:spacing w:beforeLines="0" w:afterLines="0" w:line="360" w:lineRule="auto"/>
        <w:rPr>
          <w:rFonts w:hint="eastAsia" w:ascii="楷体_GB2312" w:hAnsi="宋体" w:eastAsia="楷体_GB2312"/>
          <w:b/>
          <w:color w:val="auto"/>
          <w:sz w:val="32"/>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（二）</w:t>
      </w:r>
      <w:r>
        <w:rPr>
          <w:rFonts w:hint="eastAsia" w:ascii="楷体_GB2312" w:hAnsi="宋体" w:eastAsia="楷体_GB2312"/>
          <w:b/>
          <w:color w:val="auto"/>
          <w:sz w:val="32"/>
        </w:rPr>
        <w:t>实施目的及支持方向。</w:t>
      </w:r>
    </w:p>
    <w:p>
      <w:pPr>
        <w:adjustRightInd w:val="0"/>
        <w:snapToGrid w:val="0"/>
        <w:spacing w:beforeLines="0" w:afterLines="0" w:line="360" w:lineRule="auto"/>
        <w:ind w:firstLine="640" w:firstLineChars="200"/>
        <w:rPr>
          <w:rFonts w:hint="eastAsia"/>
          <w:sz w:val="32"/>
          <w:lang w:val="zh-CN"/>
        </w:rPr>
      </w:pPr>
      <w:r>
        <w:rPr>
          <w:rFonts w:hint="eastAsia" w:ascii="仿宋_GB2312" w:hAnsi="仿宋_GB2312" w:eastAsia="仿宋_GB2312"/>
          <w:color w:val="auto"/>
          <w:kern w:val="0"/>
          <w:sz w:val="32"/>
          <w:shd w:val="clear" w:color="auto" w:fill="FFFFFF"/>
        </w:rPr>
        <w:t xml:space="preserve"> </w:t>
      </w:r>
      <w:r>
        <w:rPr>
          <w:rFonts w:hint="eastAsia" w:eastAsia="仿宋_GB2312"/>
          <w:sz w:val="32"/>
          <w:lang w:val="zh-CN"/>
        </w:rPr>
        <w:t>维修维护费项目经费预算编制立足上年项目执行情况和当年工作实际，绩效目标和项目指标编制科学、合理。</w:t>
      </w:r>
    </w:p>
    <w:p>
      <w:pPr>
        <w:adjustRightInd w:val="0"/>
        <w:snapToGrid w:val="0"/>
        <w:spacing w:beforeLines="0" w:afterLines="0" w:line="360" w:lineRule="auto"/>
        <w:ind w:firstLine="640" w:firstLineChars="200"/>
        <w:rPr>
          <w:rFonts w:hint="eastAsia" w:ascii="仿宋_GB2312" w:hAnsi="宋体" w:eastAsia="仿宋_GB2312"/>
          <w:sz w:val="32"/>
          <w:lang w:val="zh-CN"/>
        </w:rPr>
      </w:pPr>
      <w:r>
        <w:rPr>
          <w:rFonts w:hint="eastAsia" w:eastAsia="仿宋_GB2312"/>
          <w:sz w:val="32"/>
          <w:lang w:val="zh-CN"/>
        </w:rPr>
        <w:t>项目资金来源系财政全额拨款的一般公共预算资金，按照我院财务管理办法及专项资金管理细则，实行专款专用。项目的所有经费开支均经过项目责任人、财务负责人、分管院领导的审批签字，并在对应的科目进行专项核算。</w:t>
      </w:r>
    </w:p>
    <w:p>
      <w:pPr>
        <w:widowControl/>
        <w:numPr>
          <w:numId w:val="0"/>
        </w:numPr>
        <w:adjustRightInd w:val="0"/>
        <w:snapToGrid w:val="0"/>
        <w:spacing w:beforeLines="0" w:afterLines="0" w:line="360" w:lineRule="auto"/>
        <w:jc w:val="left"/>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（三）</w:t>
      </w:r>
      <w:r>
        <w:rPr>
          <w:rFonts w:hint="eastAsia" w:ascii="楷体_GB2312" w:hAnsi="宋体" w:eastAsia="楷体_GB2312"/>
          <w:b/>
          <w:color w:val="auto"/>
          <w:sz w:val="32"/>
        </w:rPr>
        <w:t>预算安排及分配管理</w:t>
      </w:r>
      <w:r>
        <w:rPr>
          <w:rFonts w:hint="eastAsia" w:ascii="楷体_GB2312" w:hAnsi="宋体" w:eastAsia="楷体_GB2312"/>
          <w:b/>
          <w:color w:val="auto"/>
          <w:sz w:val="32"/>
          <w:lang w:val="zh-CN"/>
        </w:rPr>
        <w:t>。</w:t>
      </w:r>
    </w:p>
    <w:p>
      <w:pPr>
        <w:widowControl/>
        <w:numPr>
          <w:numId w:val="0"/>
        </w:numPr>
        <w:adjustRightInd w:val="0"/>
        <w:snapToGrid w:val="0"/>
        <w:spacing w:beforeLines="0" w:afterLines="0" w:line="360" w:lineRule="auto"/>
        <w:ind w:firstLine="640" w:firstLineChars="200"/>
        <w:jc w:val="left"/>
        <w:rPr>
          <w:rFonts w:hint="eastAsia" w:ascii="仿宋_GB2312" w:hAnsi="仿宋_GB2312" w:eastAsia="仿宋_GB2312"/>
          <w:color w:val="auto"/>
          <w:kern w:val="0"/>
          <w:sz w:val="32"/>
          <w:shd w:val="clear" w:color="auto" w:fill="FFFFFF"/>
          <w:lang w:val="zh-CN"/>
        </w:rPr>
      </w:pPr>
      <w:r>
        <w:rPr>
          <w:rFonts w:hint="eastAsia" w:eastAsia="仿宋_GB2312"/>
          <w:sz w:val="32"/>
          <w:lang w:val="zh-CN"/>
        </w:rPr>
        <w:t>维修维护费项目</w:t>
      </w:r>
      <w:r>
        <w:rPr>
          <w:rFonts w:hint="eastAsia" w:eastAsia="仿宋_GB2312"/>
          <w:sz w:val="32"/>
        </w:rPr>
        <w:t>报送人代会通过后批复</w:t>
      </w:r>
      <w:r>
        <w:rPr>
          <w:rFonts w:hint="eastAsia" w:ascii="仿宋_GB2312" w:hAnsi="仿宋_GB2312" w:eastAsia="仿宋_GB2312"/>
          <w:color w:val="auto"/>
          <w:kern w:val="0"/>
          <w:sz w:val="32"/>
          <w:shd w:val="clear" w:color="auto" w:fill="FFFFFF"/>
          <w:lang w:val="zh-CN"/>
        </w:rPr>
        <w:t>预算为一般</w:t>
      </w:r>
      <w:r>
        <w:rPr>
          <w:rFonts w:hint="eastAsia" w:eastAsia="仿宋_GB2312"/>
          <w:sz w:val="32"/>
          <w:lang w:val="zh-CN"/>
        </w:rPr>
        <w:t>公共预算资金</w:t>
      </w:r>
      <w:r>
        <w:rPr>
          <w:rFonts w:hint="eastAsia" w:eastAsia="仿宋_GB2312"/>
          <w:sz w:val="32"/>
        </w:rPr>
        <w:t>50万元，</w:t>
      </w:r>
      <w:r>
        <w:rPr>
          <w:rFonts w:hint="eastAsia" w:eastAsia="仿宋_GB2312"/>
          <w:sz w:val="32"/>
          <w:lang w:val="zh-CN"/>
        </w:rPr>
        <w:t>资金分配严格按照预算安排，主要用于保障办公大楼及办公设施设备临时维修，定期检修，并及时维修和更换废旧设施设备，维护正常办公办案环境</w:t>
      </w:r>
      <w:r>
        <w:rPr>
          <w:rFonts w:hint="eastAsia" w:ascii="仿宋_GB2312" w:hAnsi="仿宋_GB2312" w:eastAsia="仿宋_GB2312"/>
          <w:color w:val="auto"/>
          <w:kern w:val="0"/>
          <w:sz w:val="32"/>
          <w:shd w:val="clear" w:color="auto" w:fill="FFFFFF"/>
          <w:lang w:val="zh-CN"/>
        </w:rPr>
        <w:t>。</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（四）</w:t>
      </w:r>
      <w:r>
        <w:rPr>
          <w:rFonts w:hint="eastAsia" w:ascii="楷体_GB2312" w:hAnsi="宋体" w:eastAsia="楷体_GB2312"/>
          <w:b/>
          <w:color w:val="auto"/>
          <w:sz w:val="32"/>
          <w:lang w:val="zh-CN"/>
        </w:rPr>
        <w:t>项目绩效目标设置。</w:t>
      </w:r>
    </w:p>
    <w:p>
      <w:pPr>
        <w:adjustRightInd w:val="0"/>
        <w:snapToGrid w:val="0"/>
        <w:spacing w:beforeLines="0" w:afterLines="0" w:line="360" w:lineRule="auto"/>
        <w:ind w:firstLine="640" w:firstLineChars="200"/>
        <w:rPr>
          <w:rFonts w:hint="eastAsia" w:eastAsia="仿宋_GB2312"/>
          <w:sz w:val="32"/>
          <w:lang w:val="zh-CN"/>
        </w:rPr>
      </w:pPr>
      <w:r>
        <w:rPr>
          <w:rFonts w:hint="eastAsia" w:eastAsia="仿宋_GB2312"/>
          <w:sz w:val="32"/>
        </w:rPr>
        <w:t>2024年度</w:t>
      </w:r>
      <w:r>
        <w:rPr>
          <w:rFonts w:hint="eastAsia" w:eastAsia="仿宋_GB2312"/>
          <w:sz w:val="32"/>
          <w:lang w:val="zh-CN"/>
        </w:rPr>
        <w:t>维修维护费项目主要是保障</w:t>
      </w:r>
      <w:r>
        <w:rPr>
          <w:rFonts w:hint="eastAsia" w:eastAsia="仿宋_GB2312"/>
          <w:sz w:val="32"/>
        </w:rPr>
        <w:t>保障办公设施设备和审判楼的定期维修维护，营造了安全、整洁、有序的办公办案环境，畅通了当事人诉求渠道，提升了其办事效率，有利于维护当事人合法权益。</w:t>
      </w:r>
    </w:p>
    <w:p>
      <w:pPr>
        <w:adjustRightInd w:val="0"/>
        <w:snapToGrid w:val="0"/>
        <w:spacing w:beforeLines="0" w:afterLines="0" w:line="360" w:lineRule="auto"/>
        <w:ind w:firstLine="640" w:firstLineChars="200"/>
        <w:rPr>
          <w:rFonts w:hint="eastAsia" w:eastAsia="仿宋_GB2312"/>
          <w:sz w:val="32"/>
          <w:lang w:val="zh-CN"/>
        </w:rPr>
      </w:pPr>
      <w:r>
        <w:rPr>
          <w:rFonts w:hint="eastAsia" w:eastAsia="仿宋_GB2312"/>
          <w:sz w:val="32"/>
          <w:lang w:val="zh-CN"/>
        </w:rPr>
        <w:t>该项目预算执行情况自评权重为</w:t>
      </w:r>
      <w:r>
        <w:rPr>
          <w:rFonts w:hint="eastAsia" w:eastAsia="仿宋_GB2312"/>
          <w:sz w:val="32"/>
        </w:rPr>
        <w:t>10%，满分为10分，其余产出指标、效益指标、成本指标，满意度指标绩效目标设置权重为90%，具体明细见下表：</w:t>
      </w:r>
    </w:p>
    <w:tbl>
      <w:tblPr>
        <w:tblStyle w:val="25"/>
        <w:tblW w:w="847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64"/>
        <w:gridCol w:w="1059"/>
        <w:gridCol w:w="2814"/>
        <w:gridCol w:w="804"/>
        <w:gridCol w:w="719"/>
        <w:gridCol w:w="839"/>
        <w:gridCol w:w="696"/>
        <w:gridCol w:w="6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864"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绩效指标（90分）</w:t>
            </w:r>
          </w:p>
        </w:tc>
        <w:tc>
          <w:tcPr>
            <w:tcW w:w="105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一级指标</w:t>
            </w:r>
          </w:p>
        </w:tc>
        <w:tc>
          <w:tcPr>
            <w:tcW w:w="281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二级指标</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三级指标</w:t>
            </w:r>
          </w:p>
        </w:tc>
        <w:tc>
          <w:tcPr>
            <w:tcW w:w="71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指标性质</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指标值</w:t>
            </w:r>
          </w:p>
        </w:tc>
        <w:tc>
          <w:tcPr>
            <w:tcW w:w="6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度量单位</w:t>
            </w: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864"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059"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产出指标</w:t>
            </w:r>
          </w:p>
        </w:tc>
        <w:tc>
          <w:tcPr>
            <w:tcW w:w="281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数量指标</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开展维修维护具体次数</w:t>
            </w:r>
          </w:p>
        </w:tc>
        <w:tc>
          <w:tcPr>
            <w:tcW w:w="71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c>
          <w:tcPr>
            <w:tcW w:w="6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次</w:t>
            </w: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10" w:hRule="atLeast"/>
          <w:jc w:val="center"/>
        </w:trPr>
        <w:tc>
          <w:tcPr>
            <w:tcW w:w="864"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059"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281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质量指标</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项目验收合格率</w:t>
            </w:r>
          </w:p>
        </w:tc>
        <w:tc>
          <w:tcPr>
            <w:tcW w:w="71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100</w:t>
            </w:r>
          </w:p>
        </w:tc>
        <w:tc>
          <w:tcPr>
            <w:tcW w:w="6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864"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059"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281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时效指标</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该项目完成时限</w:t>
            </w:r>
          </w:p>
        </w:tc>
        <w:tc>
          <w:tcPr>
            <w:tcW w:w="71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w:t>
            </w:r>
          </w:p>
        </w:tc>
        <w:tc>
          <w:tcPr>
            <w:tcW w:w="6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年</w:t>
            </w: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864"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059"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效益指标</w:t>
            </w:r>
          </w:p>
        </w:tc>
        <w:tc>
          <w:tcPr>
            <w:tcW w:w="281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社会效益指标</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保障我院审判、执行等各项工作正常开展，畅通当事人诉求及维权渠道。</w:t>
            </w:r>
          </w:p>
        </w:tc>
        <w:tc>
          <w:tcPr>
            <w:tcW w:w="71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6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864"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059"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281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可持续影响指标</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维护正常办公、办案秩序和司法环境，提升固定资金使用效益。</w:t>
            </w:r>
          </w:p>
        </w:tc>
        <w:tc>
          <w:tcPr>
            <w:tcW w:w="71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6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864"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05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满意度指标</w:t>
            </w:r>
          </w:p>
        </w:tc>
        <w:tc>
          <w:tcPr>
            <w:tcW w:w="281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服务对象满意度指标</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法院干警对设备使用满意度</w:t>
            </w:r>
          </w:p>
        </w:tc>
        <w:tc>
          <w:tcPr>
            <w:tcW w:w="71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90</w:t>
            </w:r>
          </w:p>
        </w:tc>
        <w:tc>
          <w:tcPr>
            <w:tcW w:w="6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864"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05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成本指标</w:t>
            </w:r>
          </w:p>
        </w:tc>
        <w:tc>
          <w:tcPr>
            <w:tcW w:w="281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经济成本指标</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项目总成本</w:t>
            </w:r>
          </w:p>
        </w:tc>
        <w:tc>
          <w:tcPr>
            <w:tcW w:w="71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50</w:t>
            </w:r>
          </w:p>
        </w:tc>
        <w:tc>
          <w:tcPr>
            <w:tcW w:w="6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万元</w:t>
            </w: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20</w:t>
            </w:r>
          </w:p>
        </w:tc>
      </w:tr>
    </w:tbl>
    <w:p>
      <w:pPr>
        <w:pStyle w:val="2"/>
        <w:numPr>
          <w:numId w:val="0"/>
        </w:numPr>
        <w:spacing w:beforeLines="0" w:after="0" w:afterLines="0" w:line="360" w:lineRule="auto"/>
        <w:ind w:left="0" w:leftChars="0" w:firstLine="640"/>
        <w:rPr>
          <w:rFonts w:hint="eastAsia" w:eastAsia="仿宋_GB2312"/>
          <w:sz w:val="32"/>
          <w:lang w:val="zh-CN"/>
        </w:rPr>
      </w:pPr>
      <w:r>
        <w:rPr>
          <w:rFonts w:hint="eastAsia" w:eastAsia="仿宋_GB2312"/>
          <w:sz w:val="32"/>
          <w:lang w:val="zh-CN"/>
        </w:rPr>
        <w:t>我院对于该项目的申报内容与实际业务的开展相关且符合工作实际，申报的绩效目标易于考核，合理可行，操作性强。项目绩效自评采用中期监控和年终绩效考核相结合的方式进行。项目绩效自评由项目实施的项目部门行装处报送年度内具体工作开展情况，并对项目的实施情况总结并自评，督察室监督审核工作的完成进度并进行项目验收，行装处负责统计相关项目工作的资金支付情况，并通过共同研讨、数据对比等方法对该项目进行自评打分。</w:t>
      </w:r>
    </w:p>
    <w:p>
      <w:pPr>
        <w:adjustRightInd w:val="0"/>
        <w:snapToGrid w:val="0"/>
        <w:spacing w:beforeLines="0" w:afterLines="0" w:line="360" w:lineRule="auto"/>
        <w:ind w:firstLine="643" w:firstLineChars="200"/>
        <w:rPr>
          <w:rFonts w:hint="eastAsia" w:ascii="黑体" w:hAnsi="宋体" w:eastAsia="黑体"/>
          <w:b/>
          <w:sz w:val="32"/>
        </w:rPr>
      </w:pPr>
      <w:r>
        <w:rPr>
          <w:rFonts w:hint="eastAsia" w:ascii="黑体" w:hAnsi="宋体" w:eastAsia="黑体"/>
          <w:b/>
          <w:sz w:val="32"/>
        </w:rPr>
        <w:t>二、评价实施</w:t>
      </w:r>
    </w:p>
    <w:p>
      <w:pPr>
        <w:spacing w:beforeLines="0" w:afterLines="0" w:line="360" w:lineRule="auto"/>
        <w:ind w:firstLine="640"/>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（一）评价目的。</w:t>
      </w:r>
    </w:p>
    <w:p>
      <w:pPr>
        <w:spacing w:beforeLines="0" w:afterLines="0" w:line="360" w:lineRule="auto"/>
        <w:ind w:firstLine="640"/>
        <w:rPr>
          <w:rFonts w:hint="eastAsia"/>
          <w:sz w:val="32"/>
        </w:rPr>
      </w:pPr>
      <w:r>
        <w:rPr>
          <w:rFonts w:hint="eastAsia" w:eastAsia="仿宋_GB2312"/>
          <w:sz w:val="32"/>
        </w:rPr>
        <w:t>通过项目绩效自评要实现对维修维护费</w:t>
      </w:r>
      <w:r>
        <w:rPr>
          <w:rFonts w:hint="eastAsia" w:eastAsia="仿宋_GB2312"/>
          <w:sz w:val="32"/>
          <w:lang w:val="zh-CN"/>
        </w:rPr>
        <w:t>项目资金效益的监督及项目目标实现度的管理，促进财政资金发挥更大的效益，</w:t>
      </w:r>
      <w:r>
        <w:rPr>
          <w:rFonts w:hint="eastAsia" w:eastAsia="仿宋_GB2312"/>
          <w:sz w:val="32"/>
        </w:rPr>
        <w:t>营造了安全、整洁、有序的办公办案环境，</w:t>
      </w:r>
      <w:r>
        <w:rPr>
          <w:rFonts w:hint="eastAsia" w:eastAsia="仿宋_GB2312"/>
          <w:sz w:val="32"/>
          <w:lang w:val="zh-CN"/>
        </w:rPr>
        <w:t>推动审判执行工作顺利开展</w:t>
      </w:r>
      <w:r>
        <w:rPr>
          <w:rFonts w:hint="eastAsia" w:eastAsia="仿宋_GB2312"/>
          <w:sz w:val="32"/>
        </w:rPr>
        <w:t>。</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（二）预设问题及评价重点。</w:t>
      </w:r>
    </w:p>
    <w:p>
      <w:pPr>
        <w:numPr>
          <w:numId w:val="0"/>
        </w:numPr>
        <w:adjustRightInd w:val="0"/>
        <w:snapToGrid w:val="0"/>
        <w:spacing w:beforeLines="0" w:afterLines="0" w:line="360" w:lineRule="auto"/>
        <w:rPr>
          <w:rFonts w:hint="eastAsia"/>
          <w:sz w:val="32"/>
          <w:lang w:val="zh-CN"/>
        </w:rPr>
      </w:pPr>
      <w:r>
        <w:rPr>
          <w:rFonts w:hint="eastAsia" w:eastAsia="仿宋_GB2312"/>
          <w:sz w:val="32"/>
        </w:rPr>
        <w:t xml:space="preserve">    </w:t>
      </w:r>
      <w:r>
        <w:rPr>
          <w:rFonts w:hint="eastAsia" w:eastAsia="仿宋_GB2312"/>
          <w:sz w:val="32"/>
          <w:lang w:val="zh-CN"/>
        </w:rPr>
        <w:t>该项目资金为一般公共预算财政拨款收入安排，市财政局通过预算对我院下达此专项资金</w:t>
      </w:r>
      <w:r>
        <w:rPr>
          <w:rFonts w:hint="eastAsia" w:eastAsia="仿宋_GB2312"/>
          <w:sz w:val="32"/>
        </w:rPr>
        <w:t>50万元，</w:t>
      </w:r>
      <w:r>
        <w:rPr>
          <w:rFonts w:hint="eastAsia" w:eastAsia="仿宋_GB2312"/>
          <w:sz w:val="32"/>
          <w:lang w:val="zh-CN"/>
        </w:rPr>
        <w:t>资金及时到位，资金到位率100%，到位及时率100%，预算执行率</w:t>
      </w:r>
      <w:r>
        <w:rPr>
          <w:rFonts w:hint="eastAsia" w:eastAsia="仿宋_GB2312"/>
          <w:sz w:val="32"/>
        </w:rPr>
        <w:t>100%。顺利完成了该项目的实施和资金支付。</w:t>
      </w:r>
      <w:r>
        <w:rPr>
          <w:rFonts w:hint="eastAsia" w:eastAsia="仿宋_GB2312"/>
          <w:sz w:val="32"/>
          <w:lang w:val="zh-CN"/>
        </w:rPr>
        <w:t>项目实行专项核算，资金支付合规、合法，无超预算和范围支付情况，无截留、挤占、挪用专项资金现象，无虚列项目成本、无进行大额现金支付现象，项目资金使用均按规定标准执行。</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（三）</w:t>
      </w:r>
      <w:r>
        <w:rPr>
          <w:rFonts w:hint="eastAsia" w:ascii="楷体_GB2312" w:hAnsi="宋体" w:eastAsia="楷体_GB2312"/>
          <w:b/>
          <w:color w:val="auto"/>
          <w:sz w:val="32"/>
          <w:lang w:val="zh-CN"/>
        </w:rPr>
        <w:t>评价选点。</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rPr>
        <w:t>维修维护</w:t>
      </w:r>
      <w:r>
        <w:rPr>
          <w:rFonts w:hint="eastAsia" w:eastAsia="仿宋_GB2312"/>
          <w:sz w:val="32"/>
          <w:lang w:val="zh-CN"/>
        </w:rPr>
        <w:t>项目绩效自评分别抽取</w:t>
      </w:r>
      <w:r>
        <w:rPr>
          <w:rFonts w:hint="eastAsia" w:eastAsia="仿宋_GB2312"/>
          <w:sz w:val="32"/>
        </w:rPr>
        <w:t>四个季度的大额维修记录及相关资料，并调取零星维修的清单，核查资金使用合规性等</w:t>
      </w:r>
      <w:r>
        <w:rPr>
          <w:rFonts w:hint="eastAsia" w:eastAsia="仿宋_GB2312"/>
          <w:sz w:val="32"/>
          <w:lang w:val="zh-CN"/>
        </w:rPr>
        <w:t>。</w:t>
      </w:r>
    </w:p>
    <w:p>
      <w:pPr>
        <w:numPr>
          <w:numId w:val="0"/>
        </w:num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（四）</w:t>
      </w:r>
      <w:r>
        <w:rPr>
          <w:rFonts w:hint="eastAsia" w:ascii="楷体_GB2312" w:hAnsi="宋体" w:eastAsia="楷体_GB2312"/>
          <w:b/>
          <w:color w:val="auto"/>
          <w:sz w:val="32"/>
          <w:lang w:val="zh-CN"/>
        </w:rPr>
        <w:t>评价方法。</w:t>
      </w:r>
    </w:p>
    <w:p>
      <w:pPr>
        <w:numPr>
          <w:numId w:val="0"/>
        </w:numPr>
        <w:spacing w:beforeLines="0" w:afterLines="0" w:line="360" w:lineRule="auto"/>
        <w:rPr>
          <w:rFonts w:hint="eastAsia" w:eastAsia="仿宋_GB2312"/>
          <w:sz w:val="32"/>
        </w:rPr>
      </w:pPr>
      <w:r>
        <w:rPr>
          <w:rFonts w:hint="eastAsia" w:eastAsia="仿宋_GB2312"/>
          <w:sz w:val="32"/>
        </w:rPr>
        <w:t xml:space="preserve">    根据项目情况和评价重点，采用单位自评法、座谈调研法用来收集相关材料和开展具体评价的方法。</w:t>
      </w:r>
    </w:p>
    <w:p>
      <w:p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rPr>
        <w:t xml:space="preserve">   </w:t>
      </w:r>
      <w:r>
        <w:rPr>
          <w:rFonts w:hint="eastAsia" w:ascii="楷体_GB2312" w:hAnsi="宋体" w:eastAsia="楷体_GB2312"/>
          <w:b/>
          <w:color w:val="auto"/>
          <w:sz w:val="32"/>
          <w:lang w:val="zh-CN"/>
        </w:rPr>
        <w:t>（五）评价组织。</w:t>
      </w:r>
    </w:p>
    <w:p>
      <w:pPr>
        <w:numPr>
          <w:numId w:val="0"/>
        </w:numPr>
        <w:adjustRightInd w:val="0"/>
        <w:snapToGrid w:val="0"/>
        <w:spacing w:beforeLines="0" w:afterLines="0" w:line="360" w:lineRule="auto"/>
        <w:ind w:firstLine="640" w:firstLineChars="200"/>
        <w:rPr>
          <w:rFonts w:hint="eastAsia"/>
          <w:sz w:val="32"/>
        </w:rPr>
      </w:pPr>
      <w:r>
        <w:rPr>
          <w:rFonts w:hint="eastAsia" w:eastAsia="仿宋_GB2312"/>
          <w:sz w:val="32"/>
        </w:rPr>
        <w:t>绩效评价领导小组以常务副院长为组长，各业务部门、行装处、督查室部门领导为组员组成；绩效评价工作小组由各部门内勤及财务人员组成。采取“谁申报项目，谁负责绩效评价”的原则，由项目部门行装处牵头，召集工作小组对项目进行初评，然后呈报至领导小组复核。根据财政专项项目管理办法及财政资金管理要求，由院内督察室进行定期监督，做到了专款专用，执行有力，且没有超预算和范围、违规报销行为，没有滞留、截流、挤占、挪用项目资金的现象。</w:t>
      </w:r>
    </w:p>
    <w:p>
      <w:pPr>
        <w:adjustRightInd w:val="0"/>
        <w:snapToGrid w:val="0"/>
        <w:spacing w:beforeLines="0" w:afterLines="0" w:line="360" w:lineRule="auto"/>
        <w:ind w:firstLine="643" w:firstLineChars="200"/>
        <w:rPr>
          <w:rFonts w:hint="eastAsia" w:ascii="仿宋_GB2312" w:hAnsi="宋体" w:eastAsia="仿宋_GB2312"/>
          <w:b/>
          <w:color w:val="auto"/>
          <w:sz w:val="32"/>
          <w:lang w:val="zh-CN"/>
        </w:rPr>
      </w:pPr>
      <w:r>
        <w:rPr>
          <w:rFonts w:hint="eastAsia" w:ascii="黑体" w:hAnsi="宋体" w:eastAsia="黑体"/>
          <w:b/>
          <w:color w:val="auto"/>
          <w:sz w:val="32"/>
        </w:rPr>
        <w:t>三、绩效分析</w:t>
      </w:r>
      <w:r>
        <w:rPr>
          <w:rFonts w:hint="eastAsia" w:ascii="仿宋_GB2312" w:hAnsi="宋体" w:eastAsia="仿宋_GB2312"/>
          <w:b/>
          <w:color w:val="auto"/>
          <w:sz w:val="32"/>
          <w:lang w:val="zh-CN"/>
        </w:rPr>
        <w:tab/>
      </w:r>
    </w:p>
    <w:p>
      <w:pPr>
        <w:spacing w:beforeLines="0" w:afterLines="0" w:line="360" w:lineRule="auto"/>
        <w:ind w:firstLine="640"/>
        <w:rPr>
          <w:rFonts w:hint="eastAsia" w:ascii="楷体_GB2312" w:hAnsi="宋体" w:eastAsia="楷体_GB2312"/>
          <w:b/>
          <w:color w:val="auto"/>
          <w:sz w:val="32"/>
        </w:rPr>
      </w:pPr>
      <w:r>
        <w:rPr>
          <w:rFonts w:hint="eastAsia" w:ascii="楷体_GB2312" w:hAnsi="宋体" w:eastAsia="楷体_GB2312"/>
          <w:b/>
          <w:color w:val="auto"/>
          <w:sz w:val="32"/>
          <w:lang w:val="zh-CN"/>
        </w:rPr>
        <w:t>（一）</w:t>
      </w:r>
      <w:r>
        <w:rPr>
          <w:rFonts w:hint="eastAsia" w:ascii="楷体_GB2312" w:hAnsi="宋体" w:eastAsia="楷体_GB2312"/>
          <w:b/>
          <w:color w:val="auto"/>
          <w:sz w:val="32"/>
        </w:rPr>
        <w:t>通用指标</w:t>
      </w:r>
      <w:r>
        <w:rPr>
          <w:rFonts w:hint="eastAsia" w:eastAsia="楷体_GB2312"/>
          <w:b/>
          <w:color w:val="000000"/>
          <w:kern w:val="0"/>
          <w:sz w:val="32"/>
          <w:shd w:val="clear" w:color="auto" w:fill="FFFFFF"/>
          <w:lang w:val="zh-CN"/>
        </w:rPr>
        <w:t>绩效得分</w:t>
      </w:r>
      <w:r>
        <w:rPr>
          <w:rFonts w:hint="eastAsia" w:eastAsia="楷体_GB2312"/>
          <w:b/>
          <w:color w:val="000000"/>
          <w:kern w:val="0"/>
          <w:sz w:val="32"/>
          <w:shd w:val="clear" w:color="auto" w:fill="FFFFFF"/>
        </w:rPr>
        <w:t>54分</w:t>
      </w:r>
      <w:r>
        <w:rPr>
          <w:rFonts w:hint="eastAsia" w:eastAsia="楷体_GB2312"/>
          <w:b/>
          <w:color w:val="000000"/>
          <w:kern w:val="0"/>
          <w:sz w:val="32"/>
          <w:shd w:val="clear" w:color="auto" w:fill="FFFFFF"/>
          <w:lang w:val="zh-CN"/>
        </w:rPr>
        <w:t>。</w:t>
      </w:r>
    </w:p>
    <w:p>
      <w:p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1.项目决策评分为18分。</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决策程序：</w:t>
      </w:r>
      <w:r>
        <w:rPr>
          <w:rFonts w:hint="eastAsia" w:eastAsia="仿宋_GB2312"/>
          <w:sz w:val="32"/>
        </w:rPr>
        <w:t>根据</w:t>
      </w:r>
      <w:r>
        <w:rPr>
          <w:rFonts w:hint="eastAsia" w:eastAsia="仿宋_GB2312"/>
          <w:sz w:val="32"/>
          <w:lang w:val="zh-CN"/>
        </w:rPr>
        <w:t>我院行政运行实际</w:t>
      </w:r>
      <w:r>
        <w:rPr>
          <w:rFonts w:hint="eastAsia" w:eastAsia="仿宋_GB2312"/>
          <w:sz w:val="32"/>
        </w:rPr>
        <w:t>，</w:t>
      </w:r>
      <w:r>
        <w:rPr>
          <w:rFonts w:hint="eastAsia" w:eastAsia="仿宋_GB2312"/>
          <w:sz w:val="32"/>
          <w:lang w:val="zh-CN"/>
        </w:rPr>
        <w:t>项目设立有必要，立项依据充分，</w:t>
      </w:r>
      <w:r>
        <w:rPr>
          <w:rFonts w:hint="eastAsia" w:eastAsia="仿宋_GB2312"/>
          <w:sz w:val="32"/>
        </w:rPr>
        <w:t>安排</w:t>
      </w:r>
      <w:r>
        <w:rPr>
          <w:rFonts w:hint="eastAsia" w:eastAsia="仿宋_GB2312"/>
          <w:sz w:val="32"/>
          <w:lang w:val="zh-CN"/>
        </w:rPr>
        <w:t>项目资金预算</w:t>
      </w:r>
      <w:r>
        <w:rPr>
          <w:rFonts w:hint="eastAsia" w:eastAsia="仿宋_GB2312"/>
          <w:sz w:val="32"/>
        </w:rPr>
        <w:t>50</w:t>
      </w:r>
      <w:r>
        <w:rPr>
          <w:rFonts w:hint="eastAsia" w:eastAsia="仿宋_GB2312"/>
          <w:sz w:val="32"/>
          <w:lang w:val="zh-CN"/>
        </w:rPr>
        <w:t>万元合理，符合资金管理基本规范和决策程序要求，故该项评分为</w:t>
      </w:r>
      <w:r>
        <w:rPr>
          <w:rFonts w:hint="eastAsia" w:eastAsia="仿宋_GB2312"/>
          <w:sz w:val="32"/>
        </w:rPr>
        <w:t>6分</w:t>
      </w:r>
      <w:r>
        <w:rPr>
          <w:rFonts w:hint="eastAsia" w:eastAsia="仿宋_GB2312"/>
          <w:sz w:val="32"/>
          <w:lang w:val="zh-CN"/>
        </w:rPr>
        <w:t>。</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规划论证：该项目规划符合法院主运行和管理目标定位，预算申报前，充分征求了行装处、物业管理相关人员意见，论证了项目必要性、前瞻性、合理性和可行性，调研了各部门维修维护需求，项目总体绩效目标设置合理，绩效目标规范完整、量化细化，预算匹配度较好，故此项评分为</w:t>
      </w:r>
      <w:r>
        <w:rPr>
          <w:rFonts w:hint="eastAsia" w:eastAsia="仿宋_GB2312"/>
          <w:sz w:val="32"/>
        </w:rPr>
        <w:t>6分。</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资金投向：</w:t>
      </w:r>
      <w:r>
        <w:rPr>
          <w:rFonts w:hint="eastAsia" w:eastAsia="仿宋_GB2312"/>
          <w:sz w:val="32"/>
        </w:rPr>
        <w:t>维修维护</w:t>
      </w:r>
      <w:r>
        <w:rPr>
          <w:rFonts w:hint="eastAsia" w:eastAsia="仿宋_GB2312"/>
          <w:sz w:val="32"/>
          <w:lang w:val="zh-CN"/>
        </w:rPr>
        <w:t>项目主要是保障办公大楼及办公设施设备临时维修，定期检修，并及时维修和更换废旧设施设备，维护正常办公办案环境。</w:t>
      </w:r>
      <w:r>
        <w:rPr>
          <w:rFonts w:hint="eastAsia" w:eastAsia="仿宋_GB2312"/>
          <w:sz w:val="32"/>
        </w:rPr>
        <w:t>根据</w:t>
      </w:r>
      <w:r>
        <w:rPr>
          <w:rFonts w:hint="eastAsia" w:eastAsia="仿宋_GB2312"/>
          <w:sz w:val="32"/>
          <w:lang w:val="zh-CN"/>
        </w:rPr>
        <w:t>我院历史年度维修费用支出以及可预计的维修计划</w:t>
      </w:r>
      <w:r>
        <w:rPr>
          <w:rFonts w:hint="eastAsia" w:eastAsia="仿宋_GB2312"/>
          <w:sz w:val="32"/>
        </w:rPr>
        <w:t>，安排</w:t>
      </w:r>
      <w:r>
        <w:rPr>
          <w:rFonts w:hint="eastAsia" w:eastAsia="仿宋_GB2312"/>
          <w:sz w:val="32"/>
          <w:lang w:val="zh-CN"/>
        </w:rPr>
        <w:t>项目资金</w:t>
      </w:r>
      <w:r>
        <w:rPr>
          <w:rFonts w:hint="eastAsia" w:eastAsia="仿宋_GB2312"/>
          <w:sz w:val="32"/>
        </w:rPr>
        <w:t>50</w:t>
      </w:r>
      <w:r>
        <w:rPr>
          <w:rFonts w:hint="eastAsia" w:eastAsia="仿宋_GB2312"/>
          <w:sz w:val="32"/>
          <w:lang w:val="zh-CN"/>
        </w:rPr>
        <w:t>万元，此项评分为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项目管理评分为18分。</w:t>
      </w:r>
    </w:p>
    <w:p>
      <w:pPr>
        <w:numPr>
          <w:numId w:val="0"/>
        </w:numPr>
        <w:adjustRightInd w:val="0"/>
        <w:snapToGrid w:val="0"/>
        <w:spacing w:beforeLines="0" w:afterLines="0" w:line="360" w:lineRule="auto"/>
        <w:ind w:firstLine="640"/>
        <w:rPr>
          <w:rFonts w:hint="eastAsia" w:eastAsia="仿宋_GB2312"/>
          <w:sz w:val="32"/>
        </w:rPr>
      </w:pPr>
      <w:r>
        <w:rPr>
          <w:rFonts w:hint="eastAsia" w:eastAsia="仿宋_GB2312"/>
          <w:sz w:val="32"/>
        </w:rPr>
        <w:t>制度办法：</w:t>
      </w:r>
      <w:r>
        <w:rPr>
          <w:rFonts w:hint="eastAsia" w:eastAsia="仿宋_GB2312"/>
          <w:sz w:val="32"/>
          <w:lang w:val="zh-CN"/>
        </w:rPr>
        <w:t>我院按部门职责分工明确，严格遵循工作计划稳步推进实施。完善各项内部控制与考核制度，建立较为完善的财务管理制度《广元市中级人民法院财务管理制度》、《广元市中级人民法院预算管理制度》，且严格执行。</w:t>
      </w:r>
      <w:r>
        <w:rPr>
          <w:rFonts w:hint="eastAsia" w:eastAsia="仿宋_GB2312"/>
          <w:sz w:val="32"/>
        </w:rPr>
        <w:t>并在资金使用过程中严格按照维修维护经费开支范围及开支要求，做到超范围不支出，故此项评分为2分。</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lang w:val="zh-CN"/>
        </w:rPr>
        <w:t>分配管理：此项目预算资金分配上严格按照管理办法和维修维护经费开支程序执行，决策程序符合三重一大要求，资金支付及时高效。且在项目申报前期，充分调研了各部门维修维护需求，在资金分配上根据实际需求进行合理划分。项目做到了财政资金专款专用，资金支付有相关审批程序和合规手续，账务处理及时，会计核算规范。项目管理人员及督察部门对项目实施全过程监控，对偏离预算执行的项目及时纠偏和调整，财务报销严格执行财务审批程序。故此项评分为</w:t>
      </w:r>
      <w:r>
        <w:rPr>
          <w:rFonts w:hint="eastAsia" w:eastAsia="仿宋_GB2312"/>
          <w:sz w:val="32"/>
        </w:rPr>
        <w:t>10分。</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绩效监管：该项目全面完成了事前评估、绩效目标设置、绩效监控、绩效督促、问题整改等预算绩效管理工作，评分为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项目实施评分为9分。</w:t>
      </w:r>
    </w:p>
    <w:p>
      <w:pPr>
        <w:numPr>
          <w:numId w:val="0"/>
        </w:numPr>
        <w:adjustRightInd w:val="0"/>
        <w:snapToGrid w:val="0"/>
        <w:spacing w:beforeLines="0" w:afterLines="0" w:line="360" w:lineRule="auto"/>
        <w:ind w:firstLine="640"/>
        <w:rPr>
          <w:rFonts w:hint="eastAsia" w:ascii="仿宋_GB2312" w:eastAsia="仿宋_GB2312"/>
          <w:sz w:val="32"/>
        </w:rPr>
      </w:pPr>
      <w:r>
        <w:rPr>
          <w:rFonts w:hint="eastAsia" w:ascii="仿宋_GB2312" w:eastAsia="仿宋_GB2312"/>
          <w:sz w:val="32"/>
          <w:lang w:val="zh-CN"/>
        </w:rPr>
        <w:t>预算执行：该项目预算执行进度好，该项指标得分</w:t>
      </w:r>
      <w:r>
        <w:rPr>
          <w:rFonts w:hint="eastAsia" w:ascii="仿宋_GB2312" w:eastAsia="仿宋_GB2312"/>
          <w:sz w:val="32"/>
        </w:rPr>
        <w:t>=财政资金拨付率100%*100%*3+单位资金使用率100%*100%*3=6分。</w:t>
      </w:r>
    </w:p>
    <w:p>
      <w:p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仿宋_GB2312" w:eastAsia="仿宋_GB2312"/>
          <w:sz w:val="32"/>
          <w:lang w:val="zh-CN"/>
        </w:rPr>
        <w:t>资金使用：该项目资金使用拨付，项目实施符合财务管理制度。事前</w:t>
      </w:r>
      <w:r>
        <w:rPr>
          <w:rFonts w:hint="eastAsia" w:eastAsia="仿宋_GB2312"/>
          <w:sz w:val="32"/>
          <w:lang w:val="zh-CN"/>
        </w:rPr>
        <w:t>严格审核项目实施可行性与合理性，</w:t>
      </w:r>
      <w:r>
        <w:rPr>
          <w:rFonts w:hint="eastAsia" w:ascii="仿宋_GB2312" w:eastAsia="仿宋_GB2312"/>
          <w:sz w:val="32"/>
          <w:lang w:val="zh-CN"/>
        </w:rPr>
        <w:t>按照年度维修维护实施计划及方案，由行装处组织开展，并由其分管院领导审批。行装处严格把关费用审核，严控不必要维修支出</w:t>
      </w:r>
      <w:r>
        <w:rPr>
          <w:rFonts w:hint="eastAsia" w:eastAsia="仿宋_GB2312"/>
          <w:sz w:val="32"/>
          <w:lang w:val="zh-CN"/>
        </w:rPr>
        <w:t>，及时进行会计核算，院督察室定期对项目经费使用效益进行监督，该项评分为</w:t>
      </w:r>
      <w:r>
        <w:rPr>
          <w:rFonts w:hint="eastAsia" w:eastAsia="仿宋_GB2312"/>
          <w:sz w:val="32"/>
        </w:rPr>
        <w:t>3分。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项目结果评分为9分。</w:t>
      </w:r>
    </w:p>
    <w:p>
      <w:pPr>
        <w:numPr>
          <w:numId w:val="0"/>
        </w:numPr>
        <w:adjustRightInd w:val="0"/>
        <w:snapToGrid w:val="0"/>
        <w:spacing w:beforeLines="0" w:afterLines="0" w:line="360" w:lineRule="auto"/>
        <w:ind w:firstLine="640"/>
        <w:rPr>
          <w:rFonts w:hint="eastAsia" w:eastAsia="仿宋_GB2312"/>
          <w:color w:val="auto"/>
          <w:sz w:val="32"/>
        </w:rPr>
      </w:pPr>
      <w:r>
        <w:rPr>
          <w:rFonts w:hint="eastAsia" w:eastAsia="仿宋_GB2312"/>
          <w:color w:val="auto"/>
          <w:sz w:val="32"/>
        </w:rPr>
        <w:t>目标完成：该项目已100%完成预算支出，较好地</w:t>
      </w:r>
      <w:r>
        <w:rPr>
          <w:rFonts w:hint="eastAsia" w:eastAsia="仿宋_GB2312"/>
          <w:sz w:val="32"/>
        </w:rPr>
        <w:t>维护了我院正常办公办案环境和秩序，保障审判、执行等各项工作正常运转</w:t>
      </w:r>
      <w:r>
        <w:rPr>
          <w:rFonts w:hint="eastAsia" w:eastAsia="仿宋_GB2312"/>
          <w:color w:val="auto"/>
          <w:sz w:val="32"/>
        </w:rPr>
        <w:t>，顺利达成此项目设置的绩效目标，评分为6分。</w:t>
      </w:r>
    </w:p>
    <w:p>
      <w:pPr>
        <w:numPr>
          <w:numId w:val="0"/>
        </w:numPr>
        <w:adjustRightInd w:val="0"/>
        <w:snapToGrid w:val="0"/>
        <w:spacing w:beforeLines="0" w:afterLines="0" w:line="360" w:lineRule="auto"/>
        <w:ind w:firstLine="640"/>
        <w:rPr>
          <w:rFonts w:hint="eastAsia" w:eastAsia="仿宋_GB2312"/>
          <w:color w:val="auto"/>
          <w:sz w:val="32"/>
        </w:rPr>
      </w:pPr>
      <w:r>
        <w:rPr>
          <w:rFonts w:hint="eastAsia" w:eastAsia="仿宋_GB2312"/>
          <w:sz w:val="32"/>
        </w:rPr>
        <w:t>完成时效：该项目于2024年12月31日前完成年度维修维护计划并及时支付维修资金，评分为3分。</w:t>
      </w:r>
    </w:p>
    <w:p>
      <w:pPr>
        <w:spacing w:beforeLines="0" w:afterLines="0" w:line="360" w:lineRule="auto"/>
        <w:rPr>
          <w:rFonts w:hint="eastAsia" w:ascii="楷体_GB2312" w:hAnsi="楷体_GB2312" w:eastAsia="楷体_GB2312"/>
          <w:color w:val="auto"/>
          <w:sz w:val="32"/>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（二）</w:t>
      </w:r>
      <w:r>
        <w:rPr>
          <w:rFonts w:hint="eastAsia" w:ascii="楷体_GB2312" w:hAnsi="宋体" w:eastAsia="楷体_GB2312"/>
          <w:b/>
          <w:color w:val="auto"/>
          <w:sz w:val="32"/>
        </w:rPr>
        <w:t>专用指标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30分</w:t>
      </w:r>
      <w:r>
        <w:rPr>
          <w:rFonts w:hint="eastAsia" w:eastAsia="楷体_GB2312"/>
          <w:b/>
          <w:color w:val="000000"/>
          <w:kern w:val="0"/>
          <w:sz w:val="32"/>
          <w:shd w:val="clear" w:color="auto" w:fill="FFFFFF"/>
          <w:lang w:val="zh-CN"/>
        </w:rPr>
        <w:t>。</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1.产业发展。</w:t>
      </w:r>
      <w:r>
        <w:rPr>
          <w:rFonts w:hint="eastAsia" w:eastAsia="仿宋_GB2312"/>
          <w:color w:val="auto"/>
          <w:sz w:val="32"/>
        </w:rPr>
        <w:t xml:space="preserve">不涉及。 </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2.</w:t>
      </w:r>
      <w:r>
        <w:rPr>
          <w:rFonts w:hint="eastAsia" w:ascii="楷体_GB2312" w:hAnsi="楷体_GB2312" w:eastAsia="楷体_GB2312"/>
          <w:color w:val="auto"/>
          <w:sz w:val="32"/>
          <w:lang w:val="zh-CN"/>
        </w:rPr>
        <w:t>民生保障。</w:t>
      </w:r>
      <w:r>
        <w:rPr>
          <w:rFonts w:hint="eastAsia" w:eastAsia="仿宋_GB2312"/>
          <w:color w:val="auto"/>
          <w:sz w:val="32"/>
        </w:rPr>
        <w:t>不涉及。</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3.基础设施。</w:t>
      </w:r>
      <w:r>
        <w:rPr>
          <w:rFonts w:hint="eastAsia" w:eastAsia="仿宋_GB2312"/>
          <w:color w:val="auto"/>
          <w:sz w:val="32"/>
        </w:rPr>
        <w:t>不涉及。</w:t>
      </w:r>
    </w:p>
    <w:p>
      <w:pPr>
        <w:spacing w:beforeLines="0" w:afterLines="0" w:line="360" w:lineRule="auto"/>
        <w:ind w:firstLine="640" w:firstLineChars="200"/>
        <w:rPr>
          <w:rFonts w:hint="eastAsia" w:ascii="楷体_GB2312" w:hAnsi="楷体_GB2312" w:eastAsia="楷体_GB2312"/>
          <w:color w:val="auto"/>
          <w:sz w:val="32"/>
          <w:lang w:val="zh-CN"/>
        </w:rPr>
      </w:pPr>
      <w:r>
        <w:rPr>
          <w:rFonts w:hint="eastAsia" w:ascii="楷体_GB2312" w:hAnsi="楷体_GB2312" w:eastAsia="楷体_GB2312"/>
          <w:color w:val="auto"/>
          <w:sz w:val="32"/>
        </w:rPr>
        <w:t>4.</w:t>
      </w:r>
      <w:r>
        <w:rPr>
          <w:rFonts w:hint="eastAsia" w:ascii="楷体_GB2312" w:hAnsi="楷体_GB2312" w:eastAsia="楷体_GB2312"/>
          <w:color w:val="auto"/>
          <w:sz w:val="32"/>
          <w:lang w:val="zh-CN"/>
        </w:rPr>
        <w:t>行政运转。</w:t>
      </w:r>
      <w:r>
        <w:rPr>
          <w:rFonts w:hint="eastAsia" w:eastAsia="仿宋_GB2312"/>
          <w:sz w:val="32"/>
          <w:lang w:val="zh-CN"/>
        </w:rPr>
        <w:t>项目资金实行专款专用，用途符合维修维护项目开支范围、支出审批手续齐全，良好保障院机关、审判业务的运行运转，该项评分为</w:t>
      </w:r>
      <w:r>
        <w:rPr>
          <w:rFonts w:hint="eastAsia" w:eastAsia="仿宋_GB2312"/>
          <w:sz w:val="32"/>
        </w:rPr>
        <w:t>30分</w:t>
      </w:r>
      <w:r>
        <w:rPr>
          <w:rFonts w:hint="eastAsia" w:eastAsia="仿宋_GB2312"/>
          <w:sz w:val="32"/>
          <w:lang w:val="zh-CN"/>
        </w:rPr>
        <w:t>。</w:t>
      </w:r>
    </w:p>
    <w:p>
      <w:pPr>
        <w:numPr>
          <w:numId w:val="0"/>
        </w:numPr>
        <w:adjustRightInd w:val="0"/>
        <w:snapToGrid w:val="0"/>
        <w:spacing w:beforeLines="0" w:afterLines="0" w:line="360" w:lineRule="auto"/>
        <w:rPr>
          <w:rFonts w:hint="eastAsia"/>
          <w:b/>
          <w:color w:val="000000"/>
          <w:kern w:val="0"/>
          <w:sz w:val="32"/>
          <w:shd w:val="clear" w:color="auto" w:fill="FFFFFF"/>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（三）</w:t>
      </w:r>
      <w:r>
        <w:rPr>
          <w:rFonts w:hint="eastAsia" w:ascii="楷体_GB2312" w:hAnsi="宋体" w:eastAsia="楷体_GB2312"/>
          <w:b/>
          <w:color w:val="auto"/>
          <w:sz w:val="32"/>
        </w:rPr>
        <w:t>个性指标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16分</w:t>
      </w:r>
      <w:r>
        <w:rPr>
          <w:rFonts w:hint="eastAsia" w:eastAsia="楷体_GB2312"/>
          <w:b/>
          <w:color w:val="000000"/>
          <w:kern w:val="0"/>
          <w:sz w:val="32"/>
          <w:shd w:val="clear" w:color="auto" w:fill="FFFFFF"/>
          <w:lang w:val="zh-CN"/>
        </w:rPr>
        <w:t>。</w:t>
      </w:r>
    </w:p>
    <w:p>
      <w:pPr>
        <w:numPr>
          <w:numId w:val="0"/>
        </w:numPr>
        <w:adjustRightInd w:val="0"/>
        <w:snapToGrid w:val="0"/>
        <w:spacing w:beforeLines="0" w:afterLines="0" w:line="360" w:lineRule="auto"/>
        <w:rPr>
          <w:rFonts w:hint="eastAsia"/>
          <w:sz w:val="32"/>
          <w:lang w:val="zh-CN"/>
        </w:rPr>
      </w:pPr>
      <w:r>
        <w:rPr>
          <w:rFonts w:hint="eastAsia" w:eastAsia="仿宋_GB2312"/>
          <w:sz w:val="32"/>
        </w:rPr>
        <w:t xml:space="preserve">    年初设定的绩效目标均已达成，取得良好的效用，个性指标评分为16分。</w:t>
      </w:r>
    </w:p>
    <w:tbl>
      <w:tblPr>
        <w:tblStyle w:val="25"/>
        <w:tblW w:w="9049" w:type="dxa"/>
        <w:jc w:val="righ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5"/>
        <w:gridCol w:w="835"/>
        <w:gridCol w:w="942"/>
        <w:gridCol w:w="2842"/>
        <w:gridCol w:w="800"/>
        <w:gridCol w:w="749"/>
        <w:gridCol w:w="864"/>
        <w:gridCol w:w="671"/>
        <w:gridCol w:w="5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right"/>
        </w:trPr>
        <w:tc>
          <w:tcPr>
            <w:tcW w:w="765"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绩效指标（90分）</w:t>
            </w:r>
          </w:p>
        </w:tc>
        <w:tc>
          <w:tcPr>
            <w:tcW w:w="8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一级指标</w:t>
            </w:r>
          </w:p>
        </w:tc>
        <w:tc>
          <w:tcPr>
            <w:tcW w:w="9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二级指标</w:t>
            </w:r>
          </w:p>
        </w:tc>
        <w:tc>
          <w:tcPr>
            <w:tcW w:w="28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三级指标</w:t>
            </w:r>
          </w:p>
        </w:tc>
        <w:tc>
          <w:tcPr>
            <w:tcW w:w="8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指标性质</w:t>
            </w:r>
          </w:p>
        </w:tc>
        <w:tc>
          <w:tcPr>
            <w:tcW w:w="7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指标值</w:t>
            </w:r>
          </w:p>
        </w:tc>
        <w:tc>
          <w:tcPr>
            <w:tcW w:w="8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度量单位</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完成值</w:t>
            </w:r>
          </w:p>
        </w:tc>
        <w:tc>
          <w:tcPr>
            <w:tcW w:w="5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right"/>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5"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产出指标</w:t>
            </w:r>
          </w:p>
        </w:tc>
        <w:tc>
          <w:tcPr>
            <w:tcW w:w="9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数量指标</w:t>
            </w:r>
          </w:p>
        </w:tc>
        <w:tc>
          <w:tcPr>
            <w:tcW w:w="28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开展维修维护具体次数</w:t>
            </w:r>
          </w:p>
        </w:tc>
        <w:tc>
          <w:tcPr>
            <w:tcW w:w="8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c>
          <w:tcPr>
            <w:tcW w:w="8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次</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＞10</w:t>
            </w:r>
          </w:p>
        </w:tc>
        <w:tc>
          <w:tcPr>
            <w:tcW w:w="5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10" w:hRule="atLeast"/>
          <w:jc w:val="right"/>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质量指标</w:t>
            </w:r>
          </w:p>
        </w:tc>
        <w:tc>
          <w:tcPr>
            <w:tcW w:w="28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项目验收合格率</w:t>
            </w:r>
          </w:p>
        </w:tc>
        <w:tc>
          <w:tcPr>
            <w:tcW w:w="8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100</w:t>
            </w:r>
          </w:p>
        </w:tc>
        <w:tc>
          <w:tcPr>
            <w:tcW w:w="8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100</w:t>
            </w:r>
          </w:p>
        </w:tc>
        <w:tc>
          <w:tcPr>
            <w:tcW w:w="5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right"/>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时效指标</w:t>
            </w:r>
          </w:p>
        </w:tc>
        <w:tc>
          <w:tcPr>
            <w:tcW w:w="28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该项目完成时限</w:t>
            </w:r>
          </w:p>
        </w:tc>
        <w:tc>
          <w:tcPr>
            <w:tcW w:w="8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w:t>
            </w:r>
          </w:p>
        </w:tc>
        <w:tc>
          <w:tcPr>
            <w:tcW w:w="8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年</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1</w:t>
            </w:r>
          </w:p>
        </w:tc>
        <w:tc>
          <w:tcPr>
            <w:tcW w:w="5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right"/>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5"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效益指标</w:t>
            </w:r>
          </w:p>
        </w:tc>
        <w:tc>
          <w:tcPr>
            <w:tcW w:w="9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社会效益指标</w:t>
            </w:r>
          </w:p>
        </w:tc>
        <w:tc>
          <w:tcPr>
            <w:tcW w:w="28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保障我院审判、执行等各项工作正常开展，畅通当事人诉求及维权渠道。</w:t>
            </w:r>
          </w:p>
        </w:tc>
        <w:tc>
          <w:tcPr>
            <w:tcW w:w="8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7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8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优</w:t>
            </w:r>
          </w:p>
        </w:tc>
        <w:tc>
          <w:tcPr>
            <w:tcW w:w="5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right"/>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可持续影响指标</w:t>
            </w:r>
          </w:p>
        </w:tc>
        <w:tc>
          <w:tcPr>
            <w:tcW w:w="28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维护正常办公、办案秩序和司法环境，提升固定资金使用效益。</w:t>
            </w:r>
          </w:p>
        </w:tc>
        <w:tc>
          <w:tcPr>
            <w:tcW w:w="8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7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8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优</w:t>
            </w:r>
          </w:p>
        </w:tc>
        <w:tc>
          <w:tcPr>
            <w:tcW w:w="5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right"/>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满意度指标</w:t>
            </w:r>
          </w:p>
        </w:tc>
        <w:tc>
          <w:tcPr>
            <w:tcW w:w="9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服务对象满意度指标</w:t>
            </w:r>
          </w:p>
        </w:tc>
        <w:tc>
          <w:tcPr>
            <w:tcW w:w="28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法院干警对设备使用满意度</w:t>
            </w:r>
          </w:p>
        </w:tc>
        <w:tc>
          <w:tcPr>
            <w:tcW w:w="8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90</w:t>
            </w:r>
          </w:p>
        </w:tc>
        <w:tc>
          <w:tcPr>
            <w:tcW w:w="8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92</w:t>
            </w:r>
          </w:p>
        </w:tc>
        <w:tc>
          <w:tcPr>
            <w:tcW w:w="5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right"/>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成本指标</w:t>
            </w:r>
          </w:p>
        </w:tc>
        <w:tc>
          <w:tcPr>
            <w:tcW w:w="9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经济成本指标</w:t>
            </w:r>
          </w:p>
        </w:tc>
        <w:tc>
          <w:tcPr>
            <w:tcW w:w="28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项目总成本</w:t>
            </w:r>
          </w:p>
        </w:tc>
        <w:tc>
          <w:tcPr>
            <w:tcW w:w="8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4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50</w:t>
            </w:r>
          </w:p>
        </w:tc>
        <w:tc>
          <w:tcPr>
            <w:tcW w:w="86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万元</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50</w:t>
            </w:r>
          </w:p>
        </w:tc>
        <w:tc>
          <w:tcPr>
            <w:tcW w:w="5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20</w:t>
            </w:r>
          </w:p>
        </w:tc>
      </w:tr>
    </w:tbl>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rPr>
      </w:pPr>
      <w:r>
        <w:rPr>
          <w:rFonts w:hint="eastAsia" w:ascii="黑体" w:hAnsi="宋体" w:eastAsia="黑体"/>
          <w:b/>
          <w:color w:val="auto"/>
          <w:sz w:val="32"/>
          <w:lang w:eastAsia="zh-CN"/>
        </w:rPr>
        <w:t>四</w:t>
      </w:r>
      <w:r>
        <w:rPr>
          <w:rFonts w:hint="eastAsia" w:ascii="黑体" w:hAnsi="宋体" w:eastAsia="黑体"/>
          <w:b/>
          <w:color w:val="auto"/>
          <w:sz w:val="32"/>
        </w:rPr>
        <w:t>、评价结论</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rPr>
        <w:t>该项目自评得分为100分。该项目决策符合国家政策方针，项目预算执行进度推进有力，项目监督管控及时有效，项目资金支付合理合规。</w:t>
      </w:r>
      <w:r>
        <w:rPr>
          <w:rFonts w:hint="eastAsia" w:eastAsia="仿宋_GB2312"/>
          <w:sz w:val="32"/>
          <w:lang w:val="zh-CN"/>
        </w:rPr>
        <w:t>通过项目的实施，保障了办公、办案设施设备的正常运行，</w:t>
      </w:r>
      <w:r>
        <w:rPr>
          <w:rFonts w:hint="eastAsia" w:eastAsia="仿宋_GB2312"/>
          <w:sz w:val="32"/>
        </w:rPr>
        <w:t>营造了安全、整洁、有序的办公办案环境，畅通了当事人诉求渠道，提升了其办事效率，有利于维护当事人合法权益。</w:t>
      </w: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eastAsia="zh-CN"/>
        </w:rPr>
      </w:pPr>
      <w:r>
        <w:rPr>
          <w:rFonts w:hint="eastAsia" w:ascii="黑体" w:hAnsi="宋体" w:eastAsia="黑体"/>
          <w:b/>
          <w:color w:val="auto"/>
          <w:sz w:val="32"/>
          <w:lang w:eastAsia="zh-CN"/>
        </w:rPr>
        <w:t>五、存在主要问题</w:t>
      </w:r>
    </w:p>
    <w:p>
      <w:pPr>
        <w:pStyle w:val="8"/>
        <w:numPr>
          <w:numId w:val="0"/>
        </w:numPr>
        <w:tabs>
          <w:tab w:val="left" w:pos="2160"/>
        </w:tabs>
        <w:spacing w:beforeLines="0" w:afterLines="0" w:line="360" w:lineRule="auto"/>
        <w:ind w:firstLine="640" w:firstLineChars="200"/>
        <w:rPr>
          <w:rFonts w:hint="eastAsia" w:ascii="黑体" w:hAnsi="黑体" w:eastAsia="黑体"/>
          <w:kern w:val="2"/>
          <w:sz w:val="32"/>
          <w:lang w:eastAsia="zh-CN"/>
        </w:rPr>
      </w:pPr>
      <w:r>
        <w:rPr>
          <w:rFonts w:hint="eastAsia" w:ascii="仿宋_GB2312" w:hAnsi="仿宋_GB2312" w:eastAsia="仿宋_GB2312"/>
          <w:sz w:val="32"/>
          <w:lang w:eastAsia="zh-CN"/>
        </w:rPr>
        <w:t>无。</w:t>
      </w: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val="zh-CN" w:eastAsia="zh-CN"/>
        </w:rPr>
      </w:pPr>
      <w:r>
        <w:rPr>
          <w:rFonts w:hint="eastAsia" w:ascii="黑体" w:hAnsi="宋体" w:eastAsia="黑体"/>
          <w:b/>
          <w:color w:val="auto"/>
          <w:sz w:val="32"/>
          <w:lang w:val="zh-CN" w:eastAsia="zh-CN"/>
        </w:rPr>
        <w:t>六、改进建议</w:t>
      </w:r>
    </w:p>
    <w:p>
      <w:pPr>
        <w:pStyle w:val="34"/>
        <w:widowControl/>
        <w:spacing w:before="0" w:beforeLines="0" w:after="0" w:afterLines="0" w:line="360" w:lineRule="auto"/>
        <w:ind w:firstLine="640" w:firstLineChars="200"/>
        <w:rPr>
          <w:rFonts w:hint="default" w:eastAsia="仿宋_GB2312"/>
          <w:sz w:val="32"/>
        </w:rPr>
      </w:pPr>
      <w:r>
        <w:rPr>
          <w:rFonts w:hint="eastAsia" w:ascii="仿宋_GB2312" w:hAnsi="仿宋_GB2312" w:eastAsia="仿宋_GB2312"/>
          <w:b w:val="0"/>
          <w:kern w:val="0"/>
          <w:sz w:val="32"/>
        </w:rPr>
        <w:t>无。</w:t>
      </w:r>
    </w:p>
    <w:p>
      <w:pPr>
        <w:snapToGrid w:val="0"/>
        <w:spacing w:beforeLines="0" w:afterLines="0" w:line="360" w:lineRule="auto"/>
        <w:ind w:firstLine="640" w:firstLineChars="200"/>
        <w:rPr>
          <w:rFonts w:hint="eastAsia" w:eastAsia="仿宋_GB2312"/>
          <w:color w:val="000000"/>
          <w:kern w:val="0"/>
          <w:sz w:val="32"/>
          <w:shd w:val="clear" w:color="auto" w:fill="FFFFFF"/>
        </w:rPr>
      </w:pPr>
    </w:p>
    <w:p>
      <w:pPr>
        <w:pStyle w:val="36"/>
        <w:spacing w:beforeLines="0" w:afterLines="0"/>
        <w:ind w:firstLine="883" w:firstLineChars="20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四川省广元市中级人民法院</w:t>
      </w:r>
    </w:p>
    <w:p>
      <w:pPr>
        <w:pStyle w:val="36"/>
        <w:spacing w:beforeLines="0" w:afterLines="0"/>
        <w:ind w:firstLine="883" w:firstLineChars="20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2024年乡村振兴经费项目</w:t>
      </w:r>
    </w:p>
    <w:p>
      <w:pPr>
        <w:pStyle w:val="36"/>
        <w:spacing w:beforeLines="0" w:afterLines="0"/>
        <w:ind w:firstLine="883" w:firstLineChars="200"/>
        <w:jc w:val="center"/>
        <w:rPr>
          <w:rFonts w:hint="eastAsia" w:ascii="宋体" w:hAnsi="宋体"/>
          <w:b/>
          <w:color w:val="auto"/>
          <w:kern w:val="2"/>
          <w:sz w:val="32"/>
        </w:rPr>
      </w:pPr>
      <w:r>
        <w:rPr>
          <w:rFonts w:hint="eastAsia" w:ascii="黑体" w:hAnsi="黑体" w:eastAsia="黑体"/>
          <w:b/>
          <w:color w:val="auto"/>
          <w:kern w:val="2"/>
          <w:sz w:val="44"/>
          <w:lang w:val="en-US"/>
        </w:rPr>
        <w:t>绩效评价报告</w:t>
      </w:r>
    </w:p>
    <w:p>
      <w:pPr>
        <w:adjustRightInd w:val="0"/>
        <w:snapToGrid w:val="0"/>
        <w:spacing w:beforeLines="0" w:afterLines="0" w:line="360" w:lineRule="auto"/>
        <w:ind w:firstLine="643" w:firstLineChars="200"/>
        <w:rPr>
          <w:rFonts w:hint="eastAsia" w:ascii="黑体" w:hAnsi="宋体" w:eastAsia="黑体"/>
          <w:b/>
          <w:sz w:val="32"/>
          <w:lang w:val="zh-CN"/>
        </w:rPr>
      </w:pPr>
      <w:r>
        <w:rPr>
          <w:rFonts w:hint="eastAsia" w:ascii="黑体" w:hAnsi="宋体" w:eastAsia="黑体"/>
          <w:b/>
          <w:sz w:val="32"/>
        </w:rPr>
        <w:t>一、</w:t>
      </w:r>
      <w:r>
        <w:rPr>
          <w:rFonts w:hint="eastAsia" w:ascii="黑体" w:hAnsi="宋体" w:eastAsia="黑体"/>
          <w:b/>
          <w:sz w:val="32"/>
          <w:lang w:val="zh-CN"/>
        </w:rPr>
        <w:t>项目概况</w:t>
      </w:r>
    </w:p>
    <w:p>
      <w:pPr>
        <w:widowControl/>
        <w:numPr>
          <w:numId w:val="0"/>
        </w:numPr>
        <w:adjustRightInd w:val="0"/>
        <w:snapToGrid w:val="0"/>
        <w:spacing w:beforeLines="0" w:afterLines="0" w:line="360" w:lineRule="auto"/>
        <w:ind w:firstLine="643" w:firstLineChars="200"/>
        <w:jc w:val="left"/>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（一）设立背景及基本情况。</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广元市</w:t>
      </w:r>
      <w:r>
        <w:rPr>
          <w:rFonts w:hint="eastAsia" w:eastAsia="仿宋_GB2312"/>
          <w:sz w:val="32"/>
        </w:rPr>
        <w:t>中级人民法院是独立核算的一级预算部门，</w:t>
      </w:r>
      <w:r>
        <w:rPr>
          <w:rFonts w:hint="eastAsia" w:eastAsia="仿宋_GB2312"/>
          <w:sz w:val="32"/>
          <w:lang w:val="zh-CN"/>
        </w:rPr>
        <w:t>负责乡村振兴经费项目年初预算的编制和绩效目标的设置，确保项目预算的科学性、合理性、可行性；负责推进项目执行以及项目实施过程管理，包括项目进度监控、成本控制、风险预警、资金支付、财务核算等；项目完成后的决算编审、绩效目标考核和项目自评，以及其他与项目相关工作。</w:t>
      </w:r>
    </w:p>
    <w:p>
      <w:pPr>
        <w:adjustRightInd w:val="0"/>
        <w:snapToGrid w:val="0"/>
        <w:spacing w:beforeLines="0" w:afterLines="0" w:line="360" w:lineRule="auto"/>
        <w:ind w:firstLine="640" w:firstLineChars="200"/>
        <w:rPr>
          <w:rFonts w:hint="eastAsia"/>
          <w:sz w:val="32"/>
          <w:lang w:val="zh-CN"/>
        </w:rPr>
      </w:pPr>
      <w:r>
        <w:rPr>
          <w:rFonts w:hint="eastAsia" w:eastAsia="仿宋_GB2312"/>
          <w:color w:val="auto"/>
          <w:sz w:val="32"/>
          <w:lang w:val="zh-CN"/>
        </w:rPr>
        <w:t>为推进乡村振兴战略规划的实施（《乡村振兴战略规划》），加快构建乡村发展新格局，发展壮大乡村产业，建设新型农村，我院积极为乡村振兴献上法治力量</w:t>
      </w:r>
      <w:r>
        <w:rPr>
          <w:rFonts w:hint="eastAsia" w:eastAsia="仿宋_GB2312"/>
          <w:sz w:val="32"/>
        </w:rPr>
        <w:t>。</w:t>
      </w:r>
      <w:r>
        <w:rPr>
          <w:rFonts w:hint="eastAsia" w:eastAsia="仿宋_GB2312"/>
          <w:sz w:val="32"/>
          <w:lang w:val="zh-CN"/>
        </w:rPr>
        <w:t>立足乡村振兴工作计划及工作安排，参考历史经费开支情况，申报法院乡村振兴项目预算资金</w:t>
      </w:r>
      <w:r>
        <w:rPr>
          <w:rFonts w:hint="eastAsia" w:eastAsia="仿宋_GB2312"/>
          <w:sz w:val="32"/>
        </w:rPr>
        <w:t>5.46万元。</w:t>
      </w:r>
    </w:p>
    <w:p>
      <w:pPr>
        <w:numPr>
          <w:numId w:val="0"/>
        </w:numPr>
        <w:adjustRightInd w:val="0"/>
        <w:snapToGrid w:val="0"/>
        <w:spacing w:beforeLines="0" w:afterLines="0" w:line="360" w:lineRule="auto"/>
        <w:rPr>
          <w:rFonts w:hint="eastAsia" w:ascii="楷体_GB2312" w:hAnsi="宋体" w:eastAsia="楷体_GB2312"/>
          <w:b/>
          <w:color w:val="auto"/>
          <w:sz w:val="32"/>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（二）</w:t>
      </w:r>
      <w:r>
        <w:rPr>
          <w:rFonts w:hint="eastAsia" w:ascii="楷体_GB2312" w:hAnsi="宋体" w:eastAsia="楷体_GB2312"/>
          <w:b/>
          <w:color w:val="auto"/>
          <w:sz w:val="32"/>
        </w:rPr>
        <w:t>实施目的及支持方向。</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乡村振兴经费项目预算编制立足帮扶村现状及乡村振兴年度规划，绩效目标和项目指标编制科学、合理。</w:t>
      </w:r>
    </w:p>
    <w:p>
      <w:pPr>
        <w:adjustRightInd w:val="0"/>
        <w:snapToGrid w:val="0"/>
        <w:spacing w:beforeLines="0" w:afterLines="0" w:line="360" w:lineRule="auto"/>
        <w:ind w:firstLine="640" w:firstLineChars="200"/>
        <w:rPr>
          <w:rFonts w:hint="eastAsia" w:ascii="仿宋_GB2312" w:hAnsi="宋体" w:eastAsia="仿宋_GB2312"/>
          <w:sz w:val="32"/>
          <w:lang w:val="zh-CN"/>
        </w:rPr>
      </w:pPr>
      <w:r>
        <w:rPr>
          <w:rFonts w:hint="eastAsia" w:eastAsia="仿宋_GB2312"/>
          <w:sz w:val="32"/>
          <w:lang w:val="zh-CN"/>
        </w:rPr>
        <w:t>项目资金来源系财政全额拨款的一般公共预算资金，按照我院财务管理办法及专项资金管理细则，实行专款专用。项目的所有经费开支均经过项目责任人、财务负责人、分管院领导的审批签字，并在对应的科目进行专项核算。</w:t>
      </w:r>
    </w:p>
    <w:p>
      <w:pPr>
        <w:widowControl/>
        <w:numPr>
          <w:numId w:val="0"/>
        </w:numPr>
        <w:adjustRightInd w:val="0"/>
        <w:snapToGrid w:val="0"/>
        <w:spacing w:beforeLines="0" w:afterLines="0" w:line="360" w:lineRule="auto"/>
        <w:jc w:val="left"/>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（三）</w:t>
      </w:r>
      <w:r>
        <w:rPr>
          <w:rFonts w:hint="eastAsia" w:ascii="楷体_GB2312" w:hAnsi="宋体" w:eastAsia="楷体_GB2312"/>
          <w:b/>
          <w:color w:val="auto"/>
          <w:sz w:val="32"/>
        </w:rPr>
        <w:t>预算安排及分配管理</w:t>
      </w:r>
      <w:r>
        <w:rPr>
          <w:rFonts w:hint="eastAsia" w:ascii="楷体_GB2312" w:hAnsi="宋体" w:eastAsia="楷体_GB2312"/>
          <w:b/>
          <w:color w:val="auto"/>
          <w:sz w:val="32"/>
          <w:lang w:val="zh-CN"/>
        </w:rPr>
        <w:t>。</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乡村振兴经费项目</w:t>
      </w:r>
      <w:r>
        <w:rPr>
          <w:rFonts w:hint="eastAsia" w:eastAsia="仿宋_GB2312"/>
          <w:sz w:val="32"/>
        </w:rPr>
        <w:t>报送人代会通过后批复</w:t>
      </w:r>
      <w:r>
        <w:rPr>
          <w:rFonts w:hint="eastAsia" w:ascii="仿宋_GB2312" w:hAnsi="仿宋_GB2312" w:eastAsia="仿宋_GB2312"/>
          <w:color w:val="auto"/>
          <w:kern w:val="0"/>
          <w:sz w:val="32"/>
          <w:shd w:val="clear" w:color="auto" w:fill="FFFFFF"/>
          <w:lang w:val="zh-CN"/>
        </w:rPr>
        <w:t>预算为一般</w:t>
      </w:r>
      <w:r>
        <w:rPr>
          <w:rFonts w:hint="eastAsia" w:eastAsia="仿宋_GB2312"/>
          <w:sz w:val="32"/>
          <w:lang w:val="zh-CN"/>
        </w:rPr>
        <w:t>公共预算资金</w:t>
      </w:r>
      <w:r>
        <w:rPr>
          <w:rFonts w:hint="eastAsia" w:eastAsia="仿宋_GB2312"/>
          <w:sz w:val="32"/>
        </w:rPr>
        <w:t>5.46万元，</w:t>
      </w:r>
      <w:r>
        <w:rPr>
          <w:rFonts w:hint="eastAsia" w:eastAsia="仿宋_GB2312"/>
          <w:sz w:val="32"/>
          <w:lang w:val="zh-CN"/>
        </w:rPr>
        <w:t>乡村振兴项目资金分配严格按照预算安排，充分保障驻村工作队的工作经费及生活补贴，支持白家社区及竹园镇的阵地建设及基础设施改造等，使乡村振兴项目持续顺利开展。</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（四）</w:t>
      </w:r>
      <w:r>
        <w:rPr>
          <w:rFonts w:hint="eastAsia" w:ascii="楷体_GB2312" w:hAnsi="宋体" w:eastAsia="楷体_GB2312"/>
          <w:b/>
          <w:color w:val="auto"/>
          <w:sz w:val="32"/>
          <w:lang w:val="zh-CN"/>
        </w:rPr>
        <w:t>项目绩效目标设置。</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rPr>
        <w:t>2024年度</w:t>
      </w:r>
      <w:r>
        <w:rPr>
          <w:rFonts w:hint="eastAsia" w:eastAsia="仿宋_GB2312"/>
          <w:sz w:val="32"/>
          <w:lang w:val="zh-CN"/>
        </w:rPr>
        <w:t>乡村振兴项目派驻</w:t>
      </w:r>
      <w:r>
        <w:rPr>
          <w:rFonts w:hint="eastAsia" w:eastAsia="仿宋_GB2312"/>
          <w:sz w:val="32"/>
        </w:rPr>
        <w:t>4</w:t>
      </w:r>
      <w:r>
        <w:rPr>
          <w:rFonts w:hint="eastAsia" w:eastAsia="仿宋_GB2312"/>
          <w:sz w:val="32"/>
          <w:lang w:val="zh-CN"/>
        </w:rPr>
        <w:t>名驻村工作队员，下乡开展乡村振兴工作，分别从法治教育、发展产业、阵地建设及基础实施建设等方面开展帮扶工作。帮助完善对口乡村基础设施建设，规划乡村产业发展，加强乡村政治文化及法治建设，护航新型乡村建设，提升对口帮扶乡村农户生活质量和水平</w:t>
      </w:r>
      <w:r>
        <w:rPr>
          <w:rFonts w:hint="eastAsia" w:eastAsia="仿宋_GB2312"/>
          <w:sz w:val="32"/>
        </w:rPr>
        <w:t>。</w:t>
      </w:r>
    </w:p>
    <w:p>
      <w:pPr>
        <w:adjustRightInd w:val="0"/>
        <w:snapToGrid w:val="0"/>
        <w:spacing w:beforeLines="0" w:afterLines="0" w:line="360" w:lineRule="auto"/>
        <w:ind w:firstLine="640" w:firstLineChars="200"/>
        <w:rPr>
          <w:rFonts w:hint="eastAsia" w:eastAsia="仿宋_GB2312"/>
          <w:sz w:val="32"/>
          <w:lang w:val="zh-CN"/>
        </w:rPr>
      </w:pPr>
      <w:r>
        <w:rPr>
          <w:rFonts w:hint="eastAsia" w:eastAsia="仿宋_GB2312"/>
          <w:sz w:val="32"/>
          <w:lang w:val="zh-CN"/>
        </w:rPr>
        <w:t>该项目预算执行情况自评权重为</w:t>
      </w:r>
      <w:r>
        <w:rPr>
          <w:rFonts w:hint="eastAsia" w:eastAsia="仿宋_GB2312"/>
          <w:sz w:val="32"/>
        </w:rPr>
        <w:t>10%，满分为10分，其余产出指标、效益指标、成本指标，满意度指标绩效目标设置权重为90%，具体明细见下表：</w:t>
      </w:r>
    </w:p>
    <w:tbl>
      <w:tblPr>
        <w:tblStyle w:val="25"/>
        <w:tblW w:w="885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51"/>
        <w:gridCol w:w="904"/>
        <w:gridCol w:w="1137"/>
        <w:gridCol w:w="3032"/>
        <w:gridCol w:w="839"/>
        <w:gridCol w:w="671"/>
        <w:gridCol w:w="839"/>
        <w:gridCol w:w="5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851" w:type="dxa"/>
            <w:vMerge w:val="restart"/>
            <w:tcBorders>
              <w:top w:val="single" w:color="000000" w:sz="4" w:space="0"/>
              <w:left w:val="single" w:color="000000" w:sz="4" w:space="0"/>
              <w:bottom w:val="nil"/>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绩效指标（90分）</w:t>
            </w:r>
          </w:p>
        </w:tc>
        <w:tc>
          <w:tcPr>
            <w:tcW w:w="9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一级指标</w:t>
            </w:r>
          </w:p>
        </w:tc>
        <w:tc>
          <w:tcPr>
            <w:tcW w:w="11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二级指标</w:t>
            </w:r>
          </w:p>
        </w:tc>
        <w:tc>
          <w:tcPr>
            <w:tcW w:w="30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三级指标</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指标性质</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指标值</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度量单位</w:t>
            </w:r>
          </w:p>
        </w:tc>
        <w:tc>
          <w:tcPr>
            <w:tcW w:w="57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851"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04"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产出指标</w:t>
            </w:r>
          </w:p>
        </w:tc>
        <w:tc>
          <w:tcPr>
            <w:tcW w:w="113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数量指标</w:t>
            </w:r>
          </w:p>
        </w:tc>
        <w:tc>
          <w:tcPr>
            <w:tcW w:w="30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乡村振兴第一书记及队员人数</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3</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人</w:t>
            </w:r>
          </w:p>
        </w:tc>
        <w:tc>
          <w:tcPr>
            <w:tcW w:w="57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85" w:hRule="atLeast"/>
          <w:jc w:val="center"/>
        </w:trPr>
        <w:tc>
          <w:tcPr>
            <w:tcW w:w="851"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04"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13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30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帮扶乡镇个数</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个</w:t>
            </w:r>
          </w:p>
        </w:tc>
        <w:tc>
          <w:tcPr>
            <w:tcW w:w="57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851"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04"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13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30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驻村帮扶人员经费保障标准</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18200</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元/人年</w:t>
            </w:r>
          </w:p>
        </w:tc>
        <w:tc>
          <w:tcPr>
            <w:tcW w:w="57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08" w:hRule="atLeast"/>
          <w:jc w:val="center"/>
        </w:trPr>
        <w:tc>
          <w:tcPr>
            <w:tcW w:w="851"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04"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1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质量指标</w:t>
            </w:r>
          </w:p>
        </w:tc>
        <w:tc>
          <w:tcPr>
            <w:tcW w:w="30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第一书记及队员参与驻村工作到位率</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100</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57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34" w:hRule="atLeast"/>
          <w:jc w:val="center"/>
        </w:trPr>
        <w:tc>
          <w:tcPr>
            <w:tcW w:w="851"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04"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1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时效指标</w:t>
            </w:r>
          </w:p>
        </w:tc>
        <w:tc>
          <w:tcPr>
            <w:tcW w:w="30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项目完成时限</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年</w:t>
            </w:r>
          </w:p>
        </w:tc>
        <w:tc>
          <w:tcPr>
            <w:tcW w:w="57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851"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04"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效益指标</w:t>
            </w:r>
          </w:p>
        </w:tc>
        <w:tc>
          <w:tcPr>
            <w:tcW w:w="11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社会效益指标</w:t>
            </w:r>
          </w:p>
        </w:tc>
        <w:tc>
          <w:tcPr>
            <w:tcW w:w="30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帮助完善对口乡村基础设施建设，规划乡村产业发展，提升对口帮扶乡村农户生活质量和水平。</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57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47" w:hRule="atLeast"/>
          <w:jc w:val="center"/>
        </w:trPr>
        <w:tc>
          <w:tcPr>
            <w:tcW w:w="851"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04"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11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可持续影响指标</w:t>
            </w:r>
          </w:p>
        </w:tc>
        <w:tc>
          <w:tcPr>
            <w:tcW w:w="30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巩固脱贫攻坚成果，解决地区、城乡、社会发展不平衡的问题。</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57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47" w:hRule="atLeast"/>
          <w:jc w:val="center"/>
        </w:trPr>
        <w:tc>
          <w:tcPr>
            <w:tcW w:w="851"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满意度指标</w:t>
            </w:r>
          </w:p>
        </w:tc>
        <w:tc>
          <w:tcPr>
            <w:tcW w:w="11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帮扶对象满意度指标</w:t>
            </w:r>
          </w:p>
        </w:tc>
        <w:tc>
          <w:tcPr>
            <w:tcW w:w="30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乡村振兴对口帮扶对象满意度</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90</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w:t>
            </w:r>
          </w:p>
        </w:tc>
        <w:tc>
          <w:tcPr>
            <w:tcW w:w="57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47" w:hRule="atLeast"/>
          <w:jc w:val="center"/>
        </w:trPr>
        <w:tc>
          <w:tcPr>
            <w:tcW w:w="851" w:type="dxa"/>
            <w:vMerge w:val="continue"/>
            <w:tcBorders>
              <w:top w:val="nil"/>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9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成本指标</w:t>
            </w:r>
          </w:p>
        </w:tc>
        <w:tc>
          <w:tcPr>
            <w:tcW w:w="11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经济成本指标</w:t>
            </w:r>
          </w:p>
        </w:tc>
        <w:tc>
          <w:tcPr>
            <w:tcW w:w="303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项目总成本</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w:t>
            </w:r>
          </w:p>
        </w:tc>
        <w:tc>
          <w:tcPr>
            <w:tcW w:w="67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54600</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元</w:t>
            </w:r>
          </w:p>
        </w:tc>
        <w:tc>
          <w:tcPr>
            <w:tcW w:w="57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20</w:t>
            </w:r>
          </w:p>
        </w:tc>
      </w:tr>
    </w:tbl>
    <w:p>
      <w:pPr>
        <w:adjustRightInd w:val="0"/>
        <w:snapToGrid w:val="0"/>
        <w:spacing w:beforeLines="0" w:afterLines="0" w:line="360" w:lineRule="auto"/>
        <w:ind w:firstLine="640" w:firstLineChars="200"/>
        <w:rPr>
          <w:rFonts w:hint="eastAsia" w:eastAsia="仿宋_GB2312"/>
          <w:sz w:val="32"/>
          <w:lang w:val="zh-CN"/>
        </w:rPr>
      </w:pPr>
      <w:r>
        <w:rPr>
          <w:rFonts w:hint="eastAsia" w:eastAsia="仿宋_GB2312"/>
          <w:sz w:val="32"/>
          <w:lang w:val="zh-CN"/>
        </w:rPr>
        <w:t>我院对于该项目的申报内容与实际业务的开展相关且符合工作实际，申报的绩效目标易于考核，合理可行，操作性强。项目绩效自评采用中期监控和年终绩效考核相结合的方式进行。项目绩效自评由项目实施的机关党委、政治部、行装处报送年度内具体工作开展情况，并对项目的实施情况总结并自评，督察室监督审核工作的完成进度并进行项目验收，行装处负责统计相关项目工作的资金支付情况，并通过共同研讨、数据对比等方法对该项目进行自评打分。</w:t>
      </w:r>
    </w:p>
    <w:p>
      <w:pPr>
        <w:adjustRightInd w:val="0"/>
        <w:snapToGrid w:val="0"/>
        <w:spacing w:beforeLines="0" w:afterLines="0" w:line="360" w:lineRule="auto"/>
        <w:ind w:firstLine="643" w:firstLineChars="200"/>
        <w:rPr>
          <w:rFonts w:hint="eastAsia" w:ascii="黑体" w:hAnsi="宋体" w:eastAsia="黑体"/>
          <w:b/>
          <w:sz w:val="32"/>
        </w:rPr>
      </w:pPr>
      <w:r>
        <w:rPr>
          <w:rFonts w:hint="eastAsia" w:ascii="黑体" w:hAnsi="宋体" w:eastAsia="黑体"/>
          <w:b/>
          <w:sz w:val="32"/>
        </w:rPr>
        <w:t>二、评价实施</w:t>
      </w:r>
    </w:p>
    <w:p>
      <w:pPr>
        <w:spacing w:beforeLines="0" w:afterLines="0" w:line="360" w:lineRule="auto"/>
        <w:ind w:firstLine="640"/>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（一）评价目的。</w:t>
      </w:r>
    </w:p>
    <w:p>
      <w:pPr>
        <w:spacing w:beforeLines="0" w:afterLines="0" w:line="360" w:lineRule="auto"/>
        <w:ind w:firstLine="640"/>
        <w:rPr>
          <w:rFonts w:hint="eastAsia"/>
          <w:sz w:val="32"/>
        </w:rPr>
      </w:pPr>
      <w:r>
        <w:rPr>
          <w:rFonts w:hint="eastAsia" w:eastAsia="仿宋_GB2312"/>
          <w:sz w:val="32"/>
        </w:rPr>
        <w:t>通过项目绩效自评要实现对乡村振兴经费</w:t>
      </w:r>
      <w:r>
        <w:rPr>
          <w:rFonts w:hint="eastAsia" w:eastAsia="仿宋_GB2312"/>
          <w:sz w:val="32"/>
          <w:lang w:val="zh-CN"/>
        </w:rPr>
        <w:t>项目资金效益的监督及项目目标实现度的管理，促进财政资金发挥更大的效益，帮助完善对口乡村基础设施建设，规划乡村产业发展，加强乡村政治文化及法治建设，护航新型乡村建设，提升对口帮扶乡村农户生活质量和水平。</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（二）预设问题及评价重点。</w:t>
      </w:r>
    </w:p>
    <w:p>
      <w:pPr>
        <w:numPr>
          <w:numId w:val="0"/>
        </w:numPr>
        <w:adjustRightInd w:val="0"/>
        <w:snapToGrid w:val="0"/>
        <w:spacing w:beforeLines="0" w:afterLines="0" w:line="360" w:lineRule="auto"/>
        <w:rPr>
          <w:rFonts w:hint="eastAsia"/>
          <w:sz w:val="32"/>
          <w:lang w:val="zh-CN"/>
        </w:rPr>
      </w:pPr>
      <w:r>
        <w:rPr>
          <w:rFonts w:hint="eastAsia" w:eastAsia="仿宋_GB2312"/>
          <w:sz w:val="32"/>
        </w:rPr>
        <w:t xml:space="preserve">    </w:t>
      </w:r>
      <w:r>
        <w:rPr>
          <w:rFonts w:hint="eastAsia" w:eastAsia="仿宋_GB2312"/>
          <w:sz w:val="32"/>
          <w:lang w:val="zh-CN"/>
        </w:rPr>
        <w:t>该项目资金为一般公共预算财政拨款收入安排，市财政局通过预算对我院下达此专项资金</w:t>
      </w:r>
      <w:r>
        <w:rPr>
          <w:rFonts w:hint="eastAsia" w:eastAsia="仿宋_GB2312"/>
          <w:sz w:val="32"/>
        </w:rPr>
        <w:t>5.46万元，</w:t>
      </w:r>
      <w:r>
        <w:rPr>
          <w:rFonts w:hint="eastAsia" w:eastAsia="仿宋_GB2312"/>
          <w:sz w:val="32"/>
          <w:lang w:val="zh-CN"/>
        </w:rPr>
        <w:t>资金及时到位，资金到位率100%，到位及时率100%，预算执行率</w:t>
      </w:r>
      <w:r>
        <w:rPr>
          <w:rFonts w:hint="eastAsia" w:eastAsia="仿宋_GB2312"/>
          <w:sz w:val="32"/>
        </w:rPr>
        <w:t>100%。顺利完成了该项目的实施和资金支付，达成绩效目标。</w:t>
      </w:r>
      <w:r>
        <w:rPr>
          <w:rFonts w:hint="eastAsia" w:eastAsia="仿宋_GB2312"/>
          <w:sz w:val="32"/>
          <w:lang w:val="zh-CN"/>
        </w:rPr>
        <w:t>项目实行专项核算，资金支付合规、合法，无超预算和范围支付情况，无截留、挤占、挪用专项资金现象，无虚列项目成本、无进行大额现金支付现象，项目资金使用均按规定标准执行。</w:t>
      </w:r>
    </w:p>
    <w:p>
      <w:pPr>
        <w:numPr>
          <w:numId w:val="0"/>
        </w:numPr>
        <w:adjustRightInd w:val="0"/>
        <w:snapToGrid w:val="0"/>
        <w:spacing w:beforeLines="0" w:afterLines="0" w:line="360" w:lineRule="auto"/>
        <w:ind w:leftChars="200"/>
        <w:rPr>
          <w:rFonts w:hint="eastAsia" w:eastAsia="仿宋_GB2312"/>
          <w:sz w:val="32"/>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（三）评价选点。</w:t>
      </w:r>
    </w:p>
    <w:p>
      <w:pPr>
        <w:numPr>
          <w:numId w:val="0"/>
        </w:numPr>
        <w:adjustRightInd w:val="0"/>
        <w:snapToGrid w:val="0"/>
        <w:spacing w:beforeLines="0" w:afterLines="0" w:line="360" w:lineRule="auto"/>
        <w:ind w:firstLine="642"/>
        <w:rPr>
          <w:rFonts w:hint="eastAsia" w:eastAsia="仿宋_GB2312"/>
          <w:sz w:val="32"/>
          <w:lang w:val="zh-CN"/>
        </w:rPr>
      </w:pPr>
      <w:r>
        <w:rPr>
          <w:rFonts w:hint="eastAsia" w:eastAsia="仿宋_GB2312"/>
          <w:sz w:val="32"/>
        </w:rPr>
        <w:t>乡村振兴经费</w:t>
      </w:r>
      <w:r>
        <w:rPr>
          <w:rFonts w:hint="eastAsia" w:eastAsia="仿宋_GB2312"/>
          <w:sz w:val="32"/>
          <w:lang w:val="zh-CN"/>
        </w:rPr>
        <w:t>项目绩效自评对竹园镇、白家乡援助的便民相关设施建设两笔资金支出方向、用途进行核查，并调取帮扶资金支出</w:t>
      </w:r>
      <w:r>
        <w:rPr>
          <w:rFonts w:hint="eastAsia" w:eastAsia="仿宋_GB2312"/>
          <w:sz w:val="32"/>
        </w:rPr>
        <w:t>相关审批资料，监督核查资金使用合规性、及时性等</w:t>
      </w:r>
      <w:r>
        <w:rPr>
          <w:rFonts w:hint="eastAsia" w:eastAsia="仿宋_GB2312"/>
          <w:sz w:val="32"/>
          <w:lang w:val="zh-CN"/>
        </w:rPr>
        <w:t>。</w:t>
      </w:r>
    </w:p>
    <w:p>
      <w:pPr>
        <w:numPr>
          <w:ilvl w:val="0"/>
          <w:numId w:val="12"/>
        </w:numPr>
        <w:adjustRightInd w:val="0"/>
        <w:snapToGrid w:val="0"/>
        <w:spacing w:beforeLines="0" w:afterLines="0" w:line="360" w:lineRule="auto"/>
        <w:ind w:firstLine="642"/>
        <w:rPr>
          <w:rFonts w:hint="eastAsia" w:ascii="楷体_GB2312" w:hAnsi="宋体" w:eastAsia="楷体_GB2312"/>
          <w:b/>
          <w:color w:val="auto"/>
          <w:sz w:val="32"/>
          <w:lang w:val="zh-CN"/>
        </w:rPr>
      </w:pPr>
      <w:r>
        <w:rPr>
          <w:rFonts w:hint="eastAsia" w:ascii="楷体_GB2312" w:hAnsi="宋体" w:eastAsia="楷体_GB2312"/>
          <w:b/>
          <w:color w:val="auto"/>
          <w:sz w:val="32"/>
          <w:lang w:val="zh-CN"/>
        </w:rPr>
        <w:t>评价方法。</w:t>
      </w:r>
    </w:p>
    <w:p>
      <w:pPr>
        <w:numPr>
          <w:numId w:val="0"/>
        </w:numPr>
        <w:adjustRightInd w:val="0"/>
        <w:snapToGrid w:val="0"/>
        <w:spacing w:beforeLines="0" w:afterLines="0" w:line="360" w:lineRule="auto"/>
        <w:rPr>
          <w:rFonts w:hint="eastAsia" w:eastAsia="仿宋_GB2312"/>
          <w:sz w:val="32"/>
        </w:rPr>
      </w:pPr>
      <w:r>
        <w:rPr>
          <w:rFonts w:hint="eastAsia" w:eastAsia="仿宋_GB2312"/>
          <w:sz w:val="32"/>
        </w:rPr>
        <w:t xml:space="preserve">    根据项目情况和评价重点，采用单位自评法、座谈调研法用来收集相关材料和开展具体评价的方法。</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eastAsia="仿宋_GB2312"/>
          <w:sz w:val="32"/>
        </w:rPr>
        <w:t xml:space="preserve">    </w:t>
      </w:r>
      <w:r>
        <w:rPr>
          <w:rFonts w:hint="eastAsia" w:ascii="楷体_GB2312" w:hAnsi="宋体" w:eastAsia="楷体_GB2312"/>
          <w:b/>
          <w:color w:val="auto"/>
          <w:sz w:val="32"/>
          <w:lang w:val="zh-CN"/>
        </w:rPr>
        <w:t>（五）评价组织。</w:t>
      </w:r>
    </w:p>
    <w:p>
      <w:pPr>
        <w:numPr>
          <w:numId w:val="0"/>
        </w:numPr>
        <w:adjustRightInd w:val="0"/>
        <w:snapToGrid w:val="0"/>
        <w:spacing w:beforeLines="0" w:afterLines="0" w:line="360" w:lineRule="auto"/>
        <w:ind w:firstLine="640" w:firstLineChars="200"/>
        <w:rPr>
          <w:rFonts w:hint="eastAsia"/>
          <w:sz w:val="32"/>
        </w:rPr>
      </w:pPr>
      <w:r>
        <w:rPr>
          <w:rFonts w:hint="eastAsia" w:eastAsia="仿宋_GB2312"/>
          <w:sz w:val="32"/>
        </w:rPr>
        <w:t>绩效评价领导小组以常务副院长为组长，各业务部门、行装处、督查室部门领导为组员组成；绩效评价工作小组由各部门内勤及财务人员组成。采取“谁申报项目，谁负责绩效评价”的原则，由项目部门政治部、机关党委、行装处牵头，召集工作小组对项目进行初评，然后呈报至领导小组复核。根据财政专项项目管理办法及财政资金管理要求，由院内督察室进行定期监督，做到了专款专用，执行有力，且没有超预算和范围、违规报销行为，没有滞留、截流、挤占、挪用项目资金的现象。</w:t>
      </w:r>
    </w:p>
    <w:p>
      <w:pPr>
        <w:numPr>
          <w:numId w:val="0"/>
        </w:numPr>
        <w:adjustRightInd w:val="0"/>
        <w:snapToGrid w:val="0"/>
        <w:spacing w:beforeLines="0" w:afterLines="0" w:line="360" w:lineRule="auto"/>
        <w:ind w:leftChars="200"/>
        <w:rPr>
          <w:rFonts w:hint="eastAsia" w:ascii="仿宋_GB2312" w:hAnsi="宋体" w:eastAsia="仿宋_GB2312"/>
          <w:b/>
          <w:color w:val="auto"/>
          <w:sz w:val="32"/>
          <w:lang w:val="zh-CN"/>
        </w:rPr>
      </w:pPr>
      <w:r>
        <w:rPr>
          <w:rFonts w:hint="eastAsia" w:ascii="黑体" w:hAnsi="宋体" w:eastAsia="黑体"/>
          <w:b/>
          <w:color w:val="auto"/>
          <w:sz w:val="32"/>
        </w:rPr>
        <w:t>三、绩效分析</w:t>
      </w:r>
      <w:r>
        <w:rPr>
          <w:rFonts w:hint="eastAsia" w:ascii="仿宋_GB2312" w:hAnsi="宋体" w:eastAsia="仿宋_GB2312"/>
          <w:b/>
          <w:color w:val="auto"/>
          <w:sz w:val="32"/>
          <w:lang w:val="zh-CN"/>
        </w:rPr>
        <w:tab/>
      </w:r>
    </w:p>
    <w:p>
      <w:pPr>
        <w:numPr>
          <w:numId w:val="0"/>
        </w:numPr>
        <w:adjustRightInd w:val="0"/>
        <w:snapToGrid w:val="0"/>
        <w:spacing w:beforeLines="0" w:afterLines="0" w:line="360" w:lineRule="auto"/>
        <w:rPr>
          <w:rFonts w:hint="eastAsia" w:ascii="楷体_GB2312" w:hAnsi="宋体" w:eastAsia="楷体_GB2312"/>
          <w:b/>
          <w:color w:val="auto"/>
          <w:sz w:val="32"/>
        </w:rPr>
      </w:pPr>
      <w:r>
        <w:rPr>
          <w:rFonts w:hint="eastAsia" w:ascii="楷体_GB2312" w:hAnsi="宋体" w:eastAsia="楷体_GB2312"/>
          <w:b/>
          <w:color w:val="auto"/>
          <w:sz w:val="32"/>
        </w:rPr>
        <w:t xml:space="preserve">   </w:t>
      </w:r>
      <w:r>
        <w:rPr>
          <w:rFonts w:hint="eastAsia" w:ascii="楷体_GB2312" w:hAnsi="宋体" w:eastAsia="楷体_GB2312"/>
          <w:b/>
          <w:color w:val="auto"/>
          <w:sz w:val="32"/>
          <w:lang w:val="zh-CN"/>
        </w:rPr>
        <w:t>（一）</w:t>
      </w:r>
      <w:r>
        <w:rPr>
          <w:rFonts w:hint="eastAsia" w:ascii="楷体_GB2312" w:hAnsi="宋体" w:eastAsia="楷体_GB2312"/>
          <w:b/>
          <w:color w:val="auto"/>
          <w:sz w:val="32"/>
        </w:rPr>
        <w:t>通用指标</w:t>
      </w:r>
      <w:r>
        <w:rPr>
          <w:rFonts w:hint="eastAsia" w:eastAsia="楷体_GB2312"/>
          <w:b/>
          <w:color w:val="000000"/>
          <w:kern w:val="0"/>
          <w:sz w:val="32"/>
          <w:shd w:val="clear" w:color="auto" w:fill="FFFFFF"/>
          <w:lang w:val="zh-CN"/>
        </w:rPr>
        <w:t>绩效得分</w:t>
      </w:r>
      <w:r>
        <w:rPr>
          <w:rFonts w:hint="eastAsia" w:eastAsia="楷体_GB2312"/>
          <w:b/>
          <w:color w:val="000000"/>
          <w:kern w:val="0"/>
          <w:sz w:val="32"/>
          <w:shd w:val="clear" w:color="auto" w:fill="FFFFFF"/>
        </w:rPr>
        <w:t>54分</w:t>
      </w:r>
      <w:r>
        <w:rPr>
          <w:rFonts w:hint="eastAsia" w:eastAsia="楷体_GB2312"/>
          <w:b/>
          <w:color w:val="000000"/>
          <w:kern w:val="0"/>
          <w:sz w:val="32"/>
          <w:shd w:val="clear" w:color="auto" w:fill="FFFFFF"/>
          <w:lang w:val="zh-CN"/>
        </w:rPr>
        <w:t>。</w:t>
      </w:r>
    </w:p>
    <w:p>
      <w:p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1.项目决策评分为18分。</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决策程序：</w:t>
      </w:r>
      <w:r>
        <w:rPr>
          <w:rFonts w:hint="eastAsia" w:eastAsia="仿宋_GB2312"/>
          <w:sz w:val="32"/>
        </w:rPr>
        <w:t>根据</w:t>
      </w:r>
      <w:r>
        <w:rPr>
          <w:rFonts w:hint="eastAsia" w:eastAsia="仿宋_GB2312"/>
          <w:sz w:val="32"/>
          <w:lang w:val="zh-CN"/>
        </w:rPr>
        <w:t>我院对口帮扶规划</w:t>
      </w:r>
      <w:r>
        <w:rPr>
          <w:rFonts w:hint="eastAsia" w:eastAsia="仿宋_GB2312"/>
          <w:sz w:val="32"/>
        </w:rPr>
        <w:t>，</w:t>
      </w:r>
      <w:r>
        <w:rPr>
          <w:rFonts w:hint="eastAsia" w:eastAsia="仿宋_GB2312"/>
          <w:sz w:val="32"/>
          <w:lang w:val="zh-CN"/>
        </w:rPr>
        <w:t>项目设立有必要，立项依据充分，</w:t>
      </w:r>
      <w:r>
        <w:rPr>
          <w:rFonts w:hint="eastAsia" w:eastAsia="仿宋_GB2312"/>
          <w:sz w:val="32"/>
        </w:rPr>
        <w:t>安排</w:t>
      </w:r>
      <w:r>
        <w:rPr>
          <w:rFonts w:hint="eastAsia" w:eastAsia="仿宋_GB2312"/>
          <w:sz w:val="32"/>
          <w:lang w:val="zh-CN"/>
        </w:rPr>
        <w:t>项目资金预算</w:t>
      </w:r>
      <w:r>
        <w:rPr>
          <w:rFonts w:hint="eastAsia" w:eastAsia="仿宋_GB2312"/>
          <w:sz w:val="32"/>
        </w:rPr>
        <w:t>5.46</w:t>
      </w:r>
      <w:r>
        <w:rPr>
          <w:rFonts w:hint="eastAsia" w:eastAsia="仿宋_GB2312"/>
          <w:sz w:val="32"/>
          <w:lang w:val="zh-CN"/>
        </w:rPr>
        <w:t>万元合理，符合资金管理基本规范和决策程序要求，故该项评分为</w:t>
      </w:r>
      <w:r>
        <w:rPr>
          <w:rFonts w:hint="eastAsia" w:eastAsia="仿宋_GB2312"/>
          <w:sz w:val="32"/>
        </w:rPr>
        <w:t>6分</w:t>
      </w:r>
      <w:r>
        <w:rPr>
          <w:rFonts w:hint="eastAsia" w:eastAsia="仿宋_GB2312"/>
          <w:sz w:val="32"/>
          <w:lang w:val="zh-CN"/>
        </w:rPr>
        <w:t>。</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规划论证：该项目规划符合市委市政府有关决策部署安排，预算申报前，充分征求了相关部门论证了项目必要性、前瞻性、合理性和可行性，且项目总体绩效目标设置合理，绩效目标规范完整、量化细化，预算匹配度较好，故此项评分为</w:t>
      </w:r>
      <w:r>
        <w:rPr>
          <w:rFonts w:hint="eastAsia" w:eastAsia="仿宋_GB2312"/>
          <w:sz w:val="32"/>
        </w:rPr>
        <w:t>6分。</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资金投向：</w:t>
      </w:r>
      <w:r>
        <w:rPr>
          <w:rFonts w:hint="eastAsia" w:eastAsia="仿宋_GB2312"/>
          <w:sz w:val="32"/>
        </w:rPr>
        <w:t>2024年度</w:t>
      </w:r>
      <w:r>
        <w:rPr>
          <w:rFonts w:hint="eastAsia" w:eastAsia="仿宋_GB2312"/>
          <w:sz w:val="32"/>
          <w:lang w:val="zh-CN"/>
        </w:rPr>
        <w:t>乡村振兴经费项目主要是用于帮助完善对口乡村基础设施建设，规划乡村产业发展，加强乡村政治文化及法治建设，护航新型乡村建设，提升对口帮扶乡村农户生活质量和水平，故此项评分为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项目管理评分为18分。</w:t>
      </w:r>
    </w:p>
    <w:p>
      <w:pPr>
        <w:numPr>
          <w:numId w:val="0"/>
        </w:numPr>
        <w:adjustRightInd w:val="0"/>
        <w:snapToGrid w:val="0"/>
        <w:spacing w:beforeLines="0" w:afterLines="0" w:line="360" w:lineRule="auto"/>
        <w:ind w:firstLine="640"/>
        <w:rPr>
          <w:rFonts w:hint="eastAsia" w:eastAsia="仿宋_GB2312"/>
          <w:sz w:val="32"/>
        </w:rPr>
      </w:pPr>
      <w:r>
        <w:rPr>
          <w:rFonts w:hint="eastAsia" w:eastAsia="仿宋_GB2312"/>
          <w:sz w:val="32"/>
        </w:rPr>
        <w:t>制度办法：</w:t>
      </w:r>
      <w:r>
        <w:rPr>
          <w:rFonts w:hint="eastAsia" w:eastAsia="仿宋_GB2312"/>
          <w:sz w:val="32"/>
          <w:lang w:val="zh-CN"/>
        </w:rPr>
        <w:t>我院按部门职责分工明确，严格遵循工作计划稳步推进实施。完善各项内部控制与考核制度，建立较为完善的财务管理制度《广元市中级人民法院财务管理制度》、《广元市中级人民法院预算管理制度》，严格执行。</w:t>
      </w:r>
      <w:r>
        <w:rPr>
          <w:rFonts w:hint="eastAsia" w:eastAsia="仿宋_GB2312"/>
          <w:sz w:val="32"/>
        </w:rPr>
        <w:t>并在资金使用过程中严格按照《驻村第一书记及驻村工作队员生活工作保障的通知》要求，做到应保尽保，故此项评分为2分。</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lang w:val="zh-CN"/>
        </w:rPr>
        <w:t>分配管理：此项目预算资金分配上严格按照管理办法和帮扶规划执行，决策程序符合三重一大要求，资金支付及时高效。且在项目申报前期，充分考察了帮扶对象的需求，在资金分配上根据比例进行合理划分。项目做到了财政资金专款专用，资金支付有相关审批程序和合规手续，账务处理及时，会计核算规范。项目管理人员及督察部门对项目实施全过程监控，对偏离预算执行的项目及时纠偏和调整，财务报销严格执行财务审批程序。故此项评分为</w:t>
      </w:r>
      <w:r>
        <w:rPr>
          <w:rFonts w:hint="eastAsia" w:eastAsia="仿宋_GB2312"/>
          <w:sz w:val="32"/>
        </w:rPr>
        <w:t>10分。</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lang w:val="zh-CN"/>
        </w:rPr>
        <w:t>绩效监管：该项目全面完成了事前评估、绩效目标设置、绩效监控、绩效督促、问题整改等预算绩效管理工作，评分为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项目实施评分为9分。</w:t>
      </w:r>
    </w:p>
    <w:p>
      <w:pPr>
        <w:numPr>
          <w:numId w:val="0"/>
        </w:numPr>
        <w:adjustRightInd w:val="0"/>
        <w:snapToGrid w:val="0"/>
        <w:spacing w:beforeLines="0" w:afterLines="0" w:line="360" w:lineRule="auto"/>
        <w:rPr>
          <w:rFonts w:hint="eastAsia" w:ascii="仿宋_GB2312" w:eastAsia="仿宋_GB2312"/>
          <w:sz w:val="32"/>
          <w:lang w:val="zh-CN"/>
        </w:rPr>
      </w:pPr>
      <w:r>
        <w:rPr>
          <w:rFonts w:hint="eastAsia" w:ascii="仿宋_GB2312" w:eastAsia="仿宋_GB2312"/>
          <w:sz w:val="32"/>
        </w:rPr>
        <w:t xml:space="preserve">    </w:t>
      </w:r>
      <w:r>
        <w:rPr>
          <w:rFonts w:hint="eastAsia" w:ascii="仿宋_GB2312" w:eastAsia="仿宋_GB2312"/>
          <w:sz w:val="32"/>
          <w:lang w:val="zh-CN"/>
        </w:rPr>
        <w:t>预算执行：该项目预算执行进度好，该项指标得分</w:t>
      </w:r>
      <w:r>
        <w:rPr>
          <w:rFonts w:hint="eastAsia" w:ascii="仿宋_GB2312" w:eastAsia="仿宋_GB2312"/>
          <w:sz w:val="32"/>
        </w:rPr>
        <w:t>=财政资金拨付率100%*100%*3+单位资金使用率100%*100%*3=6分。</w:t>
      </w:r>
    </w:p>
    <w:p>
      <w:pPr>
        <w:numPr>
          <w:numId w:val="0"/>
        </w:numPr>
        <w:adjustRightInd w:val="0"/>
        <w:snapToGrid w:val="0"/>
        <w:spacing w:beforeLines="0" w:afterLines="0" w:line="360" w:lineRule="auto"/>
        <w:rPr>
          <w:rFonts w:hint="eastAsia"/>
          <w:sz w:val="32"/>
          <w:lang w:val="zh-CN"/>
        </w:rPr>
      </w:pPr>
      <w:r>
        <w:rPr>
          <w:rFonts w:hint="eastAsia" w:ascii="仿宋_GB2312" w:eastAsia="仿宋_GB2312"/>
          <w:sz w:val="32"/>
        </w:rPr>
        <w:t xml:space="preserve">    </w:t>
      </w:r>
      <w:r>
        <w:rPr>
          <w:rFonts w:hint="eastAsia" w:ascii="仿宋_GB2312" w:eastAsia="仿宋_GB2312"/>
          <w:sz w:val="32"/>
          <w:lang w:val="zh-CN"/>
        </w:rPr>
        <w:t>资金使用：该项目资金使用拨付，项目实施符合财务管理制度。事前</w:t>
      </w:r>
      <w:r>
        <w:rPr>
          <w:rFonts w:hint="eastAsia" w:eastAsia="仿宋_GB2312"/>
          <w:sz w:val="32"/>
          <w:lang w:val="zh-CN"/>
        </w:rPr>
        <w:t>严格审核项目实施可行性，形成帮扶方案及意见，提交党组会审议后，将资金拨付给相应单位，并由院机关督察室、院机关纪委、行装处组建工作小组对帮扶资金使用情况进行监督。行装处严格审核项目报销凭证，加快专项资金支付，及时进行会计核算。故该项评分为</w:t>
      </w:r>
      <w:r>
        <w:rPr>
          <w:rFonts w:hint="eastAsia" w:eastAsia="仿宋_GB2312"/>
          <w:sz w:val="32"/>
        </w:rPr>
        <w:t>3分。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项目结果评分为9分。</w:t>
      </w:r>
    </w:p>
    <w:p>
      <w:pPr>
        <w:numPr>
          <w:numId w:val="0"/>
        </w:numPr>
        <w:adjustRightInd w:val="0"/>
        <w:snapToGrid w:val="0"/>
        <w:spacing w:beforeLines="0" w:afterLines="0" w:line="360" w:lineRule="auto"/>
        <w:ind w:firstLine="640"/>
        <w:rPr>
          <w:rFonts w:hint="eastAsia" w:eastAsia="仿宋_GB2312"/>
          <w:color w:val="auto"/>
          <w:sz w:val="32"/>
        </w:rPr>
      </w:pPr>
      <w:r>
        <w:rPr>
          <w:rFonts w:hint="eastAsia" w:eastAsia="仿宋_GB2312"/>
          <w:color w:val="auto"/>
          <w:sz w:val="32"/>
        </w:rPr>
        <w:t>目标完成：该项目已100%完成年初设定绩效目标，预算执行率达100%，较好地</w:t>
      </w:r>
      <w:r>
        <w:rPr>
          <w:rFonts w:hint="eastAsia" w:eastAsia="仿宋_GB2312"/>
          <w:sz w:val="32"/>
        </w:rPr>
        <w:t>完善对口白家村及清江村基础设施建设帮扶</w:t>
      </w:r>
      <w:r>
        <w:rPr>
          <w:rFonts w:hint="eastAsia" w:eastAsia="仿宋_GB2312"/>
          <w:color w:val="auto"/>
          <w:sz w:val="32"/>
        </w:rPr>
        <w:t>，顺利达成此项目设置的绩效目标，评分为6分。</w:t>
      </w:r>
    </w:p>
    <w:p>
      <w:pPr>
        <w:numPr>
          <w:numId w:val="0"/>
        </w:numPr>
        <w:adjustRightInd w:val="0"/>
        <w:snapToGrid w:val="0"/>
        <w:spacing w:beforeLines="0" w:afterLines="0" w:line="360" w:lineRule="auto"/>
        <w:ind w:firstLine="640"/>
        <w:rPr>
          <w:rFonts w:hint="eastAsia" w:eastAsia="仿宋_GB2312"/>
          <w:sz w:val="32"/>
        </w:rPr>
      </w:pPr>
      <w:r>
        <w:rPr>
          <w:rFonts w:hint="eastAsia" w:eastAsia="仿宋_GB2312"/>
          <w:sz w:val="32"/>
        </w:rPr>
        <w:t>完成时效：该项目于2024年12月31日前完成资金的拨付，评分为3分。</w:t>
      </w:r>
    </w:p>
    <w:p>
      <w:pPr>
        <w:spacing w:beforeLines="0" w:afterLines="0" w:line="360" w:lineRule="auto"/>
        <w:rPr>
          <w:rFonts w:hint="eastAsia" w:ascii="楷体_GB2312" w:hAnsi="楷体_GB2312" w:eastAsia="楷体_GB2312"/>
          <w:color w:val="auto"/>
          <w:sz w:val="32"/>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（二）</w:t>
      </w:r>
      <w:r>
        <w:rPr>
          <w:rFonts w:hint="eastAsia" w:ascii="楷体_GB2312" w:hAnsi="宋体" w:eastAsia="楷体_GB2312"/>
          <w:b/>
          <w:color w:val="auto"/>
          <w:sz w:val="32"/>
        </w:rPr>
        <w:t>专用指标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30分</w:t>
      </w:r>
      <w:r>
        <w:rPr>
          <w:rFonts w:hint="eastAsia" w:eastAsia="楷体_GB2312"/>
          <w:b/>
          <w:color w:val="000000"/>
          <w:kern w:val="0"/>
          <w:sz w:val="32"/>
          <w:shd w:val="clear" w:color="auto" w:fill="FFFFFF"/>
          <w:lang w:val="zh-CN"/>
        </w:rPr>
        <w:t>。</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1.产业发展。</w:t>
      </w:r>
      <w:r>
        <w:rPr>
          <w:rFonts w:hint="eastAsia" w:eastAsia="仿宋_GB2312"/>
          <w:color w:val="auto"/>
          <w:sz w:val="32"/>
        </w:rPr>
        <w:t xml:space="preserve">不涉及。 </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2.</w:t>
      </w:r>
      <w:r>
        <w:rPr>
          <w:rFonts w:hint="eastAsia" w:ascii="楷体_GB2312" w:hAnsi="楷体_GB2312" w:eastAsia="楷体_GB2312"/>
          <w:color w:val="auto"/>
          <w:sz w:val="32"/>
          <w:lang w:val="zh-CN"/>
        </w:rPr>
        <w:t>民生保障。</w:t>
      </w:r>
      <w:r>
        <w:rPr>
          <w:rFonts w:hint="eastAsia" w:eastAsia="仿宋_GB2312"/>
          <w:color w:val="auto"/>
          <w:sz w:val="32"/>
        </w:rPr>
        <w:t>保障了白家村、清江村便民类（路灯、饮用水等）基础设施的完善，改善了村民生活质量、保障了民生需求，同时对乡村振兴也是积极地促进作用。该项评分为15分。</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3.基础设施。</w:t>
      </w:r>
      <w:r>
        <w:rPr>
          <w:rFonts w:hint="eastAsia" w:eastAsia="仿宋_GB2312"/>
          <w:color w:val="auto"/>
          <w:sz w:val="32"/>
        </w:rPr>
        <w:t>不涉及。</w:t>
      </w:r>
    </w:p>
    <w:p>
      <w:pPr>
        <w:adjustRightInd w:val="0"/>
        <w:snapToGrid w:val="0"/>
        <w:spacing w:beforeLines="0" w:afterLines="0" w:line="360" w:lineRule="auto"/>
        <w:ind w:firstLine="640" w:firstLineChars="200"/>
        <w:rPr>
          <w:rFonts w:hint="eastAsia" w:ascii="楷体_GB2312" w:hAnsi="楷体_GB2312" w:eastAsia="楷体_GB2312"/>
          <w:color w:val="auto"/>
          <w:sz w:val="32"/>
          <w:lang w:val="zh-CN"/>
        </w:rPr>
      </w:pPr>
      <w:r>
        <w:rPr>
          <w:rFonts w:hint="eastAsia" w:ascii="楷体_GB2312" w:hAnsi="楷体_GB2312" w:eastAsia="楷体_GB2312"/>
          <w:color w:val="auto"/>
          <w:sz w:val="32"/>
        </w:rPr>
        <w:t>4.</w:t>
      </w:r>
      <w:r>
        <w:rPr>
          <w:rFonts w:hint="eastAsia" w:ascii="楷体_GB2312" w:hAnsi="楷体_GB2312" w:eastAsia="楷体_GB2312"/>
          <w:color w:val="auto"/>
          <w:sz w:val="32"/>
          <w:lang w:val="zh-CN"/>
        </w:rPr>
        <w:t>行政运转。</w:t>
      </w:r>
      <w:r>
        <w:rPr>
          <w:rFonts w:hint="eastAsia" w:eastAsia="仿宋_GB2312"/>
          <w:sz w:val="32"/>
          <w:lang w:val="zh-CN"/>
        </w:rPr>
        <w:t>项目资金实行专款专用，用途符合乡村帮扶文件要求，经费开支范围、支出审批手续均齐全，资金分配标准符合专项资金管理要求，项目资金支付及时，监管到位。该项评分为</w:t>
      </w:r>
      <w:r>
        <w:rPr>
          <w:rFonts w:hint="eastAsia" w:eastAsia="仿宋_GB2312"/>
          <w:sz w:val="32"/>
        </w:rPr>
        <w:t>15分。</w:t>
      </w:r>
    </w:p>
    <w:p>
      <w:pPr>
        <w:numPr>
          <w:numId w:val="0"/>
        </w:numPr>
        <w:adjustRightInd w:val="0"/>
        <w:snapToGrid w:val="0"/>
        <w:spacing w:beforeLines="0" w:afterLines="0" w:line="360" w:lineRule="auto"/>
        <w:rPr>
          <w:rFonts w:hint="eastAsia"/>
          <w:b/>
          <w:color w:val="000000"/>
          <w:kern w:val="0"/>
          <w:sz w:val="32"/>
          <w:shd w:val="clear" w:color="auto" w:fill="FFFFFF"/>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（三）</w:t>
      </w:r>
      <w:r>
        <w:rPr>
          <w:rFonts w:hint="eastAsia" w:ascii="楷体_GB2312" w:hAnsi="宋体" w:eastAsia="楷体_GB2312"/>
          <w:b/>
          <w:color w:val="auto"/>
          <w:sz w:val="32"/>
        </w:rPr>
        <w:t>个性指标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16分</w:t>
      </w:r>
      <w:r>
        <w:rPr>
          <w:rFonts w:hint="eastAsia" w:eastAsia="楷体_GB2312"/>
          <w:b/>
          <w:color w:val="000000"/>
          <w:kern w:val="0"/>
          <w:sz w:val="32"/>
          <w:shd w:val="clear" w:color="auto" w:fill="FFFFFF"/>
          <w:lang w:val="zh-CN"/>
        </w:rPr>
        <w:t>。</w:t>
      </w:r>
    </w:p>
    <w:p>
      <w:pPr>
        <w:numPr>
          <w:numId w:val="0"/>
        </w:numPr>
        <w:adjustRightInd w:val="0"/>
        <w:snapToGrid w:val="0"/>
        <w:spacing w:beforeLines="0" w:afterLines="0" w:line="360" w:lineRule="auto"/>
        <w:ind w:firstLine="640" w:firstLineChars="200"/>
        <w:rPr>
          <w:rFonts w:hint="eastAsia"/>
          <w:sz w:val="32"/>
          <w:lang w:val="zh-CN"/>
        </w:rPr>
      </w:pPr>
      <w:r>
        <w:rPr>
          <w:rFonts w:hint="eastAsia" w:eastAsia="仿宋_GB2312"/>
          <w:sz w:val="32"/>
        </w:rPr>
        <w:t>年初设定的绩效目标均已达成，取得良好的效用，个性指标评分为16分。</w:t>
      </w:r>
    </w:p>
    <w:tbl>
      <w:tblPr>
        <w:tblStyle w:val="25"/>
        <w:tblW w:w="8314" w:type="dxa"/>
        <w:jc w:val="righ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55"/>
        <w:gridCol w:w="839"/>
        <w:gridCol w:w="890"/>
        <w:gridCol w:w="2056"/>
        <w:gridCol w:w="916"/>
        <w:gridCol w:w="851"/>
        <w:gridCol w:w="981"/>
        <w:gridCol w:w="684"/>
        <w:gridCol w:w="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right"/>
        </w:trPr>
        <w:tc>
          <w:tcPr>
            <w:tcW w:w="555" w:type="dxa"/>
            <w:vMerge w:val="restart"/>
            <w:tcBorders>
              <w:top w:val="single" w:color="000000" w:sz="4" w:space="0"/>
              <w:left w:val="single" w:color="000000" w:sz="4" w:space="0"/>
              <w:bottom w:val="nil"/>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绩效指标（90分）</w:t>
            </w: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一级指标</w:t>
            </w:r>
          </w:p>
        </w:tc>
        <w:tc>
          <w:tcPr>
            <w:tcW w:w="89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二级指标</w:t>
            </w:r>
          </w:p>
        </w:tc>
        <w:tc>
          <w:tcPr>
            <w:tcW w:w="205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三级指标</w:t>
            </w:r>
          </w:p>
        </w:tc>
        <w:tc>
          <w:tcPr>
            <w:tcW w:w="91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指标性质</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指标值</w:t>
            </w:r>
          </w:p>
        </w:tc>
        <w:tc>
          <w:tcPr>
            <w:tcW w:w="9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度量单位</w:t>
            </w:r>
          </w:p>
        </w:tc>
        <w:tc>
          <w:tcPr>
            <w:tcW w:w="68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完成值</w:t>
            </w:r>
          </w:p>
        </w:tc>
        <w:tc>
          <w:tcPr>
            <w:tcW w:w="5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8" w:hRule="atLeast"/>
          <w:jc w:val="right"/>
        </w:trPr>
        <w:tc>
          <w:tcPr>
            <w:tcW w:w="55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9"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产出指标</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数量指标</w:t>
            </w:r>
          </w:p>
        </w:tc>
        <w:tc>
          <w:tcPr>
            <w:tcW w:w="205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乡村振兴第一书记及队员人数</w:t>
            </w:r>
          </w:p>
        </w:tc>
        <w:tc>
          <w:tcPr>
            <w:tcW w:w="91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3</w:t>
            </w:r>
          </w:p>
        </w:tc>
        <w:tc>
          <w:tcPr>
            <w:tcW w:w="9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人</w:t>
            </w:r>
          </w:p>
        </w:tc>
        <w:tc>
          <w:tcPr>
            <w:tcW w:w="68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4</w:t>
            </w:r>
          </w:p>
        </w:tc>
        <w:tc>
          <w:tcPr>
            <w:tcW w:w="5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10" w:hRule="atLeast"/>
          <w:jc w:val="right"/>
        </w:trPr>
        <w:tc>
          <w:tcPr>
            <w:tcW w:w="55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9"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205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帮扶乡镇个数</w:t>
            </w:r>
          </w:p>
        </w:tc>
        <w:tc>
          <w:tcPr>
            <w:tcW w:w="91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w:t>
            </w:r>
          </w:p>
        </w:tc>
        <w:tc>
          <w:tcPr>
            <w:tcW w:w="9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个</w:t>
            </w:r>
          </w:p>
        </w:tc>
        <w:tc>
          <w:tcPr>
            <w:tcW w:w="68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2</w:t>
            </w:r>
          </w:p>
        </w:tc>
        <w:tc>
          <w:tcPr>
            <w:tcW w:w="5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right"/>
        </w:trPr>
        <w:tc>
          <w:tcPr>
            <w:tcW w:w="55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9"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205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驻村帮扶人员经费保障标准</w:t>
            </w:r>
          </w:p>
        </w:tc>
        <w:tc>
          <w:tcPr>
            <w:tcW w:w="91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18200</w:t>
            </w:r>
          </w:p>
        </w:tc>
        <w:tc>
          <w:tcPr>
            <w:tcW w:w="9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元/人年</w:t>
            </w:r>
          </w:p>
        </w:tc>
        <w:tc>
          <w:tcPr>
            <w:tcW w:w="68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18200</w:t>
            </w:r>
          </w:p>
        </w:tc>
        <w:tc>
          <w:tcPr>
            <w:tcW w:w="5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10" w:hRule="atLeast"/>
          <w:jc w:val="right"/>
        </w:trPr>
        <w:tc>
          <w:tcPr>
            <w:tcW w:w="55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9"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9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质量指标</w:t>
            </w:r>
          </w:p>
        </w:tc>
        <w:tc>
          <w:tcPr>
            <w:tcW w:w="205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第一书记及队员参与驻村工作到位率</w:t>
            </w:r>
          </w:p>
        </w:tc>
        <w:tc>
          <w:tcPr>
            <w:tcW w:w="91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100</w:t>
            </w:r>
          </w:p>
        </w:tc>
        <w:tc>
          <w:tcPr>
            <w:tcW w:w="9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68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100</w:t>
            </w:r>
          </w:p>
        </w:tc>
        <w:tc>
          <w:tcPr>
            <w:tcW w:w="5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10" w:hRule="atLeast"/>
          <w:jc w:val="right"/>
        </w:trPr>
        <w:tc>
          <w:tcPr>
            <w:tcW w:w="55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9"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9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时效指标</w:t>
            </w:r>
          </w:p>
        </w:tc>
        <w:tc>
          <w:tcPr>
            <w:tcW w:w="205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项目完成时限</w:t>
            </w:r>
          </w:p>
        </w:tc>
        <w:tc>
          <w:tcPr>
            <w:tcW w:w="91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w:t>
            </w:r>
          </w:p>
        </w:tc>
        <w:tc>
          <w:tcPr>
            <w:tcW w:w="9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年</w:t>
            </w:r>
          </w:p>
        </w:tc>
        <w:tc>
          <w:tcPr>
            <w:tcW w:w="68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1</w:t>
            </w:r>
          </w:p>
        </w:tc>
        <w:tc>
          <w:tcPr>
            <w:tcW w:w="5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right"/>
        </w:trPr>
        <w:tc>
          <w:tcPr>
            <w:tcW w:w="55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9"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效益指标</w:t>
            </w:r>
          </w:p>
        </w:tc>
        <w:tc>
          <w:tcPr>
            <w:tcW w:w="89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社会效益指标</w:t>
            </w:r>
          </w:p>
        </w:tc>
        <w:tc>
          <w:tcPr>
            <w:tcW w:w="205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帮助完善对口乡村基础设施建设，规划乡村产业发展，提升对口帮扶乡村农户生活质量和水平。</w:t>
            </w:r>
          </w:p>
        </w:tc>
        <w:tc>
          <w:tcPr>
            <w:tcW w:w="91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9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68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优</w:t>
            </w:r>
          </w:p>
        </w:tc>
        <w:tc>
          <w:tcPr>
            <w:tcW w:w="5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right"/>
        </w:trPr>
        <w:tc>
          <w:tcPr>
            <w:tcW w:w="55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9"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9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可持续影响指标</w:t>
            </w:r>
          </w:p>
        </w:tc>
        <w:tc>
          <w:tcPr>
            <w:tcW w:w="205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巩固脱贫攻坚成果，解决地区、城乡、社会发展不平衡的问题。</w:t>
            </w:r>
          </w:p>
        </w:tc>
        <w:tc>
          <w:tcPr>
            <w:tcW w:w="91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9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68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优</w:t>
            </w:r>
          </w:p>
        </w:tc>
        <w:tc>
          <w:tcPr>
            <w:tcW w:w="5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right"/>
        </w:trPr>
        <w:tc>
          <w:tcPr>
            <w:tcW w:w="555" w:type="dxa"/>
            <w:vMerge w:val="continue"/>
            <w:tcBorders>
              <w:top w:val="nil"/>
              <w:left w:val="single" w:color="000000" w:sz="4" w:space="0"/>
              <w:bottom w:val="nil"/>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满意度指标</w:t>
            </w:r>
          </w:p>
        </w:tc>
        <w:tc>
          <w:tcPr>
            <w:tcW w:w="89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帮扶对象满意度指标</w:t>
            </w:r>
          </w:p>
        </w:tc>
        <w:tc>
          <w:tcPr>
            <w:tcW w:w="205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乡村振兴对口帮扶对象满意度</w:t>
            </w:r>
          </w:p>
        </w:tc>
        <w:tc>
          <w:tcPr>
            <w:tcW w:w="91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90</w:t>
            </w:r>
          </w:p>
        </w:tc>
        <w:tc>
          <w:tcPr>
            <w:tcW w:w="9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w:t>
            </w:r>
          </w:p>
        </w:tc>
        <w:tc>
          <w:tcPr>
            <w:tcW w:w="68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95</w:t>
            </w:r>
          </w:p>
        </w:tc>
        <w:tc>
          <w:tcPr>
            <w:tcW w:w="5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right"/>
        </w:trPr>
        <w:tc>
          <w:tcPr>
            <w:tcW w:w="555" w:type="dxa"/>
            <w:vMerge w:val="continue"/>
            <w:tcBorders>
              <w:top w:val="nil"/>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39"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成本指标</w:t>
            </w:r>
          </w:p>
        </w:tc>
        <w:tc>
          <w:tcPr>
            <w:tcW w:w="89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经济成本指标</w:t>
            </w:r>
          </w:p>
        </w:tc>
        <w:tc>
          <w:tcPr>
            <w:tcW w:w="205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项目总成本</w:t>
            </w:r>
          </w:p>
        </w:tc>
        <w:tc>
          <w:tcPr>
            <w:tcW w:w="91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w:t>
            </w:r>
          </w:p>
        </w:tc>
        <w:tc>
          <w:tcPr>
            <w:tcW w:w="85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54600</w:t>
            </w:r>
          </w:p>
        </w:tc>
        <w:tc>
          <w:tcPr>
            <w:tcW w:w="9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元</w:t>
            </w:r>
          </w:p>
        </w:tc>
        <w:tc>
          <w:tcPr>
            <w:tcW w:w="68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54600</w:t>
            </w:r>
          </w:p>
        </w:tc>
        <w:tc>
          <w:tcPr>
            <w:tcW w:w="54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kern w:val="0"/>
                <w:sz w:val="18"/>
                <w:szCs w:val="20"/>
              </w:rPr>
            </w:pPr>
            <w:r>
              <w:rPr>
                <w:rFonts w:hint="eastAsia" w:ascii="宋体" w:hAnsi="宋体" w:eastAsia="宋体" w:cs="Times New Roman"/>
                <w:color w:val="000000"/>
                <w:kern w:val="0"/>
                <w:sz w:val="18"/>
                <w:szCs w:val="20"/>
              </w:rPr>
              <w:t>20</w:t>
            </w:r>
          </w:p>
        </w:tc>
      </w:tr>
    </w:tbl>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rPr>
      </w:pPr>
      <w:r>
        <w:rPr>
          <w:rFonts w:hint="eastAsia" w:ascii="黑体" w:hAnsi="宋体" w:eastAsia="黑体"/>
          <w:b/>
          <w:color w:val="auto"/>
          <w:sz w:val="32"/>
          <w:lang w:eastAsia="zh-CN"/>
        </w:rPr>
        <w:t>四</w:t>
      </w:r>
      <w:r>
        <w:rPr>
          <w:rFonts w:hint="eastAsia" w:ascii="黑体" w:hAnsi="宋体" w:eastAsia="黑体"/>
          <w:b/>
          <w:color w:val="auto"/>
          <w:sz w:val="32"/>
        </w:rPr>
        <w:t>、评价结论</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rPr>
        <w:t>该项目自评得分为100分。该项目决策符合上级政策方针，项目预算执行进度推进有力，项目监督管控落实到位，项目资金支付审批齐全、用途合理合规。</w:t>
      </w:r>
      <w:r>
        <w:rPr>
          <w:rFonts w:hint="eastAsia" w:eastAsia="仿宋_GB2312"/>
          <w:sz w:val="32"/>
          <w:lang w:val="zh-CN"/>
        </w:rPr>
        <w:t>通过项目的实施，完善对口乡村基础设施建设，规划乡村产业发展，加强乡村政治文化及法治建设，护航新型乡村建设，提升对口帮扶乡村农户生活质量和水平。</w:t>
      </w: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eastAsia="zh-CN"/>
        </w:rPr>
      </w:pPr>
      <w:r>
        <w:rPr>
          <w:rFonts w:hint="eastAsia" w:ascii="黑体" w:hAnsi="宋体" w:eastAsia="黑体"/>
          <w:b/>
          <w:color w:val="auto"/>
          <w:sz w:val="32"/>
          <w:lang w:eastAsia="zh-CN"/>
        </w:rPr>
        <w:t>五、存在主要问题</w:t>
      </w:r>
    </w:p>
    <w:p>
      <w:pPr>
        <w:pStyle w:val="8"/>
        <w:numPr>
          <w:numId w:val="0"/>
        </w:numPr>
        <w:tabs>
          <w:tab w:val="left" w:pos="2160"/>
        </w:tabs>
        <w:spacing w:beforeLines="0" w:afterLines="0" w:line="360" w:lineRule="auto"/>
        <w:ind w:firstLine="640" w:firstLineChars="200"/>
        <w:rPr>
          <w:rFonts w:hint="eastAsia" w:ascii="黑体" w:hAnsi="黑体" w:eastAsia="黑体"/>
          <w:kern w:val="2"/>
          <w:sz w:val="32"/>
          <w:lang w:eastAsia="zh-CN"/>
        </w:rPr>
      </w:pPr>
      <w:r>
        <w:rPr>
          <w:rFonts w:hint="eastAsia" w:ascii="仿宋_GB2312" w:hAnsi="仿宋_GB2312" w:eastAsia="仿宋_GB2312"/>
          <w:sz w:val="32"/>
          <w:lang w:eastAsia="zh-CN"/>
        </w:rPr>
        <w:t>无。</w:t>
      </w:r>
    </w:p>
    <w:p>
      <w:pPr>
        <w:pStyle w:val="8"/>
        <w:widowControl w:val="0"/>
        <w:numPr>
          <w:ilvl w:val="0"/>
          <w:numId w:val="13"/>
        </w:numPr>
        <w:tabs>
          <w:tab w:val="left" w:pos="2160"/>
        </w:tabs>
        <w:spacing w:beforeLines="0" w:afterLines="0" w:line="360" w:lineRule="auto"/>
        <w:ind w:firstLine="643" w:firstLineChars="200"/>
        <w:rPr>
          <w:rFonts w:hint="eastAsia" w:ascii="黑体" w:hAnsi="宋体" w:eastAsia="黑体"/>
          <w:b/>
          <w:color w:val="auto"/>
          <w:sz w:val="32"/>
          <w:lang w:val="zh-CN" w:eastAsia="zh-CN"/>
        </w:rPr>
      </w:pPr>
      <w:r>
        <w:rPr>
          <w:rFonts w:hint="eastAsia" w:ascii="黑体" w:hAnsi="宋体" w:eastAsia="黑体"/>
          <w:b/>
          <w:color w:val="auto"/>
          <w:sz w:val="32"/>
          <w:lang w:val="zh-CN" w:eastAsia="zh-CN"/>
        </w:rPr>
        <w:t>改进建议</w:t>
      </w:r>
    </w:p>
    <w:p>
      <w:pPr>
        <w:pStyle w:val="8"/>
        <w:widowControl w:val="0"/>
        <w:numPr>
          <w:numId w:val="0"/>
        </w:numPr>
        <w:tabs>
          <w:tab w:val="left" w:pos="2160"/>
        </w:tabs>
        <w:spacing w:beforeLines="0" w:afterLines="0" w:line="360" w:lineRule="auto"/>
        <w:ind w:leftChars="200"/>
        <w:rPr>
          <w:rFonts w:hint="eastAsia" w:ascii="Times New Roman" w:eastAsia="黑体"/>
          <w:color w:val="000000"/>
          <w:sz w:val="20"/>
          <w:shd w:val="clear" w:color="auto" w:fill="FFFFFF"/>
          <w:lang w:eastAsia="zh-CN"/>
        </w:rPr>
      </w:pPr>
      <w:r>
        <w:rPr>
          <w:rFonts w:hint="eastAsia" w:ascii="仿宋_GB2312" w:hAnsi="仿宋_GB2312" w:eastAsia="仿宋_GB2312"/>
          <w:sz w:val="32"/>
          <w:lang w:eastAsia="zh-CN"/>
        </w:rPr>
        <w:t>无。</w:t>
      </w:r>
    </w:p>
    <w:p>
      <w:pPr>
        <w:pStyle w:val="36"/>
        <w:spacing w:beforeLines="0" w:afterLines="0"/>
        <w:ind w:firstLine="883" w:firstLineChars="20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四川省广元市中级人民法院</w:t>
      </w:r>
    </w:p>
    <w:p>
      <w:pPr>
        <w:pStyle w:val="36"/>
        <w:spacing w:beforeLines="0" w:afterLines="0"/>
        <w:ind w:firstLine="883" w:firstLineChars="200"/>
        <w:jc w:val="center"/>
        <w:rPr>
          <w:rFonts w:hint="eastAsia" w:ascii="黑体" w:hAnsi="黑体" w:eastAsia="黑体"/>
          <w:b/>
          <w:color w:val="auto"/>
          <w:kern w:val="2"/>
          <w:sz w:val="44"/>
          <w:lang w:val="en-US"/>
        </w:rPr>
      </w:pPr>
      <w:r>
        <w:rPr>
          <w:rFonts w:hint="eastAsia" w:ascii="黑体" w:hAnsi="黑体" w:eastAsia="黑体"/>
          <w:b/>
          <w:color w:val="auto"/>
          <w:kern w:val="2"/>
          <w:sz w:val="44"/>
          <w:lang w:val="en-US"/>
        </w:rPr>
        <w:t>2024年专线网络租赁维护费预算项目</w:t>
      </w:r>
    </w:p>
    <w:p>
      <w:pPr>
        <w:pStyle w:val="36"/>
        <w:spacing w:beforeLines="0" w:afterLines="0"/>
        <w:ind w:firstLine="883" w:firstLineChars="200"/>
        <w:jc w:val="center"/>
        <w:rPr>
          <w:rFonts w:hint="eastAsia" w:ascii="宋体" w:hAnsi="宋体"/>
          <w:color w:val="auto"/>
          <w:kern w:val="2"/>
          <w:sz w:val="32"/>
        </w:rPr>
      </w:pPr>
      <w:r>
        <w:rPr>
          <w:rFonts w:hint="eastAsia" w:ascii="黑体" w:hAnsi="黑体" w:eastAsia="黑体"/>
          <w:b/>
          <w:color w:val="auto"/>
          <w:kern w:val="2"/>
          <w:sz w:val="44"/>
          <w:lang w:val="en-US"/>
        </w:rPr>
        <w:t>支出绩效评价报告</w:t>
      </w:r>
    </w:p>
    <w:p>
      <w:pPr>
        <w:adjustRightInd w:val="0"/>
        <w:snapToGrid w:val="0"/>
        <w:spacing w:beforeLines="0" w:afterLines="0" w:line="360" w:lineRule="auto"/>
        <w:ind w:firstLine="643" w:firstLineChars="200"/>
        <w:rPr>
          <w:rFonts w:hint="eastAsia" w:ascii="黑体" w:hAnsi="宋体" w:eastAsia="黑体"/>
          <w:b/>
          <w:sz w:val="32"/>
          <w:lang w:val="zh-CN"/>
        </w:rPr>
      </w:pPr>
      <w:r>
        <w:rPr>
          <w:rFonts w:hint="eastAsia" w:ascii="黑体" w:hAnsi="宋体" w:eastAsia="黑体"/>
          <w:b/>
          <w:sz w:val="32"/>
        </w:rPr>
        <w:t>一、</w:t>
      </w:r>
      <w:r>
        <w:rPr>
          <w:rFonts w:hint="eastAsia" w:ascii="黑体" w:hAnsi="宋体" w:eastAsia="黑体"/>
          <w:b/>
          <w:sz w:val="32"/>
          <w:lang w:val="zh-CN"/>
        </w:rPr>
        <w:t>项目概况</w:t>
      </w:r>
    </w:p>
    <w:p>
      <w:pPr>
        <w:widowControl/>
        <w:numPr>
          <w:numId w:val="0"/>
        </w:numPr>
        <w:adjustRightInd w:val="0"/>
        <w:snapToGrid w:val="0"/>
        <w:spacing w:beforeLines="0" w:afterLines="0" w:line="360" w:lineRule="auto"/>
        <w:ind w:firstLine="643" w:firstLineChars="200"/>
        <w:jc w:val="left"/>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（一）设立背景及基本情况。</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广元市</w:t>
      </w:r>
      <w:r>
        <w:rPr>
          <w:rFonts w:hint="eastAsia" w:eastAsia="仿宋_GB2312"/>
          <w:sz w:val="32"/>
        </w:rPr>
        <w:t>中级人民法院是独立核算的一级预算部门，</w:t>
      </w:r>
      <w:r>
        <w:rPr>
          <w:rFonts w:hint="eastAsia" w:eastAsia="仿宋_GB2312"/>
          <w:sz w:val="32"/>
          <w:lang w:val="zh-CN"/>
        </w:rPr>
        <w:t>负责法院专线网络租赁维护费项目年初预算的编制和绩效目标的设置，确保项目预算的科学性、合理性、可行性。负责推进项目执行以及项目实施过程管理，包括项目进度监控、成本控制、风险预警、资金支付、财务核算等。项目完成后的决算编审、绩效目标考核和项目自评，以及其他与项目相关工作。</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rPr>
        <w:t>根据我院案件审判、执行各项业务工作开展实际需求，保障各专线网络租赁所需费用，提升我院案件办理质效，保障当事人合法权益，助推司法公开透明。根据往年该项目实施情况及本年需求，2024年</w:t>
      </w:r>
      <w:r>
        <w:rPr>
          <w:rFonts w:hint="eastAsia" w:eastAsia="仿宋_GB2312"/>
          <w:sz w:val="32"/>
          <w:lang w:val="zh-CN"/>
        </w:rPr>
        <w:t>专线网络租赁维护费项目资金</w:t>
      </w:r>
      <w:r>
        <w:rPr>
          <w:rFonts w:hint="eastAsia" w:eastAsia="仿宋_GB2312"/>
          <w:sz w:val="32"/>
        </w:rPr>
        <w:t>55万元。</w:t>
      </w:r>
    </w:p>
    <w:p>
      <w:pPr>
        <w:numPr>
          <w:numId w:val="0"/>
        </w:numPr>
        <w:adjustRightInd w:val="0"/>
        <w:snapToGrid w:val="0"/>
        <w:spacing w:beforeLines="0" w:afterLines="0" w:line="360" w:lineRule="auto"/>
        <w:rPr>
          <w:rFonts w:hint="eastAsia" w:ascii="楷体_GB2312" w:hAnsi="宋体" w:eastAsia="楷体_GB2312"/>
          <w:b/>
          <w:color w:val="auto"/>
          <w:sz w:val="32"/>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（二）</w:t>
      </w:r>
      <w:r>
        <w:rPr>
          <w:rFonts w:hint="eastAsia" w:ascii="楷体_GB2312" w:hAnsi="宋体" w:eastAsia="楷体_GB2312"/>
          <w:b/>
          <w:color w:val="auto"/>
          <w:sz w:val="32"/>
        </w:rPr>
        <w:t>实施目的及支持方向。</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专线网络租赁维护费项目预算编制立足上年项目执行情况和当年工作实际，绩效目标和项目指标编制科学、合理。</w:t>
      </w:r>
    </w:p>
    <w:p>
      <w:pPr>
        <w:adjustRightInd w:val="0"/>
        <w:snapToGrid w:val="0"/>
        <w:spacing w:beforeLines="0" w:afterLines="0" w:line="360" w:lineRule="auto"/>
        <w:ind w:firstLine="640" w:firstLineChars="200"/>
        <w:rPr>
          <w:rFonts w:hint="eastAsia" w:ascii="仿宋_GB2312" w:hAnsi="宋体" w:eastAsia="仿宋_GB2312"/>
          <w:sz w:val="32"/>
          <w:lang w:val="zh-CN"/>
        </w:rPr>
      </w:pPr>
      <w:r>
        <w:rPr>
          <w:rFonts w:hint="eastAsia" w:eastAsia="仿宋_GB2312"/>
          <w:sz w:val="32"/>
        </w:rPr>
        <w:t xml:space="preserve"> </w:t>
      </w:r>
      <w:r>
        <w:rPr>
          <w:rFonts w:hint="eastAsia" w:eastAsia="仿宋_GB2312"/>
          <w:sz w:val="32"/>
          <w:lang w:val="zh-CN"/>
        </w:rPr>
        <w:t>项目资金来源系财政全额拨款的一般公共预算资金，按照我院财务管理办法及专项资金管理细则，实行专款专用。项目的所有经费开支均经过项目责任人、财务负责人、分管院领导的审批签字，并在对应的科目进行专项核算。</w:t>
      </w:r>
    </w:p>
    <w:p>
      <w:pPr>
        <w:widowControl/>
        <w:numPr>
          <w:numId w:val="0"/>
        </w:numPr>
        <w:adjustRightInd w:val="0"/>
        <w:snapToGrid w:val="0"/>
        <w:spacing w:beforeLines="0" w:afterLines="0" w:line="360" w:lineRule="auto"/>
        <w:jc w:val="left"/>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（三）</w:t>
      </w:r>
      <w:r>
        <w:rPr>
          <w:rFonts w:hint="eastAsia" w:ascii="楷体_GB2312" w:hAnsi="宋体" w:eastAsia="楷体_GB2312"/>
          <w:b/>
          <w:color w:val="auto"/>
          <w:sz w:val="32"/>
        </w:rPr>
        <w:t>预算安排及分配管理</w:t>
      </w:r>
      <w:r>
        <w:rPr>
          <w:rFonts w:hint="eastAsia" w:ascii="楷体_GB2312" w:hAnsi="宋体" w:eastAsia="楷体_GB2312"/>
          <w:b/>
          <w:color w:val="auto"/>
          <w:sz w:val="32"/>
          <w:lang w:val="zh-CN"/>
        </w:rPr>
        <w:t>。</w:t>
      </w:r>
    </w:p>
    <w:p>
      <w:pPr>
        <w:adjustRightInd w:val="0"/>
        <w:snapToGrid w:val="0"/>
        <w:spacing w:beforeLines="0" w:afterLines="0" w:line="360" w:lineRule="auto"/>
        <w:ind w:firstLine="640" w:firstLineChars="200"/>
        <w:rPr>
          <w:rFonts w:hint="eastAsia" w:eastAsia="仿宋_GB2312"/>
          <w:sz w:val="32"/>
          <w:lang w:val="zh-CN"/>
        </w:rPr>
      </w:pPr>
      <w:r>
        <w:rPr>
          <w:rFonts w:hint="eastAsia" w:eastAsia="仿宋_GB2312"/>
          <w:sz w:val="32"/>
          <w:lang w:val="zh-CN"/>
        </w:rPr>
        <w:t>专线网络租赁维护费项目</w:t>
      </w:r>
      <w:r>
        <w:rPr>
          <w:rFonts w:hint="eastAsia" w:eastAsia="仿宋_GB2312"/>
          <w:sz w:val="32"/>
        </w:rPr>
        <w:t>报送人代会通过后批复</w:t>
      </w:r>
      <w:r>
        <w:rPr>
          <w:rFonts w:hint="eastAsia" w:ascii="仿宋_GB2312" w:hAnsi="仿宋_GB2312" w:eastAsia="仿宋_GB2312"/>
          <w:color w:val="auto"/>
          <w:kern w:val="0"/>
          <w:sz w:val="32"/>
          <w:shd w:val="clear" w:color="auto" w:fill="FFFFFF"/>
          <w:lang w:val="zh-CN"/>
        </w:rPr>
        <w:t>预算为一般</w:t>
      </w:r>
      <w:r>
        <w:rPr>
          <w:rFonts w:hint="eastAsia" w:eastAsia="仿宋_GB2312"/>
          <w:sz w:val="32"/>
          <w:lang w:val="zh-CN"/>
        </w:rPr>
        <w:t>公共预算资金</w:t>
      </w:r>
      <w:r>
        <w:rPr>
          <w:rFonts w:hint="eastAsia" w:eastAsia="仿宋_GB2312"/>
          <w:sz w:val="32"/>
        </w:rPr>
        <w:t>55万元，</w:t>
      </w:r>
      <w:r>
        <w:rPr>
          <w:rFonts w:hint="eastAsia" w:eastAsia="仿宋_GB2312"/>
          <w:sz w:val="32"/>
          <w:lang w:val="zh-CN"/>
        </w:rPr>
        <w:t>资金分配严格按照预算安排，主要用于保障案件审判、执行过程中各专线网络租赁和维护等费用。</w:t>
      </w:r>
    </w:p>
    <w:p>
      <w:pPr>
        <w:keepLines/>
        <w:numPr>
          <w:numId w:val="0"/>
        </w:numPr>
        <w:adjustRightInd w:val="0"/>
        <w:snapToGrid w:val="0"/>
        <w:spacing w:beforeLines="0" w:afterLines="0" w:line="360" w:lineRule="auto"/>
        <w:ind w:leftChars="200"/>
        <w:rPr>
          <w:rFonts w:hint="eastAsia" w:eastAsia="仿宋_GB2312"/>
          <w:sz w:val="32"/>
          <w:lang w:val="zh-CN"/>
        </w:rPr>
      </w:pPr>
      <w:r>
        <w:rPr>
          <w:rFonts w:hint="eastAsia" w:ascii="楷体_GB2312" w:hAnsi="宋体" w:eastAsia="楷体_GB2312"/>
          <w:b/>
          <w:color w:val="auto"/>
          <w:sz w:val="32"/>
          <w:lang w:val="zh-CN"/>
        </w:rPr>
        <w:t>（四）项目绩效目标设置。</w:t>
      </w:r>
    </w:p>
    <w:p>
      <w:pPr>
        <w:keepLines/>
        <w:numPr>
          <w:numId w:val="0"/>
        </w:numPr>
        <w:adjustRightInd w:val="0"/>
        <w:snapToGrid w:val="0"/>
        <w:spacing w:beforeLines="0" w:afterLines="0" w:line="360" w:lineRule="auto"/>
        <w:ind w:firstLine="642"/>
        <w:rPr>
          <w:rFonts w:hint="eastAsia" w:eastAsia="仿宋_GB2312"/>
          <w:sz w:val="32"/>
        </w:rPr>
      </w:pPr>
      <w:r>
        <w:rPr>
          <w:rFonts w:hint="eastAsia" w:eastAsia="仿宋_GB2312"/>
          <w:sz w:val="32"/>
          <w:lang w:val="zh-CN"/>
        </w:rPr>
        <w:t>202</w:t>
      </w:r>
      <w:r>
        <w:rPr>
          <w:rFonts w:hint="eastAsia" w:eastAsia="仿宋_GB2312"/>
          <w:sz w:val="32"/>
        </w:rPr>
        <w:t>4</w:t>
      </w:r>
      <w:r>
        <w:rPr>
          <w:rFonts w:hint="eastAsia" w:eastAsia="仿宋_GB2312"/>
          <w:sz w:val="32"/>
          <w:lang w:val="zh-CN"/>
        </w:rPr>
        <w:t>年专线网络租赁维护费项目资金用于保障案件审判、执行过程中各专线网络租赁和维护等费用，促使审判、执行各项业务工作顺利开展，</w:t>
      </w:r>
      <w:r>
        <w:rPr>
          <w:rFonts w:hint="eastAsia" w:eastAsia="仿宋_GB2312"/>
          <w:sz w:val="32"/>
        </w:rPr>
        <w:t>保障当事人合法权益，维助推司法公开透明。</w:t>
      </w:r>
    </w:p>
    <w:p>
      <w:pPr>
        <w:keepLines/>
        <w:numPr>
          <w:numId w:val="0"/>
        </w:numPr>
        <w:adjustRightInd w:val="0"/>
        <w:snapToGrid w:val="0"/>
        <w:spacing w:beforeLines="0" w:afterLines="0" w:line="360" w:lineRule="auto"/>
        <w:ind w:firstLine="642"/>
        <w:rPr>
          <w:rFonts w:hint="eastAsia" w:eastAsia="仿宋_GB2312"/>
          <w:sz w:val="32"/>
        </w:rPr>
      </w:pPr>
      <w:r>
        <w:rPr>
          <w:rFonts w:hint="eastAsia" w:eastAsia="仿宋_GB2312"/>
          <w:sz w:val="32"/>
          <w:lang w:val="zh-CN"/>
        </w:rPr>
        <w:t>该项目预算执行情况自评权重为</w:t>
      </w:r>
      <w:r>
        <w:rPr>
          <w:rFonts w:hint="eastAsia" w:eastAsia="仿宋_GB2312"/>
          <w:sz w:val="32"/>
        </w:rPr>
        <w:t>10%，满分为10分，其余产出指标、效益指标、成本指标，满意度指标绩效目标设置权重为90%，具体明细见下表：</w:t>
      </w:r>
    </w:p>
    <w:tbl>
      <w:tblPr>
        <w:tblStyle w:val="25"/>
        <w:tblW w:w="9999" w:type="dxa"/>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4"/>
        <w:gridCol w:w="2052"/>
        <w:gridCol w:w="1775"/>
        <w:gridCol w:w="2264"/>
        <w:gridCol w:w="521"/>
        <w:gridCol w:w="1677"/>
        <w:gridCol w:w="521"/>
        <w:gridCol w:w="5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2" w:hRule="atLeast"/>
        </w:trPr>
        <w:tc>
          <w:tcPr>
            <w:tcW w:w="68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绩效指标（90分）</w:t>
            </w:r>
          </w:p>
        </w:tc>
        <w:tc>
          <w:tcPr>
            <w:tcW w:w="2052"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一级指标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二级指标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三级指标</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指标性质</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指标值</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度量单位</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 w:hRule="atLeast"/>
        </w:trPr>
        <w:tc>
          <w:tcPr>
            <w:tcW w:w="684" w:type="dxa"/>
            <w:vMerge w:val="restart"/>
            <w:tcBorders>
              <w:top w:val="single" w:color="000000" w:sz="6" w:space="0"/>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绩效指标（90分）</w:t>
            </w:r>
          </w:p>
        </w:tc>
        <w:tc>
          <w:tcPr>
            <w:tcW w:w="2052" w:type="dxa"/>
            <w:vMerge w:val="restart"/>
            <w:tcBorders>
              <w:top w:val="single" w:color="000000" w:sz="6" w:space="0"/>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产出指标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数量指标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专项网络租赁数量</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5</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条</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 w:hRule="atLeast"/>
        </w:trPr>
        <w:tc>
          <w:tcPr>
            <w:tcW w:w="684" w:type="dxa"/>
            <w:vMerge w:val="continue"/>
            <w:tcBorders>
              <w:top w:val="nil"/>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continue"/>
            <w:tcBorders>
              <w:top w:val="nil"/>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质量指标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网络通讯通畅度</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95</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 w:hRule="atLeast"/>
        </w:trPr>
        <w:tc>
          <w:tcPr>
            <w:tcW w:w="684" w:type="dxa"/>
            <w:vMerge w:val="continue"/>
            <w:tcBorders>
              <w:top w:val="nil"/>
              <w:left w:val="single" w:color="000000" w:sz="6" w:space="0"/>
              <w:bottom w:val="nil"/>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vMerge w:val="continue"/>
            <w:tcBorders>
              <w:top w:val="nil"/>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时效指标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项目完成时限</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年</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0" w:hRule="atLeast"/>
        </w:trPr>
        <w:tc>
          <w:tcPr>
            <w:tcW w:w="684" w:type="dxa"/>
            <w:vMerge w:val="continue"/>
            <w:tcBorders>
              <w:top w:val="nil"/>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效益指标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社会效益指标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提升案件办理质效，促进司法公开透明，着力解决执行难等问题，及时有效维护当事人合法权益，促进社会公平正义。</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定性</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优</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级</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0" w:hRule="atLeast"/>
        </w:trPr>
        <w:tc>
          <w:tcPr>
            <w:tcW w:w="684" w:type="dxa"/>
            <w:vMerge w:val="continue"/>
            <w:tcBorders>
              <w:top w:val="single" w:color="auto" w:sz="4" w:space="0"/>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可持续影响指标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畅通当事人维权和诉求渠道，推动法治化宣传，提升了当事人和代理人的办事效率，推动信息化法治建设。</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定性</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优</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级</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2" w:hRule="atLeast"/>
        </w:trPr>
        <w:tc>
          <w:tcPr>
            <w:tcW w:w="684" w:type="dxa"/>
            <w:vMerge w:val="continue"/>
            <w:tcBorders>
              <w:top w:val="single" w:color="auto" w:sz="4" w:space="0"/>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满意度指标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服务对象满意度指标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法院工作人员对各项网络运行满意度</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90</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 w:hRule="atLeast"/>
        </w:trPr>
        <w:tc>
          <w:tcPr>
            <w:tcW w:w="684" w:type="dxa"/>
            <w:vMerge w:val="continue"/>
            <w:tcBorders>
              <w:top w:val="single" w:color="auto" w:sz="4" w:space="0"/>
              <w:left w:val="single" w:color="000000" w:sz="6" w:space="0"/>
              <w:bottom w:val="single" w:color="auto" w:sz="4"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p>
        </w:tc>
        <w:tc>
          <w:tcPr>
            <w:tcW w:w="2052"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成本指标</w:t>
            </w:r>
          </w:p>
        </w:tc>
        <w:tc>
          <w:tcPr>
            <w:tcW w:w="177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经济成本指标</w:t>
            </w:r>
          </w:p>
        </w:tc>
        <w:tc>
          <w:tcPr>
            <w:tcW w:w="2264"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项目总成本</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w:t>
            </w:r>
          </w:p>
        </w:tc>
        <w:tc>
          <w:tcPr>
            <w:tcW w:w="1677"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550000</w:t>
            </w:r>
          </w:p>
        </w:tc>
        <w:tc>
          <w:tcPr>
            <w:tcW w:w="521"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元</w:t>
            </w:r>
          </w:p>
        </w:tc>
        <w:tc>
          <w:tcPr>
            <w:tcW w:w="50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0" w:beforeAutospacing="0" w:after="0" w:afterAutospacing="0"/>
              <w:ind w:left="0" w:right="0"/>
              <w:jc w:val="center"/>
              <w:rPr>
                <w:rFonts w:hint="eastAsia" w:ascii="宋体" w:hAnsi="宋体" w:eastAsia="宋体" w:cs="Times New Roman"/>
                <w:color w:val="000000"/>
                <w:sz w:val="18"/>
                <w:szCs w:val="20"/>
              </w:rPr>
            </w:pPr>
            <w:r>
              <w:rPr>
                <w:rFonts w:hint="eastAsia" w:ascii="宋体" w:hAnsi="宋体" w:eastAsia="宋体" w:cs="Times New Roman"/>
                <w:color w:val="000000"/>
                <w:sz w:val="18"/>
                <w:szCs w:val="20"/>
              </w:rPr>
              <w:t>20</w:t>
            </w:r>
          </w:p>
        </w:tc>
      </w:tr>
    </w:tbl>
    <w:p>
      <w:pPr>
        <w:pStyle w:val="2"/>
        <w:spacing w:beforeLines="0" w:afterLines="0"/>
        <w:ind w:left="0" w:leftChars="0" w:firstLine="0" w:firstLineChars="0"/>
        <w:rPr>
          <w:rFonts w:hint="eastAsia"/>
          <w:sz w:val="32"/>
          <w:lang w:val="zh-CN"/>
        </w:rPr>
      </w:pP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我院对于该项目的申报内容与实际业务的开展相关且符合工作实际，申报的绩效目标易于考核，合理可行，操作性强。项目绩效自评采用中期监控和年终绩效考核相结合的方式进行。项目绩效自评由项目实施的民事、行政、刑事等业务部门分别报送年度内具体工作开展情况，并对项目的实施情况总结并自评，督察室监督审核工作的完成进度并进行项目验收，行装处负责统计相关项目工作的资金支付情况，并通过共同研讨、数据对比等方法对该项目进行自评打分。</w:t>
      </w:r>
    </w:p>
    <w:p>
      <w:pPr>
        <w:adjustRightInd w:val="0"/>
        <w:snapToGrid w:val="0"/>
        <w:spacing w:beforeLines="0" w:afterLines="0" w:line="360" w:lineRule="auto"/>
        <w:ind w:firstLine="643" w:firstLineChars="200"/>
        <w:rPr>
          <w:rFonts w:hint="eastAsia" w:ascii="黑体" w:hAnsi="宋体" w:eastAsia="黑体"/>
          <w:b/>
          <w:sz w:val="32"/>
        </w:rPr>
      </w:pPr>
      <w:r>
        <w:rPr>
          <w:rFonts w:hint="eastAsia" w:ascii="黑体" w:hAnsi="宋体" w:eastAsia="黑体"/>
          <w:b/>
          <w:sz w:val="32"/>
        </w:rPr>
        <w:t>二、评价实施</w:t>
      </w:r>
    </w:p>
    <w:p>
      <w:pPr>
        <w:spacing w:beforeLines="0" w:afterLines="0" w:line="360" w:lineRule="auto"/>
        <w:ind w:firstLine="640"/>
        <w:rPr>
          <w:rFonts w:hint="eastAsia" w:ascii="楷体_GB2312" w:hAnsi="宋体" w:eastAsia="楷体_GB2312"/>
          <w:b/>
          <w:color w:val="auto"/>
          <w:sz w:val="32"/>
          <w:lang w:val="zh-CN"/>
        </w:rPr>
      </w:pPr>
      <w:r>
        <w:rPr>
          <w:rFonts w:hint="eastAsia" w:ascii="楷体_GB2312" w:hAnsi="宋体" w:eastAsia="楷体_GB2312"/>
          <w:b/>
          <w:color w:val="auto"/>
          <w:sz w:val="32"/>
          <w:lang w:val="zh-CN"/>
        </w:rPr>
        <w:t>（一）评价目的。</w:t>
      </w:r>
    </w:p>
    <w:p>
      <w:pPr>
        <w:spacing w:beforeLines="0" w:afterLines="0" w:line="360" w:lineRule="auto"/>
        <w:ind w:firstLine="640"/>
        <w:rPr>
          <w:rFonts w:hint="eastAsia"/>
          <w:sz w:val="32"/>
        </w:rPr>
      </w:pPr>
      <w:r>
        <w:rPr>
          <w:rFonts w:hint="eastAsia" w:eastAsia="仿宋_GB2312"/>
          <w:sz w:val="32"/>
        </w:rPr>
        <w:t>通过项目绩效自评要实现对</w:t>
      </w:r>
      <w:r>
        <w:rPr>
          <w:rFonts w:hint="eastAsia" w:eastAsia="仿宋_GB2312"/>
          <w:sz w:val="32"/>
          <w:lang w:val="zh-CN"/>
        </w:rPr>
        <w:t>专线网络租赁维护费项目资金效益的监督及项目目标实现度的管理，促进财政资金发挥更大的效益，保障案件审判、执行过程中各专线网络租赁和维护费，促使审判业务工作顺利开展，助推司法公开透明</w:t>
      </w:r>
      <w:r>
        <w:rPr>
          <w:rFonts w:hint="eastAsia" w:eastAsia="仿宋_GB2312"/>
          <w:sz w:val="32"/>
        </w:rPr>
        <w:t>。</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w:t>
      </w:r>
      <w:r>
        <w:rPr>
          <w:rFonts w:hint="eastAsia" w:ascii="楷体_GB2312" w:hAnsi="宋体" w:eastAsia="楷体_GB2312"/>
          <w:b/>
          <w:color w:val="auto"/>
          <w:sz w:val="32"/>
          <w:lang w:val="zh-CN"/>
        </w:rPr>
        <w:t>（二）预设问题及评价重点。</w:t>
      </w:r>
    </w:p>
    <w:p>
      <w:pPr>
        <w:numPr>
          <w:numId w:val="0"/>
        </w:numPr>
        <w:adjustRightInd w:val="0"/>
        <w:snapToGrid w:val="0"/>
        <w:spacing w:beforeLines="0" w:afterLines="0" w:line="360" w:lineRule="auto"/>
        <w:rPr>
          <w:rFonts w:hint="eastAsia"/>
          <w:sz w:val="32"/>
          <w:lang w:val="zh-CN"/>
        </w:rPr>
      </w:pPr>
      <w:r>
        <w:rPr>
          <w:rFonts w:hint="eastAsia" w:eastAsia="仿宋_GB2312"/>
          <w:sz w:val="32"/>
        </w:rPr>
        <w:t xml:space="preserve">    </w:t>
      </w:r>
      <w:r>
        <w:rPr>
          <w:rFonts w:hint="eastAsia" w:eastAsia="仿宋_GB2312"/>
          <w:sz w:val="32"/>
          <w:lang w:val="zh-CN"/>
        </w:rPr>
        <w:t>该项目资金为一般公共预算财政拨款收入安排，市财政局通过预算对我院下达此专项资金</w:t>
      </w:r>
      <w:r>
        <w:rPr>
          <w:rFonts w:hint="eastAsia" w:eastAsia="仿宋_GB2312"/>
          <w:sz w:val="32"/>
        </w:rPr>
        <w:t>55万元，</w:t>
      </w:r>
      <w:r>
        <w:rPr>
          <w:rFonts w:hint="eastAsia" w:eastAsia="仿宋_GB2312"/>
          <w:sz w:val="32"/>
          <w:lang w:val="zh-CN"/>
        </w:rPr>
        <w:t>资金及时到位，资金到位率100%，到位及时率100%，预算执行率</w:t>
      </w:r>
      <w:r>
        <w:rPr>
          <w:rFonts w:hint="eastAsia" w:eastAsia="仿宋_GB2312"/>
          <w:sz w:val="32"/>
        </w:rPr>
        <w:t>100%。顺利完成了该项目的实施和资金支付。</w:t>
      </w:r>
      <w:r>
        <w:rPr>
          <w:rFonts w:hint="eastAsia" w:eastAsia="仿宋_GB2312"/>
          <w:sz w:val="32"/>
          <w:lang w:val="zh-CN"/>
        </w:rPr>
        <w:t>项目实行专项核算，资金支付合规、合法，无超预算和范围支付情况，无截留、挤占、挪用专项资金现象，无虚列项目成本、无进行大额现金支付现象，项目资金使用均按规定标准执行。</w:t>
      </w:r>
    </w:p>
    <w:p>
      <w:pPr>
        <w:numPr>
          <w:numId w:val="0"/>
        </w:numPr>
        <w:adjustRightInd w:val="0"/>
        <w:snapToGrid w:val="0"/>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（三）</w:t>
      </w:r>
      <w:r>
        <w:rPr>
          <w:rFonts w:hint="eastAsia" w:ascii="楷体_GB2312" w:hAnsi="宋体" w:eastAsia="楷体_GB2312"/>
          <w:b/>
          <w:color w:val="auto"/>
          <w:sz w:val="32"/>
          <w:lang w:val="zh-CN"/>
        </w:rPr>
        <w:t>评价选点。</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rPr>
        <w:t>选取5笔与</w:t>
      </w:r>
      <w:r>
        <w:rPr>
          <w:rFonts w:hint="eastAsia" w:eastAsia="仿宋_GB2312"/>
          <w:sz w:val="32"/>
          <w:lang w:val="zh-CN"/>
        </w:rPr>
        <w:t>专线网络租赁维护</w:t>
      </w:r>
      <w:r>
        <w:rPr>
          <w:rFonts w:hint="eastAsia" w:eastAsia="仿宋_GB2312"/>
          <w:sz w:val="32"/>
        </w:rPr>
        <w:t>相关的大额支出作为评价样本，核查资金支出方向及审批手续，调研该专线网络使用实际效果</w:t>
      </w:r>
      <w:r>
        <w:rPr>
          <w:rFonts w:hint="eastAsia" w:eastAsia="仿宋_GB2312"/>
          <w:sz w:val="32"/>
          <w:lang w:val="zh-CN"/>
        </w:rPr>
        <w:t>。</w:t>
      </w:r>
    </w:p>
    <w:p>
      <w:pPr>
        <w:numPr>
          <w:numId w:val="0"/>
        </w:num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lang w:val="en-US" w:eastAsia="zh-CN"/>
        </w:rPr>
        <w:t xml:space="preserve">   （四）</w:t>
      </w:r>
      <w:r>
        <w:rPr>
          <w:rFonts w:hint="eastAsia" w:ascii="楷体_GB2312" w:hAnsi="宋体" w:eastAsia="楷体_GB2312"/>
          <w:b/>
          <w:color w:val="auto"/>
          <w:sz w:val="32"/>
          <w:lang w:val="zh-CN"/>
        </w:rPr>
        <w:t>评价方法。</w:t>
      </w:r>
    </w:p>
    <w:p>
      <w:pPr>
        <w:numPr>
          <w:numId w:val="0"/>
        </w:numPr>
        <w:spacing w:beforeLines="0" w:afterLines="0" w:line="360" w:lineRule="auto"/>
        <w:rPr>
          <w:rFonts w:hint="eastAsia" w:eastAsia="仿宋_GB2312"/>
          <w:sz w:val="32"/>
        </w:rPr>
      </w:pPr>
      <w:r>
        <w:rPr>
          <w:rFonts w:hint="eastAsia" w:eastAsia="仿宋_GB2312"/>
          <w:sz w:val="32"/>
        </w:rPr>
        <w:t xml:space="preserve">    根据项目情况和评价重点，采用单位自评法、座谈调研法用来收集相关材料和开展具体评价的方法。</w:t>
      </w:r>
    </w:p>
    <w:p>
      <w:pPr>
        <w:spacing w:beforeLines="0" w:afterLines="0" w:line="360" w:lineRule="auto"/>
        <w:rPr>
          <w:rFonts w:hint="eastAsia" w:ascii="楷体_GB2312" w:hAnsi="宋体" w:eastAsia="楷体_GB2312"/>
          <w:b/>
          <w:color w:val="auto"/>
          <w:sz w:val="32"/>
          <w:lang w:val="zh-CN"/>
        </w:rPr>
      </w:pPr>
      <w:r>
        <w:rPr>
          <w:rFonts w:hint="eastAsia" w:ascii="楷体_GB2312" w:hAnsi="宋体" w:eastAsia="楷体_GB2312"/>
          <w:b/>
          <w:color w:val="auto"/>
          <w:sz w:val="32"/>
        </w:rPr>
        <w:t xml:space="preserve">   </w:t>
      </w:r>
      <w:r>
        <w:rPr>
          <w:rFonts w:hint="eastAsia" w:ascii="楷体_GB2312" w:hAnsi="宋体" w:eastAsia="楷体_GB2312"/>
          <w:b/>
          <w:color w:val="auto"/>
          <w:sz w:val="32"/>
          <w:lang w:val="zh-CN"/>
        </w:rPr>
        <w:t>（五）评价组织。</w:t>
      </w:r>
    </w:p>
    <w:p>
      <w:pPr>
        <w:adjustRightInd w:val="0"/>
        <w:snapToGrid w:val="0"/>
        <w:spacing w:beforeLines="0" w:afterLines="0" w:line="360" w:lineRule="auto"/>
        <w:ind w:firstLine="640" w:firstLineChars="200"/>
        <w:rPr>
          <w:rFonts w:hint="eastAsia"/>
          <w:sz w:val="32"/>
        </w:rPr>
      </w:pPr>
      <w:r>
        <w:rPr>
          <w:rFonts w:hint="eastAsia" w:eastAsia="仿宋_GB2312"/>
          <w:sz w:val="32"/>
        </w:rPr>
        <w:t>绩效评价小组以常务副院长为组长，各业务部门、行装处、督查室部门领导为组员组成；绩效评价工作小组由各部门内勤及财务人员组成。采取“谁申报项目，谁负责绩效评价”的原则，由项目部门</w:t>
      </w:r>
      <w:r>
        <w:rPr>
          <w:rFonts w:hint="eastAsia" w:eastAsia="仿宋_GB2312"/>
          <w:sz w:val="32"/>
          <w:lang w:val="zh-CN"/>
        </w:rPr>
        <w:t>（各业务庭室部门领导）</w:t>
      </w:r>
      <w:r>
        <w:rPr>
          <w:rFonts w:hint="eastAsia" w:eastAsia="仿宋_GB2312"/>
          <w:sz w:val="32"/>
        </w:rPr>
        <w:t>牵头，召集工作小组对项目进行初评，然后呈报至领导小组复核。根据财政专项项目管理办法及财政资金管理要求，</w:t>
      </w:r>
      <w:r>
        <w:rPr>
          <w:rFonts w:hint="eastAsia" w:eastAsia="仿宋_GB2312"/>
          <w:sz w:val="32"/>
          <w:lang w:val="zh-CN"/>
        </w:rPr>
        <w:t>行装处严格审核项目报销凭证，加快专项资金支付，及时进行会计核算。</w:t>
      </w:r>
      <w:r>
        <w:rPr>
          <w:rFonts w:hint="eastAsia" w:eastAsia="仿宋_GB2312"/>
          <w:sz w:val="32"/>
        </w:rPr>
        <w:t>督察室进行定期监督，做到了专款专用，执行有力，且没有超预算和范围、违规报销行为，没有滞留、截流、挤占、挪用项目资金的现象。</w:t>
      </w:r>
    </w:p>
    <w:p>
      <w:pPr>
        <w:numPr>
          <w:ilvl w:val="0"/>
          <w:numId w:val="7"/>
        </w:numPr>
        <w:adjustRightInd w:val="0"/>
        <w:snapToGrid w:val="0"/>
        <w:spacing w:beforeLines="0" w:afterLines="0" w:line="360" w:lineRule="auto"/>
        <w:ind w:firstLine="643" w:firstLineChars="200"/>
        <w:rPr>
          <w:rFonts w:hint="eastAsia" w:ascii="仿宋_GB2312" w:hAnsi="宋体" w:eastAsia="仿宋_GB2312"/>
          <w:b/>
          <w:color w:val="auto"/>
          <w:sz w:val="32"/>
          <w:lang w:val="zh-CN"/>
        </w:rPr>
      </w:pPr>
      <w:r>
        <w:rPr>
          <w:rFonts w:hint="eastAsia" w:ascii="黑体" w:hAnsi="宋体" w:eastAsia="黑体"/>
          <w:b/>
          <w:color w:val="auto"/>
          <w:sz w:val="32"/>
        </w:rPr>
        <w:t>绩效分析</w:t>
      </w:r>
      <w:r>
        <w:rPr>
          <w:rFonts w:hint="eastAsia" w:ascii="仿宋_GB2312" w:hAnsi="宋体" w:eastAsia="仿宋_GB2312"/>
          <w:b/>
          <w:color w:val="auto"/>
          <w:sz w:val="32"/>
          <w:lang w:val="zh-CN"/>
        </w:rPr>
        <w:tab/>
      </w:r>
    </w:p>
    <w:p>
      <w:pPr>
        <w:numPr>
          <w:numId w:val="0"/>
        </w:numPr>
        <w:adjustRightInd w:val="0"/>
        <w:snapToGrid w:val="0"/>
        <w:spacing w:beforeLines="0" w:afterLines="0" w:line="360" w:lineRule="auto"/>
        <w:ind w:leftChars="200"/>
        <w:rPr>
          <w:rFonts w:hint="eastAsia" w:ascii="楷体_GB2312" w:hAnsi="宋体" w:eastAsia="楷体_GB2312"/>
          <w:b/>
          <w:color w:val="auto"/>
          <w:sz w:val="32"/>
        </w:rPr>
      </w:pPr>
      <w:r>
        <w:rPr>
          <w:rFonts w:hint="eastAsia" w:ascii="楷体_GB2312" w:hAnsi="宋体" w:eastAsia="楷体_GB2312"/>
          <w:b/>
          <w:color w:val="auto"/>
          <w:sz w:val="32"/>
          <w:lang w:val="zh-CN"/>
        </w:rPr>
        <w:t>（一）</w:t>
      </w:r>
      <w:r>
        <w:rPr>
          <w:rFonts w:hint="eastAsia" w:ascii="楷体_GB2312" w:hAnsi="宋体" w:eastAsia="楷体_GB2312"/>
          <w:b/>
          <w:color w:val="auto"/>
          <w:sz w:val="32"/>
        </w:rPr>
        <w:t>通用指标</w:t>
      </w:r>
      <w:r>
        <w:rPr>
          <w:rFonts w:hint="eastAsia" w:eastAsia="楷体_GB2312"/>
          <w:b/>
          <w:color w:val="000000"/>
          <w:kern w:val="0"/>
          <w:sz w:val="32"/>
          <w:shd w:val="clear" w:color="auto" w:fill="FFFFFF"/>
          <w:lang w:val="zh-CN"/>
        </w:rPr>
        <w:t>绩效得分</w:t>
      </w:r>
      <w:r>
        <w:rPr>
          <w:rFonts w:hint="eastAsia" w:eastAsia="楷体_GB2312"/>
          <w:b/>
          <w:color w:val="000000"/>
          <w:kern w:val="0"/>
          <w:sz w:val="32"/>
          <w:shd w:val="clear" w:color="auto" w:fill="FFFFFF"/>
        </w:rPr>
        <w:t>54分</w:t>
      </w:r>
      <w:r>
        <w:rPr>
          <w:rFonts w:hint="eastAsia" w:eastAsia="楷体_GB2312"/>
          <w:b/>
          <w:color w:val="000000"/>
          <w:kern w:val="0"/>
          <w:sz w:val="32"/>
          <w:shd w:val="clear" w:color="auto" w:fill="FFFFFF"/>
          <w:lang w:val="zh-CN"/>
        </w:rPr>
        <w:t>。</w:t>
      </w:r>
    </w:p>
    <w:p>
      <w:p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1.项目决策评分为18分。</w:t>
      </w:r>
    </w:p>
    <w:p>
      <w:pPr>
        <w:adjustRightInd w:val="0"/>
        <w:snapToGrid w:val="0"/>
        <w:spacing w:beforeLines="0" w:afterLines="0" w:line="360" w:lineRule="auto"/>
        <w:ind w:firstLine="640" w:firstLineChars="200"/>
        <w:rPr>
          <w:rFonts w:hint="eastAsia"/>
          <w:sz w:val="32"/>
          <w:lang w:val="zh-CN"/>
        </w:rPr>
      </w:pPr>
      <w:r>
        <w:rPr>
          <w:rFonts w:hint="eastAsia" w:eastAsia="仿宋_GB2312"/>
          <w:sz w:val="32"/>
          <w:lang w:val="zh-CN"/>
        </w:rPr>
        <w:t>决策程序：</w:t>
      </w:r>
      <w:r>
        <w:rPr>
          <w:rFonts w:hint="eastAsia" w:eastAsia="仿宋_GB2312"/>
          <w:sz w:val="32"/>
        </w:rPr>
        <w:t>根据</w:t>
      </w:r>
      <w:r>
        <w:rPr>
          <w:rFonts w:hint="eastAsia" w:eastAsia="仿宋_GB2312"/>
          <w:sz w:val="32"/>
          <w:lang w:val="zh-CN"/>
        </w:rPr>
        <w:t>我院审判、执行实际工作需要</w:t>
      </w:r>
      <w:r>
        <w:rPr>
          <w:rFonts w:hint="eastAsia" w:eastAsia="仿宋_GB2312"/>
          <w:sz w:val="32"/>
        </w:rPr>
        <w:t>，</w:t>
      </w:r>
      <w:r>
        <w:rPr>
          <w:rFonts w:hint="eastAsia" w:eastAsia="仿宋_GB2312"/>
          <w:sz w:val="32"/>
          <w:lang w:val="zh-CN"/>
        </w:rPr>
        <w:t>项目设立有必要，立项依据充分，</w:t>
      </w:r>
      <w:r>
        <w:rPr>
          <w:rFonts w:hint="eastAsia" w:eastAsia="仿宋_GB2312"/>
          <w:sz w:val="32"/>
        </w:rPr>
        <w:t>安排</w:t>
      </w:r>
      <w:r>
        <w:rPr>
          <w:rFonts w:hint="eastAsia" w:eastAsia="仿宋_GB2312"/>
          <w:sz w:val="32"/>
          <w:lang w:val="zh-CN"/>
        </w:rPr>
        <w:t>项目资金预算</w:t>
      </w:r>
      <w:r>
        <w:rPr>
          <w:rFonts w:hint="eastAsia" w:eastAsia="仿宋_GB2312"/>
          <w:sz w:val="32"/>
        </w:rPr>
        <w:t>55</w:t>
      </w:r>
      <w:r>
        <w:rPr>
          <w:rFonts w:hint="eastAsia" w:eastAsia="仿宋_GB2312"/>
          <w:sz w:val="32"/>
          <w:lang w:val="zh-CN"/>
        </w:rPr>
        <w:t>万元合理，符合资金管理基本规范和决策程序要求，故该项评分为</w:t>
      </w:r>
      <w:r>
        <w:rPr>
          <w:rFonts w:hint="eastAsia" w:eastAsia="仿宋_GB2312"/>
          <w:sz w:val="32"/>
        </w:rPr>
        <w:t>6分</w:t>
      </w:r>
      <w:r>
        <w:rPr>
          <w:rFonts w:hint="eastAsia" w:eastAsia="仿宋_GB2312"/>
          <w:sz w:val="32"/>
          <w:lang w:val="zh-CN"/>
        </w:rPr>
        <w:t>。</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规划论证：该项目规划符合省高院及市委市政府有关决策部署安排，预算申报前，充分征求了相关部门论证了项目必要性、前瞻性、合理性和可行性，充分调研了近三年专线网络使用实际，项目总体绩效目标设置合理，绩效目标规范完整、量化细化，预算匹配度较好，故此项评分为</w:t>
      </w:r>
      <w:r>
        <w:rPr>
          <w:rFonts w:hint="eastAsia" w:eastAsia="仿宋_GB2312"/>
          <w:sz w:val="32"/>
        </w:rPr>
        <w:t>6分。</w:t>
      </w:r>
    </w:p>
    <w:p>
      <w:pPr>
        <w:adjustRightInd w:val="0"/>
        <w:snapToGrid w:val="0"/>
        <w:spacing w:beforeLines="0" w:afterLines="0" w:line="360" w:lineRule="auto"/>
        <w:ind w:firstLine="640" w:firstLineChars="200"/>
        <w:rPr>
          <w:rFonts w:hint="eastAsia" w:eastAsia="仿宋_GB2312"/>
          <w:sz w:val="32"/>
        </w:rPr>
      </w:pPr>
      <w:r>
        <w:rPr>
          <w:rFonts w:hint="eastAsia" w:eastAsia="仿宋_GB2312"/>
          <w:sz w:val="32"/>
          <w:lang w:val="zh-CN"/>
        </w:rPr>
        <w:t>资金投向：专线网络租赁维护费项目预算资金主要是用于</w:t>
      </w:r>
      <w:r>
        <w:rPr>
          <w:rFonts w:hint="eastAsia" w:eastAsia="仿宋_GB2312"/>
          <w:sz w:val="32"/>
        </w:rPr>
        <w:t>保障案件审理、执行工作中各专线网络租赁和维护费，使案件办理工作得以有序开展</w:t>
      </w:r>
      <w:r>
        <w:rPr>
          <w:rFonts w:hint="eastAsia" w:eastAsia="仿宋_GB2312"/>
          <w:sz w:val="32"/>
          <w:lang w:val="zh-CN"/>
        </w:rPr>
        <w:t>，属于法院主要职能之一，是重点领域的重点任务，与法院总体规划相匹配，故此项评分为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项目管理评分为18分。</w:t>
      </w:r>
    </w:p>
    <w:p>
      <w:pPr>
        <w:numPr>
          <w:numId w:val="0"/>
        </w:numPr>
        <w:adjustRightInd w:val="0"/>
        <w:snapToGrid w:val="0"/>
        <w:spacing w:beforeLines="0" w:afterLines="0" w:line="360" w:lineRule="auto"/>
        <w:ind w:firstLine="640"/>
        <w:rPr>
          <w:rFonts w:hint="eastAsia" w:eastAsia="仿宋_GB2312"/>
          <w:sz w:val="32"/>
        </w:rPr>
      </w:pPr>
      <w:r>
        <w:rPr>
          <w:rFonts w:hint="eastAsia" w:eastAsia="仿宋_GB2312"/>
          <w:sz w:val="32"/>
        </w:rPr>
        <w:t>制度办法：</w:t>
      </w:r>
      <w:r>
        <w:rPr>
          <w:rFonts w:hint="eastAsia" w:eastAsia="仿宋_GB2312"/>
          <w:sz w:val="32"/>
          <w:lang w:val="zh-CN"/>
        </w:rPr>
        <w:t>我院按部门职责分工明确，严格遵循工作计划稳步推进实施。完善各项内部控制与考核制度，建立较为完善的财务管理制度《广元市中级人民法院财务管理制度》、《广元市中级人民法院预算管理制度》，且严格执行。</w:t>
      </w:r>
      <w:r>
        <w:rPr>
          <w:rFonts w:hint="eastAsia" w:eastAsia="仿宋_GB2312"/>
          <w:sz w:val="32"/>
        </w:rPr>
        <w:t>在资金使用过程中严格资金管理和支付，做到超范围不支出，故此项评分为2分。</w:t>
      </w:r>
    </w:p>
    <w:p>
      <w:pPr>
        <w:numPr>
          <w:numId w:val="0"/>
        </w:numPr>
        <w:adjustRightInd w:val="0"/>
        <w:snapToGrid w:val="0"/>
        <w:spacing w:beforeLines="0" w:afterLines="0" w:line="360" w:lineRule="auto"/>
        <w:ind w:firstLine="640"/>
        <w:rPr>
          <w:rFonts w:hint="eastAsia" w:eastAsia="仿宋_GB2312"/>
          <w:sz w:val="32"/>
          <w:lang w:val="zh-CN"/>
        </w:rPr>
      </w:pPr>
      <w:r>
        <w:rPr>
          <w:rFonts w:hint="eastAsia" w:eastAsia="仿宋_GB2312"/>
          <w:sz w:val="32"/>
          <w:lang w:val="zh-CN"/>
        </w:rPr>
        <w:t>分配管理：此项目预算资金分配上严格按照管理办法和案件审理经费开支程序执行，决策程序符合三重一大要求，资金支付及时高效。且在项目申报前期，充分调研了近三年专线网络使用实际，在资金分配上根据比例进行合理划分。项目做到了财政资金专款专用，资金支付有相关审批程序和合规手续，账务处理及时，会计核算规范。项目管理人员及督察部门对项目实施全过程监控，对偏离预算执行的项目及时纠偏和调整，财务报销严格执行财务审批程序。故此项评分为</w:t>
      </w:r>
      <w:r>
        <w:rPr>
          <w:rFonts w:hint="eastAsia" w:eastAsia="仿宋_GB2312"/>
          <w:sz w:val="32"/>
        </w:rPr>
        <w:t>10分。</w:t>
      </w:r>
    </w:p>
    <w:p>
      <w:p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eastAsia="仿宋_GB2312"/>
          <w:sz w:val="32"/>
          <w:lang w:val="zh-CN"/>
        </w:rPr>
        <w:t>绩效监管：该项目全面完成了事前评估、绩效目标设置、绩效监控、绩效督促、问题整改等预算绩效管理工作，评分为</w:t>
      </w:r>
      <w:r>
        <w:rPr>
          <w:rFonts w:hint="eastAsia" w:eastAsia="仿宋_GB2312"/>
          <w:sz w:val="32"/>
        </w:rPr>
        <w:t>6分。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项目实施评分为9分。</w:t>
      </w:r>
    </w:p>
    <w:p>
      <w:pPr>
        <w:numPr>
          <w:numId w:val="0"/>
        </w:numPr>
        <w:adjustRightInd w:val="0"/>
        <w:snapToGrid w:val="0"/>
        <w:spacing w:beforeLines="0" w:afterLines="0" w:line="360" w:lineRule="auto"/>
        <w:ind w:firstLine="640"/>
        <w:rPr>
          <w:rFonts w:hint="eastAsia" w:ascii="仿宋_GB2312" w:eastAsia="仿宋_GB2312"/>
          <w:sz w:val="32"/>
        </w:rPr>
      </w:pPr>
      <w:r>
        <w:rPr>
          <w:rFonts w:hint="eastAsia" w:ascii="仿宋_GB2312" w:eastAsia="仿宋_GB2312"/>
          <w:sz w:val="32"/>
          <w:lang w:val="zh-CN"/>
        </w:rPr>
        <w:t>预算执行：该项目预算执行进度好，该项指标得分</w:t>
      </w:r>
      <w:r>
        <w:rPr>
          <w:rFonts w:hint="eastAsia" w:ascii="仿宋_GB2312" w:eastAsia="仿宋_GB2312"/>
          <w:sz w:val="32"/>
        </w:rPr>
        <w:t>=财政资金拨付率100%*100%*3+单位资金使用率100%*100%*3=6分。</w:t>
      </w:r>
    </w:p>
    <w:p>
      <w:pPr>
        <w:numPr>
          <w:numId w:val="0"/>
        </w:numPr>
        <w:adjustRightInd w:val="0"/>
        <w:snapToGrid w:val="0"/>
        <w:spacing w:beforeLines="0" w:afterLines="0" w:line="360" w:lineRule="auto"/>
        <w:ind w:firstLine="640"/>
        <w:rPr>
          <w:rFonts w:hint="eastAsia" w:ascii="楷体_GB2312" w:hAnsi="楷体_GB2312" w:eastAsia="楷体_GB2312"/>
          <w:color w:val="auto"/>
          <w:sz w:val="32"/>
        </w:rPr>
      </w:pPr>
      <w:r>
        <w:rPr>
          <w:rFonts w:hint="eastAsia" w:ascii="仿宋_GB2312" w:eastAsia="仿宋_GB2312"/>
          <w:sz w:val="32"/>
          <w:lang w:val="zh-CN"/>
        </w:rPr>
        <w:t>资金使用：该项目资金使用拨付，项目实施符合财务管理制度。事前</w:t>
      </w:r>
      <w:r>
        <w:rPr>
          <w:rFonts w:hint="eastAsia" w:eastAsia="仿宋_GB2312"/>
          <w:sz w:val="32"/>
          <w:lang w:val="zh-CN"/>
        </w:rPr>
        <w:t>严格审核项目实施可行性与合理性，</w:t>
      </w:r>
      <w:r>
        <w:rPr>
          <w:rFonts w:hint="eastAsia" w:ascii="仿宋_GB2312" w:eastAsia="仿宋_GB2312"/>
          <w:sz w:val="32"/>
          <w:lang w:val="zh-CN"/>
        </w:rPr>
        <w:t>按照案件审理过程中预计发生的各项必要开支，由各业务庭室申报报销，并由其分管院领导审批，行装处严格把关费用审核，严控不必要支出</w:t>
      </w:r>
      <w:r>
        <w:rPr>
          <w:rFonts w:hint="eastAsia" w:eastAsia="仿宋_GB2312"/>
          <w:sz w:val="32"/>
          <w:lang w:val="zh-CN"/>
        </w:rPr>
        <w:t>，及时进行会计核算，院督察室定期对项目经费使用效益进行监督。行装处严格审核项目报销凭证，加快专项资金支付，及时进行会计核算。故该项评分为</w:t>
      </w:r>
      <w:r>
        <w:rPr>
          <w:rFonts w:hint="eastAsia" w:eastAsia="仿宋_GB2312"/>
          <w:sz w:val="32"/>
        </w:rPr>
        <w:t>3分。</w:t>
      </w:r>
    </w:p>
    <w:p>
      <w:pPr>
        <w:numPr>
          <w:ilvl w:val="0"/>
          <w:numId w:val="8"/>
        </w:numPr>
        <w:adjustRightInd w:val="0"/>
        <w:snapToGrid w:val="0"/>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项目结果评分为9分。</w:t>
      </w:r>
    </w:p>
    <w:p>
      <w:pPr>
        <w:numPr>
          <w:numId w:val="0"/>
        </w:numPr>
        <w:adjustRightInd w:val="0"/>
        <w:snapToGrid w:val="0"/>
        <w:spacing w:beforeLines="0" w:afterLines="0" w:line="360" w:lineRule="auto"/>
        <w:ind w:firstLine="640"/>
        <w:rPr>
          <w:rFonts w:hint="eastAsia" w:eastAsia="仿宋_GB2312"/>
          <w:color w:val="auto"/>
          <w:sz w:val="32"/>
        </w:rPr>
      </w:pPr>
      <w:r>
        <w:rPr>
          <w:rFonts w:hint="eastAsia" w:eastAsia="仿宋_GB2312"/>
          <w:color w:val="auto"/>
          <w:sz w:val="32"/>
        </w:rPr>
        <w:t>目标完成：该项目已100%完成预算支出，较好地保障了</w:t>
      </w:r>
      <w:r>
        <w:rPr>
          <w:rFonts w:hint="eastAsia" w:eastAsia="仿宋_GB2312"/>
          <w:sz w:val="32"/>
        </w:rPr>
        <w:t>案件审理、执行工作中所需各专线网络租赁和维护费，畅通了当事人维权和诉求渠道，推动信息化法治建设，</w:t>
      </w:r>
      <w:r>
        <w:rPr>
          <w:rFonts w:hint="eastAsia" w:eastAsia="仿宋_GB2312"/>
          <w:color w:val="auto"/>
          <w:sz w:val="32"/>
        </w:rPr>
        <w:t>顺利达成此项目设置的绩效目标，评分为6分。</w:t>
      </w:r>
    </w:p>
    <w:p>
      <w:pPr>
        <w:numPr>
          <w:numId w:val="0"/>
        </w:numPr>
        <w:adjustRightInd w:val="0"/>
        <w:snapToGrid w:val="0"/>
        <w:spacing w:beforeLines="0" w:afterLines="0" w:line="360" w:lineRule="auto"/>
        <w:ind w:firstLine="640"/>
        <w:rPr>
          <w:rFonts w:hint="eastAsia" w:eastAsia="仿宋_GB2312"/>
          <w:sz w:val="32"/>
        </w:rPr>
      </w:pPr>
      <w:r>
        <w:rPr>
          <w:rFonts w:hint="eastAsia" w:eastAsia="仿宋_GB2312"/>
          <w:sz w:val="32"/>
        </w:rPr>
        <w:t>完成时效：该项目于2024年12月31日前完成资金的支付，评分为3分。</w:t>
      </w:r>
    </w:p>
    <w:p>
      <w:pPr>
        <w:spacing w:beforeLines="0" w:afterLines="0" w:line="360" w:lineRule="auto"/>
        <w:ind w:firstLine="643" w:firstLineChars="200"/>
        <w:rPr>
          <w:rFonts w:hint="eastAsia" w:ascii="楷体_GB2312" w:hAnsi="楷体_GB2312" w:eastAsia="楷体_GB2312"/>
          <w:color w:val="auto"/>
          <w:sz w:val="32"/>
          <w:lang w:val="zh-CN"/>
        </w:rPr>
      </w:pPr>
      <w:r>
        <w:rPr>
          <w:rFonts w:hint="eastAsia" w:ascii="楷体_GB2312" w:hAnsi="宋体" w:eastAsia="楷体_GB2312"/>
          <w:b/>
          <w:color w:val="auto"/>
          <w:sz w:val="32"/>
          <w:lang w:val="zh-CN"/>
        </w:rPr>
        <w:t>（二）</w:t>
      </w:r>
      <w:r>
        <w:rPr>
          <w:rFonts w:hint="eastAsia" w:ascii="楷体_GB2312" w:hAnsi="宋体" w:eastAsia="楷体_GB2312"/>
          <w:b/>
          <w:color w:val="auto"/>
          <w:sz w:val="32"/>
        </w:rPr>
        <w:t>专用指标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30分</w:t>
      </w:r>
      <w:r>
        <w:rPr>
          <w:rFonts w:hint="eastAsia" w:eastAsia="楷体_GB2312"/>
          <w:b/>
          <w:color w:val="000000"/>
          <w:kern w:val="0"/>
          <w:sz w:val="32"/>
          <w:shd w:val="clear" w:color="auto" w:fill="FFFFFF"/>
          <w:lang w:val="zh-CN"/>
        </w:rPr>
        <w:t>。</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1.产业发展。</w:t>
      </w:r>
      <w:r>
        <w:rPr>
          <w:rFonts w:hint="eastAsia" w:eastAsia="仿宋_GB2312"/>
          <w:color w:val="auto"/>
          <w:sz w:val="32"/>
        </w:rPr>
        <w:t xml:space="preserve">不涉及。 </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2.</w:t>
      </w:r>
      <w:r>
        <w:rPr>
          <w:rFonts w:hint="eastAsia" w:ascii="楷体_GB2312" w:hAnsi="楷体_GB2312" w:eastAsia="楷体_GB2312"/>
          <w:color w:val="auto"/>
          <w:sz w:val="32"/>
          <w:lang w:val="zh-CN"/>
        </w:rPr>
        <w:t>民生保障。</w:t>
      </w:r>
      <w:r>
        <w:rPr>
          <w:rFonts w:hint="eastAsia" w:eastAsia="仿宋_GB2312"/>
          <w:color w:val="auto"/>
          <w:sz w:val="32"/>
          <w:lang w:val="zh-CN"/>
        </w:rPr>
        <w:t>畅通当事人维权和诉求渠道，保障审判、执行等各项业务工作的顺利推进，提升了当事人和代理人的办事效率，推动信息化法治建设</w:t>
      </w:r>
      <w:r>
        <w:rPr>
          <w:rFonts w:hint="eastAsia" w:eastAsia="仿宋_GB2312"/>
          <w:color w:val="auto"/>
          <w:sz w:val="32"/>
        </w:rPr>
        <w:t>。该项评分为15分。</w:t>
      </w:r>
    </w:p>
    <w:p>
      <w:pPr>
        <w:spacing w:beforeLines="0" w:afterLines="0" w:line="360" w:lineRule="auto"/>
        <w:ind w:firstLine="640" w:firstLineChars="200"/>
        <w:rPr>
          <w:rFonts w:hint="eastAsia" w:ascii="楷体_GB2312" w:hAnsi="楷体_GB2312" w:eastAsia="楷体_GB2312"/>
          <w:color w:val="auto"/>
          <w:sz w:val="32"/>
        </w:rPr>
      </w:pPr>
      <w:r>
        <w:rPr>
          <w:rFonts w:hint="eastAsia" w:ascii="楷体_GB2312" w:hAnsi="楷体_GB2312" w:eastAsia="楷体_GB2312"/>
          <w:color w:val="auto"/>
          <w:sz w:val="32"/>
        </w:rPr>
        <w:t>3.基础设施。</w:t>
      </w:r>
      <w:r>
        <w:rPr>
          <w:rFonts w:hint="eastAsia" w:eastAsia="仿宋_GB2312"/>
          <w:color w:val="auto"/>
          <w:sz w:val="32"/>
        </w:rPr>
        <w:t>不涉及。</w:t>
      </w:r>
    </w:p>
    <w:p>
      <w:pPr>
        <w:spacing w:beforeLines="0" w:afterLines="0" w:line="360" w:lineRule="auto"/>
        <w:ind w:firstLine="640" w:firstLineChars="200"/>
        <w:rPr>
          <w:rFonts w:hint="eastAsia" w:ascii="楷体_GB2312" w:hAnsi="楷体_GB2312" w:eastAsia="楷体_GB2312"/>
          <w:color w:val="auto"/>
          <w:sz w:val="32"/>
          <w:lang w:val="zh-CN"/>
        </w:rPr>
      </w:pPr>
      <w:r>
        <w:rPr>
          <w:rFonts w:hint="eastAsia" w:ascii="楷体_GB2312" w:hAnsi="楷体_GB2312" w:eastAsia="楷体_GB2312"/>
          <w:color w:val="auto"/>
          <w:sz w:val="32"/>
        </w:rPr>
        <w:t>4.</w:t>
      </w:r>
      <w:r>
        <w:rPr>
          <w:rFonts w:hint="eastAsia" w:ascii="楷体_GB2312" w:hAnsi="楷体_GB2312" w:eastAsia="楷体_GB2312"/>
          <w:color w:val="auto"/>
          <w:sz w:val="32"/>
          <w:lang w:val="zh-CN"/>
        </w:rPr>
        <w:t>行政运转。</w:t>
      </w:r>
      <w:r>
        <w:rPr>
          <w:rFonts w:hint="eastAsia" w:eastAsia="仿宋_GB2312"/>
          <w:sz w:val="32"/>
          <w:lang w:val="zh-CN"/>
        </w:rPr>
        <w:t>项目资金实行专款专用，用途符合专线网络租赁维护开支范围，支出审批手续齐全，有效助推司法公开透明。该项评分为</w:t>
      </w:r>
      <w:r>
        <w:rPr>
          <w:rFonts w:hint="eastAsia" w:eastAsia="仿宋_GB2312"/>
          <w:sz w:val="32"/>
        </w:rPr>
        <w:t>15分</w:t>
      </w:r>
      <w:r>
        <w:rPr>
          <w:rFonts w:hint="eastAsia" w:eastAsia="仿宋_GB2312"/>
          <w:sz w:val="32"/>
          <w:lang w:val="zh-CN"/>
        </w:rPr>
        <w:t>。</w:t>
      </w:r>
    </w:p>
    <w:p>
      <w:pPr>
        <w:numPr>
          <w:numId w:val="0"/>
        </w:numPr>
        <w:adjustRightInd w:val="0"/>
        <w:snapToGrid w:val="0"/>
        <w:spacing w:beforeLines="0" w:afterLines="0" w:line="360" w:lineRule="auto"/>
        <w:ind w:firstLine="643" w:firstLineChars="200"/>
        <w:rPr>
          <w:rFonts w:hint="eastAsia"/>
          <w:b/>
          <w:color w:val="000000"/>
          <w:kern w:val="0"/>
          <w:sz w:val="32"/>
          <w:shd w:val="clear" w:color="auto" w:fill="FFFFFF"/>
          <w:lang w:val="zh-CN"/>
        </w:rPr>
      </w:pPr>
      <w:r>
        <w:rPr>
          <w:rFonts w:hint="eastAsia" w:ascii="楷体_GB2312" w:hAnsi="宋体" w:eastAsia="楷体_GB2312"/>
          <w:b/>
          <w:color w:val="auto"/>
          <w:sz w:val="32"/>
          <w:lang w:val="zh-CN"/>
        </w:rPr>
        <w:t>（三）</w:t>
      </w:r>
      <w:r>
        <w:rPr>
          <w:rFonts w:hint="eastAsia" w:ascii="楷体_GB2312" w:hAnsi="宋体" w:eastAsia="楷体_GB2312"/>
          <w:b/>
          <w:color w:val="auto"/>
          <w:sz w:val="32"/>
        </w:rPr>
        <w:t>个性指标</w:t>
      </w:r>
      <w:r>
        <w:rPr>
          <w:rFonts w:hint="eastAsia" w:eastAsia="楷体_GB2312"/>
          <w:b/>
          <w:color w:val="000000"/>
          <w:kern w:val="0"/>
          <w:sz w:val="32"/>
          <w:shd w:val="clear" w:color="auto" w:fill="FFFFFF"/>
          <w:lang w:val="zh-CN"/>
        </w:rPr>
        <w:t>绩效评分为</w:t>
      </w:r>
      <w:r>
        <w:rPr>
          <w:rFonts w:hint="eastAsia" w:eastAsia="楷体_GB2312"/>
          <w:b/>
          <w:color w:val="000000"/>
          <w:kern w:val="0"/>
          <w:sz w:val="32"/>
          <w:shd w:val="clear" w:color="auto" w:fill="FFFFFF"/>
        </w:rPr>
        <w:t>16分</w:t>
      </w:r>
      <w:r>
        <w:rPr>
          <w:rFonts w:hint="eastAsia" w:eastAsia="楷体_GB2312"/>
          <w:b/>
          <w:color w:val="000000"/>
          <w:kern w:val="0"/>
          <w:sz w:val="32"/>
          <w:shd w:val="clear" w:color="auto" w:fill="FFFFFF"/>
          <w:lang w:val="zh-CN"/>
        </w:rPr>
        <w:t>。</w:t>
      </w:r>
    </w:p>
    <w:p>
      <w:pPr>
        <w:numPr>
          <w:numId w:val="0"/>
        </w:numPr>
        <w:adjustRightInd w:val="0"/>
        <w:snapToGrid w:val="0"/>
        <w:spacing w:beforeLines="0" w:afterLines="0" w:line="360" w:lineRule="auto"/>
        <w:ind w:firstLine="640" w:firstLineChars="200"/>
        <w:rPr>
          <w:rFonts w:hint="eastAsia"/>
          <w:sz w:val="32"/>
          <w:lang w:val="zh-CN"/>
        </w:rPr>
      </w:pPr>
      <w:r>
        <w:rPr>
          <w:rFonts w:hint="eastAsia" w:eastAsia="仿宋_GB2312"/>
          <w:sz w:val="32"/>
        </w:rPr>
        <w:t>年初设定的绩效目标均已达成，取得良好的效用，个性指标评分为16分。</w:t>
      </w:r>
    </w:p>
    <w:tbl>
      <w:tblPr>
        <w:tblStyle w:val="25"/>
        <w:tblW w:w="789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5"/>
        <w:gridCol w:w="803"/>
        <w:gridCol w:w="862"/>
        <w:gridCol w:w="1666"/>
        <w:gridCol w:w="804"/>
        <w:gridCol w:w="734"/>
        <w:gridCol w:w="774"/>
        <w:gridCol w:w="886"/>
        <w:gridCol w:w="5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绩效指标（90分）</w:t>
            </w:r>
          </w:p>
        </w:tc>
        <w:tc>
          <w:tcPr>
            <w:tcW w:w="80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一级指标</w:t>
            </w: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二级指标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三级指标</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指标性质</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指标值</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度量单位</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完成值</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8"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产出指标</w:t>
            </w: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数量指标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专项网络租赁数量</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5</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条</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≥5</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质量指标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网络通讯通畅度</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95</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98</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时效指标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项目完成时限</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年</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1</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效益指标</w:t>
            </w: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社会效益指标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提升案件办理质效，促进司法公开透明，着力解决执行难等问题，及时有效维护当事人合法权益，促进社会公平正义。</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优</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可持续影响指标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畅通当事人维权和诉求渠道，推动法治化宣传，提升了当事人和代理人的办事效率，推动信息化法治建设。</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定性</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优</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级</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优</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满意度指标</w:t>
            </w: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服务对象满意度指标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法院工作人员对各项网络运行满意度</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90</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90</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76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0" w:beforeLines="0" w:beforeAutospacing="0" w:after="0" w:afterLines="0" w:afterAutospacing="0"/>
              <w:ind w:left="0" w:right="0"/>
              <w:jc w:val="center"/>
              <w:rPr>
                <w:rFonts w:hint="eastAsia" w:ascii="宋体" w:hAnsi="宋体" w:eastAsia="宋体" w:cs="Times New Roman"/>
                <w:color w:val="000000"/>
                <w:sz w:val="18"/>
                <w:szCs w:val="20"/>
              </w:rPr>
            </w:pPr>
          </w:p>
        </w:tc>
        <w:tc>
          <w:tcPr>
            <w:tcW w:w="80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成本指标</w:t>
            </w:r>
          </w:p>
        </w:tc>
        <w:tc>
          <w:tcPr>
            <w:tcW w:w="8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经济成本指标</w:t>
            </w:r>
          </w:p>
        </w:tc>
        <w:tc>
          <w:tcPr>
            <w:tcW w:w="16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项目总成本</w:t>
            </w:r>
          </w:p>
        </w:tc>
        <w:tc>
          <w:tcPr>
            <w:tcW w:w="80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w:t>
            </w: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550000</w:t>
            </w:r>
          </w:p>
        </w:tc>
        <w:tc>
          <w:tcPr>
            <w:tcW w:w="774"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元</w:t>
            </w:r>
          </w:p>
        </w:tc>
        <w:tc>
          <w:tcPr>
            <w:tcW w:w="88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微软雅黑" w:hAnsi="微软雅黑" w:eastAsia="微软雅黑" w:cs="Times New Roman"/>
                <w:i/>
                <w:color w:val="000000"/>
                <w:sz w:val="16"/>
                <w:szCs w:val="20"/>
              </w:rPr>
            </w:pPr>
            <w:r>
              <w:rPr>
                <w:rFonts w:hint="eastAsia" w:ascii="宋体" w:hAnsi="宋体" w:eastAsia="宋体" w:cs="Times New Roman"/>
                <w:color w:val="000000"/>
                <w:kern w:val="0"/>
                <w:sz w:val="18"/>
                <w:szCs w:val="20"/>
              </w:rPr>
              <w:t>550000</w:t>
            </w:r>
          </w:p>
        </w:tc>
        <w:tc>
          <w:tcPr>
            <w:tcW w:w="59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0" w:beforeLines="0" w:beforeAutospacing="0" w:after="0" w:afterLines="0" w:afterAutospacing="0"/>
              <w:ind w:left="0" w:right="0"/>
              <w:jc w:val="center"/>
              <w:textAlignment w:val="center"/>
              <w:rPr>
                <w:rFonts w:hint="eastAsia" w:ascii="宋体" w:hAnsi="宋体" w:eastAsia="宋体" w:cs="Times New Roman"/>
                <w:color w:val="000000"/>
                <w:sz w:val="18"/>
                <w:szCs w:val="20"/>
              </w:rPr>
            </w:pPr>
            <w:r>
              <w:rPr>
                <w:rFonts w:hint="eastAsia" w:ascii="宋体" w:hAnsi="宋体" w:eastAsia="宋体" w:cs="Times New Roman"/>
                <w:color w:val="000000"/>
                <w:kern w:val="0"/>
                <w:sz w:val="18"/>
                <w:szCs w:val="20"/>
              </w:rPr>
              <w:t>20</w:t>
            </w:r>
          </w:p>
        </w:tc>
      </w:tr>
    </w:tbl>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eastAsia="zh-CN"/>
        </w:rPr>
      </w:pP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rPr>
      </w:pPr>
      <w:r>
        <w:rPr>
          <w:rFonts w:hint="eastAsia" w:ascii="黑体" w:hAnsi="宋体" w:eastAsia="黑体"/>
          <w:b/>
          <w:color w:val="auto"/>
          <w:sz w:val="32"/>
          <w:lang w:eastAsia="zh-CN"/>
        </w:rPr>
        <w:t>四</w:t>
      </w:r>
      <w:r>
        <w:rPr>
          <w:rFonts w:hint="eastAsia" w:ascii="黑体" w:hAnsi="宋体" w:eastAsia="黑体"/>
          <w:b/>
          <w:color w:val="auto"/>
          <w:sz w:val="32"/>
        </w:rPr>
        <w:t>、评价结论</w:t>
      </w:r>
    </w:p>
    <w:p>
      <w:pPr>
        <w:keepLines/>
        <w:numPr>
          <w:numId w:val="0"/>
        </w:numPr>
        <w:adjustRightInd w:val="0"/>
        <w:snapToGrid w:val="0"/>
        <w:spacing w:beforeLines="0" w:afterLines="0" w:line="360" w:lineRule="auto"/>
        <w:ind w:firstLine="642"/>
        <w:rPr>
          <w:rFonts w:hint="eastAsia" w:eastAsia="仿宋_GB2312"/>
          <w:sz w:val="32"/>
        </w:rPr>
      </w:pPr>
      <w:r>
        <w:rPr>
          <w:rFonts w:hint="eastAsia" w:eastAsia="仿宋_GB2312"/>
          <w:sz w:val="32"/>
        </w:rPr>
        <w:t>该项目自评得分为100分。该项目决策符合国家政策方针，项目预算执行进度推进有力，项目监督管控及时有效，项目资金支付合理合规。</w:t>
      </w:r>
      <w:r>
        <w:rPr>
          <w:rFonts w:hint="eastAsia" w:eastAsia="仿宋_GB2312"/>
          <w:sz w:val="32"/>
          <w:lang w:val="zh-CN"/>
        </w:rPr>
        <w:t>通过项目的实施，保障了案件审判、执行工作中各专线网络租赁和维护费，提升案件</w:t>
      </w:r>
      <w:r>
        <w:rPr>
          <w:rFonts w:hint="eastAsia" w:eastAsia="仿宋_GB2312"/>
          <w:color w:val="auto"/>
          <w:sz w:val="32"/>
          <w:lang w:val="zh-CN"/>
        </w:rPr>
        <w:t>审判、执行工作质效，保障当事人合法权益，助推司法公开透明，推动信息化法治建设</w:t>
      </w:r>
      <w:r>
        <w:rPr>
          <w:rFonts w:hint="eastAsia" w:eastAsia="仿宋_GB2312"/>
          <w:sz w:val="32"/>
        </w:rPr>
        <w:t>。</w:t>
      </w: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eastAsia="zh-CN"/>
        </w:rPr>
      </w:pPr>
      <w:r>
        <w:rPr>
          <w:rFonts w:hint="eastAsia" w:ascii="黑体" w:hAnsi="宋体" w:eastAsia="黑体"/>
          <w:b/>
          <w:color w:val="auto"/>
          <w:sz w:val="32"/>
          <w:lang w:eastAsia="zh-CN"/>
        </w:rPr>
        <w:t>五、存在主要问题</w:t>
      </w:r>
    </w:p>
    <w:p>
      <w:pPr>
        <w:pStyle w:val="8"/>
        <w:numPr>
          <w:numId w:val="0"/>
        </w:numPr>
        <w:tabs>
          <w:tab w:val="left" w:pos="2160"/>
        </w:tabs>
        <w:spacing w:beforeLines="0" w:afterLines="0" w:line="360" w:lineRule="auto"/>
        <w:ind w:firstLine="640" w:firstLineChars="200"/>
        <w:rPr>
          <w:rFonts w:hint="eastAsia" w:ascii="黑体" w:hAnsi="黑体" w:eastAsia="黑体"/>
          <w:kern w:val="2"/>
          <w:sz w:val="32"/>
          <w:lang w:eastAsia="zh-CN"/>
        </w:rPr>
      </w:pPr>
      <w:r>
        <w:rPr>
          <w:rFonts w:hint="eastAsia" w:ascii="仿宋_GB2312" w:hAnsi="仿宋_GB2312" w:eastAsia="仿宋_GB2312"/>
          <w:sz w:val="32"/>
          <w:lang w:eastAsia="zh-CN"/>
        </w:rPr>
        <w:t>无。</w:t>
      </w:r>
    </w:p>
    <w:p>
      <w:pPr>
        <w:pStyle w:val="8"/>
        <w:numPr>
          <w:numId w:val="0"/>
        </w:numPr>
        <w:tabs>
          <w:tab w:val="left" w:pos="2160"/>
        </w:tabs>
        <w:spacing w:beforeLines="0" w:afterLines="0" w:line="360" w:lineRule="auto"/>
        <w:ind w:firstLine="643" w:firstLineChars="200"/>
        <w:rPr>
          <w:rFonts w:hint="eastAsia" w:ascii="黑体" w:hAnsi="宋体" w:eastAsia="黑体"/>
          <w:b/>
          <w:color w:val="auto"/>
          <w:sz w:val="32"/>
          <w:lang w:val="zh-CN" w:eastAsia="zh-CN"/>
        </w:rPr>
      </w:pPr>
      <w:r>
        <w:rPr>
          <w:rFonts w:hint="eastAsia" w:ascii="黑体" w:hAnsi="宋体" w:eastAsia="黑体"/>
          <w:b/>
          <w:color w:val="auto"/>
          <w:sz w:val="32"/>
          <w:lang w:val="zh-CN" w:eastAsia="zh-CN"/>
        </w:rPr>
        <w:t>六、改进建议</w:t>
      </w:r>
    </w:p>
    <w:p>
      <w:pPr>
        <w:pStyle w:val="34"/>
        <w:widowControl/>
        <w:spacing w:before="0" w:beforeLines="0" w:after="0" w:afterLines="0" w:line="360" w:lineRule="auto"/>
        <w:ind w:firstLine="640" w:firstLineChars="200"/>
        <w:jc w:val="center"/>
        <w:rPr>
          <w:rFonts w:hint="eastAsia" w:ascii="仿宋" w:hAnsi="仿宋" w:eastAsia="仿宋"/>
          <w:b w:val="0"/>
          <w:color w:val="auto"/>
          <w:highlight w:val="none"/>
        </w:rPr>
      </w:pPr>
      <w:r>
        <w:rPr>
          <w:rFonts w:hint="eastAsia" w:ascii="仿宋_GB2312" w:hAnsi="仿宋_GB2312" w:eastAsia="仿宋_GB2312"/>
          <w:b w:val="0"/>
          <w:kern w:val="0"/>
          <w:sz w:val="32"/>
        </w:rPr>
        <w:t>无</w:t>
      </w:r>
      <w:bookmarkStart w:id="79" w:name="_Toc15396618"/>
      <w:r>
        <w:rPr>
          <w:rFonts w:hint="eastAsia" w:ascii="黑体" w:hAnsi="黑体" w:eastAsia="黑体"/>
          <w:color w:val="auto"/>
          <w:sz w:val="44"/>
          <w:szCs w:val="44"/>
          <w:highlight w:val="none"/>
        </w:rPr>
        <w:br w:type="page"/>
      </w:r>
      <w:bookmarkStart w:id="80" w:name="_Toc29620"/>
      <w:r>
        <w:rPr>
          <w:rFonts w:hint="eastAsia" w:ascii="黑体" w:hAnsi="黑体" w:eastAsia="黑体"/>
          <w:color w:val="auto"/>
          <w:sz w:val="44"/>
          <w:szCs w:val="44"/>
          <w:highlight w:val="none"/>
        </w:rPr>
        <w:t>第</w:t>
      </w:r>
      <w:r>
        <w:rPr>
          <w:rStyle w:val="38"/>
          <w:rFonts w:hint="eastAsia" w:ascii="黑体" w:hAnsi="黑体" w:eastAsia="黑体"/>
          <w:b w:val="0"/>
          <w:color w:val="auto"/>
          <w:highlight w:val="none"/>
        </w:rPr>
        <w:t>五部分 附表</w:t>
      </w:r>
      <w:bookmarkEnd w:id="73"/>
      <w:bookmarkEnd w:id="79"/>
      <w:bookmarkEnd w:id="80"/>
      <w:bookmarkStart w:id="81" w:name="_Toc15396619"/>
    </w:p>
    <w:p>
      <w:pPr>
        <w:pStyle w:val="5"/>
        <w:rPr>
          <w:rFonts w:hint="eastAsia" w:ascii="仿宋_GB2312" w:hAnsi="仿宋_GB2312" w:eastAsia="仿宋_GB2312" w:cs="仿宋_GB2312"/>
          <w:color w:val="auto"/>
          <w:highlight w:val="none"/>
        </w:rPr>
      </w:pPr>
      <w:bookmarkStart w:id="82" w:name="_Toc17805"/>
      <w:bookmarkStart w:id="83" w:name="_Toc14607"/>
      <w:r>
        <w:rPr>
          <w:rFonts w:hint="eastAsia" w:ascii="仿宋_GB2312" w:hAnsi="仿宋_GB2312" w:eastAsia="仿宋_GB2312" w:cs="仿宋_GB2312"/>
          <w:b w:val="0"/>
          <w:color w:val="auto"/>
          <w:highlight w:val="none"/>
        </w:rPr>
        <w:t>一、收</w:t>
      </w:r>
      <w:r>
        <w:rPr>
          <w:rStyle w:val="37"/>
          <w:rFonts w:hint="eastAsia" w:ascii="仿宋_GB2312" w:hAnsi="仿宋_GB2312" w:eastAsia="仿宋_GB2312" w:cs="仿宋_GB2312"/>
          <w:b w:val="0"/>
          <w:bCs w:val="0"/>
          <w:color w:val="auto"/>
          <w:highlight w:val="none"/>
        </w:rPr>
        <w:t>入支出决算总表</w:t>
      </w:r>
      <w:bookmarkEnd w:id="81"/>
      <w:bookmarkEnd w:id="82"/>
      <w:bookmarkEnd w:id="83"/>
    </w:p>
    <w:p>
      <w:pPr>
        <w:pStyle w:val="5"/>
        <w:rPr>
          <w:rFonts w:hint="eastAsia" w:ascii="仿宋_GB2312" w:hAnsi="仿宋_GB2312" w:eastAsia="仿宋_GB2312" w:cs="仿宋_GB2312"/>
          <w:color w:val="auto"/>
          <w:highlight w:val="none"/>
        </w:rPr>
      </w:pPr>
      <w:bookmarkStart w:id="84" w:name="_Toc25687"/>
      <w:bookmarkStart w:id="85" w:name="_Toc29495"/>
      <w:bookmarkStart w:id="86" w:name="_Toc15396620"/>
      <w:r>
        <w:rPr>
          <w:rFonts w:hint="eastAsia" w:ascii="仿宋_GB2312" w:hAnsi="仿宋_GB2312" w:eastAsia="仿宋_GB2312" w:cs="仿宋_GB2312"/>
          <w:b w:val="0"/>
          <w:color w:val="auto"/>
          <w:highlight w:val="none"/>
        </w:rPr>
        <w:t>二、收</w:t>
      </w:r>
      <w:r>
        <w:rPr>
          <w:rStyle w:val="37"/>
          <w:rFonts w:hint="eastAsia" w:ascii="仿宋_GB2312" w:hAnsi="仿宋_GB2312" w:eastAsia="仿宋_GB2312" w:cs="仿宋_GB2312"/>
          <w:b w:val="0"/>
          <w:bCs w:val="0"/>
          <w:color w:val="auto"/>
          <w:highlight w:val="none"/>
        </w:rPr>
        <w:t>入决算表</w:t>
      </w:r>
      <w:bookmarkEnd w:id="84"/>
      <w:bookmarkEnd w:id="85"/>
      <w:bookmarkEnd w:id="86"/>
    </w:p>
    <w:p>
      <w:pPr>
        <w:pStyle w:val="5"/>
        <w:rPr>
          <w:rFonts w:hint="eastAsia" w:ascii="仿宋_GB2312" w:hAnsi="仿宋_GB2312" w:eastAsia="仿宋_GB2312" w:cs="仿宋_GB2312"/>
          <w:color w:val="auto"/>
          <w:highlight w:val="none"/>
        </w:rPr>
      </w:pPr>
      <w:bookmarkStart w:id="87" w:name="_Toc15396621"/>
      <w:bookmarkStart w:id="88" w:name="_Toc12971"/>
      <w:bookmarkStart w:id="89" w:name="_Toc9895"/>
      <w:r>
        <w:rPr>
          <w:rStyle w:val="37"/>
          <w:rFonts w:hint="eastAsia" w:ascii="仿宋_GB2312" w:hAnsi="仿宋_GB2312" w:eastAsia="仿宋_GB2312" w:cs="仿宋_GB2312"/>
          <w:b w:val="0"/>
          <w:bCs w:val="0"/>
          <w:color w:val="auto"/>
          <w:highlight w:val="none"/>
        </w:rPr>
        <w:t>三、</w:t>
      </w:r>
      <w:r>
        <w:rPr>
          <w:rFonts w:hint="eastAsia" w:ascii="仿宋_GB2312" w:hAnsi="仿宋_GB2312" w:eastAsia="仿宋_GB2312" w:cs="仿宋_GB2312"/>
          <w:b w:val="0"/>
          <w:color w:val="auto"/>
          <w:highlight w:val="none"/>
        </w:rPr>
        <w:t>支</w:t>
      </w:r>
      <w:r>
        <w:rPr>
          <w:rStyle w:val="37"/>
          <w:rFonts w:hint="eastAsia" w:ascii="仿宋_GB2312" w:hAnsi="仿宋_GB2312" w:eastAsia="仿宋_GB2312" w:cs="仿宋_GB2312"/>
          <w:b w:val="0"/>
          <w:bCs w:val="0"/>
          <w:color w:val="auto"/>
          <w:highlight w:val="none"/>
        </w:rPr>
        <w:t>出决算表</w:t>
      </w:r>
      <w:bookmarkEnd w:id="87"/>
      <w:bookmarkEnd w:id="88"/>
      <w:bookmarkEnd w:id="89"/>
    </w:p>
    <w:p>
      <w:pPr>
        <w:pStyle w:val="5"/>
        <w:rPr>
          <w:rFonts w:hint="eastAsia" w:ascii="仿宋_GB2312" w:hAnsi="仿宋_GB2312" w:eastAsia="仿宋_GB2312" w:cs="仿宋_GB2312"/>
          <w:b w:val="0"/>
          <w:color w:val="auto"/>
          <w:highlight w:val="none"/>
        </w:rPr>
      </w:pPr>
      <w:bookmarkStart w:id="90" w:name="_Toc15396622"/>
      <w:bookmarkStart w:id="91" w:name="_Toc12462"/>
      <w:bookmarkStart w:id="92" w:name="_Toc8615"/>
      <w:r>
        <w:rPr>
          <w:rStyle w:val="37"/>
          <w:rFonts w:hint="eastAsia" w:ascii="仿宋_GB2312" w:hAnsi="仿宋_GB2312" w:eastAsia="仿宋_GB2312" w:cs="仿宋_GB2312"/>
          <w:b w:val="0"/>
          <w:bCs w:val="0"/>
          <w:color w:val="auto"/>
          <w:highlight w:val="none"/>
        </w:rPr>
        <w:t>四、</w:t>
      </w:r>
      <w:r>
        <w:rPr>
          <w:rFonts w:hint="eastAsia" w:ascii="仿宋_GB2312" w:hAnsi="仿宋_GB2312" w:eastAsia="仿宋_GB2312" w:cs="仿宋_GB2312"/>
          <w:b w:val="0"/>
          <w:color w:val="auto"/>
          <w:highlight w:val="none"/>
        </w:rPr>
        <w:t>财</w:t>
      </w:r>
      <w:r>
        <w:rPr>
          <w:rStyle w:val="37"/>
          <w:rFonts w:hint="eastAsia" w:ascii="仿宋_GB2312" w:hAnsi="仿宋_GB2312" w:eastAsia="仿宋_GB2312" w:cs="仿宋_GB2312"/>
          <w:b w:val="0"/>
          <w:bCs w:val="0"/>
          <w:color w:val="auto"/>
          <w:highlight w:val="none"/>
        </w:rPr>
        <w:t>政拨款收入支出决算总表</w:t>
      </w:r>
      <w:bookmarkEnd w:id="90"/>
      <w:bookmarkEnd w:id="91"/>
      <w:bookmarkEnd w:id="92"/>
    </w:p>
    <w:p>
      <w:pPr>
        <w:pStyle w:val="5"/>
        <w:rPr>
          <w:rStyle w:val="37"/>
          <w:rFonts w:hint="eastAsia" w:ascii="仿宋_GB2312" w:hAnsi="仿宋_GB2312" w:eastAsia="仿宋_GB2312" w:cs="仿宋_GB2312"/>
          <w:b w:val="0"/>
          <w:bCs w:val="0"/>
          <w:color w:val="auto"/>
          <w:highlight w:val="none"/>
        </w:rPr>
      </w:pPr>
      <w:bookmarkStart w:id="93" w:name="_Toc30869"/>
      <w:bookmarkStart w:id="94" w:name="_Toc15396623"/>
      <w:bookmarkStart w:id="95" w:name="_Toc1893"/>
      <w:r>
        <w:rPr>
          <w:rStyle w:val="37"/>
          <w:rFonts w:hint="eastAsia" w:ascii="仿宋_GB2312" w:hAnsi="仿宋_GB2312" w:eastAsia="仿宋_GB2312" w:cs="仿宋_GB2312"/>
          <w:b w:val="0"/>
          <w:bCs w:val="0"/>
          <w:color w:val="auto"/>
          <w:highlight w:val="none"/>
        </w:rPr>
        <w:t>五、</w:t>
      </w:r>
      <w:r>
        <w:rPr>
          <w:rFonts w:hint="eastAsia" w:ascii="仿宋_GB2312" w:hAnsi="仿宋_GB2312" w:eastAsia="仿宋_GB2312" w:cs="仿宋_GB2312"/>
          <w:b w:val="0"/>
          <w:color w:val="auto"/>
          <w:highlight w:val="none"/>
        </w:rPr>
        <w:t>财</w:t>
      </w:r>
      <w:r>
        <w:rPr>
          <w:rStyle w:val="37"/>
          <w:rFonts w:hint="eastAsia" w:ascii="仿宋_GB2312" w:hAnsi="仿宋_GB2312" w:eastAsia="仿宋_GB2312" w:cs="仿宋_GB2312"/>
          <w:b w:val="0"/>
          <w:bCs w:val="0"/>
          <w:color w:val="auto"/>
          <w:highlight w:val="none"/>
        </w:rPr>
        <w:t>政拨款支出决算明细表</w:t>
      </w:r>
      <w:bookmarkEnd w:id="93"/>
      <w:bookmarkEnd w:id="94"/>
      <w:bookmarkEnd w:id="95"/>
      <w:bookmarkStart w:id="96" w:name="_Toc15396624"/>
    </w:p>
    <w:p>
      <w:pPr>
        <w:pStyle w:val="5"/>
        <w:rPr>
          <w:rFonts w:hint="eastAsia" w:ascii="仿宋_GB2312" w:hAnsi="仿宋_GB2312" w:eastAsia="仿宋_GB2312" w:cs="仿宋_GB2312"/>
          <w:color w:val="auto"/>
          <w:highlight w:val="none"/>
        </w:rPr>
      </w:pPr>
      <w:bookmarkStart w:id="97" w:name="_Toc11720"/>
      <w:bookmarkStart w:id="98" w:name="_Toc17497"/>
      <w:r>
        <w:rPr>
          <w:rStyle w:val="37"/>
          <w:rFonts w:hint="eastAsia" w:ascii="仿宋_GB2312" w:hAnsi="仿宋_GB2312" w:eastAsia="仿宋_GB2312" w:cs="仿宋_GB2312"/>
          <w:b w:val="0"/>
          <w:bCs w:val="0"/>
          <w:color w:val="auto"/>
          <w:highlight w:val="none"/>
        </w:rPr>
        <w:t>六、</w:t>
      </w:r>
      <w:r>
        <w:rPr>
          <w:rFonts w:hint="eastAsia" w:ascii="仿宋_GB2312" w:hAnsi="仿宋_GB2312" w:eastAsia="仿宋_GB2312" w:cs="仿宋_GB2312"/>
          <w:b w:val="0"/>
          <w:color w:val="auto"/>
          <w:highlight w:val="none"/>
        </w:rPr>
        <w:t>一</w:t>
      </w:r>
      <w:r>
        <w:rPr>
          <w:rStyle w:val="37"/>
          <w:rFonts w:hint="eastAsia" w:ascii="仿宋_GB2312" w:hAnsi="仿宋_GB2312" w:eastAsia="仿宋_GB2312" w:cs="仿宋_GB2312"/>
          <w:b w:val="0"/>
          <w:bCs w:val="0"/>
          <w:color w:val="auto"/>
          <w:highlight w:val="none"/>
        </w:rPr>
        <w:t>般公共预算财政拨款支出决算表</w:t>
      </w:r>
      <w:bookmarkEnd w:id="96"/>
      <w:bookmarkEnd w:id="97"/>
      <w:bookmarkEnd w:id="98"/>
    </w:p>
    <w:p>
      <w:pPr>
        <w:pStyle w:val="5"/>
        <w:rPr>
          <w:rFonts w:hint="eastAsia" w:ascii="仿宋_GB2312" w:hAnsi="仿宋_GB2312" w:eastAsia="仿宋_GB2312" w:cs="仿宋_GB2312"/>
          <w:color w:val="auto"/>
          <w:highlight w:val="none"/>
        </w:rPr>
      </w:pPr>
      <w:bookmarkStart w:id="99" w:name="_Toc24634"/>
      <w:bookmarkStart w:id="100" w:name="_Toc15396625"/>
      <w:bookmarkStart w:id="101" w:name="_Toc31447"/>
      <w:r>
        <w:rPr>
          <w:rStyle w:val="37"/>
          <w:rFonts w:hint="eastAsia" w:ascii="仿宋_GB2312" w:hAnsi="仿宋_GB2312" w:eastAsia="仿宋_GB2312" w:cs="仿宋_GB2312"/>
          <w:b w:val="0"/>
          <w:bCs w:val="0"/>
          <w:color w:val="auto"/>
          <w:highlight w:val="none"/>
        </w:rPr>
        <w:t>七、</w:t>
      </w:r>
      <w:r>
        <w:rPr>
          <w:rFonts w:hint="eastAsia" w:ascii="仿宋_GB2312" w:hAnsi="仿宋_GB2312" w:eastAsia="仿宋_GB2312" w:cs="仿宋_GB2312"/>
          <w:b w:val="0"/>
          <w:color w:val="auto"/>
          <w:highlight w:val="none"/>
        </w:rPr>
        <w:t>一</w:t>
      </w:r>
      <w:r>
        <w:rPr>
          <w:rStyle w:val="37"/>
          <w:rFonts w:hint="eastAsia" w:ascii="仿宋_GB2312" w:hAnsi="仿宋_GB2312" w:eastAsia="仿宋_GB2312" w:cs="仿宋_GB2312"/>
          <w:b w:val="0"/>
          <w:bCs w:val="0"/>
          <w:color w:val="auto"/>
          <w:highlight w:val="none"/>
        </w:rPr>
        <w:t>般公共预算财政拨款支出决算明细表</w:t>
      </w:r>
      <w:bookmarkEnd w:id="99"/>
      <w:bookmarkEnd w:id="100"/>
      <w:bookmarkEnd w:id="101"/>
    </w:p>
    <w:p>
      <w:pPr>
        <w:pStyle w:val="5"/>
        <w:rPr>
          <w:rFonts w:hint="eastAsia" w:ascii="仿宋_GB2312" w:hAnsi="仿宋_GB2312" w:eastAsia="仿宋_GB2312" w:cs="仿宋_GB2312"/>
          <w:color w:val="auto"/>
          <w:highlight w:val="none"/>
        </w:rPr>
      </w:pPr>
      <w:bookmarkStart w:id="102" w:name="_Toc10376"/>
      <w:bookmarkStart w:id="103" w:name="_Toc10156"/>
      <w:bookmarkStart w:id="104" w:name="_Toc15396626"/>
      <w:r>
        <w:rPr>
          <w:rStyle w:val="37"/>
          <w:rFonts w:hint="eastAsia" w:ascii="仿宋_GB2312" w:hAnsi="仿宋_GB2312" w:eastAsia="仿宋_GB2312" w:cs="仿宋_GB2312"/>
          <w:b w:val="0"/>
          <w:bCs w:val="0"/>
          <w:color w:val="auto"/>
          <w:highlight w:val="none"/>
        </w:rPr>
        <w:t>八、</w:t>
      </w:r>
      <w:r>
        <w:rPr>
          <w:rFonts w:hint="eastAsia" w:ascii="仿宋_GB2312" w:hAnsi="仿宋_GB2312" w:eastAsia="仿宋_GB2312" w:cs="仿宋_GB2312"/>
          <w:b w:val="0"/>
          <w:color w:val="auto"/>
          <w:highlight w:val="none"/>
        </w:rPr>
        <w:t>一</w:t>
      </w:r>
      <w:r>
        <w:rPr>
          <w:rStyle w:val="37"/>
          <w:rFonts w:hint="eastAsia" w:ascii="仿宋_GB2312" w:hAnsi="仿宋_GB2312" w:eastAsia="仿宋_GB2312" w:cs="仿宋_GB2312"/>
          <w:b w:val="0"/>
          <w:bCs w:val="0"/>
          <w:color w:val="auto"/>
          <w:highlight w:val="none"/>
        </w:rPr>
        <w:t>般公共预算财政拨款基本支出决算表</w:t>
      </w:r>
      <w:bookmarkEnd w:id="102"/>
      <w:bookmarkEnd w:id="103"/>
      <w:bookmarkEnd w:id="104"/>
    </w:p>
    <w:p>
      <w:pPr>
        <w:pStyle w:val="5"/>
        <w:rPr>
          <w:rFonts w:hint="eastAsia" w:ascii="仿宋_GB2312" w:hAnsi="仿宋_GB2312" w:eastAsia="仿宋_GB2312" w:cs="仿宋_GB2312"/>
          <w:color w:val="auto"/>
          <w:highlight w:val="none"/>
        </w:rPr>
      </w:pPr>
      <w:bookmarkStart w:id="105" w:name="_Toc32609"/>
      <w:bookmarkStart w:id="106" w:name="_Toc15396627"/>
      <w:bookmarkStart w:id="107" w:name="_Toc5942"/>
      <w:r>
        <w:rPr>
          <w:rStyle w:val="37"/>
          <w:rFonts w:hint="eastAsia" w:ascii="仿宋_GB2312" w:hAnsi="仿宋_GB2312" w:eastAsia="仿宋_GB2312" w:cs="仿宋_GB2312"/>
          <w:b w:val="0"/>
          <w:bCs w:val="0"/>
          <w:color w:val="auto"/>
          <w:highlight w:val="none"/>
        </w:rPr>
        <w:t>九、</w:t>
      </w:r>
      <w:r>
        <w:rPr>
          <w:rFonts w:hint="eastAsia" w:ascii="仿宋_GB2312" w:hAnsi="仿宋_GB2312" w:eastAsia="仿宋_GB2312" w:cs="仿宋_GB2312"/>
          <w:b w:val="0"/>
          <w:color w:val="auto"/>
          <w:highlight w:val="none"/>
        </w:rPr>
        <w:t>一</w:t>
      </w:r>
      <w:r>
        <w:rPr>
          <w:rStyle w:val="37"/>
          <w:rFonts w:hint="eastAsia" w:ascii="仿宋_GB2312" w:hAnsi="仿宋_GB2312" w:eastAsia="仿宋_GB2312" w:cs="仿宋_GB2312"/>
          <w:b w:val="0"/>
          <w:bCs w:val="0"/>
          <w:color w:val="auto"/>
          <w:highlight w:val="none"/>
        </w:rPr>
        <w:t>般公共预算财政拨款项目支出决算表</w:t>
      </w:r>
      <w:bookmarkEnd w:id="105"/>
      <w:bookmarkEnd w:id="106"/>
      <w:bookmarkEnd w:id="107"/>
    </w:p>
    <w:p>
      <w:pPr>
        <w:pStyle w:val="5"/>
        <w:rPr>
          <w:rFonts w:hint="eastAsia" w:ascii="仿宋_GB2312" w:hAnsi="仿宋_GB2312" w:eastAsia="仿宋_GB2312" w:cs="仿宋_GB2312"/>
          <w:color w:val="auto"/>
          <w:highlight w:val="none"/>
        </w:rPr>
      </w:pPr>
      <w:bookmarkStart w:id="108" w:name="_Toc15396628"/>
      <w:bookmarkStart w:id="109" w:name="_Toc16249"/>
      <w:bookmarkStart w:id="110" w:name="_Toc29100"/>
      <w:r>
        <w:rPr>
          <w:rStyle w:val="37"/>
          <w:rFonts w:hint="eastAsia" w:ascii="仿宋_GB2312" w:hAnsi="仿宋_GB2312" w:eastAsia="仿宋_GB2312" w:cs="仿宋_GB2312"/>
          <w:b w:val="0"/>
          <w:bCs w:val="0"/>
          <w:color w:val="auto"/>
          <w:highlight w:val="none"/>
        </w:rPr>
        <w:t>十、</w:t>
      </w:r>
      <w:bookmarkEnd w:id="108"/>
      <w:r>
        <w:rPr>
          <w:rFonts w:hint="eastAsia" w:ascii="仿宋_GB2312" w:hAnsi="仿宋_GB2312" w:eastAsia="仿宋_GB2312" w:cs="仿宋_GB2312"/>
          <w:b w:val="0"/>
          <w:color w:val="auto"/>
          <w:highlight w:val="none"/>
        </w:rPr>
        <w:t>政</w:t>
      </w:r>
      <w:r>
        <w:rPr>
          <w:rStyle w:val="37"/>
          <w:rFonts w:hint="eastAsia" w:ascii="仿宋_GB2312" w:hAnsi="仿宋_GB2312" w:eastAsia="仿宋_GB2312" w:cs="仿宋_GB2312"/>
          <w:b w:val="0"/>
          <w:bCs w:val="0"/>
          <w:color w:val="auto"/>
          <w:highlight w:val="none"/>
        </w:rPr>
        <w:t>府性基金预算财政拨款收入支出决算表</w:t>
      </w:r>
      <w:bookmarkEnd w:id="109"/>
      <w:bookmarkEnd w:id="110"/>
    </w:p>
    <w:p>
      <w:pPr>
        <w:pStyle w:val="5"/>
        <w:rPr>
          <w:rFonts w:hint="eastAsia" w:ascii="仿宋_GB2312" w:hAnsi="仿宋_GB2312" w:eastAsia="仿宋_GB2312" w:cs="仿宋_GB2312"/>
          <w:color w:val="auto"/>
          <w:highlight w:val="none"/>
        </w:rPr>
      </w:pPr>
      <w:bookmarkStart w:id="111" w:name="_Toc15396629"/>
      <w:bookmarkStart w:id="112" w:name="_Toc1402"/>
      <w:bookmarkStart w:id="113" w:name="_Toc30073"/>
      <w:r>
        <w:rPr>
          <w:rStyle w:val="37"/>
          <w:rFonts w:hint="eastAsia" w:ascii="仿宋_GB2312" w:hAnsi="仿宋_GB2312" w:eastAsia="仿宋_GB2312" w:cs="仿宋_GB2312"/>
          <w:b w:val="0"/>
          <w:bCs w:val="0"/>
          <w:color w:val="auto"/>
          <w:highlight w:val="none"/>
        </w:rPr>
        <w:t>十一、</w:t>
      </w:r>
      <w:bookmarkEnd w:id="111"/>
      <w:r>
        <w:rPr>
          <w:rFonts w:hint="eastAsia" w:ascii="仿宋_GB2312" w:hAnsi="仿宋_GB2312" w:eastAsia="仿宋_GB2312" w:cs="仿宋_GB2312"/>
          <w:b w:val="0"/>
          <w:color w:val="auto"/>
          <w:highlight w:val="none"/>
        </w:rPr>
        <w:t>国</w:t>
      </w:r>
      <w:r>
        <w:rPr>
          <w:rStyle w:val="37"/>
          <w:rFonts w:hint="eastAsia" w:ascii="仿宋_GB2312" w:hAnsi="仿宋_GB2312" w:eastAsia="仿宋_GB2312" w:cs="仿宋_GB2312"/>
          <w:b w:val="0"/>
          <w:bCs w:val="0"/>
          <w:color w:val="auto"/>
          <w:highlight w:val="none"/>
        </w:rPr>
        <w:t>有资本经营预算</w:t>
      </w:r>
      <w:r>
        <w:rPr>
          <w:rStyle w:val="37"/>
          <w:rFonts w:hint="eastAsia" w:ascii="仿宋_GB2312" w:hAnsi="仿宋_GB2312" w:eastAsia="仿宋_GB2312" w:cs="仿宋_GB2312"/>
          <w:b w:val="0"/>
          <w:bCs w:val="0"/>
          <w:color w:val="auto"/>
          <w:highlight w:val="none"/>
          <w:lang w:eastAsia="zh-CN"/>
        </w:rPr>
        <w:t>财政拨款收入</w:t>
      </w:r>
      <w:r>
        <w:rPr>
          <w:rStyle w:val="37"/>
          <w:rFonts w:hint="eastAsia" w:ascii="仿宋_GB2312" w:hAnsi="仿宋_GB2312" w:eastAsia="仿宋_GB2312" w:cs="仿宋_GB2312"/>
          <w:b w:val="0"/>
          <w:bCs w:val="0"/>
          <w:color w:val="auto"/>
          <w:highlight w:val="none"/>
        </w:rPr>
        <w:t>支出决算表</w:t>
      </w:r>
      <w:bookmarkEnd w:id="112"/>
      <w:bookmarkEnd w:id="113"/>
    </w:p>
    <w:p>
      <w:pPr>
        <w:pStyle w:val="5"/>
        <w:rPr>
          <w:rFonts w:hint="eastAsia" w:ascii="仿宋_GB2312" w:hAnsi="仿宋_GB2312" w:eastAsia="仿宋_GB2312" w:cs="仿宋_GB2312"/>
          <w:color w:val="auto"/>
          <w:highlight w:val="none"/>
        </w:rPr>
      </w:pPr>
      <w:bookmarkStart w:id="114" w:name="_Toc15396630"/>
      <w:bookmarkStart w:id="115" w:name="_Toc25622"/>
      <w:bookmarkStart w:id="116" w:name="_Toc17707"/>
      <w:r>
        <w:rPr>
          <w:rStyle w:val="37"/>
          <w:rFonts w:hint="eastAsia" w:ascii="仿宋_GB2312" w:hAnsi="仿宋_GB2312" w:eastAsia="仿宋_GB2312" w:cs="仿宋_GB2312"/>
          <w:b w:val="0"/>
          <w:bCs w:val="0"/>
          <w:color w:val="auto"/>
          <w:highlight w:val="none"/>
        </w:rPr>
        <w:t>十二、</w:t>
      </w:r>
      <w:bookmarkEnd w:id="114"/>
      <w:r>
        <w:rPr>
          <w:rStyle w:val="37"/>
          <w:rFonts w:hint="eastAsia" w:ascii="仿宋_GB2312" w:hAnsi="仿宋_GB2312" w:eastAsia="仿宋_GB2312" w:cs="仿宋_GB2312"/>
          <w:b w:val="0"/>
          <w:bCs w:val="0"/>
          <w:color w:val="auto"/>
          <w:highlight w:val="none"/>
          <w:lang w:eastAsia="zh-CN"/>
        </w:rPr>
        <w:t>国有资本经营预算财政拨款支出决算表</w:t>
      </w:r>
      <w:bookmarkEnd w:id="115"/>
      <w:bookmarkEnd w:id="116"/>
    </w:p>
    <w:p>
      <w:pPr>
        <w:pStyle w:val="5"/>
        <w:rPr>
          <w:rFonts w:hint="eastAsia" w:ascii="仿宋_GB2312" w:hAnsi="仿宋_GB2312" w:eastAsia="仿宋_GB2312" w:cs="仿宋_GB2312"/>
        </w:rPr>
      </w:pPr>
      <w:bookmarkStart w:id="117" w:name="_Toc15396631"/>
      <w:bookmarkStart w:id="118" w:name="_Toc19478"/>
      <w:bookmarkStart w:id="119" w:name="_Toc9909"/>
      <w:r>
        <w:rPr>
          <w:rStyle w:val="37"/>
          <w:rFonts w:hint="eastAsia" w:ascii="仿宋_GB2312" w:hAnsi="仿宋_GB2312" w:eastAsia="仿宋_GB2312" w:cs="仿宋_GB2312"/>
          <w:b w:val="0"/>
          <w:bCs w:val="0"/>
          <w:color w:val="auto"/>
          <w:highlight w:val="none"/>
        </w:rPr>
        <w:t>十三、</w:t>
      </w:r>
      <w:bookmarkEnd w:id="117"/>
      <w:r>
        <w:rPr>
          <w:rStyle w:val="37"/>
          <w:rFonts w:hint="eastAsia" w:ascii="仿宋_GB2312" w:hAnsi="仿宋_GB2312" w:eastAsia="仿宋_GB2312" w:cs="仿宋_GB2312"/>
          <w:b w:val="0"/>
          <w:bCs w:val="0"/>
          <w:color w:val="auto"/>
          <w:highlight w:val="none"/>
          <w:lang w:eastAsia="zh-CN"/>
        </w:rPr>
        <w:t>财政拨款“三公”经费支出决算表</w:t>
      </w:r>
      <w:bookmarkEnd w:id="118"/>
      <w:bookmarkEnd w:id="119"/>
    </w:p>
    <w:sectPr>
      <w:pgSz w:w="11906" w:h="16838"/>
      <w:pgMar w:top="1440" w:right="1803" w:bottom="1440" w:left="1803" w:header="720" w:footer="720" w:gutter="0"/>
      <w:pgNumType w:fmt="decimal"/>
      <w:cols w:space="72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Liberation Sans">
    <w:altName w:val="Arial"/>
    <w:panose1 w:val="020B0604020202020204"/>
    <w:charset w:val="00"/>
    <w:family w:val="auto"/>
    <w:pitch w:val="default"/>
    <w:sig w:usb0="A00002AF" w:usb1="500078FB" w:usb2="00000000" w:usb3="00000000" w:csb0="6000009F" w:csb1="DFD70000"/>
  </w:font>
  <w:font w:name="Noto Sans CJK SC Regular">
    <w:altName w:val="宋体"/>
    <w:panose1 w:val="020B0500000000000000"/>
    <w:charset w:val="86"/>
    <w:family w:val="auto"/>
    <w:pitch w:val="default"/>
    <w:sig w:usb0="3000000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方正小标宋简体">
    <w:altName w:val="微软雅黑"/>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pPr>
    <w:r>
      <w:rPr>
        <w:rFonts w:ascii="Calibri" w:hAnsi="Calibri" w:eastAsia="宋体" w:cs="Times New Roman"/>
        <w:color w:val="auto"/>
        <w:kern w:val="0"/>
        <w:sz w:val="18"/>
        <w:szCs w:val="18"/>
        <w:lang w:val="en-US" w:eastAsia="zh-CN" w:bidi="ar-SA"/>
      </w:rPr>
      <w:pict>
        <v:rect id="文本框 45"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09482763">
    <w:nsid w:val="1272550B"/>
    <w:multiLevelType w:val="multilevel"/>
    <w:tmpl w:val="1272550B"/>
    <w:lvl w:ilvl="0" w:tentative="1">
      <w:start w:val="1"/>
      <w:numFmt w:val="japaneseCounting"/>
      <w:lvlText w:val="%1、"/>
      <w:lvlJc w:val="left"/>
      <w:pPr>
        <w:ind w:left="1360" w:hanging="720"/>
      </w:pPr>
      <w:rPr>
        <w:rFonts w:hint="default"/>
        <w:b w:val="0"/>
      </w:rPr>
    </w:lvl>
    <w:lvl w:ilvl="1" w:tentative="1">
      <w:start w:val="1"/>
      <w:numFmt w:val="lowerLetter"/>
      <w:lvlText w:val="%2)"/>
      <w:lvlJc w:val="left"/>
      <w:pPr>
        <w:ind w:left="1480" w:hanging="420"/>
      </w:pPr>
    </w:lvl>
    <w:lvl w:ilvl="2" w:tentative="1">
      <w:start w:val="1"/>
      <w:numFmt w:val="lowerRoman"/>
      <w:lvlText w:val="%3."/>
      <w:lvlJc w:val="right"/>
      <w:pPr>
        <w:ind w:left="1900" w:hanging="420"/>
      </w:pPr>
    </w:lvl>
    <w:lvl w:ilvl="3" w:tentative="1">
      <w:start w:val="1"/>
      <w:numFmt w:val="decimal"/>
      <w:lvlText w:val="%4."/>
      <w:lvlJc w:val="left"/>
      <w:pPr>
        <w:ind w:left="2320" w:hanging="420"/>
      </w:pPr>
    </w:lvl>
    <w:lvl w:ilvl="4" w:tentative="1">
      <w:start w:val="1"/>
      <w:numFmt w:val="lowerLetter"/>
      <w:lvlText w:val="%5)"/>
      <w:lvlJc w:val="left"/>
      <w:pPr>
        <w:ind w:left="2740" w:hanging="420"/>
      </w:pPr>
    </w:lvl>
    <w:lvl w:ilvl="5" w:tentative="1">
      <w:start w:val="1"/>
      <w:numFmt w:val="lowerRoman"/>
      <w:lvlText w:val="%6."/>
      <w:lvlJc w:val="right"/>
      <w:pPr>
        <w:ind w:left="3160" w:hanging="420"/>
      </w:pPr>
    </w:lvl>
    <w:lvl w:ilvl="6" w:tentative="1">
      <w:start w:val="1"/>
      <w:numFmt w:val="decimal"/>
      <w:lvlText w:val="%7."/>
      <w:lvlJc w:val="left"/>
      <w:pPr>
        <w:ind w:left="3580" w:hanging="420"/>
      </w:pPr>
    </w:lvl>
    <w:lvl w:ilvl="7" w:tentative="1">
      <w:start w:val="1"/>
      <w:numFmt w:val="lowerLetter"/>
      <w:lvlText w:val="%8)"/>
      <w:lvlJc w:val="left"/>
      <w:pPr>
        <w:ind w:left="4000" w:hanging="420"/>
      </w:pPr>
    </w:lvl>
    <w:lvl w:ilvl="8" w:tentative="1">
      <w:start w:val="1"/>
      <w:numFmt w:val="lowerRoman"/>
      <w:lvlText w:val="%9."/>
      <w:lvlJc w:val="right"/>
      <w:pPr>
        <w:ind w:left="4420" w:hanging="420"/>
      </w:pPr>
    </w:lvl>
  </w:abstractNum>
  <w:abstractNum w:abstractNumId="3479514348">
    <w:nsid w:val="CF652CEC"/>
    <w:multiLevelType w:val="singleLevel"/>
    <w:tmpl w:val="CF652CEC"/>
    <w:lvl w:ilvl="0" w:tentative="1">
      <w:start w:val="9"/>
      <w:numFmt w:val="chineseCounting"/>
      <w:suff w:val="nothing"/>
      <w:lvlText w:val="%1、"/>
      <w:lvlJc w:val="left"/>
      <w:rPr>
        <w:rFonts w:hint="eastAsia"/>
      </w:rPr>
    </w:lvl>
  </w:abstractNum>
  <w:abstractNum w:abstractNumId="1722569395">
    <w:nsid w:val="66AC52B3"/>
    <w:multiLevelType w:val="multilevel"/>
    <w:tmpl w:val="66AC52B3"/>
    <w:lvl w:ilvl="0" w:tentative="1">
      <w:start w:val="2"/>
      <w:numFmt w:val="chineseCounting"/>
      <w:suff w:val="nothing"/>
      <w:lvlText w:val="（%1）"/>
      <w:lvlJc w:val="left"/>
    </w:lvl>
    <w:lvl w:ilvl="1" w:tentative="1">
      <w:start w:val="1"/>
      <w:numFmt w:val="decimal"/>
      <w:lvlText w:val=""/>
      <w:lvlJc w:val="left"/>
    </w:lvl>
    <w:lvl w:ilvl="2" w:tentative="1">
      <w:start w:val="1"/>
      <w:numFmt w:val="decimal"/>
      <w:lvlText w:val=""/>
      <w:lvlJc w:val="left"/>
    </w:lvl>
    <w:lvl w:ilvl="3" w:tentative="1">
      <w:start w:val="1"/>
      <w:numFmt w:val="decimal"/>
      <w:lvlText w:val=""/>
      <w:lvlJc w:val="left"/>
    </w:lvl>
    <w:lvl w:ilvl="4" w:tentative="1">
      <w:start w:val="1"/>
      <w:numFmt w:val="decimal"/>
      <w:lvlText w:val=""/>
      <w:lvlJc w:val="left"/>
    </w:lvl>
    <w:lvl w:ilvl="5" w:tentative="1">
      <w:start w:val="1"/>
      <w:numFmt w:val="decimal"/>
      <w:lvlText w:val=""/>
      <w:lvlJc w:val="left"/>
    </w:lvl>
    <w:lvl w:ilvl="6" w:tentative="1">
      <w:start w:val="1"/>
      <w:numFmt w:val="decimal"/>
      <w:lvlText w:val=""/>
      <w:lvlJc w:val="left"/>
    </w:lvl>
    <w:lvl w:ilvl="7" w:tentative="1">
      <w:start w:val="1"/>
      <w:numFmt w:val="decimal"/>
      <w:lvlText w:val=""/>
      <w:lvlJc w:val="left"/>
    </w:lvl>
    <w:lvl w:ilvl="8" w:tentative="1">
      <w:start w:val="1"/>
      <w:numFmt w:val="decimal"/>
      <w:lvlText w:val=""/>
      <w:lvlJc w:val="left"/>
    </w:lvl>
  </w:abstractNum>
  <w:abstractNum w:abstractNumId="1722566629">
    <w:nsid w:val="66AC47E5"/>
    <w:multiLevelType w:val="multilevel"/>
    <w:tmpl w:val="66AC47E5"/>
    <w:lvl w:ilvl="0" w:tentative="1">
      <w:start w:val="2"/>
      <w:numFmt w:val="chineseCounting"/>
      <w:suff w:val="nothing"/>
      <w:lvlText w:val="（%1）"/>
      <w:lvlJc w:val="left"/>
    </w:lvl>
    <w:lvl w:ilvl="1" w:tentative="1">
      <w:start w:val="1"/>
      <w:numFmt w:val="decimal"/>
      <w:lvlText w:val=""/>
      <w:lvlJc w:val="left"/>
    </w:lvl>
    <w:lvl w:ilvl="2" w:tentative="1">
      <w:start w:val="1"/>
      <w:numFmt w:val="decimal"/>
      <w:lvlText w:val=""/>
      <w:lvlJc w:val="left"/>
    </w:lvl>
    <w:lvl w:ilvl="3" w:tentative="1">
      <w:start w:val="1"/>
      <w:numFmt w:val="decimal"/>
      <w:lvlText w:val=""/>
      <w:lvlJc w:val="left"/>
    </w:lvl>
    <w:lvl w:ilvl="4" w:tentative="1">
      <w:start w:val="1"/>
      <w:numFmt w:val="decimal"/>
      <w:lvlText w:val=""/>
      <w:lvlJc w:val="left"/>
    </w:lvl>
    <w:lvl w:ilvl="5" w:tentative="1">
      <w:start w:val="1"/>
      <w:numFmt w:val="decimal"/>
      <w:lvlText w:val=""/>
      <w:lvlJc w:val="left"/>
    </w:lvl>
    <w:lvl w:ilvl="6" w:tentative="1">
      <w:start w:val="1"/>
      <w:numFmt w:val="decimal"/>
      <w:lvlText w:val=""/>
      <w:lvlJc w:val="left"/>
    </w:lvl>
    <w:lvl w:ilvl="7" w:tentative="1">
      <w:start w:val="1"/>
      <w:numFmt w:val="decimal"/>
      <w:lvlText w:val=""/>
      <w:lvlJc w:val="left"/>
    </w:lvl>
    <w:lvl w:ilvl="8" w:tentative="1">
      <w:start w:val="1"/>
      <w:numFmt w:val="decimal"/>
      <w:lvlText w:val=""/>
      <w:lvlJc w:val="left"/>
    </w:lvl>
  </w:abstractNum>
  <w:abstractNum w:abstractNumId="3808035965">
    <w:nsid w:val="E2FA047D"/>
    <w:multiLevelType w:val="singleLevel"/>
    <w:tmpl w:val="E2FA047D"/>
    <w:lvl w:ilvl="0" w:tentative="1">
      <w:start w:val="3"/>
      <w:numFmt w:val="chineseCounting"/>
      <w:suff w:val="space"/>
      <w:lvlText w:val="第%1部分"/>
      <w:lvlJc w:val="left"/>
      <w:rPr>
        <w:rFonts w:hint="eastAsia"/>
      </w:rPr>
    </w:lvl>
  </w:abstractNum>
  <w:abstractNum w:abstractNumId="1722827527">
    <w:nsid w:val="66B04307"/>
    <w:multiLevelType w:val="multilevel"/>
    <w:tmpl w:val="66B04307"/>
    <w:lvl w:ilvl="0" w:tentative="1">
      <w:start w:val="6"/>
      <w:numFmt w:val="chineseCounting"/>
      <w:suff w:val="nothing"/>
      <w:lvlText w:val="%1、"/>
      <w:lvlJc w:val="left"/>
      <w:rPr>
        <w:rFonts w:hint="default"/>
      </w:rPr>
    </w:lvl>
    <w:lvl w:ilvl="1" w:tentative="1">
      <w:start w:val="1"/>
      <w:numFmt w:val="decimal"/>
      <w:lvlText w:val=""/>
      <w:lvlJc w:val="left"/>
    </w:lvl>
    <w:lvl w:ilvl="2" w:tentative="1">
      <w:start w:val="1"/>
      <w:numFmt w:val="decimal"/>
      <w:lvlText w:val=""/>
      <w:lvlJc w:val="left"/>
    </w:lvl>
    <w:lvl w:ilvl="3" w:tentative="1">
      <w:start w:val="1"/>
      <w:numFmt w:val="decimal"/>
      <w:lvlText w:val=""/>
      <w:lvlJc w:val="left"/>
    </w:lvl>
    <w:lvl w:ilvl="4" w:tentative="1">
      <w:start w:val="1"/>
      <w:numFmt w:val="decimal"/>
      <w:lvlText w:val=""/>
      <w:lvlJc w:val="left"/>
    </w:lvl>
    <w:lvl w:ilvl="5" w:tentative="1">
      <w:start w:val="1"/>
      <w:numFmt w:val="decimal"/>
      <w:lvlText w:val=""/>
      <w:lvlJc w:val="left"/>
    </w:lvl>
    <w:lvl w:ilvl="6" w:tentative="1">
      <w:start w:val="1"/>
      <w:numFmt w:val="decimal"/>
      <w:lvlText w:val=""/>
      <w:lvlJc w:val="left"/>
    </w:lvl>
    <w:lvl w:ilvl="7" w:tentative="1">
      <w:start w:val="1"/>
      <w:numFmt w:val="decimal"/>
      <w:lvlText w:val=""/>
      <w:lvlJc w:val="left"/>
    </w:lvl>
    <w:lvl w:ilvl="8" w:tentative="1">
      <w:start w:val="1"/>
      <w:numFmt w:val="decimal"/>
      <w:lvlText w:val=""/>
      <w:lvlJc w:val="left"/>
    </w:lvl>
  </w:abstractNum>
  <w:abstractNum w:abstractNumId="1722935540">
    <w:nsid w:val="66B1E8F4"/>
    <w:multiLevelType w:val="multilevel"/>
    <w:tmpl w:val="66B1E8F4"/>
    <w:lvl w:ilvl="0" w:tentative="1">
      <w:start w:val="2"/>
      <w:numFmt w:val="decimal"/>
      <w:suff w:val="nothing"/>
      <w:lvlText w:val="%1."/>
      <w:lvlJc w:val="left"/>
    </w:lvl>
    <w:lvl w:ilvl="1" w:tentative="1">
      <w:start w:val="1"/>
      <w:numFmt w:val="decimal"/>
      <w:lvlText w:val=""/>
      <w:lvlJc w:val="left"/>
    </w:lvl>
    <w:lvl w:ilvl="2" w:tentative="1">
      <w:start w:val="1"/>
      <w:numFmt w:val="decimal"/>
      <w:lvlText w:val=""/>
      <w:lvlJc w:val="left"/>
    </w:lvl>
    <w:lvl w:ilvl="3" w:tentative="1">
      <w:start w:val="1"/>
      <w:numFmt w:val="decimal"/>
      <w:lvlText w:val=""/>
      <w:lvlJc w:val="left"/>
    </w:lvl>
    <w:lvl w:ilvl="4" w:tentative="1">
      <w:start w:val="1"/>
      <w:numFmt w:val="decimal"/>
      <w:lvlText w:val=""/>
      <w:lvlJc w:val="left"/>
    </w:lvl>
    <w:lvl w:ilvl="5" w:tentative="1">
      <w:start w:val="1"/>
      <w:numFmt w:val="decimal"/>
      <w:lvlText w:val=""/>
      <w:lvlJc w:val="left"/>
    </w:lvl>
    <w:lvl w:ilvl="6" w:tentative="1">
      <w:start w:val="1"/>
      <w:numFmt w:val="decimal"/>
      <w:lvlText w:val=""/>
      <w:lvlJc w:val="left"/>
    </w:lvl>
    <w:lvl w:ilvl="7" w:tentative="1">
      <w:start w:val="1"/>
      <w:numFmt w:val="decimal"/>
      <w:lvlText w:val=""/>
      <w:lvlJc w:val="left"/>
    </w:lvl>
    <w:lvl w:ilvl="8" w:tentative="1">
      <w:start w:val="1"/>
      <w:numFmt w:val="decimal"/>
      <w:lvlText w:val=""/>
      <w:lvlJc w:val="left"/>
    </w:lvl>
  </w:abstractNum>
  <w:abstractNum w:abstractNumId="1722940306">
    <w:nsid w:val="66B1FB92"/>
    <w:multiLevelType w:val="multilevel"/>
    <w:tmpl w:val="66B1FB92"/>
    <w:lvl w:ilvl="0" w:tentative="1">
      <w:start w:val="3"/>
      <w:numFmt w:val="chineseCounting"/>
      <w:suff w:val="nothing"/>
      <w:lvlText w:val="%1、"/>
      <w:lvlJc w:val="left"/>
    </w:lvl>
    <w:lvl w:ilvl="1" w:tentative="1">
      <w:start w:val="1"/>
      <w:numFmt w:val="decimal"/>
      <w:lvlText w:val=""/>
      <w:lvlJc w:val="left"/>
    </w:lvl>
    <w:lvl w:ilvl="2" w:tentative="1">
      <w:start w:val="1"/>
      <w:numFmt w:val="decimal"/>
      <w:lvlText w:val=""/>
      <w:lvlJc w:val="left"/>
    </w:lvl>
    <w:lvl w:ilvl="3" w:tentative="1">
      <w:start w:val="1"/>
      <w:numFmt w:val="decimal"/>
      <w:lvlText w:val=""/>
      <w:lvlJc w:val="left"/>
    </w:lvl>
    <w:lvl w:ilvl="4" w:tentative="1">
      <w:start w:val="1"/>
      <w:numFmt w:val="decimal"/>
      <w:lvlText w:val=""/>
      <w:lvlJc w:val="left"/>
    </w:lvl>
    <w:lvl w:ilvl="5" w:tentative="1">
      <w:start w:val="1"/>
      <w:numFmt w:val="decimal"/>
      <w:lvlText w:val=""/>
      <w:lvlJc w:val="left"/>
    </w:lvl>
    <w:lvl w:ilvl="6" w:tentative="1">
      <w:start w:val="1"/>
      <w:numFmt w:val="decimal"/>
      <w:lvlText w:val=""/>
      <w:lvlJc w:val="left"/>
    </w:lvl>
    <w:lvl w:ilvl="7" w:tentative="1">
      <w:start w:val="1"/>
      <w:numFmt w:val="decimal"/>
      <w:lvlText w:val=""/>
      <w:lvlJc w:val="left"/>
    </w:lvl>
    <w:lvl w:ilvl="8" w:tentative="1">
      <w:start w:val="1"/>
      <w:numFmt w:val="decimal"/>
      <w:lvlText w:val=""/>
      <w:lvlJc w:val="left"/>
    </w:lvl>
  </w:abstractNum>
  <w:abstractNum w:abstractNumId="1722940517">
    <w:nsid w:val="66B1FC65"/>
    <w:multiLevelType w:val="multilevel"/>
    <w:tmpl w:val="66B1FC65"/>
    <w:lvl w:ilvl="0" w:tentative="1">
      <w:start w:val="4"/>
      <w:numFmt w:val="chineseCounting"/>
      <w:suff w:val="nothing"/>
      <w:lvlText w:val="（%1）"/>
      <w:lvlJc w:val="left"/>
      <w:rPr>
        <w:rFonts w:hint="default"/>
      </w:rPr>
    </w:lvl>
    <w:lvl w:ilvl="1" w:tentative="1">
      <w:start w:val="1"/>
      <w:numFmt w:val="decimal"/>
      <w:lvlText w:val=""/>
      <w:lvlJc w:val="left"/>
    </w:lvl>
    <w:lvl w:ilvl="2" w:tentative="1">
      <w:start w:val="1"/>
      <w:numFmt w:val="decimal"/>
      <w:lvlText w:val=""/>
      <w:lvlJc w:val="left"/>
    </w:lvl>
    <w:lvl w:ilvl="3" w:tentative="1">
      <w:start w:val="1"/>
      <w:numFmt w:val="decimal"/>
      <w:lvlText w:val=""/>
      <w:lvlJc w:val="left"/>
    </w:lvl>
    <w:lvl w:ilvl="4" w:tentative="1">
      <w:start w:val="1"/>
      <w:numFmt w:val="decimal"/>
      <w:lvlText w:val=""/>
      <w:lvlJc w:val="left"/>
    </w:lvl>
    <w:lvl w:ilvl="5" w:tentative="1">
      <w:start w:val="1"/>
      <w:numFmt w:val="decimal"/>
      <w:lvlText w:val=""/>
      <w:lvlJc w:val="left"/>
    </w:lvl>
    <w:lvl w:ilvl="6" w:tentative="1">
      <w:start w:val="1"/>
      <w:numFmt w:val="decimal"/>
      <w:lvlText w:val=""/>
      <w:lvlJc w:val="left"/>
    </w:lvl>
    <w:lvl w:ilvl="7" w:tentative="1">
      <w:start w:val="1"/>
      <w:numFmt w:val="decimal"/>
      <w:lvlText w:val=""/>
      <w:lvlJc w:val="left"/>
    </w:lvl>
    <w:lvl w:ilvl="8" w:tentative="1">
      <w:start w:val="1"/>
      <w:numFmt w:val="decimal"/>
      <w:lvlText w:val=""/>
      <w:lvlJc w:val="left"/>
    </w:lvl>
  </w:abstractNum>
  <w:abstractNum w:abstractNumId="1756971020">
    <w:nsid w:val="68B9400C"/>
    <w:multiLevelType w:val="singleLevel"/>
    <w:tmpl w:val="68B9400C"/>
    <w:lvl w:ilvl="0" w:tentative="1">
      <w:start w:val="1"/>
      <w:numFmt w:val="chineseCounting"/>
      <w:suff w:val="nothing"/>
      <w:lvlText w:val="%1、"/>
      <w:lvlJc w:val="left"/>
    </w:lvl>
  </w:abstractNum>
  <w:abstractNum w:abstractNumId="1757472175">
    <w:nsid w:val="68C0E5AF"/>
    <w:multiLevelType w:val="multilevel"/>
    <w:tmpl w:val="68C0E5AF"/>
    <w:lvl w:ilvl="0" w:tentative="1">
      <w:start w:val="2"/>
      <w:numFmt w:val="chineseCounting"/>
      <w:suff w:val="nothing"/>
      <w:lvlText w:val="（%1）"/>
      <w:lvlJc w:val="left"/>
      <w:pPr>
        <w:tabs>
          <w:tab w:val="left" w:pos="0"/>
        </w:tabs>
        <w:ind w:left="0" w:firstLine="0"/>
      </w:pPr>
      <w:rPr>
        <w:rFonts w:hint="eastAsia" w:ascii="Times New Roman" w:hAnsi="Times New Roman" w:cs="Times New Roman"/>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757472186">
    <w:nsid w:val="68C0E5BA"/>
    <w:multiLevelType w:val="multilevel"/>
    <w:tmpl w:val="68C0E5BA"/>
    <w:lvl w:ilvl="0" w:tentative="1">
      <w:start w:val="2"/>
      <w:numFmt w:val="chineseCounting"/>
      <w:suff w:val="nothing"/>
      <w:lvlText w:val="（%1）"/>
      <w:lvlJc w:val="left"/>
      <w:pPr>
        <w:tabs>
          <w:tab w:val="left" w:pos="0"/>
        </w:tabs>
        <w:ind w:left="0" w:firstLine="0"/>
      </w:pPr>
      <w:rPr>
        <w:rFonts w:hint="eastAsia" w:ascii="Times New Roman" w:hAnsi="Times New Roman" w:cs="Times New Roman"/>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757472197">
    <w:nsid w:val="68C0E5C5"/>
    <w:multiLevelType w:val="multilevel"/>
    <w:tmpl w:val="68C0E5C5"/>
    <w:lvl w:ilvl="0" w:tentative="1">
      <w:start w:val="2"/>
      <w:numFmt w:val="decimal"/>
      <w:suff w:val="nothing"/>
      <w:lvlText w:val="%1."/>
      <w:lvlJc w:val="left"/>
      <w:pPr>
        <w:tabs>
          <w:tab w:val="left" w:pos="0"/>
        </w:tabs>
        <w:ind w:left="0" w:firstLine="0"/>
      </w:pPr>
      <w:rPr>
        <w:rFonts w:hint="eastAsia" w:ascii="Times New Roman" w:hAnsi="Times New Roman" w:cs="Times New Roman"/>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num w:numId="1">
    <w:abstractNumId w:val="1756971020"/>
  </w:num>
  <w:num w:numId="2">
    <w:abstractNumId w:val="309482763"/>
  </w:num>
  <w:num w:numId="3">
    <w:abstractNumId w:val="3479514348"/>
  </w:num>
  <w:num w:numId="4">
    <w:abstractNumId w:val="3808035965"/>
  </w:num>
  <w:num w:numId="5">
    <w:abstractNumId w:val="1722566629"/>
  </w:num>
  <w:num w:numId="6">
    <w:abstractNumId w:val="1722569395"/>
  </w:num>
  <w:num w:numId="7">
    <w:abstractNumId w:val="1722940306"/>
  </w:num>
  <w:num w:numId="8">
    <w:abstractNumId w:val="1722935540"/>
  </w:num>
  <w:num w:numId="9">
    <w:abstractNumId w:val="1757472175"/>
    <w:lvlOverride w:ilvl="0">
      <w:startOverride w:val="2"/>
    </w:lvlOverride>
  </w:num>
  <w:num w:numId="10">
    <w:abstractNumId w:val="1757472186"/>
    <w:lvlOverride w:ilvl="0">
      <w:startOverride w:val="2"/>
    </w:lvlOverride>
  </w:num>
  <w:num w:numId="11">
    <w:abstractNumId w:val="1757472197"/>
    <w:lvlOverride w:ilvl="0">
      <w:startOverride w:val="2"/>
    </w:lvlOverride>
  </w:num>
  <w:num w:numId="12">
    <w:abstractNumId w:val="1722940517"/>
  </w:num>
  <w:num w:numId="13">
    <w:abstractNumId w:val="17228275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documentProtection w:enforcement="0"/>
  <w:defaultTabStop w:val="420"/>
  <w:drawingGridHorizontalSpacing w:val="1"/>
  <w:drawingGridVerticalSpacing w:val="159"/>
  <w:displayHorizontalDrawingGridEvery w:val="1"/>
  <w:displayVerticalDrawingGridEvery w:val="1"/>
  <w:doNotUseMarginsForDrawingGridOrigin w:val="1"/>
  <w:drawingGridHorizontalOrigin w:val="0"/>
  <w:drawingGridVerticalOrigin w:val="0"/>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3D454D5"/>
    <w:rsid w:val="054369B0"/>
    <w:rsid w:val="08593A99"/>
    <w:rsid w:val="0A3010C7"/>
    <w:rsid w:val="0A70662D"/>
    <w:rsid w:val="0DAE6A7F"/>
    <w:rsid w:val="112E1806"/>
    <w:rsid w:val="155D099A"/>
    <w:rsid w:val="17761466"/>
    <w:rsid w:val="1BD87C0A"/>
    <w:rsid w:val="1C0E5011"/>
    <w:rsid w:val="24E25D13"/>
    <w:rsid w:val="26E30CDC"/>
    <w:rsid w:val="28105ECB"/>
    <w:rsid w:val="28B76C59"/>
    <w:rsid w:val="2909285F"/>
    <w:rsid w:val="2A2878AC"/>
    <w:rsid w:val="2BC362DB"/>
    <w:rsid w:val="2C784B05"/>
    <w:rsid w:val="2EC8590A"/>
    <w:rsid w:val="2FD94ADB"/>
    <w:rsid w:val="398B06A9"/>
    <w:rsid w:val="3AE57D2D"/>
    <w:rsid w:val="3CB7EBD3"/>
    <w:rsid w:val="3DDF52F6"/>
    <w:rsid w:val="3E2E436C"/>
    <w:rsid w:val="41DD5D76"/>
    <w:rsid w:val="41E975B0"/>
    <w:rsid w:val="44900788"/>
    <w:rsid w:val="485F62CB"/>
    <w:rsid w:val="4ED748E6"/>
    <w:rsid w:val="51B32158"/>
    <w:rsid w:val="61385890"/>
    <w:rsid w:val="67CE125C"/>
    <w:rsid w:val="67F340AC"/>
    <w:rsid w:val="67FE9CEB"/>
    <w:rsid w:val="6AC7223E"/>
    <w:rsid w:val="6CA104FE"/>
    <w:rsid w:val="6FFEAC3A"/>
    <w:rsid w:val="77CE64F9"/>
    <w:rsid w:val="78B32B40"/>
    <w:rsid w:val="7AAF6F93"/>
    <w:rsid w:val="7BFFB7C8"/>
    <w:rsid w:val="7DF2ABCB"/>
    <w:rsid w:val="7E7D4C53"/>
    <w:rsid w:val="7EF6DCED"/>
    <w:rsid w:val="7F39B4CC"/>
    <w:rsid w:val="7FCFA379"/>
    <w:rsid w:val="9B7B5FA1"/>
    <w:rsid w:val="AFD96922"/>
    <w:rsid w:val="AFEF86A5"/>
    <w:rsid w:val="B7A9BC1A"/>
    <w:rsid w:val="BCCDCB94"/>
    <w:rsid w:val="BFEC6F84"/>
    <w:rsid w:val="C3B61244"/>
    <w:rsid w:val="CBB17325"/>
    <w:rsid w:val="CFFE2BD1"/>
    <w:rsid w:val="D7FFF2E4"/>
    <w:rsid w:val="DCFA44D0"/>
    <w:rsid w:val="E7975EDC"/>
    <w:rsid w:val="EEA948FC"/>
    <w:rsid w:val="EFEF8D29"/>
    <w:rsid w:val="F3FFE770"/>
    <w:rsid w:val="F7FE6DE3"/>
    <w:rsid w:val="F7FF5D78"/>
    <w:rsid w:val="F95F4DF9"/>
    <w:rsid w:val="FD1EEF30"/>
    <w:rsid w:val="FEED2337"/>
    <w:rsid w:val="FFB60D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suppressAutoHyphens/>
      <w:jc w:val="both"/>
    </w:pPr>
    <w:rPr>
      <w:rFonts w:ascii="Calibri" w:hAnsi="Calibri" w:eastAsia="宋体" w:cs="Times New Roman"/>
      <w:color w:val="auto"/>
      <w:kern w:val="2"/>
      <w:sz w:val="21"/>
      <w:szCs w:val="24"/>
      <w:lang w:val="en-US" w:eastAsia="zh-CN" w:bidi="ar-SA"/>
    </w:rPr>
  </w:style>
  <w:style w:type="paragraph" w:styleId="4">
    <w:name w:val="heading 1"/>
    <w:basedOn w:val="1"/>
    <w:next w:val="1"/>
    <w:link w:val="3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7"/>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22">
    <w:name w:val="Default Paragraph Font"/>
    <w:uiPriority w:val="0"/>
  </w:style>
  <w:style w:type="table" w:default="1" w:styleId="25">
    <w:name w:val="Normal Table"/>
    <w:semiHidden/>
    <w:qFormat/>
    <w:uiPriority w:val="0"/>
    <w:pPr>
      <w:widowControl/>
      <w:spacing w:before="0" w:beforeAutospacing="0" w:after="0" w:afterAutospacing="0"/>
      <w:ind w:left="0" w:right="0"/>
    </w:pPr>
    <w:rPr>
      <w:rFonts w:hint="eastAsia" w:ascii="Times New Roman" w:hAnsi="Times New Roman" w:cs="Times New Roman"/>
      <w:sz w:val="20"/>
      <w:szCs w:val="20"/>
    </w:rPr>
    <w:tblPr>
      <w:tblStyle w:val="25"/>
      <w:tblLayout w:type="fixed"/>
      <w:tblCellMar>
        <w:top w:w="0" w:type="dxa"/>
        <w:left w:w="108" w:type="dxa"/>
        <w:bottom w:w="0" w:type="dxa"/>
        <w:right w:w="108" w:type="dxa"/>
      </w:tblCellMar>
    </w:tblPr>
    <w:tcPr>
      <w:textDirection w:val="lrTb"/>
    </w:tcPr>
  </w:style>
  <w:style w:type="paragraph" w:styleId="2">
    <w:name w:val="Body Text First Indent 2"/>
    <w:basedOn w:val="3"/>
    <w:next w:val="1"/>
    <w:unhideWhenUsed/>
    <w:qFormat/>
    <w:uiPriority w:val="99"/>
    <w:pPr>
      <w:widowControl w:val="0"/>
      <w:spacing w:after="120" w:afterAutospacing="0"/>
      <w:ind w:left="420" w:leftChars="200" w:firstLine="420" w:firstLineChars="200"/>
      <w:jc w:val="both"/>
    </w:pPr>
    <w:rPr>
      <w:rFonts w:hint="eastAsia" w:ascii="Times New Roman" w:hAnsi="Times New Roman" w:eastAsia="仿宋_GB2312" w:cs="Times New Roman"/>
      <w:kern w:val="2"/>
      <w:sz w:val="32"/>
      <w:szCs w:val="32"/>
      <w:lang w:val="en-US" w:eastAsia="zh-CN" w:bidi="ar-SA"/>
    </w:rPr>
  </w:style>
  <w:style w:type="paragraph" w:styleId="3">
    <w:name w:val="Body Text Indent"/>
    <w:basedOn w:val="1"/>
    <w:qFormat/>
    <w:uiPriority w:val="0"/>
    <w:pPr>
      <w:spacing w:after="120"/>
      <w:ind w:leftChars="200"/>
    </w:pPr>
    <w:rPr>
      <w:rFonts w:ascii="仿宋_GB2312"/>
      <w:szCs w:val="32"/>
    </w:rPr>
  </w:style>
  <w:style w:type="paragraph" w:styleId="6">
    <w:name w:val="toc 7"/>
    <w:basedOn w:val="1"/>
    <w:next w:val="1"/>
    <w:uiPriority w:val="0"/>
    <w:pPr>
      <w:ind w:left="2520" w:leftChars="1200"/>
    </w:pPr>
  </w:style>
  <w:style w:type="paragraph" w:styleId="7">
    <w:name w:val="caption"/>
    <w:basedOn w:val="1"/>
    <w:uiPriority w:val="0"/>
    <w:pPr>
      <w:widowControl w:val="0"/>
      <w:suppressLineNumbers/>
      <w:suppressAutoHyphens/>
      <w:spacing w:before="120" w:after="120"/>
    </w:pPr>
    <w:rPr>
      <w:i/>
      <w:iCs/>
      <w:sz w:val="24"/>
      <w:szCs w:val="24"/>
    </w:rPr>
  </w:style>
  <w:style w:type="paragraph" w:styleId="8">
    <w:name w:val="Body Text"/>
    <w:basedOn w:val="1"/>
    <w:uiPriority w:val="0"/>
    <w:pPr>
      <w:spacing w:before="0" w:after="140" w:line="276" w:lineRule="auto"/>
    </w:pPr>
  </w:style>
  <w:style w:type="paragraph" w:styleId="9">
    <w:name w:val="toc 5"/>
    <w:basedOn w:val="1"/>
    <w:next w:val="1"/>
    <w:uiPriority w:val="0"/>
    <w:pPr>
      <w:ind w:left="1680" w:leftChars="800"/>
    </w:pPr>
  </w:style>
  <w:style w:type="paragraph" w:styleId="10">
    <w:name w:val="toc 3"/>
    <w:basedOn w:val="1"/>
    <w:next w:val="1"/>
    <w:uiPriority w:val="0"/>
    <w:pPr>
      <w:ind w:left="840" w:leftChars="400"/>
    </w:pPr>
  </w:style>
  <w:style w:type="paragraph" w:styleId="11">
    <w:name w:val="toc 8"/>
    <w:basedOn w:val="1"/>
    <w:next w:val="1"/>
    <w:uiPriority w:val="0"/>
    <w:pPr>
      <w:ind w:left="2940" w:leftChars="1400"/>
    </w:pPr>
  </w:style>
  <w:style w:type="paragraph" w:styleId="12">
    <w:name w:val="footer"/>
    <w:basedOn w:val="1"/>
    <w:uiPriority w:val="0"/>
    <w:pPr>
      <w:tabs>
        <w:tab w:val="center" w:pos="4153"/>
        <w:tab w:val="right" w:pos="8306"/>
      </w:tabs>
      <w:snapToGrid w:val="0"/>
      <w:jc w:val="left"/>
    </w:pPr>
    <w:rPr>
      <w:rFonts w:ascii="Calibri" w:hAnsi="Calibri"/>
      <w:kern w:val="0"/>
      <w:sz w:val="18"/>
      <w:szCs w:val="18"/>
    </w:rPr>
  </w:style>
  <w:style w:type="paragraph" w:styleId="13">
    <w:name w:val="header"/>
    <w:basedOn w:val="1"/>
    <w:uiPriority w:val="0"/>
    <w:pPr>
      <w:pBdr>
        <w:bottom w:val="single" w:color="auto" w:sz="6" w:space="1"/>
      </w:pBdr>
      <w:tabs>
        <w:tab w:val="center" w:pos="4153"/>
        <w:tab w:val="right" w:pos="8306"/>
      </w:tabs>
      <w:snapToGrid w:val="0"/>
      <w:jc w:val="center"/>
    </w:pPr>
    <w:rPr>
      <w:rFonts w:eastAsia="宋体"/>
      <w:sz w:val="18"/>
      <w:szCs w:val="18"/>
    </w:rPr>
  </w:style>
  <w:style w:type="paragraph" w:styleId="14">
    <w:name w:val="toc 1"/>
    <w:basedOn w:val="1"/>
    <w:next w:val="1"/>
    <w:unhideWhenUsed/>
    <w:qFormat/>
    <w:uiPriority w:val="39"/>
  </w:style>
  <w:style w:type="paragraph" w:styleId="15">
    <w:name w:val="toc 4"/>
    <w:basedOn w:val="1"/>
    <w:next w:val="1"/>
    <w:uiPriority w:val="0"/>
    <w:pPr>
      <w:ind w:left="1260" w:leftChars="600"/>
    </w:pPr>
  </w:style>
  <w:style w:type="paragraph" w:styleId="16">
    <w:name w:val="List"/>
    <w:basedOn w:val="8"/>
    <w:uiPriority w:val="0"/>
  </w:style>
  <w:style w:type="paragraph" w:styleId="17">
    <w:name w:val="footnote text"/>
    <w:basedOn w:val="1"/>
    <w:next w:val="2"/>
    <w:semiHidden/>
    <w:qFormat/>
    <w:uiPriority w:val="0"/>
    <w:pPr>
      <w:snapToGrid w:val="0"/>
      <w:jc w:val="left"/>
    </w:pPr>
    <w:rPr>
      <w:sz w:val="18"/>
      <w:szCs w:val="18"/>
    </w:rPr>
  </w:style>
  <w:style w:type="paragraph" w:styleId="18">
    <w:name w:val="toc 6"/>
    <w:basedOn w:val="1"/>
    <w:next w:val="1"/>
    <w:uiPriority w:val="0"/>
    <w:pPr>
      <w:ind w:left="2100" w:leftChars="1000"/>
    </w:pPr>
  </w:style>
  <w:style w:type="paragraph" w:styleId="19">
    <w:name w:val="toc 2"/>
    <w:basedOn w:val="1"/>
    <w:next w:val="1"/>
    <w:unhideWhenUsed/>
    <w:qFormat/>
    <w:uiPriority w:val="39"/>
    <w:pPr>
      <w:ind w:left="420" w:leftChars="200"/>
    </w:pPr>
  </w:style>
  <w:style w:type="paragraph" w:styleId="20">
    <w:name w:val="toc 9"/>
    <w:basedOn w:val="1"/>
    <w:next w:val="1"/>
    <w:uiPriority w:val="0"/>
    <w:pPr>
      <w:ind w:left="3360" w:leftChars="1600"/>
    </w:pPr>
  </w:style>
  <w:style w:type="paragraph" w:styleId="21">
    <w:name w:val="Normal (Web)"/>
    <w:basedOn w:val="1"/>
    <w:uiPriority w:val="0"/>
    <w:rPr>
      <w:sz w:val="24"/>
    </w:rPr>
  </w:style>
  <w:style w:type="character" w:styleId="23">
    <w:name w:val="Strong"/>
    <w:basedOn w:val="22"/>
    <w:qFormat/>
    <w:uiPriority w:val="99"/>
    <w:rPr>
      <w:b/>
    </w:rPr>
  </w:style>
  <w:style w:type="character" w:styleId="24">
    <w:name w:val="Hyperlink"/>
    <w:basedOn w:val="22"/>
    <w:unhideWhenUsed/>
    <w:qFormat/>
    <w:uiPriority w:val="99"/>
    <w:rPr>
      <w:color w:val="0000FF"/>
      <w:u w:val="single"/>
    </w:rPr>
  </w:style>
  <w:style w:type="table" w:styleId="26">
    <w:name w:val="Table Grid"/>
    <w:basedOn w:val="25"/>
    <w:uiPriority w:val="0"/>
    <w:pPr>
      <w:widowControl w:val="0"/>
      <w:spacing w:before="0" w:beforeAutospacing="0" w:after="0" w:afterAutospacing="0"/>
      <w:ind w:left="0" w:right="0"/>
      <w:jc w:val="both"/>
    </w:pPr>
    <w:rPr>
      <w:rFonts w:hint="eastAsia" w:ascii="Times New Roman" w:hAnsi="Times New Roman" w:cs="Times New Roman"/>
      <w:sz w:val="20"/>
      <w:szCs w:val="20"/>
    </w:rPr>
    <w:tblPr>
      <w:tblStyle w:val="2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27">
    <w:name w:val="Index"/>
    <w:basedOn w:val="1"/>
    <w:uiPriority w:val="0"/>
    <w:pPr>
      <w:widowControl w:val="0"/>
      <w:suppressLineNumbers/>
      <w:suppressAutoHyphens/>
    </w:pPr>
  </w:style>
  <w:style w:type="paragraph" w:customStyle="1" w:styleId="28">
    <w:name w:val="无间隔1"/>
    <w:qFormat/>
    <w:uiPriority w:val="1"/>
    <w:pPr>
      <w:widowControl w:val="0"/>
      <w:jc w:val="both"/>
    </w:pPr>
    <w:rPr>
      <w:rFonts w:ascii="Calibri" w:hAnsi="Calibri" w:eastAsia="宋体" w:cs="Calibri"/>
      <w:kern w:val="2"/>
      <w:sz w:val="21"/>
      <w:szCs w:val="21"/>
      <w:lang w:val="en-US" w:eastAsia="zh-CN" w:bidi="ar-SA"/>
    </w:rPr>
  </w:style>
  <w:style w:type="paragraph" w:customStyle="1" w:styleId="29">
    <w:name w:val="List Paragraph"/>
    <w:basedOn w:val="1"/>
    <w:qFormat/>
    <w:uiPriority w:val="34"/>
    <w:pPr>
      <w:ind w:firstLine="420" w:firstLineChars="200"/>
    </w:pPr>
  </w:style>
  <w:style w:type="paragraph" w:customStyle="1" w:styleId="30">
    <w:name w:val="Heading"/>
    <w:basedOn w:val="1"/>
    <w:next w:val="8"/>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31">
    <w:name w:val="_Style 24"/>
    <w:qFormat/>
    <w:uiPriority w:val="1"/>
    <w:pPr>
      <w:widowControl w:val="0"/>
      <w:jc w:val="both"/>
    </w:pPr>
    <w:rPr>
      <w:rFonts w:ascii="Calibri" w:hAnsi="Calibri" w:eastAsia="宋体" w:cs="Calibri"/>
      <w:kern w:val="2"/>
      <w:sz w:val="21"/>
      <w:szCs w:val="21"/>
      <w:lang w:val="en-US" w:eastAsia="zh-CN" w:bidi="ar-SA"/>
    </w:rPr>
  </w:style>
  <w:style w:type="paragraph" w:customStyle="1" w:styleId="3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33">
    <w:name w:val="节标题"/>
    <w:next w:val="1"/>
    <w:qFormat/>
    <w:uiPriority w:val="0"/>
    <w:pPr>
      <w:spacing w:line="289" w:lineRule="atLeast"/>
      <w:jc w:val="center"/>
    </w:pPr>
    <w:rPr>
      <w:rFonts w:ascii="Times New Roman" w:hAnsi="Times New Roman" w:eastAsia="宋体" w:cs="Times New Roman"/>
      <w:color w:val="000000"/>
      <w:kern w:val="2"/>
      <w:sz w:val="28"/>
      <w:szCs w:val="24"/>
      <w:lang w:val="en-US" w:eastAsia="zh-CN" w:bidi="ar-SA"/>
    </w:rPr>
  </w:style>
  <w:style w:type="paragraph" w:customStyle="1" w:styleId="34">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paragraph" w:customStyle="1" w:styleId="35">
    <w:name w:val="章标题"/>
    <w:next w:val="33"/>
    <w:qFormat/>
    <w:uiPriority w:val="0"/>
    <w:pPr>
      <w:spacing w:before="158" w:after="153" w:line="323" w:lineRule="atLeast"/>
      <w:ind w:right="-120"/>
      <w:jc w:val="center"/>
    </w:pPr>
    <w:rPr>
      <w:rFonts w:ascii="Times New Roman" w:hAnsi="Times New Roman" w:eastAsia="宋体" w:cs="Times New Roman"/>
      <w:color w:val="FF0000"/>
      <w:kern w:val="2"/>
      <w:sz w:val="18"/>
      <w:szCs w:val="24"/>
      <w:lang w:val="en-US" w:eastAsia="zh-CN" w:bidi="ar-SA"/>
    </w:rPr>
  </w:style>
  <w:style w:type="paragraph" w:customStyle="1" w:styleId="36">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7">
    <w:name w:val="标题 2 Char"/>
    <w:basedOn w:val="22"/>
    <w:link w:val="5"/>
    <w:qFormat/>
    <w:uiPriority w:val="9"/>
    <w:rPr>
      <w:rFonts w:ascii="Cambria" w:hAnsi="Cambria" w:eastAsia="宋体" w:cs="Times New Roman"/>
      <w:b/>
      <w:bCs/>
      <w:sz w:val="32"/>
      <w:szCs w:val="32"/>
    </w:rPr>
  </w:style>
  <w:style w:type="character" w:customStyle="1" w:styleId="38">
    <w:name w:val="标题 1 Char"/>
    <w:basedOn w:val="22"/>
    <w:link w:val="4"/>
    <w:qFormat/>
    <w:uiPriority w:val="9"/>
    <w:rPr>
      <w:b/>
      <w:bCs/>
      <w:kern w:val="44"/>
      <w:sz w:val="44"/>
      <w:szCs w:val="44"/>
    </w:rPr>
  </w:style>
  <w:style w:type="character" w:customStyle="1" w:styleId="39">
    <w:name w:val="默认段落字体1"/>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141</Pages>
  <Words>11822</Words>
  <Characters>13307</Characters>
  <Lines>0</Lines>
  <Paragraphs>0</Paragraphs>
  <ScaleCrop>false</ScaleCrop>
  <LinksUpToDate>false</LinksUpToDate>
  <CharactersWithSpaces>0</CharactersWithSpaces>
  <Application>WPS Office 专业版_9.1.0.4833_{F1E327BC-269C-435d-A152-05C5408002CA}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2018-12-01T09:47:00Z</dcterms:created>
  <dc:creator>user</dc:creator>
  <cp:lastModifiedBy>Administrator</cp:lastModifiedBy>
  <dcterms:modified xsi:type="dcterms:W3CDTF">2025-09-28T03:53:06Z</dcterms:modified>
  <dc:title>2024年度四川省广元市中级人民法院部门决算</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2052-9.1.0.4833</vt:lpwstr>
  </property>
  <property fmtid="{D5CDD505-2E9C-101B-9397-08002B2CF9AE}" pid="3" name="ICV">
    <vt:lpwstr>FF0281C4E2553163F63BC2683EBE92B6_42</vt:lpwstr>
  </property>
  <property fmtid="{D5CDD505-2E9C-101B-9397-08002B2CF9AE}" pid="4" name="KSOTemplateDocerSaveRecord">
    <vt:lpwstr>eyJoZGlkIjoiYTc2ZGZiNzZiNDVlOGViOWVmM2JhOTY0NGJkNjUyYzgiLCJ1c2VySWQiOiIyMjA2OTAwNTAifQ==</vt:lpwstr>
  </property>
</Properties>
</file>