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eastAsia="方正小标宋简体"/>
          <w:sz w:val="44"/>
          <w:szCs w:val="44"/>
        </w:rPr>
      </w:pPr>
    </w:p>
    <w:p>
      <w:pPr>
        <w:pStyle w:val="2"/>
        <w:jc w:val="center"/>
        <w:rPr>
          <w:rFonts w:ascii="方正小标宋简体" w:eastAsia="方正小标宋简体"/>
          <w:sz w:val="44"/>
          <w:szCs w:val="44"/>
        </w:rPr>
      </w:pPr>
    </w:p>
    <w:p>
      <w:pPr>
        <w:widowControl/>
        <w:suppressAutoHyphens/>
        <w:jc w:val="center"/>
        <w:rPr>
          <w:rFonts w:ascii="方正小标宋简体" w:eastAsia="方正小标宋简体"/>
          <w:w w:val="90"/>
          <w:sz w:val="44"/>
          <w:szCs w:val="44"/>
        </w:rPr>
      </w:pPr>
      <w:r>
        <w:rPr>
          <w:rFonts w:hint="eastAsia" w:ascii="方正小标宋简体" w:eastAsia="方正小标宋简体"/>
          <w:w w:val="90"/>
          <w:sz w:val="44"/>
          <w:szCs w:val="44"/>
        </w:rPr>
        <w:t>2024年度广元市安全生产风险研判中心</w:t>
      </w:r>
    </w:p>
    <w:p>
      <w:pPr>
        <w:widowControl/>
        <w:suppressAutoHyphens/>
        <w:jc w:val="center"/>
        <w:rPr>
          <w:rFonts w:ascii="方正小标宋简体" w:eastAsia="方正小标宋简体"/>
          <w:w w:val="90"/>
          <w:sz w:val="44"/>
          <w:szCs w:val="44"/>
        </w:rPr>
      </w:pPr>
      <w:r>
        <w:rPr>
          <w:rFonts w:hint="eastAsia" w:ascii="方正小标宋简体" w:eastAsia="方正小标宋简体"/>
          <w:w w:val="90"/>
          <w:sz w:val="44"/>
          <w:szCs w:val="44"/>
        </w:rPr>
        <w:t>单位决算</w:t>
      </w:r>
    </w:p>
    <w:p>
      <w:pPr>
        <w:widowControl/>
        <w:suppressAutoHyphens/>
        <w:jc w:val="center"/>
        <w:rPr>
          <w:rFonts w:ascii="黑体" w:eastAsia="黑体"/>
          <w:sz w:val="28"/>
          <w:szCs w:val="28"/>
        </w:rPr>
      </w:pPr>
      <w:r>
        <w:rPr>
          <w:rFonts w:hint="eastAsia" w:ascii="方正小标宋简体" w:eastAsia="方正小标宋简体"/>
          <w:sz w:val="36"/>
          <w:szCs w:val="36"/>
        </w:rPr>
        <w:br w:type="page"/>
      </w:r>
      <w:r>
        <w:rPr>
          <w:rFonts w:hint="eastAsia" w:ascii="黑体" w:eastAsia="黑体"/>
          <w:sz w:val="48"/>
          <w:szCs w:val="48"/>
        </w:rPr>
        <w:t>目录</w:t>
      </w:r>
    </w:p>
    <w:p>
      <w:pPr>
        <w:pStyle w:val="10"/>
      </w:pPr>
      <w:r>
        <w:rPr>
          <w:rFonts w:hint="eastAsia"/>
        </w:rPr>
        <w:t>公开时间：202</w:t>
      </w:r>
      <w:r>
        <w:rPr>
          <w:rFonts w:hint="eastAsia"/>
          <w:lang w:val="en-US" w:eastAsia="zh-CN"/>
        </w:rPr>
        <w:t>5</w:t>
      </w:r>
      <w:bookmarkStart w:id="64" w:name="_GoBack"/>
      <w:bookmarkEnd w:id="64"/>
      <w:r>
        <w:rPr>
          <w:rFonts w:hint="eastAsia"/>
        </w:rPr>
        <w:t>年10月1</w:t>
      </w:r>
      <w:r>
        <w:t>4</w:t>
      </w:r>
      <w:r>
        <w:rPr>
          <w:rFonts w:hint="eastAsia"/>
        </w:rPr>
        <w:t>日</w:t>
      </w:r>
    </w:p>
    <w:p/>
    <w:sdt>
      <w:sdtPr>
        <w:rPr>
          <w:rFonts w:ascii="宋体" w:hAnsi="宋体" w:eastAsia="宋体" w:cs="Times New Roman"/>
          <w:kern w:val="2"/>
          <w:sz w:val="21"/>
          <w:szCs w:val="24"/>
          <w:lang w:val="en-US" w:eastAsia="zh-CN" w:bidi="ar-SA"/>
        </w:rPr>
        <w:id w:val="147452067"/>
        <w15:color w:val="DBDBDB"/>
        <w:docPartObj>
          <w:docPartGallery w:val="Table of Contents"/>
          <w:docPartUnique/>
        </w:docPartObj>
      </w:sdtPr>
      <w:sdtEndPr>
        <w:rPr>
          <w:rFonts w:hint="eastAsia" w:ascii="Calibri Light" w:hAnsi="Calibri Light" w:eastAsia="方正小标宋简体" w:cs="Times New Roman"/>
          <w:bCs/>
          <w:kern w:val="2"/>
          <w:sz w:val="44"/>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0"/>
            <w:tabs>
              <w:tab w:val="right" w:leader="dot" w:pos="8730"/>
              <w:tab w:val="clear" w:pos="8296"/>
            </w:tabs>
            <w:rPr>
              <w:b w:val="0"/>
              <w:bCs w:val="0"/>
            </w:rPr>
          </w:pPr>
          <w:r>
            <w:rPr>
              <w:rFonts w:hint="eastAsia"/>
            </w:rPr>
            <w:fldChar w:fldCharType="begin"/>
          </w:r>
          <w:r>
            <w:rPr>
              <w:rFonts w:hint="eastAsia"/>
            </w:rPr>
            <w:instrText xml:space="preserve">TOC \o "1-2" \h \u </w:instrText>
          </w:r>
          <w:r>
            <w:rPr>
              <w:rFonts w:hint="eastAsia"/>
            </w:rPr>
            <w:fldChar w:fldCharType="separate"/>
          </w:r>
          <w:r>
            <w:rPr>
              <w:rFonts w:hint="eastAsia"/>
              <w:b w:val="0"/>
              <w:bCs w:val="0"/>
            </w:rPr>
            <w:fldChar w:fldCharType="begin"/>
          </w:r>
          <w:r>
            <w:rPr>
              <w:rFonts w:hint="eastAsia"/>
              <w:b w:val="0"/>
              <w:bCs w:val="0"/>
            </w:rPr>
            <w:instrText xml:space="preserve"> HYPERLINK \l _Toc29520 </w:instrText>
          </w:r>
          <w:r>
            <w:rPr>
              <w:rFonts w:hint="eastAsia"/>
              <w:b w:val="0"/>
              <w:bCs w:val="0"/>
            </w:rPr>
            <w:fldChar w:fldCharType="separate"/>
          </w:r>
          <w:r>
            <w:rPr>
              <w:rFonts w:hint="eastAsia"/>
              <w:b w:val="0"/>
              <w:bCs w:val="0"/>
            </w:rPr>
            <w:t>第一部分 单位概况</w:t>
          </w:r>
          <w:r>
            <w:rPr>
              <w:b w:val="0"/>
              <w:bCs w:val="0"/>
            </w:rPr>
            <w:tab/>
          </w:r>
          <w:r>
            <w:rPr>
              <w:b w:val="0"/>
              <w:bCs w:val="0"/>
            </w:rPr>
            <w:fldChar w:fldCharType="begin"/>
          </w:r>
          <w:r>
            <w:rPr>
              <w:b w:val="0"/>
              <w:bCs w:val="0"/>
            </w:rPr>
            <w:instrText xml:space="preserve"> PAGEREF _Toc29520 \h </w:instrText>
          </w:r>
          <w:r>
            <w:rPr>
              <w:b w:val="0"/>
              <w:bCs w:val="0"/>
            </w:rPr>
            <w:fldChar w:fldCharType="separate"/>
          </w:r>
          <w:r>
            <w:rPr>
              <w:b w:val="0"/>
              <w:bCs w:val="0"/>
            </w:rPr>
            <w:t>1</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_Toc5990 </w:instrText>
          </w:r>
          <w:r>
            <w:rPr>
              <w:rFonts w:hint="eastAsia"/>
              <w:b w:val="0"/>
              <w:bCs w:val="0"/>
            </w:rPr>
            <w:fldChar w:fldCharType="separate"/>
          </w:r>
          <w:r>
            <w:rPr>
              <w:rFonts w:hint="eastAsia" w:ascii="黑体" w:eastAsia="黑体"/>
              <w:b w:val="0"/>
              <w:bCs w:val="0"/>
            </w:rPr>
            <w:t>一</w:t>
          </w:r>
          <w:r>
            <w:rPr>
              <w:rFonts w:ascii="黑体" w:eastAsia="黑体"/>
              <w:b w:val="0"/>
              <w:bCs w:val="0"/>
            </w:rPr>
            <w:t>、</w:t>
          </w:r>
          <w:r>
            <w:rPr>
              <w:rFonts w:hint="eastAsia" w:ascii="黑体" w:eastAsia="黑体"/>
              <w:b w:val="0"/>
              <w:bCs w:val="0"/>
            </w:rPr>
            <w:t>主要职责</w:t>
          </w:r>
          <w:r>
            <w:rPr>
              <w:b w:val="0"/>
              <w:bCs w:val="0"/>
            </w:rPr>
            <w:tab/>
          </w:r>
          <w:r>
            <w:rPr>
              <w:b w:val="0"/>
              <w:bCs w:val="0"/>
            </w:rPr>
            <w:fldChar w:fldCharType="begin"/>
          </w:r>
          <w:r>
            <w:rPr>
              <w:b w:val="0"/>
              <w:bCs w:val="0"/>
            </w:rPr>
            <w:instrText xml:space="preserve"> PAGEREF _Toc5990 \h </w:instrText>
          </w:r>
          <w:r>
            <w:rPr>
              <w:b w:val="0"/>
              <w:bCs w:val="0"/>
            </w:rPr>
            <w:fldChar w:fldCharType="separate"/>
          </w:r>
          <w:r>
            <w:rPr>
              <w:b w:val="0"/>
              <w:bCs w:val="0"/>
            </w:rPr>
            <w:t>1</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_Toc13636 </w:instrText>
          </w:r>
          <w:r>
            <w:rPr>
              <w:rFonts w:hint="eastAsia"/>
              <w:b w:val="0"/>
              <w:bCs w:val="0"/>
            </w:rPr>
            <w:fldChar w:fldCharType="separate"/>
          </w:r>
          <w:r>
            <w:rPr>
              <w:rFonts w:hint="eastAsia"/>
              <w:b w:val="0"/>
              <w:bCs w:val="0"/>
            </w:rPr>
            <w:t>二</w:t>
          </w:r>
          <w:r>
            <w:rPr>
              <w:b w:val="0"/>
              <w:bCs w:val="0"/>
            </w:rPr>
            <w:t>、</w:t>
          </w:r>
          <w:r>
            <w:rPr>
              <w:rFonts w:hint="eastAsia"/>
              <w:b w:val="0"/>
              <w:bCs w:val="0"/>
            </w:rPr>
            <w:t>机构设置</w:t>
          </w:r>
          <w:r>
            <w:rPr>
              <w:b w:val="0"/>
              <w:bCs w:val="0"/>
            </w:rPr>
            <w:tab/>
          </w:r>
          <w:r>
            <w:rPr>
              <w:b w:val="0"/>
              <w:bCs w:val="0"/>
            </w:rPr>
            <w:fldChar w:fldCharType="begin"/>
          </w:r>
          <w:r>
            <w:rPr>
              <w:b w:val="0"/>
              <w:bCs w:val="0"/>
            </w:rPr>
            <w:instrText xml:space="preserve"> PAGEREF _Toc13636 \h </w:instrText>
          </w:r>
          <w:r>
            <w:rPr>
              <w:b w:val="0"/>
              <w:bCs w:val="0"/>
            </w:rPr>
            <w:fldChar w:fldCharType="separate"/>
          </w:r>
          <w:r>
            <w:rPr>
              <w:b w:val="0"/>
              <w:bCs w:val="0"/>
            </w:rPr>
            <w:t>1</w:t>
          </w:r>
          <w:r>
            <w:rPr>
              <w:b w:val="0"/>
              <w:bCs w:val="0"/>
            </w:rPr>
            <w:fldChar w:fldCharType="end"/>
          </w:r>
          <w:r>
            <w:rPr>
              <w:rFonts w:hint="eastAsia"/>
              <w:b w:val="0"/>
              <w:bCs w:val="0"/>
            </w:rPr>
            <w:fldChar w:fldCharType="end"/>
          </w:r>
        </w:p>
        <w:p>
          <w:pPr>
            <w:pStyle w:val="10"/>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_Toc9661 </w:instrText>
          </w:r>
          <w:r>
            <w:rPr>
              <w:rFonts w:hint="eastAsia"/>
              <w:b w:val="0"/>
              <w:bCs w:val="0"/>
            </w:rPr>
            <w:fldChar w:fldCharType="separate"/>
          </w:r>
          <w:r>
            <w:rPr>
              <w:rFonts w:hint="eastAsia"/>
              <w:b w:val="0"/>
              <w:bCs w:val="0"/>
            </w:rPr>
            <w:t>第二部分 2024年度单位决算情况说明</w:t>
          </w:r>
          <w:r>
            <w:rPr>
              <w:b w:val="0"/>
              <w:bCs w:val="0"/>
            </w:rPr>
            <w:tab/>
          </w:r>
          <w:r>
            <w:rPr>
              <w:b w:val="0"/>
              <w:bCs w:val="0"/>
            </w:rPr>
            <w:fldChar w:fldCharType="begin"/>
          </w:r>
          <w:r>
            <w:rPr>
              <w:b w:val="0"/>
              <w:bCs w:val="0"/>
            </w:rPr>
            <w:instrText xml:space="preserve"> PAGEREF _Toc9661 \h </w:instrText>
          </w:r>
          <w:r>
            <w:rPr>
              <w:b w:val="0"/>
              <w:bCs w:val="0"/>
            </w:rPr>
            <w:fldChar w:fldCharType="separate"/>
          </w:r>
          <w:r>
            <w:rPr>
              <w:b w:val="0"/>
              <w:bCs w:val="0"/>
            </w:rPr>
            <w:t>2</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_Toc31948 </w:instrText>
          </w:r>
          <w:r>
            <w:rPr>
              <w:rFonts w:hint="eastAsia"/>
              <w:b w:val="0"/>
              <w:bCs w:val="0"/>
            </w:rPr>
            <w:fldChar w:fldCharType="separate"/>
          </w:r>
          <w:r>
            <w:rPr>
              <w:rFonts w:hint="eastAsia"/>
              <w:b w:val="0"/>
              <w:bCs w:val="0"/>
            </w:rPr>
            <w:t>一</w:t>
          </w:r>
          <w:r>
            <w:rPr>
              <w:b w:val="0"/>
              <w:bCs w:val="0"/>
            </w:rPr>
            <w:t>、</w:t>
          </w:r>
          <w:r>
            <w:rPr>
              <w:rFonts w:hint="eastAsia"/>
              <w:b w:val="0"/>
              <w:bCs w:val="0"/>
            </w:rPr>
            <w:t>收</w:t>
          </w:r>
          <w:r>
            <w:rPr>
              <w:rFonts w:hint="eastAsia" w:ascii="黑体" w:eastAsia="黑体"/>
              <w:b w:val="0"/>
              <w:bCs w:val="0"/>
            </w:rPr>
            <w:t>入支出决算总体情况说明</w:t>
          </w:r>
          <w:r>
            <w:rPr>
              <w:b w:val="0"/>
              <w:bCs w:val="0"/>
            </w:rPr>
            <w:tab/>
          </w:r>
          <w:r>
            <w:rPr>
              <w:b w:val="0"/>
              <w:bCs w:val="0"/>
            </w:rPr>
            <w:fldChar w:fldCharType="begin"/>
          </w:r>
          <w:r>
            <w:rPr>
              <w:b w:val="0"/>
              <w:bCs w:val="0"/>
            </w:rPr>
            <w:instrText xml:space="preserve"> PAGEREF _Toc31948 \h </w:instrText>
          </w:r>
          <w:r>
            <w:rPr>
              <w:b w:val="0"/>
              <w:bCs w:val="0"/>
            </w:rPr>
            <w:fldChar w:fldCharType="separate"/>
          </w:r>
          <w:r>
            <w:rPr>
              <w:b w:val="0"/>
              <w:bCs w:val="0"/>
            </w:rPr>
            <w:t>2</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_Toc10783 </w:instrText>
          </w:r>
          <w:r>
            <w:rPr>
              <w:rFonts w:hint="eastAsia"/>
              <w:b w:val="0"/>
              <w:bCs w:val="0"/>
            </w:rPr>
            <w:fldChar w:fldCharType="separate"/>
          </w:r>
          <w:r>
            <w:rPr>
              <w:rFonts w:hint="eastAsia"/>
              <w:b w:val="0"/>
              <w:bCs w:val="0"/>
            </w:rPr>
            <w:t>二</w:t>
          </w:r>
          <w:r>
            <w:rPr>
              <w:b w:val="0"/>
              <w:bCs w:val="0"/>
            </w:rPr>
            <w:t>、</w:t>
          </w:r>
          <w:r>
            <w:rPr>
              <w:rFonts w:hint="eastAsia"/>
              <w:b w:val="0"/>
              <w:bCs w:val="0"/>
            </w:rPr>
            <w:t>收</w:t>
          </w:r>
          <w:r>
            <w:rPr>
              <w:rFonts w:hint="eastAsia" w:ascii="黑体" w:eastAsia="黑体"/>
              <w:b w:val="0"/>
              <w:bCs w:val="0"/>
            </w:rPr>
            <w:t>入决算情况说明</w:t>
          </w:r>
          <w:r>
            <w:rPr>
              <w:b w:val="0"/>
              <w:bCs w:val="0"/>
            </w:rPr>
            <w:tab/>
          </w:r>
          <w:r>
            <w:rPr>
              <w:b w:val="0"/>
              <w:bCs w:val="0"/>
            </w:rPr>
            <w:fldChar w:fldCharType="begin"/>
          </w:r>
          <w:r>
            <w:rPr>
              <w:b w:val="0"/>
              <w:bCs w:val="0"/>
            </w:rPr>
            <w:instrText xml:space="preserve"> PAGEREF _Toc10783 \h </w:instrText>
          </w:r>
          <w:r>
            <w:rPr>
              <w:b w:val="0"/>
              <w:bCs w:val="0"/>
            </w:rPr>
            <w:fldChar w:fldCharType="separate"/>
          </w:r>
          <w:r>
            <w:rPr>
              <w:b w:val="0"/>
              <w:bCs w:val="0"/>
            </w:rPr>
            <w:t>2</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_Toc3625 </w:instrText>
          </w:r>
          <w:r>
            <w:rPr>
              <w:rFonts w:hint="eastAsia"/>
              <w:b w:val="0"/>
              <w:bCs w:val="0"/>
            </w:rPr>
            <w:fldChar w:fldCharType="separate"/>
          </w:r>
          <w:r>
            <w:rPr>
              <w:rFonts w:hint="eastAsia"/>
              <w:b w:val="0"/>
              <w:bCs w:val="0"/>
            </w:rPr>
            <w:t>三</w:t>
          </w:r>
          <w:r>
            <w:rPr>
              <w:b w:val="0"/>
              <w:bCs w:val="0"/>
            </w:rPr>
            <w:t>、</w:t>
          </w:r>
          <w:r>
            <w:rPr>
              <w:rFonts w:hint="eastAsia"/>
              <w:b w:val="0"/>
              <w:bCs w:val="0"/>
            </w:rPr>
            <w:t>支</w:t>
          </w:r>
          <w:r>
            <w:rPr>
              <w:rFonts w:hint="eastAsia" w:ascii="黑体" w:eastAsia="黑体"/>
              <w:b w:val="0"/>
              <w:bCs w:val="0"/>
            </w:rPr>
            <w:t>出决算情况说明</w:t>
          </w:r>
          <w:r>
            <w:rPr>
              <w:b w:val="0"/>
              <w:bCs w:val="0"/>
            </w:rPr>
            <w:tab/>
          </w:r>
          <w:r>
            <w:rPr>
              <w:b w:val="0"/>
              <w:bCs w:val="0"/>
            </w:rPr>
            <w:fldChar w:fldCharType="begin"/>
          </w:r>
          <w:r>
            <w:rPr>
              <w:b w:val="0"/>
              <w:bCs w:val="0"/>
            </w:rPr>
            <w:instrText xml:space="preserve"> PAGEREF _Toc3625 \h </w:instrText>
          </w:r>
          <w:r>
            <w:rPr>
              <w:b w:val="0"/>
              <w:bCs w:val="0"/>
            </w:rPr>
            <w:fldChar w:fldCharType="separate"/>
          </w:r>
          <w:r>
            <w:rPr>
              <w:b w:val="0"/>
              <w:bCs w:val="0"/>
            </w:rPr>
            <w:t>3</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_Toc17929 </w:instrText>
          </w:r>
          <w:r>
            <w:rPr>
              <w:rFonts w:hint="eastAsia"/>
              <w:b w:val="0"/>
              <w:bCs w:val="0"/>
            </w:rPr>
            <w:fldChar w:fldCharType="separate"/>
          </w:r>
          <w:r>
            <w:rPr>
              <w:rFonts w:hint="eastAsia"/>
              <w:b w:val="0"/>
              <w:bCs w:val="0"/>
            </w:rPr>
            <w:t>四、财</w:t>
          </w:r>
          <w:r>
            <w:rPr>
              <w:rFonts w:hint="eastAsia" w:ascii="黑体" w:eastAsia="黑体"/>
              <w:b w:val="0"/>
              <w:bCs w:val="0"/>
            </w:rPr>
            <w:t>政拨款收入支出决算总体情况说明</w:t>
          </w:r>
          <w:r>
            <w:rPr>
              <w:b w:val="0"/>
              <w:bCs w:val="0"/>
            </w:rPr>
            <w:tab/>
          </w:r>
          <w:r>
            <w:rPr>
              <w:b w:val="0"/>
              <w:bCs w:val="0"/>
            </w:rPr>
            <w:fldChar w:fldCharType="begin"/>
          </w:r>
          <w:r>
            <w:rPr>
              <w:b w:val="0"/>
              <w:bCs w:val="0"/>
            </w:rPr>
            <w:instrText xml:space="preserve"> PAGEREF _Toc17929 \h </w:instrText>
          </w:r>
          <w:r>
            <w:rPr>
              <w:b w:val="0"/>
              <w:bCs w:val="0"/>
            </w:rPr>
            <w:fldChar w:fldCharType="separate"/>
          </w:r>
          <w:r>
            <w:rPr>
              <w:b w:val="0"/>
              <w:bCs w:val="0"/>
            </w:rPr>
            <w:t>3</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_Toc13260 </w:instrText>
          </w:r>
          <w:r>
            <w:rPr>
              <w:rFonts w:hint="eastAsia"/>
              <w:b w:val="0"/>
              <w:bCs w:val="0"/>
            </w:rPr>
            <w:fldChar w:fldCharType="separate"/>
          </w:r>
          <w:r>
            <w:rPr>
              <w:rFonts w:hint="eastAsia"/>
              <w:b w:val="0"/>
              <w:bCs w:val="0"/>
            </w:rPr>
            <w:t>五、一</w:t>
          </w:r>
          <w:r>
            <w:rPr>
              <w:rFonts w:hint="eastAsia" w:ascii="黑体" w:eastAsia="黑体"/>
              <w:b w:val="0"/>
              <w:bCs w:val="0"/>
            </w:rPr>
            <w:t>般公共预算财政拨款支出决算情况说明</w:t>
          </w:r>
          <w:r>
            <w:rPr>
              <w:b w:val="0"/>
              <w:bCs w:val="0"/>
            </w:rPr>
            <w:tab/>
          </w:r>
          <w:r>
            <w:rPr>
              <w:b w:val="0"/>
              <w:bCs w:val="0"/>
            </w:rPr>
            <w:fldChar w:fldCharType="begin"/>
          </w:r>
          <w:r>
            <w:rPr>
              <w:b w:val="0"/>
              <w:bCs w:val="0"/>
            </w:rPr>
            <w:instrText xml:space="preserve"> PAGEREF _Toc13260 \h </w:instrText>
          </w:r>
          <w:r>
            <w:rPr>
              <w:b w:val="0"/>
              <w:bCs w:val="0"/>
            </w:rPr>
            <w:fldChar w:fldCharType="separate"/>
          </w:r>
          <w:r>
            <w:rPr>
              <w:b w:val="0"/>
              <w:bCs w:val="0"/>
            </w:rPr>
            <w:t>4</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_Toc13139 </w:instrText>
          </w:r>
          <w:r>
            <w:rPr>
              <w:rFonts w:hint="eastAsia"/>
              <w:b w:val="0"/>
              <w:bCs w:val="0"/>
            </w:rPr>
            <w:fldChar w:fldCharType="separate"/>
          </w:r>
          <w:r>
            <w:rPr>
              <w:rFonts w:hint="eastAsia"/>
              <w:b w:val="0"/>
              <w:bCs w:val="0"/>
            </w:rPr>
            <w:t>六、一</w:t>
          </w:r>
          <w:r>
            <w:rPr>
              <w:rFonts w:hint="eastAsia" w:ascii="黑体" w:eastAsia="黑体"/>
              <w:b w:val="0"/>
              <w:bCs w:val="0"/>
            </w:rPr>
            <w:t>般公共预算财政拨款基本支出决算情况说明</w:t>
          </w:r>
          <w:r>
            <w:rPr>
              <w:b w:val="0"/>
              <w:bCs w:val="0"/>
            </w:rPr>
            <w:tab/>
          </w:r>
          <w:r>
            <w:rPr>
              <w:b w:val="0"/>
              <w:bCs w:val="0"/>
            </w:rPr>
            <w:fldChar w:fldCharType="begin"/>
          </w:r>
          <w:r>
            <w:rPr>
              <w:b w:val="0"/>
              <w:bCs w:val="0"/>
            </w:rPr>
            <w:instrText xml:space="preserve"> PAGEREF _Toc13139 \h </w:instrText>
          </w:r>
          <w:r>
            <w:rPr>
              <w:b w:val="0"/>
              <w:bCs w:val="0"/>
            </w:rPr>
            <w:fldChar w:fldCharType="separate"/>
          </w:r>
          <w:r>
            <w:rPr>
              <w:b w:val="0"/>
              <w:bCs w:val="0"/>
            </w:rPr>
            <w:t>6</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_Toc16121 </w:instrText>
          </w:r>
          <w:r>
            <w:rPr>
              <w:rFonts w:hint="eastAsia"/>
              <w:b w:val="0"/>
              <w:bCs w:val="0"/>
            </w:rPr>
            <w:fldChar w:fldCharType="separate"/>
          </w:r>
          <w:r>
            <w:rPr>
              <w:rFonts w:hint="eastAsia"/>
              <w:b w:val="0"/>
              <w:bCs w:val="0"/>
            </w:rPr>
            <w:t>七、</w:t>
          </w:r>
          <w:r>
            <w:rPr>
              <w:rFonts w:hint="eastAsia" w:ascii="黑体" w:eastAsia="黑体"/>
              <w:b w:val="0"/>
              <w:bCs w:val="0"/>
            </w:rPr>
            <w:t>财政拨款“三公”经费支出决算情况说明</w:t>
          </w:r>
          <w:r>
            <w:rPr>
              <w:b w:val="0"/>
              <w:bCs w:val="0"/>
            </w:rPr>
            <w:tab/>
          </w:r>
          <w:r>
            <w:rPr>
              <w:b w:val="0"/>
              <w:bCs w:val="0"/>
            </w:rPr>
            <w:fldChar w:fldCharType="begin"/>
          </w:r>
          <w:r>
            <w:rPr>
              <w:b w:val="0"/>
              <w:bCs w:val="0"/>
            </w:rPr>
            <w:instrText xml:space="preserve"> PAGEREF _Toc16121 \h </w:instrText>
          </w:r>
          <w:r>
            <w:rPr>
              <w:b w:val="0"/>
              <w:bCs w:val="0"/>
            </w:rPr>
            <w:fldChar w:fldCharType="separate"/>
          </w:r>
          <w:r>
            <w:rPr>
              <w:b w:val="0"/>
              <w:bCs w:val="0"/>
            </w:rPr>
            <w:t>6</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_Toc3910 </w:instrText>
          </w:r>
          <w:r>
            <w:rPr>
              <w:rFonts w:hint="eastAsia"/>
              <w:b w:val="0"/>
              <w:bCs w:val="0"/>
            </w:rPr>
            <w:fldChar w:fldCharType="separate"/>
          </w:r>
          <w:r>
            <w:rPr>
              <w:rFonts w:hint="eastAsia"/>
              <w:b w:val="0"/>
              <w:bCs w:val="0"/>
            </w:rPr>
            <w:t>八、</w:t>
          </w:r>
          <w:r>
            <w:rPr>
              <w:rFonts w:hint="eastAsia" w:ascii="黑体" w:eastAsia="黑体"/>
              <w:b w:val="0"/>
              <w:bCs w:val="0"/>
            </w:rPr>
            <w:t>政府性基金预算支出决算情况说明</w:t>
          </w:r>
          <w:r>
            <w:rPr>
              <w:b w:val="0"/>
              <w:bCs w:val="0"/>
            </w:rPr>
            <w:tab/>
          </w:r>
          <w:r>
            <w:rPr>
              <w:b w:val="0"/>
              <w:bCs w:val="0"/>
            </w:rPr>
            <w:fldChar w:fldCharType="begin"/>
          </w:r>
          <w:r>
            <w:rPr>
              <w:b w:val="0"/>
              <w:bCs w:val="0"/>
            </w:rPr>
            <w:instrText xml:space="preserve"> PAGEREF _Toc3910 \h </w:instrText>
          </w:r>
          <w:r>
            <w:rPr>
              <w:b w:val="0"/>
              <w:bCs w:val="0"/>
            </w:rPr>
            <w:fldChar w:fldCharType="separate"/>
          </w:r>
          <w:r>
            <w:rPr>
              <w:b w:val="0"/>
              <w:bCs w:val="0"/>
            </w:rPr>
            <w:t>7</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_Toc20184 </w:instrText>
          </w:r>
          <w:r>
            <w:rPr>
              <w:rFonts w:hint="eastAsia"/>
              <w:b w:val="0"/>
              <w:bCs w:val="0"/>
            </w:rPr>
            <w:fldChar w:fldCharType="separate"/>
          </w:r>
          <w:r>
            <w:rPr>
              <w:rFonts w:hint="eastAsia" w:ascii="黑体" w:eastAsia="黑体"/>
              <w:b w:val="0"/>
              <w:bCs w:val="0"/>
            </w:rPr>
            <w:t>九</w:t>
          </w:r>
          <w:r>
            <w:rPr>
              <w:rFonts w:ascii="黑体" w:eastAsia="黑体"/>
              <w:b w:val="0"/>
              <w:bCs w:val="0"/>
            </w:rPr>
            <w:t>、</w:t>
          </w:r>
          <w:r>
            <w:rPr>
              <w:rFonts w:hint="eastAsia" w:ascii="黑体" w:eastAsia="黑体"/>
              <w:b w:val="0"/>
              <w:bCs w:val="0"/>
            </w:rPr>
            <w:t>国有资本经营预算支出决算情况说明</w:t>
          </w:r>
          <w:r>
            <w:rPr>
              <w:b w:val="0"/>
              <w:bCs w:val="0"/>
            </w:rPr>
            <w:tab/>
          </w:r>
          <w:r>
            <w:rPr>
              <w:b w:val="0"/>
              <w:bCs w:val="0"/>
            </w:rPr>
            <w:fldChar w:fldCharType="begin"/>
          </w:r>
          <w:r>
            <w:rPr>
              <w:b w:val="0"/>
              <w:bCs w:val="0"/>
            </w:rPr>
            <w:instrText xml:space="preserve"> PAGEREF _Toc20184 \h </w:instrText>
          </w:r>
          <w:r>
            <w:rPr>
              <w:b w:val="0"/>
              <w:bCs w:val="0"/>
            </w:rPr>
            <w:fldChar w:fldCharType="separate"/>
          </w:r>
          <w:r>
            <w:rPr>
              <w:b w:val="0"/>
              <w:bCs w:val="0"/>
            </w:rPr>
            <w:t>7</w:t>
          </w:r>
          <w:r>
            <w:rPr>
              <w:b w:val="0"/>
              <w:bCs w:val="0"/>
            </w:rPr>
            <w:fldChar w:fldCharType="end"/>
          </w:r>
          <w:r>
            <w:rPr>
              <w:rFonts w:hint="eastAsia"/>
              <w:b w:val="0"/>
              <w:bCs w:val="0"/>
            </w:rPr>
            <w:fldChar w:fldCharType="end"/>
          </w:r>
        </w:p>
        <w:p>
          <w:pPr>
            <w:pStyle w:val="12"/>
            <w:tabs>
              <w:tab w:val="right" w:leader="dot" w:pos="8730"/>
              <w:tab w:val="clear" w:pos="8296"/>
            </w:tabs>
            <w:rPr>
              <w:b w:val="0"/>
              <w:bCs w:val="0"/>
            </w:rPr>
          </w:pPr>
          <w:r>
            <w:rPr>
              <w:rFonts w:hint="eastAsia"/>
              <w:b w:val="0"/>
              <w:bCs w:val="0"/>
            </w:rPr>
            <w:fldChar w:fldCharType="begin"/>
          </w:r>
          <w:r>
            <w:rPr>
              <w:rFonts w:hint="eastAsia"/>
              <w:b w:val="0"/>
              <w:bCs w:val="0"/>
            </w:rPr>
            <w:instrText xml:space="preserve"> HYPERLINK \l _Toc8229 </w:instrText>
          </w:r>
          <w:r>
            <w:rPr>
              <w:rFonts w:hint="eastAsia"/>
              <w:b w:val="0"/>
              <w:bCs w:val="0"/>
            </w:rPr>
            <w:fldChar w:fldCharType="separate"/>
          </w:r>
          <w:r>
            <w:rPr>
              <w:rFonts w:hint="eastAsia" w:ascii="黑体" w:eastAsia="黑体"/>
              <w:b w:val="0"/>
              <w:bCs w:val="0"/>
            </w:rPr>
            <w:t>十</w:t>
          </w:r>
          <w:r>
            <w:rPr>
              <w:rFonts w:ascii="黑体" w:eastAsia="黑体"/>
              <w:b w:val="0"/>
              <w:bCs w:val="0"/>
            </w:rPr>
            <w:t>、</w:t>
          </w:r>
          <w:r>
            <w:rPr>
              <w:rFonts w:hint="eastAsia" w:ascii="黑体" w:eastAsia="黑体"/>
              <w:b w:val="0"/>
              <w:bCs w:val="0"/>
            </w:rPr>
            <w:t>其他重要事项的情况说明</w:t>
          </w:r>
          <w:r>
            <w:rPr>
              <w:b w:val="0"/>
              <w:bCs w:val="0"/>
            </w:rPr>
            <w:tab/>
          </w:r>
          <w:r>
            <w:rPr>
              <w:b w:val="0"/>
              <w:bCs w:val="0"/>
            </w:rPr>
            <w:fldChar w:fldCharType="begin"/>
          </w:r>
          <w:r>
            <w:rPr>
              <w:b w:val="0"/>
              <w:bCs w:val="0"/>
            </w:rPr>
            <w:instrText xml:space="preserve"> PAGEREF _Toc8229 \h </w:instrText>
          </w:r>
          <w:r>
            <w:rPr>
              <w:b w:val="0"/>
              <w:bCs w:val="0"/>
            </w:rPr>
            <w:fldChar w:fldCharType="separate"/>
          </w:r>
          <w:r>
            <w:rPr>
              <w:b w:val="0"/>
              <w:bCs w:val="0"/>
            </w:rPr>
            <w:t>7</w:t>
          </w:r>
          <w:r>
            <w:rPr>
              <w:b w:val="0"/>
              <w:bCs w:val="0"/>
            </w:rPr>
            <w:fldChar w:fldCharType="end"/>
          </w:r>
          <w:r>
            <w:rPr>
              <w:rFonts w:hint="eastAsia"/>
              <w:b w:val="0"/>
              <w:bCs w:val="0"/>
            </w:rPr>
            <w:fldChar w:fldCharType="end"/>
          </w:r>
        </w:p>
        <w:p>
          <w:pPr>
            <w:pStyle w:val="10"/>
            <w:tabs>
              <w:tab w:val="right" w:leader="dot" w:pos="8730"/>
              <w:tab w:val="clear" w:pos="8296"/>
            </w:tabs>
          </w:pPr>
          <w:r>
            <w:rPr>
              <w:rFonts w:hint="eastAsia"/>
            </w:rPr>
            <w:fldChar w:fldCharType="begin"/>
          </w:r>
          <w:r>
            <w:rPr>
              <w:rFonts w:hint="eastAsia"/>
            </w:rPr>
            <w:instrText xml:space="preserve"> HYPERLINK \l _Toc22499 </w:instrText>
          </w:r>
          <w:r>
            <w:rPr>
              <w:rFonts w:hint="eastAsia"/>
            </w:rPr>
            <w:fldChar w:fldCharType="separate"/>
          </w:r>
          <w:r>
            <w:rPr>
              <w:rFonts w:hint="eastAsia"/>
            </w:rPr>
            <w:t>第三部分  名</w:t>
          </w:r>
          <w:r>
            <w:rPr>
              <w:rFonts w:hint="eastAsia" w:ascii="Calibri Light" w:hAnsi="Calibri Light" w:eastAsia="方正小标宋简体"/>
              <w:bCs w:val="0"/>
              <w:szCs w:val="32"/>
            </w:rPr>
            <w:t>词解释</w:t>
          </w:r>
          <w:r>
            <w:tab/>
          </w:r>
          <w:r>
            <w:fldChar w:fldCharType="begin"/>
          </w:r>
          <w:r>
            <w:instrText xml:space="preserve"> PAGEREF _Toc22499 \h </w:instrText>
          </w:r>
          <w:r>
            <w:fldChar w:fldCharType="separate"/>
          </w:r>
          <w:r>
            <w:t>9</w:t>
          </w:r>
          <w:r>
            <w:fldChar w:fldCharType="end"/>
          </w:r>
          <w:r>
            <w:rPr>
              <w:rFonts w:hint="eastAsia"/>
            </w:rPr>
            <w:fldChar w:fldCharType="end"/>
          </w:r>
        </w:p>
        <w:p>
          <w:pPr>
            <w:pStyle w:val="10"/>
            <w:tabs>
              <w:tab w:val="right" w:leader="dot" w:pos="8730"/>
              <w:tab w:val="clear" w:pos="8296"/>
            </w:tabs>
          </w:pPr>
          <w:r>
            <w:rPr>
              <w:rFonts w:hint="eastAsia"/>
            </w:rPr>
            <w:fldChar w:fldCharType="begin"/>
          </w:r>
          <w:r>
            <w:rPr>
              <w:rFonts w:hint="eastAsia"/>
            </w:rPr>
            <w:instrText xml:space="preserve"> HYPERLINK \l _Toc23205 </w:instrText>
          </w:r>
          <w:r>
            <w:rPr>
              <w:rFonts w:hint="eastAsia"/>
            </w:rPr>
            <w:fldChar w:fldCharType="separate"/>
          </w:r>
          <w:r>
            <w:rPr>
              <w:rFonts w:hint="eastAsia"/>
            </w:rPr>
            <w:t>第</w:t>
          </w:r>
          <w:r>
            <w:rPr>
              <w:rFonts w:hint="eastAsia" w:ascii="Calibri Light" w:hAnsi="Calibri Light" w:eastAsia="方正小标宋简体" w:cs="Times New Roman"/>
              <w:bCs/>
              <w:kern w:val="2"/>
              <w:szCs w:val="32"/>
            </w:rPr>
            <w:t>四部分 附件</w:t>
          </w:r>
          <w:r>
            <w:tab/>
          </w:r>
          <w:r>
            <w:fldChar w:fldCharType="begin"/>
          </w:r>
          <w:r>
            <w:instrText xml:space="preserve"> PAGEREF _Toc23205 \h </w:instrText>
          </w:r>
          <w:r>
            <w:fldChar w:fldCharType="separate"/>
          </w:r>
          <w:r>
            <w:t>11</w:t>
          </w:r>
          <w:r>
            <w:fldChar w:fldCharType="end"/>
          </w:r>
          <w:r>
            <w:rPr>
              <w:rFonts w:hint="eastAsia"/>
            </w:rPr>
            <w:fldChar w:fldCharType="end"/>
          </w:r>
        </w:p>
        <w:p>
          <w:pPr>
            <w:pStyle w:val="10"/>
            <w:tabs>
              <w:tab w:val="right" w:leader="dot" w:pos="8730"/>
              <w:tab w:val="clear" w:pos="8296"/>
            </w:tabs>
          </w:pPr>
          <w:r>
            <w:rPr>
              <w:rFonts w:hint="eastAsia"/>
            </w:rPr>
            <w:fldChar w:fldCharType="begin"/>
          </w:r>
          <w:r>
            <w:rPr>
              <w:rFonts w:hint="eastAsia"/>
            </w:rPr>
            <w:instrText xml:space="preserve"> HYPERLINK \l _Toc22394 </w:instrText>
          </w:r>
          <w:r>
            <w:rPr>
              <w:rFonts w:hint="eastAsia"/>
            </w:rPr>
            <w:fldChar w:fldCharType="separate"/>
          </w:r>
          <w:r>
            <w:rPr>
              <w:rFonts w:hint="eastAsia"/>
            </w:rPr>
            <w:t>第</w:t>
          </w:r>
          <w:r>
            <w:rPr>
              <w:rFonts w:hint="eastAsia" w:ascii="Calibri Light" w:hAnsi="Calibri Light" w:eastAsia="方正小标宋简体" w:cs="Times New Roman"/>
              <w:bCs/>
              <w:kern w:val="2"/>
              <w:szCs w:val="32"/>
            </w:rPr>
            <w:t>五部分 附表</w:t>
          </w:r>
          <w:r>
            <w:tab/>
          </w:r>
          <w:r>
            <w:fldChar w:fldCharType="begin"/>
          </w:r>
          <w:r>
            <w:instrText xml:space="preserve"> PAGEREF _Toc22394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_Toc21578 </w:instrText>
          </w:r>
          <w:r>
            <w:rPr>
              <w:rFonts w:hint="eastAsia"/>
            </w:rPr>
            <w:fldChar w:fldCharType="separate"/>
          </w:r>
          <w:r>
            <w:rPr>
              <w:rFonts w:hint="eastAsia" w:ascii="仿宋" w:eastAsia="仿宋"/>
              <w:bCs w:val="0"/>
            </w:rPr>
            <w:t>一、收入支出决算总表</w:t>
          </w:r>
          <w:r>
            <w:tab/>
          </w:r>
          <w:r>
            <w:fldChar w:fldCharType="begin"/>
          </w:r>
          <w:r>
            <w:instrText xml:space="preserve"> PAGEREF _Toc21578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_Toc1665 </w:instrText>
          </w:r>
          <w:r>
            <w:rPr>
              <w:rFonts w:hint="eastAsia"/>
            </w:rPr>
            <w:fldChar w:fldCharType="separate"/>
          </w:r>
          <w:r>
            <w:rPr>
              <w:rFonts w:hint="eastAsia" w:ascii="仿宋" w:eastAsia="仿宋"/>
              <w:bCs w:val="0"/>
            </w:rPr>
            <w:t>二、收入决算表</w:t>
          </w:r>
          <w:r>
            <w:tab/>
          </w:r>
          <w:r>
            <w:fldChar w:fldCharType="begin"/>
          </w:r>
          <w:r>
            <w:instrText xml:space="preserve"> PAGEREF _Toc1665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_Toc3604 </w:instrText>
          </w:r>
          <w:r>
            <w:rPr>
              <w:rFonts w:hint="eastAsia"/>
            </w:rPr>
            <w:fldChar w:fldCharType="separate"/>
          </w:r>
          <w:r>
            <w:rPr>
              <w:rFonts w:hint="eastAsia" w:ascii="仿宋" w:eastAsia="仿宋"/>
              <w:bCs w:val="0"/>
            </w:rPr>
            <w:t>三、支出决算表</w:t>
          </w:r>
          <w:r>
            <w:tab/>
          </w:r>
          <w:r>
            <w:fldChar w:fldCharType="begin"/>
          </w:r>
          <w:r>
            <w:instrText xml:space="preserve"> PAGEREF _Toc3604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_Toc5157 </w:instrText>
          </w:r>
          <w:r>
            <w:rPr>
              <w:rFonts w:hint="eastAsia"/>
            </w:rPr>
            <w:fldChar w:fldCharType="separate"/>
          </w:r>
          <w:r>
            <w:rPr>
              <w:rFonts w:hint="eastAsia" w:ascii="仿宋" w:eastAsia="仿宋"/>
              <w:bCs w:val="0"/>
            </w:rPr>
            <w:t>四、财政拨款收入支出决算总表</w:t>
          </w:r>
          <w:r>
            <w:tab/>
          </w:r>
          <w:r>
            <w:fldChar w:fldCharType="begin"/>
          </w:r>
          <w:r>
            <w:instrText xml:space="preserve"> PAGEREF _Toc5157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_Toc1348 </w:instrText>
          </w:r>
          <w:r>
            <w:rPr>
              <w:rFonts w:hint="eastAsia"/>
            </w:rPr>
            <w:fldChar w:fldCharType="separate"/>
          </w:r>
          <w:r>
            <w:rPr>
              <w:rFonts w:hint="eastAsia" w:ascii="仿宋" w:eastAsia="仿宋"/>
              <w:bCs w:val="0"/>
            </w:rPr>
            <w:t>五、财政拨款支出决算明细表</w:t>
          </w:r>
          <w:r>
            <w:tab/>
          </w:r>
          <w:r>
            <w:fldChar w:fldCharType="begin"/>
          </w:r>
          <w:r>
            <w:instrText xml:space="preserve"> PAGEREF _Toc1348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_Toc23270 </w:instrText>
          </w:r>
          <w:r>
            <w:rPr>
              <w:rFonts w:hint="eastAsia"/>
            </w:rPr>
            <w:fldChar w:fldCharType="separate"/>
          </w:r>
          <w:r>
            <w:rPr>
              <w:rFonts w:hint="eastAsia" w:ascii="仿宋" w:eastAsia="仿宋"/>
              <w:bCs w:val="0"/>
            </w:rPr>
            <w:t>六、一般公共预算财政拨款支出决算表</w:t>
          </w:r>
          <w:r>
            <w:tab/>
          </w:r>
          <w:r>
            <w:fldChar w:fldCharType="begin"/>
          </w:r>
          <w:r>
            <w:instrText xml:space="preserve"> PAGEREF _Toc23270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_Toc1583 </w:instrText>
          </w:r>
          <w:r>
            <w:rPr>
              <w:rFonts w:hint="eastAsia"/>
            </w:rPr>
            <w:fldChar w:fldCharType="separate"/>
          </w:r>
          <w:r>
            <w:rPr>
              <w:rFonts w:hint="eastAsia" w:ascii="仿宋" w:eastAsia="仿宋"/>
              <w:bCs w:val="0"/>
            </w:rPr>
            <w:t>七、一般公共预算财政拨款支出决算明细表</w:t>
          </w:r>
          <w:r>
            <w:tab/>
          </w:r>
          <w:r>
            <w:fldChar w:fldCharType="begin"/>
          </w:r>
          <w:r>
            <w:instrText xml:space="preserve"> PAGEREF _Toc1583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_Toc18996 </w:instrText>
          </w:r>
          <w:r>
            <w:rPr>
              <w:rFonts w:hint="eastAsia"/>
            </w:rPr>
            <w:fldChar w:fldCharType="separate"/>
          </w:r>
          <w:r>
            <w:rPr>
              <w:rFonts w:hint="eastAsia" w:ascii="仿宋" w:eastAsia="仿宋"/>
              <w:bCs w:val="0"/>
            </w:rPr>
            <w:t>八、一般公共预算财政拨款基本支出决算表</w:t>
          </w:r>
          <w:r>
            <w:tab/>
          </w:r>
          <w:r>
            <w:fldChar w:fldCharType="begin"/>
          </w:r>
          <w:r>
            <w:instrText xml:space="preserve"> PAGEREF _Toc18996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_Toc3381 </w:instrText>
          </w:r>
          <w:r>
            <w:rPr>
              <w:rFonts w:hint="eastAsia"/>
            </w:rPr>
            <w:fldChar w:fldCharType="separate"/>
          </w:r>
          <w:r>
            <w:rPr>
              <w:rFonts w:hint="eastAsia" w:ascii="仿宋" w:eastAsia="仿宋"/>
              <w:bCs w:val="0"/>
            </w:rPr>
            <w:t>九、一般公共预算财政拨款项目支出决算表</w:t>
          </w:r>
          <w:r>
            <w:tab/>
          </w:r>
          <w:r>
            <w:fldChar w:fldCharType="begin"/>
          </w:r>
          <w:r>
            <w:instrText xml:space="preserve"> PAGEREF _Toc3381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_Toc13558 </w:instrText>
          </w:r>
          <w:r>
            <w:rPr>
              <w:rFonts w:hint="eastAsia"/>
            </w:rPr>
            <w:fldChar w:fldCharType="separate"/>
          </w:r>
          <w:r>
            <w:rPr>
              <w:rFonts w:hint="eastAsia" w:ascii="仿宋" w:eastAsia="仿宋"/>
              <w:bCs w:val="0"/>
            </w:rPr>
            <w:t>十、政府性基金预算财政拨款收入支出决算表</w:t>
          </w:r>
          <w:r>
            <w:tab/>
          </w:r>
          <w:r>
            <w:fldChar w:fldCharType="begin"/>
          </w:r>
          <w:r>
            <w:instrText xml:space="preserve"> PAGEREF _Toc13558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_Toc20887 </w:instrText>
          </w:r>
          <w:r>
            <w:rPr>
              <w:rFonts w:hint="eastAsia"/>
            </w:rPr>
            <w:fldChar w:fldCharType="separate"/>
          </w:r>
          <w:r>
            <w:rPr>
              <w:rFonts w:hint="eastAsia" w:ascii="仿宋" w:eastAsia="仿宋"/>
              <w:bCs w:val="0"/>
            </w:rPr>
            <w:t>十一、国有资本经营预算财政拨款收入支出决算表</w:t>
          </w:r>
          <w:r>
            <w:tab/>
          </w:r>
          <w:r>
            <w:fldChar w:fldCharType="begin"/>
          </w:r>
          <w:r>
            <w:instrText xml:space="preserve"> PAGEREF _Toc20887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_Toc19830 </w:instrText>
          </w:r>
          <w:r>
            <w:rPr>
              <w:rFonts w:hint="eastAsia"/>
            </w:rPr>
            <w:fldChar w:fldCharType="separate"/>
          </w:r>
          <w:r>
            <w:rPr>
              <w:rFonts w:hint="eastAsia" w:ascii="仿宋" w:eastAsia="仿宋"/>
              <w:bCs w:val="0"/>
            </w:rPr>
            <w:t>十二、国有资本经营预算财政拨款支出决算表</w:t>
          </w:r>
          <w:r>
            <w:tab/>
          </w:r>
          <w:r>
            <w:fldChar w:fldCharType="begin"/>
          </w:r>
          <w:r>
            <w:instrText xml:space="preserve"> PAGEREF _Toc19830 \h </w:instrText>
          </w:r>
          <w:r>
            <w:fldChar w:fldCharType="separate"/>
          </w:r>
          <w:r>
            <w:t>40</w:t>
          </w:r>
          <w:r>
            <w:fldChar w:fldCharType="end"/>
          </w:r>
          <w:r>
            <w:rPr>
              <w:rFonts w:hint="eastAsia"/>
            </w:rPr>
            <w:fldChar w:fldCharType="end"/>
          </w:r>
        </w:p>
        <w:p>
          <w:pPr>
            <w:pStyle w:val="12"/>
            <w:tabs>
              <w:tab w:val="right" w:leader="dot" w:pos="8730"/>
              <w:tab w:val="clear" w:pos="8296"/>
            </w:tabs>
          </w:pPr>
          <w:r>
            <w:rPr>
              <w:rFonts w:hint="eastAsia"/>
            </w:rPr>
            <w:fldChar w:fldCharType="begin"/>
          </w:r>
          <w:r>
            <w:rPr>
              <w:rFonts w:hint="eastAsia"/>
            </w:rPr>
            <w:instrText xml:space="preserve"> HYPERLINK \l _Toc31812 </w:instrText>
          </w:r>
          <w:r>
            <w:rPr>
              <w:rFonts w:hint="eastAsia"/>
            </w:rPr>
            <w:fldChar w:fldCharType="separate"/>
          </w:r>
          <w:r>
            <w:rPr>
              <w:rFonts w:hint="eastAsia" w:ascii="仿宋" w:eastAsia="仿宋"/>
              <w:bCs w:val="0"/>
            </w:rPr>
            <w:t>十三、财政拨款“三公”经费支出决算表</w:t>
          </w:r>
          <w:r>
            <w:tab/>
          </w:r>
          <w:r>
            <w:fldChar w:fldCharType="begin"/>
          </w:r>
          <w:r>
            <w:instrText xml:space="preserve"> PAGEREF _Toc31812 \h </w:instrText>
          </w:r>
          <w:r>
            <w:fldChar w:fldCharType="separate"/>
          </w:r>
          <w:r>
            <w:t>40</w:t>
          </w:r>
          <w:r>
            <w:fldChar w:fldCharType="end"/>
          </w:r>
          <w:r>
            <w:rPr>
              <w:rFonts w:hint="eastAsia"/>
            </w:rPr>
            <w:fldChar w:fldCharType="end"/>
          </w:r>
        </w:p>
        <w:p>
          <w:pPr>
            <w:pStyle w:val="13"/>
            <w:rPr>
              <w:rFonts w:hint="eastAsia" w:ascii="Calibri Light" w:hAnsi="Calibri Light" w:eastAsia="方正小标宋简体" w:cs="Times New Roman"/>
              <w:bCs/>
              <w:kern w:val="2"/>
              <w:sz w:val="44"/>
              <w:szCs w:val="32"/>
              <w:lang w:val="en-US" w:eastAsia="zh-CN" w:bidi="ar-SA"/>
            </w:rPr>
          </w:pPr>
          <w:r>
            <w:rPr>
              <w:rFonts w:hint="eastAsia"/>
            </w:rPr>
            <w:fldChar w:fldCharType="end"/>
          </w:r>
        </w:p>
      </w:sdtContent>
    </w:sdt>
    <w:p>
      <w:pPr>
        <w:rPr>
          <w:rFonts w:hint="eastAsia"/>
        </w:rPr>
        <w:sectPr>
          <w:footerReference r:id="rId3" w:type="default"/>
          <w:footerReference r:id="rId4" w:type="even"/>
          <w:pgSz w:w="11906" w:h="16838"/>
          <w:pgMar w:top="2098" w:right="1588" w:bottom="1985" w:left="1588" w:header="720" w:footer="1701" w:gutter="0"/>
          <w:pgNumType w:start="1"/>
          <w:cols w:space="720" w:num="1"/>
          <w:docGrid w:type="linesAndChars" w:linePitch="312" w:charSpace="0"/>
        </w:sectPr>
      </w:pPr>
    </w:p>
    <w:p>
      <w:pPr>
        <w:pStyle w:val="13"/>
        <w:rPr>
          <w:rStyle w:val="18"/>
          <w:rFonts w:ascii="黑体" w:eastAsia="黑体"/>
          <w:b w:val="0"/>
          <w:bCs w:val="0"/>
        </w:rPr>
      </w:pPr>
      <w:bookmarkStart w:id="0" w:name="_Toc29520"/>
      <w:r>
        <w:rPr>
          <w:rFonts w:hint="eastAsia"/>
        </w:rPr>
        <w:t>第一部分 单位</w:t>
      </w:r>
      <w:r>
        <w:rPr>
          <w:rFonts w:hint="eastAsia" w:ascii="Calibri Light" w:hAnsi="Calibri Light" w:eastAsia="方正小标宋简体"/>
          <w:bCs w:val="0"/>
          <w:sz w:val="44"/>
          <w:szCs w:val="32"/>
        </w:rPr>
        <w:t>概况</w:t>
      </w:r>
      <w:bookmarkEnd w:id="0"/>
    </w:p>
    <w:p>
      <w:pPr>
        <w:widowControl/>
        <w:suppressAutoHyphens/>
        <w:jc w:val="left"/>
        <w:rPr>
          <w:rFonts w:ascii="黑体" w:eastAsia="黑体"/>
          <w:sz w:val="32"/>
          <w:szCs w:val="32"/>
        </w:rPr>
      </w:pPr>
    </w:p>
    <w:p>
      <w:pPr>
        <w:pStyle w:val="11"/>
        <w:rPr>
          <w:rStyle w:val="19"/>
          <w:rFonts w:ascii="黑体" w:eastAsia="黑体"/>
          <w:bCs w:val="0"/>
        </w:rPr>
      </w:pPr>
      <w:bookmarkStart w:id="1" w:name="_Toc5990"/>
      <w:r>
        <w:rPr>
          <w:rStyle w:val="19"/>
          <w:rFonts w:hint="eastAsia" w:ascii="黑体" w:eastAsia="黑体"/>
          <w:b w:val="0"/>
          <w:bCs w:val="0"/>
        </w:rPr>
        <w:t>一</w:t>
      </w:r>
      <w:r>
        <w:rPr>
          <w:rStyle w:val="19"/>
          <w:rFonts w:ascii="黑体" w:eastAsia="黑体"/>
          <w:b w:val="0"/>
          <w:bCs w:val="0"/>
        </w:rPr>
        <w:t>、</w:t>
      </w:r>
      <w:r>
        <w:rPr>
          <w:rStyle w:val="19"/>
          <w:rFonts w:hint="eastAsia" w:ascii="黑体" w:eastAsia="黑体"/>
          <w:b w:val="0"/>
          <w:bCs w:val="0"/>
        </w:rPr>
        <w:t>主要职责</w:t>
      </w:r>
      <w:bookmarkEnd w:id="1"/>
    </w:p>
    <w:p>
      <w:pPr>
        <w:ind w:firstLine="640" w:firstLineChars="200"/>
      </w:pPr>
      <w:r>
        <w:rPr>
          <w:rFonts w:hint="eastAsia" w:ascii="仿宋_GB2312" w:eastAsia="仿宋_GB2312" w:cs="仿宋_GB2312"/>
          <w:sz w:val="32"/>
          <w:szCs w:val="32"/>
        </w:rPr>
        <w:t>承担安全监测预警、风险研判等职责；负责市属停撤企业退休人员管理工作等。主要职责：一是切实做好维稳工作，确保退休职工不越级上访，确保不发生群体性上访事件，确保平稳过渡；二是按照有关规定，按时发放退休职工和供养人员生活费；三是及时核实核查财政专项资金（医疗费）的使用情况，确保财政资金的合理使用；四是全力抓好安全生产风险研判工作。</w:t>
      </w:r>
    </w:p>
    <w:p>
      <w:pPr>
        <w:pStyle w:val="11"/>
        <w:rPr>
          <w:b/>
        </w:rPr>
      </w:pPr>
      <w:bookmarkStart w:id="2" w:name="_Toc13636"/>
      <w:r>
        <w:rPr>
          <w:rFonts w:hint="eastAsia"/>
        </w:rPr>
        <w:t>二</w:t>
      </w:r>
      <w:r>
        <w:t>、</w:t>
      </w:r>
      <w:r>
        <w:rPr>
          <w:rFonts w:hint="eastAsia"/>
        </w:rPr>
        <w:t>机构设置</w:t>
      </w:r>
      <w:bookmarkEnd w:id="2"/>
    </w:p>
    <w:p>
      <w:pPr>
        <w:ind w:firstLine="640" w:firstLineChars="200"/>
      </w:pPr>
      <w:r>
        <w:rPr>
          <w:rFonts w:hint="eastAsia" w:ascii="仿宋_GB2312" w:eastAsia="仿宋_GB2312" w:cs="仿宋_GB2312"/>
          <w:sz w:val="32"/>
          <w:szCs w:val="32"/>
        </w:rPr>
        <w:t>我单位为广元市应急管理局的下属二级预算单位，</w:t>
      </w:r>
      <w:r>
        <w:rPr>
          <w:rFonts w:hint="eastAsia" w:ascii="仿宋_GB2312" w:eastAsia="仿宋_GB2312" w:cs="仿宋_GB2312"/>
          <w:sz w:val="32"/>
          <w:szCs w:val="32"/>
          <w:lang w:eastAsia="zh-CN"/>
        </w:rPr>
        <w:t>为公益一类事业单位，</w:t>
      </w:r>
      <w:r>
        <w:rPr>
          <w:rFonts w:hint="eastAsia" w:ascii="仿宋_GB2312" w:eastAsia="仿宋_GB2312" w:cs="仿宋_GB2312"/>
          <w:sz w:val="32"/>
          <w:szCs w:val="32"/>
        </w:rPr>
        <w:t>本单位无下属机构。</w:t>
      </w:r>
    </w:p>
    <w:p>
      <w:pPr>
        <w:widowControl/>
        <w:suppressAutoHyphens/>
        <w:jc w:val="left"/>
        <w:rPr>
          <w:rFonts w:ascii="仿宋" w:eastAsia="仿宋"/>
          <w:kern w:val="0"/>
          <w:sz w:val="32"/>
          <w:szCs w:val="32"/>
        </w:rPr>
      </w:pPr>
      <w:r>
        <w:rPr>
          <w:rFonts w:hint="eastAsia" w:ascii="仿宋" w:eastAsia="仿宋"/>
          <w:sz w:val="32"/>
          <w:szCs w:val="32"/>
        </w:rPr>
        <w:br w:type="page"/>
      </w:r>
    </w:p>
    <w:p>
      <w:pPr>
        <w:pStyle w:val="13"/>
        <w:rPr>
          <w:rStyle w:val="18"/>
          <w:rFonts w:ascii="Calibri Light" w:hAnsi="Calibri Light" w:eastAsia="方正小标宋简体" w:cs="Times New Roman"/>
          <w:b w:val="0"/>
          <w:bCs/>
          <w:kern w:val="2"/>
          <w:szCs w:val="32"/>
        </w:rPr>
      </w:pPr>
      <w:bookmarkStart w:id="3" w:name="_Toc9661"/>
      <w:r>
        <w:rPr>
          <w:rFonts w:hint="eastAsia"/>
        </w:rPr>
        <w:t>第二部分 2024年度</w:t>
      </w:r>
      <w:r>
        <w:rPr>
          <w:rStyle w:val="18"/>
          <w:rFonts w:hint="eastAsia" w:ascii="Calibri Light" w:hAnsi="Calibri Light" w:eastAsia="方正小标宋简体" w:cs="Times New Roman"/>
          <w:b w:val="0"/>
          <w:bCs/>
          <w:kern w:val="2"/>
          <w:szCs w:val="32"/>
        </w:rPr>
        <w:t>单位决算情况说明</w:t>
      </w:r>
      <w:bookmarkEnd w:id="3"/>
    </w:p>
    <w:p/>
    <w:p>
      <w:pPr>
        <w:pStyle w:val="11"/>
        <w:rPr>
          <w:rStyle w:val="19"/>
          <w:rFonts w:ascii="黑体" w:eastAsia="黑体"/>
          <w:b w:val="0"/>
          <w:bCs w:val="0"/>
        </w:rPr>
      </w:pPr>
      <w:bookmarkStart w:id="4" w:name="_Toc15396603"/>
      <w:bookmarkStart w:id="5" w:name="_Toc15377205"/>
      <w:bookmarkStart w:id="6" w:name="_Toc31948"/>
      <w:r>
        <w:rPr>
          <w:rFonts w:hint="eastAsia"/>
        </w:rPr>
        <w:t>一</w:t>
      </w:r>
      <w:r>
        <w:t>、</w:t>
      </w:r>
      <w:r>
        <w:rPr>
          <w:rFonts w:hint="eastAsia"/>
        </w:rPr>
        <w:t>收</w:t>
      </w:r>
      <w:r>
        <w:rPr>
          <w:rStyle w:val="19"/>
          <w:rFonts w:hint="eastAsia" w:ascii="黑体" w:eastAsia="黑体"/>
          <w:b w:val="0"/>
          <w:bCs w:val="0"/>
        </w:rPr>
        <w:t>入支出决算总体情况说明</w:t>
      </w:r>
      <w:bookmarkEnd w:id="4"/>
      <w:bookmarkEnd w:id="5"/>
      <w:bookmarkEnd w:id="6"/>
    </w:p>
    <w:p>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2024年度收、支总计均为229.36万元。与2023年度相比，收、支总计各减少21.65万元，下降8.6</w:t>
      </w:r>
      <w:r>
        <w:rPr>
          <w:rFonts w:ascii="仿宋_GB2312" w:eastAsia="仿宋_GB2312" w:cs="仿宋_GB2312"/>
          <w:sz w:val="32"/>
          <w:szCs w:val="32"/>
        </w:rPr>
        <w:t>3</w:t>
      </w:r>
      <w:r>
        <w:rPr>
          <w:rFonts w:hint="eastAsia" w:ascii="仿宋_GB2312" w:eastAsia="仿宋_GB2312" w:cs="仿宋_GB2312"/>
          <w:sz w:val="32"/>
          <w:szCs w:val="32"/>
        </w:rPr>
        <w:t>%。主要变动原因是代管国企改制退休人员减少引起项目经费支出减少。</w:t>
      </w:r>
    </w:p>
    <w:p>
      <w:pPr>
        <w:pStyle w:val="2"/>
        <w:jc w:val="center"/>
      </w:pPr>
      <w:r>
        <w:drawing>
          <wp:inline distT="0" distB="0" distL="114300" distR="114300">
            <wp:extent cx="4304665" cy="2113915"/>
            <wp:effectExtent l="0" t="0" r="2" b="31"/>
            <wp:docPr id="7" name="图片 1" descr="3834303701756951302158_2.bmp"/>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1" descr="3834303701756951302158_2.bmp"/>
                    <pic:cNvPicPr>
                      <a:picLocks noChangeAspect="true"/>
                    </pic:cNvPicPr>
                  </pic:nvPicPr>
                  <pic:blipFill>
                    <a:blip r:embed="rId7"/>
                    <a:stretch>
                      <a:fillRect/>
                    </a:stretch>
                  </pic:blipFill>
                  <pic:spPr>
                    <a:xfrm>
                      <a:off x="0" y="0"/>
                      <a:ext cx="4304665" cy="2113915"/>
                    </a:xfrm>
                    <a:prstGeom prst="rect">
                      <a:avLst/>
                    </a:prstGeom>
                    <a:noFill/>
                    <a:ln w="9525" cap="flat" cmpd="sng">
                      <a:noFill/>
                      <a:prstDash val="solid"/>
                      <a:round/>
                    </a:ln>
                  </pic:spPr>
                </pic:pic>
              </a:graphicData>
            </a:graphic>
          </wp:inline>
        </w:drawing>
      </w:r>
    </w:p>
    <w:p>
      <w:pPr>
        <w:pStyle w:val="11"/>
        <w:rPr>
          <w:rStyle w:val="19"/>
          <w:rFonts w:ascii="黑体" w:eastAsia="黑体"/>
          <w:b w:val="0"/>
          <w:bCs w:val="0"/>
        </w:rPr>
      </w:pPr>
      <w:bookmarkStart w:id="7" w:name="_Toc10783"/>
      <w:bookmarkStart w:id="8" w:name="_Toc15396604"/>
      <w:bookmarkStart w:id="9" w:name="_Toc15377206"/>
      <w:r>
        <w:rPr>
          <w:rFonts w:hint="eastAsia"/>
        </w:rPr>
        <w:t>二</w:t>
      </w:r>
      <w:r>
        <w:t>、</w:t>
      </w:r>
      <w:r>
        <w:rPr>
          <w:rFonts w:hint="eastAsia"/>
        </w:rPr>
        <w:t>收</w:t>
      </w:r>
      <w:r>
        <w:rPr>
          <w:rStyle w:val="19"/>
          <w:rFonts w:hint="eastAsia" w:ascii="黑体" w:eastAsia="黑体"/>
          <w:b w:val="0"/>
          <w:bCs w:val="0"/>
        </w:rPr>
        <w:t>入决算情况说明</w:t>
      </w:r>
      <w:bookmarkEnd w:id="7"/>
      <w:bookmarkEnd w:id="8"/>
      <w:bookmarkEnd w:id="9"/>
    </w:p>
    <w:p>
      <w:pPr>
        <w:spacing w:line="600" w:lineRule="exact"/>
        <w:ind w:firstLine="640" w:firstLineChars="200"/>
        <w:outlineLvl w:val="1"/>
        <w:rPr>
          <w:rFonts w:ascii="仿宋_GB2312" w:eastAsia="仿宋_GB2312" w:cs="仿宋_GB2312"/>
          <w:sz w:val="32"/>
          <w:szCs w:val="32"/>
        </w:rPr>
      </w:pPr>
      <w:bookmarkStart w:id="10" w:name="_Toc18129"/>
      <w:r>
        <w:rPr>
          <w:rFonts w:hint="eastAsia" w:ascii="仿宋_GB2312" w:eastAsia="仿宋_GB2312" w:cs="仿宋_GB2312"/>
          <w:sz w:val="32"/>
          <w:szCs w:val="32"/>
        </w:rPr>
        <w:t>2024年度本年收入合计228.69万元，其中：一般公共预算财政拨款收入228.69万元，占100%。</w:t>
      </w:r>
      <w:bookmarkEnd w:id="10"/>
    </w:p>
    <w:p>
      <w:pPr>
        <w:pStyle w:val="2"/>
        <w:jc w:val="center"/>
      </w:pPr>
      <w:r>
        <w:drawing>
          <wp:inline distT="0" distB="0" distL="114300" distR="114300">
            <wp:extent cx="4193540" cy="2218690"/>
            <wp:effectExtent l="0" t="0" r="33" b="29"/>
            <wp:docPr id="10" name="图片 2" descr="3140446851756952132594_6.bmp"/>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2" descr="3140446851756952132594_6.bmp"/>
                    <pic:cNvPicPr>
                      <a:picLocks noChangeAspect="true"/>
                    </pic:cNvPicPr>
                  </pic:nvPicPr>
                  <pic:blipFill>
                    <a:blip r:embed="rId8"/>
                    <a:stretch>
                      <a:fillRect/>
                    </a:stretch>
                  </pic:blipFill>
                  <pic:spPr>
                    <a:xfrm>
                      <a:off x="0" y="0"/>
                      <a:ext cx="4193540" cy="2218690"/>
                    </a:xfrm>
                    <a:prstGeom prst="rect">
                      <a:avLst/>
                    </a:prstGeom>
                    <a:noFill/>
                    <a:ln w="9525" cap="flat" cmpd="sng">
                      <a:noFill/>
                      <a:prstDash val="solid"/>
                      <a:round/>
                    </a:ln>
                  </pic:spPr>
                </pic:pic>
              </a:graphicData>
            </a:graphic>
          </wp:inline>
        </w:drawing>
      </w:r>
    </w:p>
    <w:p>
      <w:pPr>
        <w:pStyle w:val="11"/>
        <w:rPr>
          <w:rStyle w:val="19"/>
          <w:rFonts w:ascii="黑体" w:eastAsia="黑体"/>
          <w:b w:val="0"/>
          <w:bCs w:val="0"/>
        </w:rPr>
      </w:pPr>
      <w:bookmarkStart w:id="11" w:name="_Toc3625"/>
      <w:bookmarkStart w:id="12" w:name="_Toc15377207"/>
      <w:bookmarkStart w:id="13" w:name="_Toc15396605"/>
      <w:r>
        <w:rPr>
          <w:rFonts w:hint="eastAsia"/>
        </w:rPr>
        <w:t>三</w:t>
      </w:r>
      <w:r>
        <w:t>、</w:t>
      </w:r>
      <w:r>
        <w:rPr>
          <w:rFonts w:hint="eastAsia"/>
        </w:rPr>
        <w:t>支</w:t>
      </w:r>
      <w:r>
        <w:rPr>
          <w:rStyle w:val="19"/>
          <w:rFonts w:hint="eastAsia" w:ascii="黑体" w:eastAsia="黑体"/>
          <w:b w:val="0"/>
          <w:bCs w:val="0"/>
        </w:rPr>
        <w:t>出决算情况说明</w:t>
      </w:r>
      <w:bookmarkEnd w:id="11"/>
      <w:bookmarkEnd w:id="12"/>
      <w:bookmarkEnd w:id="13"/>
    </w:p>
    <w:p>
      <w:pPr>
        <w:spacing w:line="600" w:lineRule="exact"/>
        <w:ind w:firstLine="640" w:firstLineChars="200"/>
        <w:outlineLvl w:val="1"/>
        <w:rPr>
          <w:rFonts w:ascii="仿宋_GB2312" w:eastAsia="仿宋_GB2312" w:cs="仿宋_GB2312"/>
          <w:sz w:val="32"/>
          <w:szCs w:val="32"/>
        </w:rPr>
      </w:pPr>
      <w:bookmarkStart w:id="14" w:name="_Toc32141"/>
      <w:r>
        <w:rPr>
          <w:rFonts w:hint="eastAsia" w:ascii="仿宋_GB2312" w:eastAsia="仿宋_GB2312" w:cs="仿宋_GB2312"/>
          <w:sz w:val="32"/>
          <w:szCs w:val="32"/>
        </w:rPr>
        <w:t>2024年度本年支出合计229.35万元，其中：基本支出101.28万元，占44.</w:t>
      </w:r>
      <w:r>
        <w:rPr>
          <w:rFonts w:ascii="仿宋_GB2312" w:eastAsia="仿宋_GB2312" w:cs="仿宋_GB2312"/>
          <w:sz w:val="32"/>
          <w:szCs w:val="32"/>
        </w:rPr>
        <w:t>16</w:t>
      </w:r>
      <w:r>
        <w:rPr>
          <w:rFonts w:hint="eastAsia" w:ascii="仿宋_GB2312" w:eastAsia="仿宋_GB2312" w:cs="仿宋_GB2312"/>
          <w:sz w:val="32"/>
          <w:szCs w:val="32"/>
        </w:rPr>
        <w:t>%；项目支出128.07万元，占55.</w:t>
      </w:r>
      <w:r>
        <w:rPr>
          <w:rFonts w:ascii="仿宋_GB2312" w:eastAsia="仿宋_GB2312" w:cs="仿宋_GB2312"/>
          <w:sz w:val="32"/>
          <w:szCs w:val="32"/>
        </w:rPr>
        <w:t>84</w:t>
      </w:r>
      <w:r>
        <w:rPr>
          <w:rFonts w:hint="eastAsia" w:ascii="仿宋_GB2312" w:eastAsia="仿宋_GB2312" w:cs="仿宋_GB2312"/>
          <w:sz w:val="32"/>
          <w:szCs w:val="32"/>
        </w:rPr>
        <w:t>%。</w:t>
      </w:r>
      <w:bookmarkEnd w:id="14"/>
    </w:p>
    <w:p>
      <w:pPr>
        <w:pStyle w:val="2"/>
        <w:jc w:val="center"/>
      </w:pPr>
      <w:r>
        <w:drawing>
          <wp:inline distT="0" distB="0" distL="114300" distR="114300">
            <wp:extent cx="4215765" cy="2208530"/>
            <wp:effectExtent l="0" t="0" r="31" b="2"/>
            <wp:docPr id="13" name="图片 3" descr="1873460781756952857862_7.bmp"/>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 name="图片 3" descr="1873460781756952857862_7.bmp"/>
                    <pic:cNvPicPr>
                      <a:picLocks noChangeAspect="true"/>
                    </pic:cNvPicPr>
                  </pic:nvPicPr>
                  <pic:blipFill>
                    <a:blip r:embed="rId9"/>
                    <a:stretch>
                      <a:fillRect/>
                    </a:stretch>
                  </pic:blipFill>
                  <pic:spPr>
                    <a:xfrm>
                      <a:off x="0" y="0"/>
                      <a:ext cx="4215765" cy="2208530"/>
                    </a:xfrm>
                    <a:prstGeom prst="rect">
                      <a:avLst/>
                    </a:prstGeom>
                    <a:noFill/>
                    <a:ln w="9525" cap="flat" cmpd="sng">
                      <a:noFill/>
                      <a:prstDash val="solid"/>
                      <a:round/>
                    </a:ln>
                  </pic:spPr>
                </pic:pic>
              </a:graphicData>
            </a:graphic>
          </wp:inline>
        </w:drawing>
      </w:r>
    </w:p>
    <w:p>
      <w:pPr>
        <w:pStyle w:val="11"/>
        <w:rPr>
          <w:rStyle w:val="19"/>
          <w:rFonts w:ascii="黑体" w:eastAsia="黑体"/>
          <w:b w:val="0"/>
          <w:bCs w:val="0"/>
        </w:rPr>
      </w:pPr>
      <w:bookmarkStart w:id="15" w:name="_Toc17929"/>
      <w:bookmarkStart w:id="16" w:name="_Toc15396606"/>
      <w:bookmarkStart w:id="17" w:name="_Toc15377208"/>
      <w:r>
        <w:rPr>
          <w:rFonts w:hint="eastAsia"/>
        </w:rPr>
        <w:t>四、财</w:t>
      </w:r>
      <w:r>
        <w:rPr>
          <w:rStyle w:val="19"/>
          <w:rFonts w:hint="eastAsia" w:ascii="黑体" w:eastAsia="黑体"/>
          <w:b w:val="0"/>
          <w:bCs w:val="0"/>
        </w:rPr>
        <w:t>政拨款收入支出决算总体情况说明</w:t>
      </w:r>
      <w:bookmarkEnd w:id="15"/>
      <w:bookmarkEnd w:id="16"/>
      <w:bookmarkEnd w:id="17"/>
    </w:p>
    <w:p>
      <w:pPr>
        <w:spacing w:line="600" w:lineRule="exact"/>
        <w:ind w:firstLine="640"/>
        <w:rPr>
          <w:rFonts w:ascii="仿宋_GB2312" w:eastAsia="仿宋_GB2312" w:cs="仿宋_GB2312"/>
          <w:sz w:val="32"/>
          <w:szCs w:val="32"/>
        </w:rPr>
      </w:pPr>
      <w:r>
        <w:rPr>
          <w:rFonts w:hint="eastAsia" w:ascii="仿宋_GB2312" w:eastAsia="仿宋_GB2312" w:cs="仿宋_GB2312"/>
          <w:sz w:val="32"/>
          <w:szCs w:val="32"/>
        </w:rPr>
        <w:t>2024年度财政拨款收、支总计均为229.35万元。与2023年度相比，财政拨款收、支总计各减少21.66万元，下降8.6</w:t>
      </w:r>
      <w:r>
        <w:rPr>
          <w:rFonts w:ascii="仿宋_GB2312" w:eastAsia="仿宋_GB2312" w:cs="仿宋_GB2312"/>
          <w:sz w:val="32"/>
          <w:szCs w:val="32"/>
        </w:rPr>
        <w:t>3</w:t>
      </w:r>
      <w:r>
        <w:rPr>
          <w:rFonts w:hint="eastAsia" w:ascii="仿宋_GB2312" w:eastAsia="仿宋_GB2312" w:cs="仿宋_GB2312"/>
          <w:sz w:val="32"/>
          <w:szCs w:val="32"/>
        </w:rPr>
        <w:t>%。主要变动原因是代管国企改制退休人员减少引起项目经费支出减少。</w:t>
      </w:r>
    </w:p>
    <w:p>
      <w:pPr>
        <w:pStyle w:val="2"/>
        <w:jc w:val="center"/>
      </w:pPr>
      <w:r>
        <w:drawing>
          <wp:inline distT="0" distB="0" distL="114300" distR="114300">
            <wp:extent cx="4297045" cy="2368550"/>
            <wp:effectExtent l="0" t="0" r="2" b="5"/>
            <wp:docPr id="16" name="图片 4" descr="5518521941756953670393_8.bmp"/>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6" name="图片 4" descr="5518521941756953670393_8.bmp"/>
                    <pic:cNvPicPr>
                      <a:picLocks noChangeAspect="true"/>
                    </pic:cNvPicPr>
                  </pic:nvPicPr>
                  <pic:blipFill>
                    <a:blip r:embed="rId10"/>
                    <a:stretch>
                      <a:fillRect/>
                    </a:stretch>
                  </pic:blipFill>
                  <pic:spPr>
                    <a:xfrm>
                      <a:off x="0" y="0"/>
                      <a:ext cx="4297045" cy="2368550"/>
                    </a:xfrm>
                    <a:prstGeom prst="rect">
                      <a:avLst/>
                    </a:prstGeom>
                    <a:noFill/>
                    <a:ln w="9525" cap="flat" cmpd="sng">
                      <a:noFill/>
                      <a:prstDash val="solid"/>
                      <a:round/>
                    </a:ln>
                  </pic:spPr>
                </pic:pic>
              </a:graphicData>
            </a:graphic>
          </wp:inline>
        </w:drawing>
      </w:r>
    </w:p>
    <w:p>
      <w:pPr>
        <w:pStyle w:val="11"/>
        <w:rPr>
          <w:rStyle w:val="19"/>
          <w:rFonts w:ascii="黑体" w:eastAsia="黑体"/>
          <w:b w:val="0"/>
          <w:bCs w:val="0"/>
        </w:rPr>
      </w:pPr>
      <w:bookmarkStart w:id="18" w:name="_Toc13260"/>
      <w:bookmarkStart w:id="19" w:name="_Toc15396607"/>
      <w:bookmarkStart w:id="20" w:name="_Toc15377209"/>
      <w:r>
        <w:rPr>
          <w:rFonts w:hint="eastAsia"/>
        </w:rPr>
        <w:t>五、</w:t>
      </w:r>
      <w:r>
        <w:rPr>
          <w:rFonts w:hint="eastAsia"/>
          <w:b/>
        </w:rPr>
        <w:t>一</w:t>
      </w:r>
      <w:r>
        <w:rPr>
          <w:rStyle w:val="19"/>
          <w:rFonts w:hint="eastAsia" w:ascii="黑体" w:eastAsia="黑体"/>
          <w:b w:val="0"/>
          <w:bCs w:val="0"/>
        </w:rPr>
        <w:t>般公共预算财政拨款支出决算情况说明</w:t>
      </w:r>
      <w:bookmarkEnd w:id="18"/>
      <w:bookmarkEnd w:id="19"/>
      <w:bookmarkEnd w:id="20"/>
    </w:p>
    <w:p>
      <w:pPr>
        <w:pStyle w:val="6"/>
      </w:pPr>
      <w:bookmarkStart w:id="21" w:name="_Toc15377210"/>
      <w:r>
        <w:rPr>
          <w:rFonts w:hint="eastAsia"/>
        </w:rPr>
        <w:t>（一）一般公共预算财政拨款支出决算总体情况</w:t>
      </w:r>
      <w:bookmarkEnd w:id="21"/>
    </w:p>
    <w:p>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2024年度一般公共预算财政拨款支出229.35万元，占本年支出合计的100%。与2023年度相比，一般公共预算财政拨款支出减少21万元，下降8.</w:t>
      </w:r>
      <w:r>
        <w:rPr>
          <w:rFonts w:ascii="仿宋_GB2312" w:eastAsia="仿宋_GB2312" w:cs="仿宋_GB2312"/>
          <w:sz w:val="32"/>
          <w:szCs w:val="32"/>
        </w:rPr>
        <w:t>39</w:t>
      </w:r>
      <w:r>
        <w:rPr>
          <w:rFonts w:hint="eastAsia" w:ascii="仿宋_GB2312" w:eastAsia="仿宋_GB2312" w:cs="仿宋_GB2312"/>
          <w:sz w:val="32"/>
          <w:szCs w:val="32"/>
        </w:rPr>
        <w:t>%。主要变动原因是代管国企改制退休人员减少引起项目经费支出减少。</w:t>
      </w:r>
    </w:p>
    <w:p>
      <w:pPr>
        <w:pStyle w:val="2"/>
        <w:jc w:val="center"/>
      </w:pPr>
      <w:r>
        <w:drawing>
          <wp:inline distT="0" distB="0" distL="114300" distR="114300">
            <wp:extent cx="4340225" cy="2399030"/>
            <wp:effectExtent l="0" t="0" r="34" b="6"/>
            <wp:docPr id="19" name="图片 5" descr="3479561871756954314622_9.bmp"/>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9" name="图片 5" descr="3479561871756954314622_9.bmp"/>
                    <pic:cNvPicPr>
                      <a:picLocks noChangeAspect="true"/>
                    </pic:cNvPicPr>
                  </pic:nvPicPr>
                  <pic:blipFill>
                    <a:blip r:embed="rId11"/>
                    <a:stretch>
                      <a:fillRect/>
                    </a:stretch>
                  </pic:blipFill>
                  <pic:spPr>
                    <a:xfrm>
                      <a:off x="0" y="0"/>
                      <a:ext cx="4340225" cy="2399030"/>
                    </a:xfrm>
                    <a:prstGeom prst="rect">
                      <a:avLst/>
                    </a:prstGeom>
                    <a:noFill/>
                    <a:ln w="9525" cap="flat" cmpd="sng">
                      <a:noFill/>
                      <a:prstDash val="solid"/>
                      <a:round/>
                    </a:ln>
                  </pic:spPr>
                </pic:pic>
              </a:graphicData>
            </a:graphic>
          </wp:inline>
        </w:drawing>
      </w:r>
    </w:p>
    <w:p>
      <w:pPr>
        <w:pStyle w:val="6"/>
      </w:pPr>
      <w:bookmarkStart w:id="22" w:name="_Toc15377211"/>
      <w:r>
        <w:rPr>
          <w:rFonts w:hint="eastAsia"/>
        </w:rPr>
        <w:t>（二）一般公共预算财政拨款支出决算结构情况</w:t>
      </w:r>
      <w:bookmarkEnd w:id="22"/>
    </w:p>
    <w:p>
      <w:pPr>
        <w:spacing w:line="600" w:lineRule="exact"/>
        <w:ind w:firstLine="640"/>
        <w:rPr>
          <w:rFonts w:ascii="仿宋_GB2312" w:eastAsia="仿宋_GB2312" w:cs="仿宋_GB2312"/>
          <w:sz w:val="32"/>
          <w:szCs w:val="32"/>
        </w:rPr>
      </w:pPr>
      <w:r>
        <w:rPr>
          <w:rFonts w:hint="eastAsia" w:ascii="仿宋_GB2312" w:eastAsia="仿宋_GB2312" w:cs="仿宋_GB2312"/>
          <w:sz w:val="32"/>
          <w:szCs w:val="32"/>
        </w:rPr>
        <w:t>2024年度一般公共预算财政拨款支出229.35万元，主要用于以下方面</w:t>
      </w:r>
      <w:r>
        <w:rPr>
          <w:rFonts w:hint="eastAsia" w:ascii="仿宋_GB2312" w:eastAsia="仿宋_GB2312" w:cs="仿宋_GB2312"/>
          <w:sz w:val="32"/>
          <w:szCs w:val="32"/>
          <w:lang w:eastAsia="zh-CN"/>
        </w:rPr>
        <w:t>：</w:t>
      </w:r>
      <w:r>
        <w:rPr>
          <w:rFonts w:hint="eastAsia" w:ascii="仿宋_GB2312" w:eastAsia="仿宋_GB2312" w:cs="仿宋_GB2312"/>
          <w:sz w:val="32"/>
          <w:szCs w:val="32"/>
        </w:rPr>
        <w:t>社会保障和就业</w:t>
      </w:r>
      <w:r>
        <w:rPr>
          <w:rFonts w:hint="eastAsia" w:ascii="仿宋_GB2312" w:eastAsia="仿宋_GB2312" w:cs="仿宋_GB2312"/>
          <w:bCs/>
          <w:sz w:val="32"/>
          <w:szCs w:val="32"/>
        </w:rPr>
        <w:t>支出</w:t>
      </w:r>
      <w:r>
        <w:rPr>
          <w:rFonts w:hint="eastAsia" w:ascii="仿宋_GB2312" w:eastAsia="仿宋_GB2312" w:cs="仿宋_GB2312"/>
          <w:sz w:val="32"/>
          <w:szCs w:val="32"/>
        </w:rPr>
        <w:t>222.65万元，占97.</w:t>
      </w:r>
      <w:r>
        <w:rPr>
          <w:rFonts w:ascii="仿宋_GB2312" w:eastAsia="仿宋_GB2312" w:cs="仿宋_GB2312"/>
          <w:sz w:val="32"/>
          <w:szCs w:val="32"/>
        </w:rPr>
        <w:t>08</w:t>
      </w:r>
      <w:r>
        <w:rPr>
          <w:rFonts w:hint="eastAsia" w:ascii="仿宋_GB2312" w:eastAsia="仿宋_GB2312" w:cs="仿宋_GB2312"/>
          <w:sz w:val="32"/>
          <w:szCs w:val="32"/>
        </w:rPr>
        <w:t>%；</w:t>
      </w:r>
      <w:r>
        <w:rPr>
          <w:rFonts w:hint="eastAsia" w:ascii="仿宋_GB2312" w:eastAsia="仿宋_GB2312" w:cs="仿宋_GB2312"/>
          <w:bCs/>
          <w:sz w:val="32"/>
          <w:szCs w:val="32"/>
        </w:rPr>
        <w:t>卫生健康支出</w:t>
      </w:r>
      <w:r>
        <w:rPr>
          <w:rFonts w:hint="eastAsia" w:ascii="仿宋_GB2312" w:eastAsia="仿宋_GB2312" w:cs="仿宋_GB2312"/>
          <w:sz w:val="32"/>
          <w:szCs w:val="32"/>
        </w:rPr>
        <w:t>1.39万元，占0.6</w:t>
      </w:r>
      <w:r>
        <w:rPr>
          <w:rFonts w:ascii="仿宋_GB2312" w:eastAsia="仿宋_GB2312" w:cs="仿宋_GB2312"/>
          <w:sz w:val="32"/>
          <w:szCs w:val="32"/>
        </w:rPr>
        <w:t>1</w:t>
      </w:r>
      <w:r>
        <w:rPr>
          <w:rFonts w:hint="eastAsia" w:ascii="仿宋_GB2312" w:eastAsia="仿宋_GB2312" w:cs="仿宋_GB2312"/>
          <w:sz w:val="32"/>
          <w:szCs w:val="32"/>
        </w:rPr>
        <w:t>%；</w:t>
      </w:r>
      <w:r>
        <w:rPr>
          <w:rFonts w:hint="eastAsia" w:ascii="仿宋_GB2312" w:eastAsia="仿宋_GB2312" w:cs="仿宋_GB2312"/>
          <w:bCs/>
          <w:sz w:val="32"/>
          <w:szCs w:val="32"/>
        </w:rPr>
        <w:t>住房保障支出</w:t>
      </w:r>
      <w:r>
        <w:rPr>
          <w:rFonts w:hint="eastAsia" w:ascii="仿宋_GB2312" w:eastAsia="仿宋_GB2312" w:cs="仿宋_GB2312"/>
          <w:sz w:val="32"/>
          <w:szCs w:val="32"/>
        </w:rPr>
        <w:t>3.27万元，占1.4</w:t>
      </w:r>
      <w:r>
        <w:rPr>
          <w:rFonts w:ascii="仿宋_GB2312" w:eastAsia="仿宋_GB2312" w:cs="仿宋_GB2312"/>
          <w:sz w:val="32"/>
          <w:szCs w:val="32"/>
        </w:rPr>
        <w:t>3</w:t>
      </w:r>
      <w:r>
        <w:rPr>
          <w:rFonts w:hint="eastAsia" w:ascii="仿宋_GB2312" w:eastAsia="仿宋_GB2312" w:cs="仿宋_GB2312"/>
          <w:sz w:val="32"/>
          <w:szCs w:val="32"/>
        </w:rPr>
        <w:t>%；</w:t>
      </w:r>
      <w:r>
        <w:rPr>
          <w:rFonts w:hint="eastAsia" w:ascii="仿宋_GB2312" w:eastAsia="仿宋_GB2312" w:cs="仿宋_GB2312"/>
          <w:bCs/>
          <w:sz w:val="32"/>
          <w:szCs w:val="32"/>
        </w:rPr>
        <w:t>灾害防治及应急管理支出</w:t>
      </w:r>
      <w:r>
        <w:rPr>
          <w:rFonts w:hint="eastAsia" w:ascii="仿宋_GB2312" w:eastAsia="仿宋_GB2312" w:cs="仿宋_GB2312"/>
          <w:sz w:val="32"/>
          <w:szCs w:val="32"/>
        </w:rPr>
        <w:t>2.04万元，占0.</w:t>
      </w:r>
      <w:r>
        <w:rPr>
          <w:rFonts w:ascii="仿宋_GB2312" w:eastAsia="仿宋_GB2312" w:cs="仿宋_GB2312"/>
          <w:sz w:val="32"/>
          <w:szCs w:val="32"/>
        </w:rPr>
        <w:t>89</w:t>
      </w:r>
      <w:r>
        <w:rPr>
          <w:rFonts w:hint="eastAsia" w:ascii="仿宋_GB2312" w:eastAsia="仿宋_GB2312" w:cs="仿宋_GB2312"/>
          <w:sz w:val="32"/>
          <w:szCs w:val="32"/>
        </w:rPr>
        <w:t>%。</w:t>
      </w:r>
    </w:p>
    <w:p>
      <w:pPr>
        <w:pStyle w:val="2"/>
        <w:jc w:val="center"/>
      </w:pPr>
      <w:r>
        <w:drawing>
          <wp:inline distT="0" distB="0" distL="114300" distR="114300">
            <wp:extent cx="4196715" cy="2232660"/>
            <wp:effectExtent l="0" t="0" r="31" b="34"/>
            <wp:docPr id="22" name="图片 6" descr="8354167501756954989476_10.bmp"/>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2" name="图片 6" descr="8354167501756954989476_10.bmp"/>
                    <pic:cNvPicPr>
                      <a:picLocks noChangeAspect="true"/>
                    </pic:cNvPicPr>
                  </pic:nvPicPr>
                  <pic:blipFill>
                    <a:blip r:embed="rId12"/>
                    <a:stretch>
                      <a:fillRect/>
                    </a:stretch>
                  </pic:blipFill>
                  <pic:spPr>
                    <a:xfrm>
                      <a:off x="0" y="0"/>
                      <a:ext cx="4196715" cy="2232660"/>
                    </a:xfrm>
                    <a:prstGeom prst="rect">
                      <a:avLst/>
                    </a:prstGeom>
                    <a:noFill/>
                    <a:ln w="9525" cap="flat" cmpd="sng">
                      <a:noFill/>
                      <a:prstDash val="solid"/>
                      <a:round/>
                    </a:ln>
                  </pic:spPr>
                </pic:pic>
              </a:graphicData>
            </a:graphic>
          </wp:inline>
        </w:drawing>
      </w:r>
    </w:p>
    <w:p>
      <w:pPr>
        <w:pStyle w:val="6"/>
      </w:pPr>
      <w:bookmarkStart w:id="23" w:name="_Toc15377212"/>
      <w:r>
        <w:rPr>
          <w:rFonts w:hint="eastAsia"/>
        </w:rPr>
        <w:t>（三）一般公共预算财政拨款支出决算具体情况</w:t>
      </w:r>
      <w:bookmarkEnd w:id="23"/>
    </w:p>
    <w:p>
      <w:pPr>
        <w:spacing w:line="600" w:lineRule="exact"/>
        <w:ind w:firstLine="640" w:firstLineChars="200"/>
        <w:outlineLvl w:val="2"/>
        <w:rPr>
          <w:rStyle w:val="16"/>
          <w:rFonts w:ascii="仿宋_GB2312" w:eastAsia="仿宋_GB2312" w:cs="仿宋_GB2312"/>
          <w:b w:val="0"/>
          <w:bCs/>
          <w:sz w:val="32"/>
          <w:szCs w:val="32"/>
        </w:rPr>
      </w:pPr>
      <w:bookmarkStart w:id="24" w:name="_Toc15378460"/>
      <w:bookmarkStart w:id="25" w:name="_Toc15377444"/>
      <w:bookmarkStart w:id="26" w:name="_Toc15377213"/>
      <w:r>
        <w:rPr>
          <w:rFonts w:hint="eastAsia" w:ascii="仿宋_GB2312" w:eastAsia="仿宋_GB2312" w:cs="仿宋_GB2312"/>
          <w:sz w:val="32"/>
          <w:szCs w:val="32"/>
        </w:rPr>
        <w:t>2024年度一般公共预算支出决算数为229.35万元，</w:t>
      </w:r>
      <w:r>
        <w:rPr>
          <w:rStyle w:val="16"/>
          <w:rFonts w:hint="eastAsia" w:ascii="仿宋_GB2312" w:eastAsia="仿宋_GB2312" w:cs="仿宋_GB2312"/>
          <w:b w:val="0"/>
          <w:bCs/>
          <w:sz w:val="32"/>
          <w:szCs w:val="32"/>
        </w:rPr>
        <w:t>完成预算100%。其中：</w:t>
      </w:r>
      <w:bookmarkEnd w:id="24"/>
      <w:bookmarkEnd w:id="25"/>
      <w:bookmarkEnd w:id="26"/>
    </w:p>
    <w:p>
      <w:pPr>
        <w:spacing w:line="600" w:lineRule="exact"/>
        <w:ind w:firstLine="640" w:firstLineChars="200"/>
        <w:rPr>
          <w:rStyle w:val="16"/>
          <w:rFonts w:ascii="仿宋" w:eastAsia="仿宋"/>
          <w:b w:val="0"/>
          <w:bCs/>
          <w:sz w:val="32"/>
          <w:szCs w:val="32"/>
        </w:rPr>
      </w:pPr>
      <w:r>
        <w:rPr>
          <w:rStyle w:val="16"/>
          <w:rFonts w:hint="eastAsia" w:ascii="仿宋_GB2312" w:eastAsia="仿宋_GB2312" w:cs="仿宋_GB2312"/>
          <w:b w:val="0"/>
          <w:bCs/>
          <w:sz w:val="32"/>
          <w:szCs w:val="32"/>
        </w:rPr>
        <w:t>1.社会保障和就业（类）行政事业单位养老支出（款）机关事业单位基本养老保险缴费支出（项）：支出决算为4.07万元，完成预算100%。</w:t>
      </w:r>
    </w:p>
    <w:p>
      <w:pPr>
        <w:spacing w:line="600" w:lineRule="exact"/>
        <w:ind w:firstLine="640" w:firstLineChars="200"/>
        <w:rPr>
          <w:rFonts w:ascii="仿宋_GB2312" w:eastAsia="仿宋_GB2312" w:cs="仿宋_GB2312"/>
          <w:sz w:val="32"/>
          <w:szCs w:val="32"/>
        </w:rPr>
      </w:pPr>
      <w:r>
        <w:rPr>
          <w:rStyle w:val="16"/>
          <w:rFonts w:hint="eastAsia" w:ascii="仿宋_GB2312" w:eastAsia="仿宋_GB2312" w:cs="仿宋_GB2312"/>
          <w:b w:val="0"/>
          <w:bCs/>
          <w:sz w:val="32"/>
          <w:szCs w:val="32"/>
        </w:rPr>
        <w:t>2.社会保障和就业（类）行政事业单位养老支出（款）机关事业单位职业年金缴费支出（项）：支出决算为6.9万元，完成预算100%。</w:t>
      </w:r>
    </w:p>
    <w:p>
      <w:pPr>
        <w:spacing w:line="600" w:lineRule="exact"/>
        <w:ind w:firstLine="640" w:firstLineChars="200"/>
        <w:rPr>
          <w:rFonts w:ascii="仿宋_GB2312" w:eastAsia="仿宋_GB2312" w:cs="仿宋_GB2312"/>
          <w:sz w:val="32"/>
          <w:szCs w:val="32"/>
        </w:rPr>
      </w:pPr>
      <w:r>
        <w:rPr>
          <w:rStyle w:val="16"/>
          <w:rFonts w:hint="eastAsia" w:ascii="仿宋_GB2312" w:eastAsia="仿宋_GB2312" w:cs="仿宋_GB2312"/>
          <w:b w:val="0"/>
          <w:bCs/>
          <w:sz w:val="32"/>
          <w:szCs w:val="32"/>
        </w:rPr>
        <w:t>3.社会保障和就业（类）抚恤（款）死亡抚恤（项）：支出决算为3万元，完成预算100%。</w:t>
      </w:r>
    </w:p>
    <w:p>
      <w:pPr>
        <w:spacing w:line="600" w:lineRule="exact"/>
        <w:ind w:firstLine="640" w:firstLineChars="200"/>
        <w:rPr>
          <w:rFonts w:ascii="仿宋_GB2312" w:eastAsia="仿宋_GB2312" w:cs="仿宋_GB2312"/>
          <w:sz w:val="32"/>
          <w:szCs w:val="32"/>
        </w:rPr>
      </w:pPr>
      <w:r>
        <w:rPr>
          <w:rStyle w:val="16"/>
          <w:rFonts w:hint="eastAsia" w:ascii="仿宋_GB2312" w:eastAsia="仿宋_GB2312" w:cs="仿宋_GB2312"/>
          <w:b w:val="0"/>
          <w:bCs/>
          <w:sz w:val="32"/>
          <w:szCs w:val="32"/>
        </w:rPr>
        <w:t>4.社会保障和就业（类）其他社会保障和就业支出（款）其他社会保障和就业支出（项）：支出决算为208.69万元，完成预算100%。</w:t>
      </w:r>
    </w:p>
    <w:p>
      <w:pPr>
        <w:spacing w:line="600" w:lineRule="exact"/>
        <w:ind w:firstLine="640" w:firstLineChars="200"/>
        <w:rPr>
          <w:rFonts w:ascii="仿宋_GB2312" w:eastAsia="仿宋_GB2312" w:cs="仿宋_GB2312"/>
          <w:b/>
          <w:sz w:val="32"/>
          <w:szCs w:val="32"/>
        </w:rPr>
      </w:pPr>
      <w:r>
        <w:rPr>
          <w:rStyle w:val="16"/>
          <w:rFonts w:hint="eastAsia" w:ascii="仿宋_GB2312" w:eastAsia="仿宋_GB2312" w:cs="仿宋_GB2312"/>
          <w:b w:val="0"/>
          <w:bCs/>
          <w:sz w:val="32"/>
          <w:szCs w:val="32"/>
        </w:rPr>
        <w:t>5.</w:t>
      </w:r>
      <w:r>
        <w:rPr>
          <w:rFonts w:hint="eastAsia" w:ascii="仿宋_GB2312" w:eastAsia="仿宋_GB2312" w:cs="仿宋_GB2312"/>
          <w:bCs/>
          <w:sz w:val="32"/>
          <w:szCs w:val="32"/>
        </w:rPr>
        <w:t>卫生健康</w:t>
      </w:r>
      <w:r>
        <w:rPr>
          <w:rStyle w:val="16"/>
          <w:rFonts w:hint="eastAsia" w:ascii="仿宋_GB2312" w:eastAsia="仿宋_GB2312" w:cs="仿宋_GB2312"/>
          <w:b w:val="0"/>
          <w:bCs/>
          <w:sz w:val="32"/>
          <w:szCs w:val="32"/>
        </w:rPr>
        <w:t>（类）行政事业单位医疗（款）事业单位医疗（项）：支出决算为1.39万元，完成预算100%。</w:t>
      </w:r>
    </w:p>
    <w:p>
      <w:pPr>
        <w:spacing w:line="600" w:lineRule="exact"/>
        <w:ind w:firstLine="640" w:firstLineChars="200"/>
        <w:rPr>
          <w:rStyle w:val="16"/>
          <w:rFonts w:ascii="仿宋_GB2312" w:eastAsia="仿宋_GB2312" w:cs="仿宋_GB2312"/>
          <w:b w:val="0"/>
          <w:bCs/>
          <w:sz w:val="32"/>
          <w:szCs w:val="32"/>
        </w:rPr>
      </w:pPr>
      <w:r>
        <w:rPr>
          <w:rStyle w:val="16"/>
          <w:rFonts w:hint="eastAsia" w:ascii="仿宋_GB2312" w:eastAsia="仿宋_GB2312" w:cs="仿宋_GB2312"/>
          <w:b w:val="0"/>
          <w:bCs/>
          <w:sz w:val="32"/>
          <w:szCs w:val="32"/>
        </w:rPr>
        <w:t>6.住房保障支出（类）住房改革支出（款）住房公积金（项）：支出决算为3.27万元，完成预算100%。</w:t>
      </w:r>
    </w:p>
    <w:p>
      <w:pPr>
        <w:pStyle w:val="2"/>
        <w:rPr>
          <w:b/>
        </w:rPr>
      </w:pPr>
      <w:r>
        <w:rPr>
          <w:rStyle w:val="16"/>
          <w:rFonts w:hint="eastAsia" w:ascii="仿宋_GB2312" w:eastAsia="仿宋_GB2312" w:cs="仿宋_GB2312"/>
          <w:b w:val="0"/>
          <w:bCs/>
          <w:sz w:val="32"/>
          <w:szCs w:val="32"/>
        </w:rPr>
        <w:t xml:space="preserve">    7.灾害防治及应急管理支出（类）应急</w:t>
      </w:r>
      <w:r>
        <w:rPr>
          <w:rStyle w:val="16"/>
          <w:rFonts w:hint="eastAsia" w:ascii="仿宋_GB2312" w:eastAsia="仿宋_GB2312" w:cs="仿宋_GB2312"/>
          <w:b w:val="0"/>
          <w:bCs/>
          <w:sz w:val="32"/>
          <w:szCs w:val="32"/>
          <w:lang w:eastAsia="zh-CN"/>
        </w:rPr>
        <w:t>管理事务</w:t>
      </w:r>
      <w:r>
        <w:rPr>
          <w:rStyle w:val="16"/>
          <w:rFonts w:hint="eastAsia" w:ascii="仿宋_GB2312" w:eastAsia="仿宋_GB2312" w:cs="仿宋_GB2312"/>
          <w:b w:val="0"/>
          <w:bCs/>
          <w:sz w:val="32"/>
          <w:szCs w:val="32"/>
        </w:rPr>
        <w:t>（款）事业支出（项）：支出决算为2.04万元，完成预算100%。</w:t>
      </w:r>
    </w:p>
    <w:p>
      <w:pPr>
        <w:pStyle w:val="11"/>
        <w:rPr>
          <w:rStyle w:val="19"/>
          <w:bCs w:val="0"/>
        </w:rPr>
      </w:pPr>
      <w:bookmarkStart w:id="27" w:name="_Toc15377214"/>
      <w:bookmarkStart w:id="28" w:name="_Toc15396608"/>
      <w:bookmarkStart w:id="29" w:name="_Toc13139"/>
      <w:r>
        <w:rPr>
          <w:rFonts w:hint="eastAsia"/>
        </w:rPr>
        <w:t>六</w:t>
      </w:r>
      <w:r>
        <w:rPr>
          <w:rFonts w:hint="eastAsia"/>
          <w:b/>
        </w:rPr>
        <w:t>、一</w:t>
      </w:r>
      <w:r>
        <w:rPr>
          <w:rStyle w:val="19"/>
          <w:rFonts w:hint="eastAsia" w:ascii="黑体" w:eastAsia="黑体"/>
          <w:b w:val="0"/>
          <w:bCs w:val="0"/>
        </w:rPr>
        <w:t>般公共预算财政拨款基本支出决算情况说明</w:t>
      </w:r>
      <w:bookmarkEnd w:id="27"/>
      <w:bookmarkEnd w:id="28"/>
      <w:bookmarkEnd w:id="29"/>
      <w:r>
        <w:rPr>
          <w:rStyle w:val="19"/>
          <w:rFonts w:hint="eastAsia" w:ascii="黑体" w:eastAsia="黑体"/>
          <w:b w:val="0"/>
          <w:bCs w:val="0"/>
        </w:rPr>
        <w:tab/>
      </w:r>
    </w:p>
    <w:p>
      <w:pPr>
        <w:spacing w:line="600" w:lineRule="exact"/>
        <w:ind w:firstLine="645"/>
        <w:rPr>
          <w:rFonts w:ascii="仿宋_GB2312" w:eastAsia="仿宋_GB2312" w:cs="仿宋_GB2312"/>
          <w:sz w:val="32"/>
          <w:szCs w:val="32"/>
        </w:rPr>
      </w:pPr>
      <w:r>
        <w:rPr>
          <w:rFonts w:hint="eastAsia" w:ascii="仿宋_GB2312" w:eastAsia="仿宋_GB2312" w:cs="仿宋_GB2312"/>
          <w:sz w:val="32"/>
          <w:szCs w:val="32"/>
        </w:rPr>
        <w:t>2024年度一般公共预算财政拨款基本支出101.28万元，其中：</w:t>
      </w:r>
    </w:p>
    <w:p>
      <w:pPr>
        <w:spacing w:line="600" w:lineRule="exact"/>
        <w:ind w:firstLine="645"/>
        <w:rPr>
          <w:rFonts w:ascii="仿宋_GB2312" w:eastAsia="仿宋_GB2312" w:cs="仿宋_GB2312"/>
          <w:sz w:val="32"/>
          <w:szCs w:val="32"/>
        </w:rPr>
      </w:pPr>
      <w:r>
        <w:rPr>
          <w:rFonts w:hint="eastAsia" w:ascii="仿宋_GB2312" w:eastAsia="仿宋_GB2312" w:cs="仿宋_GB2312"/>
          <w:sz w:val="32"/>
          <w:szCs w:val="32"/>
        </w:rPr>
        <w:t>人员经费97.55万元，主要包括：基本工资、津贴补贴、奖金、绩效工资、机关事业单位基本养老保险缴费、职业年金缴费、职工基本医疗保险缴费</w:t>
      </w:r>
      <w:r>
        <w:rPr>
          <w:rFonts w:hint="eastAsia" w:ascii="仿宋_GB2312" w:eastAsia="仿宋_GB2312" w:cs="仿宋_GB2312"/>
          <w:sz w:val="32"/>
          <w:szCs w:val="32"/>
          <w:lang w:eastAsia="zh-CN"/>
        </w:rPr>
        <w:t>、</w:t>
      </w:r>
      <w:r>
        <w:rPr>
          <w:rFonts w:hint="eastAsia" w:ascii="仿宋_GB2312" w:eastAsia="仿宋_GB2312" w:cs="仿宋_GB2312"/>
          <w:sz w:val="32"/>
          <w:szCs w:val="32"/>
        </w:rPr>
        <w:t>其他社会保障缴费、住房公积金、抚恤金、生活补助、其他对个人和家庭的补助支出。</w:t>
      </w:r>
    </w:p>
    <w:p>
      <w:pPr>
        <w:spacing w:line="600" w:lineRule="exact"/>
        <w:rPr>
          <w:rFonts w:ascii="仿宋_GB2312" w:eastAsia="仿宋_GB2312" w:cs="仿宋_GB2312"/>
          <w:sz w:val="32"/>
          <w:szCs w:val="32"/>
        </w:rPr>
      </w:pPr>
      <w:r>
        <w:rPr>
          <w:rFonts w:hint="eastAsia" w:ascii="仿宋_GB2312" w:eastAsia="仿宋_GB2312" w:cs="仿宋_GB2312"/>
          <w:sz w:val="32"/>
          <w:szCs w:val="32"/>
        </w:rPr>
        <w:t>　　公用经费3.73万元，主要包括：办公费、印刷费、物业管理费、劳务费、工会经费、福利费、其他交通费</w:t>
      </w:r>
      <w:r>
        <w:rPr>
          <w:rFonts w:hint="eastAsia" w:ascii="仿宋_GB2312" w:eastAsia="仿宋_GB2312" w:cs="仿宋_GB2312"/>
          <w:sz w:val="32"/>
          <w:szCs w:val="32"/>
          <w:lang w:val="en-US" w:eastAsia="zh-CN"/>
        </w:rPr>
        <w:t>用</w:t>
      </w:r>
      <w:r>
        <w:rPr>
          <w:rFonts w:hint="eastAsia" w:ascii="仿宋_GB2312" w:eastAsia="仿宋_GB2312" w:cs="仿宋_GB2312"/>
          <w:sz w:val="32"/>
          <w:szCs w:val="32"/>
        </w:rPr>
        <w:t>、其他商品和服务支出。</w:t>
      </w:r>
    </w:p>
    <w:p>
      <w:pPr>
        <w:pStyle w:val="11"/>
        <w:rPr>
          <w:rStyle w:val="19"/>
          <w:rFonts w:ascii="黑体" w:eastAsia="黑体"/>
          <w:b w:val="0"/>
          <w:bCs w:val="0"/>
        </w:rPr>
      </w:pPr>
      <w:bookmarkStart w:id="30" w:name="_Toc15396609"/>
      <w:bookmarkStart w:id="31" w:name="_Toc15377215"/>
      <w:bookmarkStart w:id="32" w:name="_Toc16121"/>
      <w:r>
        <w:rPr>
          <w:rFonts w:hint="eastAsia"/>
        </w:rPr>
        <w:t>七、</w:t>
      </w:r>
      <w:r>
        <w:rPr>
          <w:rStyle w:val="19"/>
          <w:rFonts w:hint="eastAsia" w:ascii="黑体" w:eastAsia="黑体"/>
          <w:b w:val="0"/>
          <w:bCs w:val="0"/>
        </w:rPr>
        <w:t>财政拨款</w:t>
      </w:r>
      <w:r>
        <w:rPr>
          <w:rStyle w:val="19"/>
          <w:rFonts w:hint="eastAsia" w:ascii="黑体" w:eastAsia="黑体"/>
          <w:bCs w:val="0"/>
        </w:rPr>
        <w:t>“</w:t>
      </w:r>
      <w:r>
        <w:rPr>
          <w:rStyle w:val="19"/>
          <w:rFonts w:hint="eastAsia" w:ascii="黑体" w:eastAsia="黑体"/>
          <w:b w:val="0"/>
          <w:bCs w:val="0"/>
        </w:rPr>
        <w:t>三公”经费支出决算情况说明</w:t>
      </w:r>
      <w:bookmarkEnd w:id="30"/>
      <w:bookmarkEnd w:id="31"/>
      <w:bookmarkEnd w:id="32"/>
    </w:p>
    <w:p>
      <w:pPr>
        <w:pStyle w:val="6"/>
      </w:pPr>
      <w:bookmarkStart w:id="33" w:name="_Toc15377216"/>
      <w:r>
        <w:rPr>
          <w:rFonts w:hint="eastAsia"/>
        </w:rPr>
        <w:t>（一）“三公”经费财政拨款支出决算总体情况说明</w:t>
      </w:r>
      <w:bookmarkEnd w:id="33"/>
    </w:p>
    <w:p>
      <w:pPr>
        <w:spacing w:line="600" w:lineRule="exact"/>
        <w:ind w:firstLine="640"/>
        <w:rPr>
          <w:rFonts w:ascii="仿宋_GB2312" w:eastAsia="仿宋_GB2312" w:cs="仿宋_GB2312"/>
          <w:sz w:val="32"/>
          <w:szCs w:val="32"/>
        </w:rPr>
      </w:pPr>
      <w:r>
        <w:rPr>
          <w:rFonts w:hint="eastAsia" w:ascii="仿宋_GB2312" w:eastAsia="仿宋_GB2312" w:cs="仿宋_GB2312"/>
          <w:sz w:val="32"/>
          <w:szCs w:val="32"/>
        </w:rPr>
        <w:t>2024年度“三公”经费财政拨款支出决算为0万元，</w:t>
      </w:r>
      <w:r>
        <w:rPr>
          <w:rFonts w:hint="eastAsia" w:ascii="仿宋_GB2312" w:eastAsia="仿宋_GB2312" w:cs="仿宋_GB2312"/>
          <w:sz w:val="32"/>
          <w:szCs w:val="32"/>
          <w:lang w:eastAsia="zh-CN"/>
        </w:rPr>
        <w:t>未安排预算</w:t>
      </w:r>
      <w:r>
        <w:rPr>
          <w:rFonts w:hint="eastAsia" w:ascii="仿宋_GB2312" w:eastAsia="仿宋_GB2312" w:cs="仿宋_GB2312"/>
          <w:sz w:val="32"/>
          <w:szCs w:val="32"/>
        </w:rPr>
        <w:t>，较上年度减少0.3万元，下降100%。决算数</w:t>
      </w:r>
      <w:r>
        <w:rPr>
          <w:rFonts w:hint="eastAsia" w:ascii="仿宋_GB2312" w:eastAsia="仿宋_GB2312" w:cs="仿宋_GB2312"/>
          <w:sz w:val="32"/>
          <w:szCs w:val="32"/>
          <w:lang w:eastAsia="zh-CN"/>
        </w:rPr>
        <w:t>与</w:t>
      </w:r>
      <w:r>
        <w:rPr>
          <w:rFonts w:hint="eastAsia" w:ascii="仿宋_GB2312" w:eastAsia="仿宋_GB2312" w:cs="仿宋_GB2312"/>
          <w:sz w:val="32"/>
          <w:szCs w:val="32"/>
        </w:rPr>
        <w:t>预算数</w:t>
      </w:r>
      <w:r>
        <w:rPr>
          <w:rFonts w:hint="eastAsia" w:ascii="仿宋_GB2312" w:eastAsia="仿宋_GB2312" w:cs="仿宋_GB2312"/>
          <w:sz w:val="32"/>
          <w:szCs w:val="32"/>
          <w:lang w:eastAsia="zh-CN"/>
        </w:rPr>
        <w:t>持平</w:t>
      </w:r>
      <w:r>
        <w:rPr>
          <w:rFonts w:hint="eastAsia" w:ascii="仿宋_GB2312" w:eastAsia="仿宋_GB2312" w:cs="仿宋_GB2312"/>
          <w:sz w:val="32"/>
          <w:szCs w:val="32"/>
        </w:rPr>
        <w:t>。</w:t>
      </w:r>
    </w:p>
    <w:p>
      <w:pPr>
        <w:pStyle w:val="6"/>
      </w:pPr>
      <w:bookmarkStart w:id="34" w:name="_Toc15377217"/>
      <w:r>
        <w:rPr>
          <w:rFonts w:hint="eastAsia"/>
        </w:rPr>
        <w:t>（二）“三公”经费财政拨款支出决算具体情况说明</w:t>
      </w:r>
      <w:bookmarkEnd w:id="34"/>
    </w:p>
    <w:p>
      <w:pPr>
        <w:spacing w:line="600" w:lineRule="exact"/>
        <w:ind w:firstLine="640"/>
        <w:rPr>
          <w:rFonts w:ascii="仿宋_GB2312" w:eastAsia="仿宋_GB2312" w:cs="仿宋_GB2312"/>
          <w:sz w:val="32"/>
          <w:szCs w:val="32"/>
        </w:rPr>
      </w:pPr>
      <w:r>
        <w:rPr>
          <w:rFonts w:hint="eastAsia" w:ascii="仿宋_GB2312" w:eastAsia="仿宋_GB2312" w:cs="仿宋_GB2312"/>
          <w:sz w:val="32"/>
          <w:szCs w:val="32"/>
        </w:rPr>
        <w:t>2024年度我单位无“三公”经费支出，具体情况如下：</w:t>
      </w:r>
    </w:p>
    <w:p>
      <w:pPr>
        <w:spacing w:line="600" w:lineRule="exact"/>
        <w:ind w:firstLine="640"/>
        <w:rPr>
          <w:rFonts w:ascii="仿宋_GB2312" w:eastAsia="仿宋_GB2312" w:cs="仿宋_GB2312"/>
        </w:rPr>
      </w:pPr>
      <w:r>
        <w:rPr>
          <w:rFonts w:hint="eastAsia" w:ascii="仿宋_GB2312" w:eastAsia="仿宋_GB2312" w:cs="仿宋_GB2312"/>
          <w:sz w:val="32"/>
          <w:szCs w:val="32"/>
        </w:rPr>
        <w:t>1.因公出国（境）经费支出0万元，年初未安排预算。因公出国（境）支出决算数较2023年无变化。</w:t>
      </w:r>
    </w:p>
    <w:p>
      <w:pPr>
        <w:spacing w:line="600" w:lineRule="exact"/>
        <w:ind w:firstLine="640"/>
      </w:pPr>
      <w:r>
        <w:rPr>
          <w:rFonts w:hint="eastAsia" w:ascii="仿宋_GB2312" w:eastAsia="仿宋_GB2312" w:cs="仿宋_GB2312"/>
          <w:sz w:val="32"/>
          <w:szCs w:val="32"/>
        </w:rPr>
        <w:t>2.公</w:t>
      </w:r>
      <w:r>
        <w:rPr>
          <w:rFonts w:hint="eastAsia" w:ascii="仿宋_GB2312" w:eastAsia="仿宋_GB2312" w:cs="仿宋_GB2312"/>
          <w:bCs/>
          <w:sz w:val="32"/>
          <w:szCs w:val="32"/>
        </w:rPr>
        <w:t>务用车购置及运行维护费支出</w:t>
      </w:r>
      <w:r>
        <w:rPr>
          <w:rFonts w:hint="eastAsia" w:ascii="仿宋_GB2312" w:eastAsia="仿宋_GB2312" w:cs="仿宋_GB2312"/>
          <w:sz w:val="32"/>
          <w:szCs w:val="32"/>
        </w:rPr>
        <w:t>0万元</w:t>
      </w:r>
      <w:r>
        <w:rPr>
          <w:rFonts w:hint="eastAsia" w:ascii="仿宋_GB2312" w:eastAsia="仿宋_GB2312" w:cs="仿宋_GB2312"/>
          <w:sz w:val="32"/>
          <w:szCs w:val="32"/>
          <w:lang w:eastAsia="zh-CN"/>
        </w:rPr>
        <w:t>，</w:t>
      </w:r>
      <w:r>
        <w:rPr>
          <w:rStyle w:val="16"/>
          <w:rFonts w:hint="eastAsia" w:ascii="仿宋" w:eastAsia="仿宋"/>
          <w:b w:val="0"/>
          <w:bCs/>
          <w:sz w:val="32"/>
          <w:szCs w:val="32"/>
        </w:rPr>
        <w:t>年初未安排预算。公务用车购置及运行维护费支出决算数较2023年无变化。</w:t>
      </w:r>
      <w:r>
        <w:rPr>
          <w:rFonts w:hint="eastAsia" w:ascii="仿宋_GB2312" w:eastAsia="仿宋_GB2312"/>
          <w:sz w:val="32"/>
          <w:szCs w:val="32"/>
        </w:rPr>
        <w:t>其中：公务用车购置支出0万元。公务用车运行维护费支出0万元。截至2024年12月31日，单位共有公务用车0辆。</w:t>
      </w:r>
    </w:p>
    <w:p>
      <w:pPr>
        <w:spacing w:line="600" w:lineRule="exact"/>
        <w:ind w:firstLine="640"/>
        <w:rPr>
          <w:rFonts w:ascii="仿宋_GB2312" w:eastAsia="仿宋_GB2312"/>
          <w:sz w:val="32"/>
          <w:szCs w:val="32"/>
        </w:rPr>
      </w:pPr>
      <w:r>
        <w:rPr>
          <w:rFonts w:hint="eastAsia" w:ascii="仿宋_GB2312" w:eastAsia="仿宋_GB2312"/>
          <w:sz w:val="32"/>
          <w:szCs w:val="32"/>
        </w:rPr>
        <w:t>3.公务接待费支出0万元，</w:t>
      </w:r>
      <w:r>
        <w:rPr>
          <w:rStyle w:val="16"/>
          <w:rFonts w:hint="eastAsia" w:ascii="仿宋" w:eastAsia="仿宋"/>
          <w:b w:val="0"/>
          <w:bCs/>
          <w:sz w:val="32"/>
          <w:szCs w:val="32"/>
          <w:lang w:eastAsia="zh-CN"/>
        </w:rPr>
        <w:t>年初未安排预算</w:t>
      </w:r>
      <w:r>
        <w:rPr>
          <w:rStyle w:val="16"/>
          <w:rFonts w:hint="eastAsia" w:ascii="仿宋" w:eastAsia="仿宋"/>
          <w:b w:val="0"/>
          <w:bCs/>
          <w:sz w:val="32"/>
          <w:szCs w:val="32"/>
        </w:rPr>
        <w:t>。</w:t>
      </w:r>
      <w:r>
        <w:rPr>
          <w:rFonts w:hint="eastAsia" w:ascii="仿宋_GB2312" w:eastAsia="仿宋_GB2312"/>
          <w:sz w:val="32"/>
          <w:szCs w:val="32"/>
        </w:rPr>
        <w:t>公务接待费支出决算比2023年度减少0.3万元，下降100%。主要原因是</w:t>
      </w:r>
      <w:r>
        <w:rPr>
          <w:rFonts w:hint="eastAsia" w:ascii="仿宋_GB2312" w:eastAsia="仿宋_GB2312" w:cs="仿宋_GB2312"/>
          <w:sz w:val="32"/>
          <w:szCs w:val="32"/>
        </w:rPr>
        <w:t>严格控制“三公”经费支出</w:t>
      </w:r>
      <w:r>
        <w:rPr>
          <w:rFonts w:hint="eastAsia" w:ascii="仿宋_GB2312" w:eastAsia="仿宋_GB2312"/>
          <w:sz w:val="32"/>
          <w:szCs w:val="32"/>
        </w:rPr>
        <w:t>。</w:t>
      </w:r>
      <w:bookmarkStart w:id="35" w:name="_Toc15377218"/>
      <w:bookmarkStart w:id="36" w:name="_Toc15396610"/>
    </w:p>
    <w:p>
      <w:pPr>
        <w:pStyle w:val="11"/>
        <w:rPr>
          <w:rStyle w:val="19"/>
          <w:rFonts w:ascii="黑体" w:eastAsia="黑体"/>
          <w:bCs w:val="0"/>
        </w:rPr>
      </w:pPr>
      <w:bookmarkStart w:id="37" w:name="_Toc3910"/>
      <w:r>
        <w:rPr>
          <w:rFonts w:hint="eastAsia"/>
        </w:rPr>
        <w:t>八、</w:t>
      </w:r>
      <w:r>
        <w:rPr>
          <w:rStyle w:val="19"/>
          <w:rFonts w:hint="eastAsia" w:ascii="黑体" w:eastAsia="黑体"/>
          <w:b w:val="0"/>
          <w:bCs w:val="0"/>
        </w:rPr>
        <w:t>政府性基金预算支出决算情况说明</w:t>
      </w:r>
      <w:bookmarkEnd w:id="35"/>
      <w:bookmarkEnd w:id="36"/>
      <w:bookmarkEnd w:id="37"/>
    </w:p>
    <w:p>
      <w:pPr>
        <w:spacing w:line="600" w:lineRule="exact"/>
        <w:ind w:firstLine="640"/>
        <w:rPr>
          <w:rFonts w:ascii="仿宋_GB2312" w:eastAsia="仿宋_GB2312"/>
          <w:sz w:val="32"/>
          <w:szCs w:val="32"/>
        </w:rPr>
      </w:pPr>
      <w:r>
        <w:rPr>
          <w:rFonts w:hint="eastAsia" w:ascii="仿宋_GB2312" w:eastAsia="仿宋_GB2312"/>
          <w:sz w:val="32"/>
          <w:szCs w:val="32"/>
        </w:rPr>
        <w:t>2024年度政府性基金预算财政拨款支出0万元。</w:t>
      </w:r>
    </w:p>
    <w:p>
      <w:pPr>
        <w:pStyle w:val="11"/>
        <w:rPr>
          <w:rStyle w:val="19"/>
          <w:rFonts w:ascii="黑体" w:eastAsia="黑体"/>
          <w:b w:val="0"/>
          <w:bCs w:val="0"/>
        </w:rPr>
      </w:pPr>
      <w:bookmarkStart w:id="38" w:name="_Toc15396611"/>
      <w:bookmarkStart w:id="39" w:name="_Toc20184"/>
      <w:bookmarkStart w:id="40" w:name="_Toc15377219"/>
      <w:r>
        <w:rPr>
          <w:rStyle w:val="19"/>
          <w:rFonts w:hint="eastAsia" w:ascii="黑体" w:eastAsia="黑体"/>
          <w:b w:val="0"/>
          <w:bCs w:val="0"/>
        </w:rPr>
        <w:t>九</w:t>
      </w:r>
      <w:r>
        <w:rPr>
          <w:rStyle w:val="19"/>
          <w:rFonts w:ascii="黑体" w:eastAsia="黑体"/>
          <w:b w:val="0"/>
          <w:bCs w:val="0"/>
        </w:rPr>
        <w:t>、</w:t>
      </w:r>
      <w:r>
        <w:rPr>
          <w:rStyle w:val="19"/>
          <w:rFonts w:hint="eastAsia" w:ascii="黑体" w:eastAsia="黑体"/>
          <w:b w:val="0"/>
          <w:bCs w:val="0"/>
        </w:rPr>
        <w:t>国有资本经营预算支出决算情况说明</w:t>
      </w:r>
      <w:bookmarkEnd w:id="38"/>
      <w:bookmarkEnd w:id="39"/>
      <w:bookmarkEnd w:id="40"/>
    </w:p>
    <w:p>
      <w:pPr>
        <w:spacing w:line="600" w:lineRule="exact"/>
        <w:ind w:firstLine="640"/>
        <w:rPr>
          <w:rFonts w:ascii="仿宋_GB2312" w:eastAsia="仿宋_GB2312"/>
          <w:sz w:val="32"/>
          <w:szCs w:val="32"/>
        </w:rPr>
      </w:pPr>
      <w:r>
        <w:rPr>
          <w:rFonts w:hint="eastAsia" w:ascii="仿宋_GB2312" w:eastAsia="仿宋_GB2312"/>
          <w:sz w:val="32"/>
          <w:szCs w:val="32"/>
        </w:rPr>
        <w:t>2024年度国有资本经营预算财政拨款支出0万元。</w:t>
      </w:r>
    </w:p>
    <w:p>
      <w:pPr>
        <w:pStyle w:val="11"/>
        <w:rPr>
          <w:rStyle w:val="19"/>
          <w:rFonts w:ascii="黑体" w:eastAsia="黑体"/>
          <w:b w:val="0"/>
          <w:bCs w:val="0"/>
        </w:rPr>
      </w:pPr>
      <w:bookmarkStart w:id="41" w:name="_Toc15377221"/>
      <w:bookmarkStart w:id="42" w:name="_Toc8229"/>
      <w:bookmarkStart w:id="43" w:name="_Toc15396612"/>
      <w:r>
        <w:rPr>
          <w:rStyle w:val="19"/>
          <w:rFonts w:hint="eastAsia" w:ascii="黑体" w:eastAsia="黑体"/>
          <w:b w:val="0"/>
          <w:bCs w:val="0"/>
        </w:rPr>
        <w:t>十</w:t>
      </w:r>
      <w:r>
        <w:rPr>
          <w:rStyle w:val="19"/>
          <w:rFonts w:ascii="黑体" w:eastAsia="黑体"/>
          <w:b w:val="0"/>
          <w:bCs w:val="0"/>
        </w:rPr>
        <w:t>、</w:t>
      </w:r>
      <w:r>
        <w:rPr>
          <w:rStyle w:val="19"/>
          <w:rFonts w:hint="eastAsia" w:ascii="黑体" w:eastAsia="黑体"/>
          <w:b w:val="0"/>
          <w:bCs w:val="0"/>
        </w:rPr>
        <w:t>其他重要事项的情况说明</w:t>
      </w:r>
      <w:bookmarkEnd w:id="41"/>
      <w:bookmarkEnd w:id="42"/>
      <w:bookmarkEnd w:id="43"/>
    </w:p>
    <w:p>
      <w:pPr>
        <w:pStyle w:val="6"/>
      </w:pPr>
      <w:bookmarkStart w:id="44" w:name="_Toc15377222"/>
      <w:r>
        <w:rPr>
          <w:rFonts w:hint="eastAsia"/>
        </w:rPr>
        <w:t>（一）机关运行经费支出情况</w:t>
      </w:r>
      <w:bookmarkEnd w:id="44"/>
    </w:p>
    <w:p>
      <w:pPr>
        <w:spacing w:line="600" w:lineRule="exact"/>
        <w:ind w:firstLine="640"/>
        <w:rPr>
          <w:rFonts w:ascii="仿宋_GB2312" w:eastAsia="仿宋_GB2312"/>
          <w:sz w:val="32"/>
          <w:szCs w:val="32"/>
        </w:rPr>
      </w:pPr>
      <w:r>
        <w:rPr>
          <w:rFonts w:hint="eastAsia" w:ascii="仿宋_GB2312" w:eastAsia="仿宋_GB2312"/>
          <w:sz w:val="32"/>
          <w:szCs w:val="32"/>
        </w:rPr>
        <w:t>市安全生产风险研判中心为事业单位，2024年未发生机关运行经费支出，与2023年决算数持平。</w:t>
      </w:r>
    </w:p>
    <w:p>
      <w:pPr>
        <w:pStyle w:val="6"/>
      </w:pPr>
      <w:bookmarkStart w:id="45" w:name="_Toc15377223"/>
      <w:r>
        <w:rPr>
          <w:rFonts w:hint="eastAsia"/>
        </w:rPr>
        <w:t>（二）政府采购支出情况</w:t>
      </w:r>
      <w:bookmarkEnd w:id="45"/>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2024年度，市安全生产风险研判中心政府采购支出总额0万元。</w:t>
      </w:r>
    </w:p>
    <w:p>
      <w:pPr>
        <w:pStyle w:val="6"/>
      </w:pPr>
      <w:bookmarkStart w:id="46" w:name="_Toc15377224"/>
      <w:r>
        <w:rPr>
          <w:rFonts w:hint="eastAsia"/>
        </w:rPr>
        <w:t>（三）国有资产占有使用情况</w:t>
      </w:r>
      <w:bookmarkEnd w:id="46"/>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截至2024年12月31日，市安全生产风险研判中心共有车辆0辆</w:t>
      </w:r>
      <w:r>
        <w:rPr>
          <w:rFonts w:hint="eastAsia" w:ascii="仿宋_GB2312" w:eastAsia="仿宋_GB2312"/>
          <w:sz w:val="32"/>
          <w:szCs w:val="32"/>
          <w:lang w:eastAsia="zh-CN"/>
        </w:rPr>
        <w:t>，</w:t>
      </w:r>
      <w:r>
        <w:rPr>
          <w:rFonts w:hint="eastAsia" w:ascii="仿宋_GB2312" w:eastAsia="仿宋_GB2312"/>
          <w:sz w:val="32"/>
          <w:szCs w:val="32"/>
        </w:rPr>
        <w:t>单价100万元以上设备（不含车辆）0台（套）。</w:t>
      </w:r>
    </w:p>
    <w:p>
      <w:pPr>
        <w:pStyle w:val="6"/>
      </w:pPr>
      <w:r>
        <w:rPr>
          <w:rFonts w:hint="eastAsia"/>
        </w:rPr>
        <w:t>（四）预算绩效管理情况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2024年度预算编制阶段，组织对代管国企改制退休及遗属人员工资、代管国企改制退休及遗属人员医疗费、代管国企退休及遗属人员慰问维稳费等3个项目开展了预算事前绩效评估，对3个项目编制了绩效目标，预算执行过程中，选取14个项目开展绩效监控，组织对3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pStyle w:val="13"/>
        <w:rPr>
          <w:rStyle w:val="18"/>
          <w:rFonts w:ascii="黑体" w:eastAsia="黑体"/>
          <w:b w:val="0"/>
          <w:bCs w:val="0"/>
        </w:rPr>
      </w:pPr>
      <w:bookmarkStart w:id="47" w:name="_Toc22499"/>
      <w:r>
        <w:rPr>
          <w:rFonts w:hint="eastAsia"/>
        </w:rPr>
        <w:t>第三部分  名</w:t>
      </w:r>
      <w:r>
        <w:rPr>
          <w:rFonts w:hint="eastAsia" w:ascii="Calibri Light" w:hAnsi="Calibri Light" w:eastAsia="方正小标宋简体"/>
          <w:bCs w:val="0"/>
          <w:sz w:val="44"/>
          <w:szCs w:val="32"/>
        </w:rPr>
        <w:t>词解释</w:t>
      </w:r>
      <w:bookmarkEnd w:id="47"/>
    </w:p>
    <w:p>
      <w:pPr>
        <w:spacing w:line="600" w:lineRule="exact"/>
        <w:rPr>
          <w:rFonts w:ascii="宋体"/>
          <w:b/>
          <w:sz w:val="44"/>
          <w:szCs w:val="44"/>
        </w:rPr>
      </w:pPr>
    </w:p>
    <w:p>
      <w:pPr>
        <w:pStyle w:val="21"/>
        <w:spacing w:line="56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1.财政拨款收入：指单位从同级财政部门取得的财政预算资金。</w:t>
      </w:r>
    </w:p>
    <w:p>
      <w:pPr>
        <w:pStyle w:val="21"/>
        <w:spacing w:line="56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2.年初结转和结余：指以前年度尚未完成、结转到本年按有关规定继续使用的资金。</w:t>
      </w:r>
    </w:p>
    <w:p>
      <w:pPr>
        <w:pStyle w:val="21"/>
        <w:spacing w:line="56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3.年末结转和结余：指单位按有关规定结转到下年或以后年度继续使用的资金。</w:t>
      </w:r>
    </w:p>
    <w:p>
      <w:pPr>
        <w:pStyle w:val="21"/>
        <w:spacing w:line="56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4.社会保障和就业支出（类）行政事业单位养老支出（款）机关事业单位基本养老保险缴费支出（项）：指机关事业单位实施养老保险制度由单位缴纳的基本养老保险费支出。</w:t>
      </w:r>
    </w:p>
    <w:p>
      <w:pPr>
        <w:pStyle w:val="21"/>
        <w:spacing w:line="56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5.社会保障和就业支出（类）行政事业单位养老支出（款）机关事业单位职业年金缴费支出（项）：指机关事业单位实施养老保险制度由单位实际缴纳的职业年金支出。</w:t>
      </w:r>
    </w:p>
    <w:p>
      <w:pPr>
        <w:pStyle w:val="21"/>
        <w:spacing w:line="56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6.社会保障和就业（类）抚恤（款）死亡抚恤（项）：反映按规定用于烈士和牺牲、病故人员家属的一次性和定期抚恤金、丧葬补助费以及烈士褒扬金。</w:t>
      </w:r>
    </w:p>
    <w:p>
      <w:pPr>
        <w:pStyle w:val="21"/>
        <w:spacing w:line="56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7.社会保障和就业（类）其他社会保障和就业（款）其他社会保障和就业支出（项）： 反映除上述项目以外其他用于社会保障和就业方面的支出。</w:t>
      </w:r>
    </w:p>
    <w:p>
      <w:pPr>
        <w:spacing w:line="560" w:lineRule="exact"/>
        <w:ind w:firstLine="640" w:firstLineChars="200"/>
        <w:rPr>
          <w:rFonts w:ascii="仿宋_GB2312" w:eastAsia="仿宋_GB2312"/>
          <w:sz w:val="32"/>
          <w:szCs w:val="32"/>
        </w:rPr>
      </w:pPr>
      <w:r>
        <w:rPr>
          <w:rStyle w:val="16"/>
          <w:rFonts w:hint="eastAsia" w:ascii="仿宋_GB2312" w:eastAsia="仿宋_GB2312" w:cs="仿宋_GB2312"/>
          <w:b w:val="0"/>
          <w:sz w:val="32"/>
          <w:szCs w:val="32"/>
        </w:rPr>
        <w:t>8.卫生健康支出（类）行政事业单位医疗（款）事业单位医疗（项）：指财政部门集中安排的事业单位基本医疗保险缴费经费，未参加医疗保险的事业单位的公费医疗经费，按国家规定享受离退休人员待遇的医疗经费。</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9.住房保障支出（类）住房改革支出（款）住房公积金支出（项）：指行政事业单位按人力资源和社会保障部、财政部规定的基本工资和津贴补贴以及规定比例为职工缴纳的住房公积金。</w:t>
      </w:r>
    </w:p>
    <w:p>
      <w:pPr>
        <w:spacing w:line="560" w:lineRule="exact"/>
        <w:ind w:firstLine="640" w:firstLineChars="200"/>
        <w:rPr>
          <w:rFonts w:ascii="仿宋_GB2312" w:eastAsia="仿宋_GB2312" w:cs="仿宋_GB2312"/>
          <w:bCs/>
          <w:color w:val="000000"/>
          <w:sz w:val="32"/>
          <w:szCs w:val="32"/>
        </w:rPr>
      </w:pPr>
      <w:r>
        <w:rPr>
          <w:rFonts w:hint="eastAsia" w:ascii="仿宋_GB2312" w:eastAsia="仿宋_GB2312" w:cs="仿宋_GB2312"/>
          <w:bCs/>
          <w:color w:val="000000"/>
          <w:sz w:val="32"/>
          <w:szCs w:val="32"/>
        </w:rPr>
        <w:t>10.灾害防治及应急管理支出（类）应急管理</w:t>
      </w:r>
      <w:r>
        <w:rPr>
          <w:rFonts w:hint="eastAsia" w:ascii="仿宋_GB2312" w:eastAsia="仿宋_GB2312" w:cs="仿宋_GB2312"/>
          <w:bCs/>
          <w:color w:val="000000"/>
          <w:sz w:val="32"/>
          <w:szCs w:val="32"/>
          <w:lang w:eastAsia="zh-CN"/>
        </w:rPr>
        <w:t>事务</w:t>
      </w:r>
      <w:r>
        <w:rPr>
          <w:rFonts w:hint="eastAsia" w:ascii="仿宋_GB2312" w:eastAsia="仿宋_GB2312" w:cs="仿宋_GB2312"/>
          <w:bCs/>
          <w:color w:val="000000"/>
          <w:sz w:val="32"/>
          <w:szCs w:val="32"/>
        </w:rPr>
        <w:t>（款）事业支出（项）：</w:t>
      </w:r>
      <w:r>
        <w:rPr>
          <w:rFonts w:ascii="仿宋_GB2312" w:eastAsia="仿宋_GB2312" w:cs="仿宋_GB2312"/>
          <w:bCs/>
          <w:color w:val="000000"/>
          <w:sz w:val="32"/>
          <w:szCs w:val="32"/>
        </w:rPr>
        <w:t>反映事业单位的基本支出，不包括行政单位（包括实行公务员管理的事业单位）后勤服务中心、医务室等附属事业单位。</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bCs/>
          <w:sz w:val="32"/>
          <w:szCs w:val="32"/>
        </w:rPr>
        <w:t>11.</w:t>
      </w:r>
      <w:r>
        <w:rPr>
          <w:rFonts w:hint="eastAsia" w:ascii="仿宋_GB2312" w:eastAsia="仿宋_GB2312"/>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12.项目支出：指在基本支出之外为完成特定行政任务和事业发展目标所发生的支出。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13.“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3"/>
        <w:rPr>
          <w:rStyle w:val="18"/>
          <w:rFonts w:ascii="Calibri Light" w:hAnsi="Calibri Light" w:eastAsia="方正小标宋简体" w:cs="Times New Roman"/>
          <w:b w:val="0"/>
          <w:bCs/>
          <w:kern w:val="2"/>
          <w:szCs w:val="32"/>
        </w:rPr>
      </w:pPr>
      <w:r>
        <w:rPr>
          <w:rFonts w:hint="eastAsia" w:ascii="宋体" w:hAnsi="宋体"/>
          <w:b/>
        </w:rPr>
        <w:br w:type="page"/>
      </w:r>
      <w:bookmarkStart w:id="48" w:name="_Toc23205"/>
      <w:r>
        <w:rPr>
          <w:rFonts w:hint="eastAsia"/>
        </w:rPr>
        <w:t>第</w:t>
      </w:r>
      <w:r>
        <w:rPr>
          <w:rStyle w:val="18"/>
          <w:rFonts w:hint="eastAsia" w:ascii="Calibri Light" w:hAnsi="Calibri Light" w:eastAsia="方正小标宋简体" w:cs="Times New Roman"/>
          <w:b w:val="0"/>
          <w:bCs/>
          <w:kern w:val="2"/>
          <w:szCs w:val="32"/>
        </w:rPr>
        <w:t>四部分 附件</w:t>
      </w:r>
      <w:bookmarkEnd w:id="48"/>
    </w:p>
    <w:p>
      <w:pPr>
        <w:spacing w:line="572" w:lineRule="exact"/>
        <w:jc w:val="left"/>
        <w:outlineLvl w:val="0"/>
        <w:rPr>
          <w:rFonts w:ascii="仿宋_GB2312" w:eastAsia="仿宋_GB2312" w:cs="仿宋_GB2312"/>
          <w:sz w:val="32"/>
          <w:szCs w:val="32"/>
        </w:rPr>
      </w:pPr>
    </w:p>
    <w:p>
      <w:pPr>
        <w:pStyle w:val="11"/>
        <w:rPr>
          <w:rFonts w:ascii="黑体"/>
          <w:color w:val="FF0000"/>
          <w:sz w:val="44"/>
          <w:szCs w:val="44"/>
        </w:rPr>
      </w:pPr>
      <w:bookmarkStart w:id="49" w:name="_Toc3483"/>
      <w:r>
        <w:rPr>
          <w:rFonts w:hint="eastAsia"/>
        </w:rPr>
        <w:t>部门预算项目支出绩效自评表（202</w:t>
      </w:r>
      <w:r>
        <w:t>4</w:t>
      </w:r>
      <w:r>
        <w:rPr>
          <w:rFonts w:hint="eastAsia"/>
        </w:rPr>
        <w:t>年度）</w:t>
      </w:r>
      <w:bookmarkEnd w:id="49"/>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pPr>
    </w:p>
    <w:p>
      <w:pPr>
        <w:pStyle w:val="2"/>
        <w:rPr>
          <w:rFonts w:ascii="仿宋_GB2312" w:eastAsia="仿宋_GB2312" w:cs="仿宋"/>
          <w:kern w:val="0"/>
          <w:sz w:val="32"/>
          <w:szCs w:val="32"/>
        </w:rPr>
        <w:sectPr>
          <w:pgSz w:w="11906" w:h="16838"/>
          <w:pgMar w:top="2098" w:right="1588" w:bottom="1985" w:left="1588" w:header="720" w:footer="1701" w:gutter="0"/>
          <w:pgNumType w:start="1"/>
          <w:cols w:space="720" w:num="1"/>
          <w:docGrid w:type="linesAndChars" w:linePitch="312" w:charSpace="0"/>
        </w:sectPr>
      </w:pPr>
    </w:p>
    <w:p>
      <w:pPr>
        <w:pStyle w:val="2"/>
        <w:spacing w:line="20" w:lineRule="exact"/>
        <w:rPr>
          <w:rFonts w:ascii="仿宋_GB2312" w:eastAsia="仿宋_GB2312" w:cs="仿宋"/>
          <w:kern w:val="0"/>
          <w:sz w:val="32"/>
          <w:szCs w:val="32"/>
        </w:rPr>
      </w:pPr>
    </w:p>
    <w:tbl>
      <w:tblPr>
        <w:tblStyle w:val="14"/>
        <w:tblW w:w="141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5"/>
        <w:gridCol w:w="2130"/>
        <w:gridCol w:w="1324"/>
        <w:gridCol w:w="1559"/>
        <w:gridCol w:w="600"/>
        <w:gridCol w:w="1425"/>
        <w:gridCol w:w="600"/>
        <w:gridCol w:w="1447"/>
        <w:gridCol w:w="1245"/>
        <w:gridCol w:w="952"/>
        <w:gridCol w:w="2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51080024T000010482622-代管国企改制退休及遗属人员工资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按时发放退休人员工资及遗属人员生活补助。</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保障了退休人员工资及遗嘱人员生活补助按时发放。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结合日常信息核查工作，按照人社局核定工资标准，在中心领导审批后，中心财务通过预算一体化系统按月计发单位代管离退休及遗属人员工资。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105.23</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105.23</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101.36</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96.32%</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年初预算105.23万元，因年中人员自然减少，报请财政收回结余资金3.87万元。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105.23</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105.23</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101.36</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96.32%</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保障工资人员数量</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31</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人</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31人</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质量指标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足额保障工资</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足额保障工资</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时效指标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工资按月发放率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8"/>
              </w:rPr>
            </w:pPr>
            <w:r>
              <w:rPr>
                <w:rFonts w:ascii="微软雅黑" w:eastAsia="微软雅黑" w:cs="Lucida Sans"/>
                <w:color w:val="000000"/>
                <w:sz w:val="18"/>
              </w:rPr>
              <w:t>按月发放工资</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维持代管国企改制退休职工稳定</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定性</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好坏</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olor w:val="000000"/>
                <w:sz w:val="18"/>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8"/>
              </w:rPr>
            </w:pPr>
            <w:r>
              <w:rPr>
                <w:rFonts w:ascii="微软雅黑" w:eastAsia="微软雅黑" w:cs="Lucida Sans"/>
                <w:color w:val="000000"/>
                <w:sz w:val="18"/>
              </w:rPr>
              <w:t>好</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满意度指标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服务对象满意度指标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退休及遗属人员满意度</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退休及遗属人员满意度大于95%</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成本指标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经济成本指标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总成本控制</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105.23</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万元</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预算执行率96.32%</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项目预算数105.23万元，实际支付101.36元，预算执行率96.32%，足额保障并按月发放工资，服务对象满意度高，完成了绩效目标任务。项目自评总分100分。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代管离退休及遗属人员年龄普遍偏大，因人员减少核销工资有滞后情况。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进一步加强人员信息核查，严格绩效监控和预算执行进度。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51080024T000010482665-代管国企改制退休及遗属人员医疗费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保障离退休职工住院医疗费能够及时报销。</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保障了离退休职工住院医疗费能够及时报销。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中心工作人员收到代管离退休人员提交的住院单据后，依据报销范围和比例核定报销金额，交中心主任审核后通过预算一体化系统支付医疗费。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12.72</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31.79%</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1.预算执行率未达到90%的原因为离退休职工生病住院的不确定性导致预算执行率较低;2.年初预算40万元，根据绩效监控和预算执行情况，年中报请财政进行预算调剂，收回财政27.28万元。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12.72</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31.79%</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医疗费保障对象</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31</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人</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31人</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质量指标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医疗费报销比例</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85</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85</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时效指标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支付时效</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个工作日</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小于30个工作日</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越级上访事件</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人次</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未发生越级上访事件</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维持代管国企改制退休职工稳定</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定性</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好坏</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olor w:val="000000"/>
                <w:sz w:val="18"/>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好</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满意度指标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服务对象满意度指标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离退休人员满意度</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离退休人员满意度大于95%</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成本指标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经济成本指标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总成本控制</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万元</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医疗费用总成本12.72万元</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rPr>
                <w:rFonts w:ascii="宋体" w:cs="Lucida Sans"/>
                <w:color w:val="000000"/>
                <w:sz w:val="18"/>
              </w:rPr>
            </w:pPr>
            <w:r>
              <w:rPr>
                <w:rFonts w:ascii="宋体" w:cs="Lucida Sans"/>
                <w:color w:val="000000"/>
                <w:sz w:val="18"/>
              </w:rPr>
              <w:t>93</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项目预算数40万元，实际支付12.72万元，预算执行率31.79%，医疗费用总成本≤40万元，完成医疗费保障对象100%、医疗费报销比例85%、支付时效≤30个工作日、越级上访事件≤3次、离退休人员满意度≥90%等绩效指标，项目自评总分93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因离退休职工生病住院的不确定性，导致预算执行率偏低。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进一步提高预算编制精准度，加强项目绩效监控和支付进度。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4"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51080024T000010482730-代管国企退休及遗属人员慰问维稳费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完成年度离退休人员和遗属供养人员走访调查、信息核实、座谈慰问与维稳工作，确保不发生越级上访事件。</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完成了年度离退休人员和遗属供养人员走访调查、信息核实、座谈慰问与维稳工作，未不发生越级上访事件。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按照年初制定的走访工作计划、走访对象和频次，适时上门走访、核查代管离退休及遗属人员信息，宣讲医疗、养老等政策，做好年度离退休人员生活困难、生病住院的慰问工作。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16.99</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16.99</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14.00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82.39%</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1.预算执行率未达到90%的原因为代管退休人员减少，优化走访方案，压减支出。2.依据绩效监控和项目执行进度，年中报请财政进行预算调剂，收回财政2.99万元。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16.99</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16.99</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14.00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82.39%</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上门慰问、维稳人数</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auto" w:sz="4"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人次</w:t>
            </w:r>
          </w:p>
        </w:tc>
        <w:tc>
          <w:tcPr>
            <w:tcW w:w="1447" w:type="dxa"/>
            <w:tcBorders>
              <w:top w:val="single" w:color="000000" w:sz="6" w:space="0"/>
              <w:left w:val="single" w:color="000000" w:sz="6" w:space="0"/>
              <w:bottom w:val="single" w:color="auto" w:sz="4"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全年上门慰问、维稳102次</w:t>
            </w:r>
          </w:p>
        </w:tc>
        <w:tc>
          <w:tcPr>
            <w:tcW w:w="1245" w:type="dxa"/>
            <w:tcBorders>
              <w:top w:val="single" w:color="000000" w:sz="6" w:space="0"/>
              <w:left w:val="single" w:color="000000" w:sz="6" w:space="0"/>
              <w:bottom w:val="single" w:color="auto" w:sz="4"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质量指标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慰问、维稳全覆盖率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auto" w:sz="4"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auto" w:sz="4" w:space="0"/>
              <w:left w:val="single" w:color="auto" w:sz="4" w:space="0"/>
              <w:bottom w:val="single" w:color="auto" w:sz="4" w:space="0"/>
              <w:right w:val="single" w:color="auto" w:sz="4"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auto" w:sz="4" w:space="0"/>
              <w:left w:val="single" w:color="auto" w:sz="4" w:space="0"/>
              <w:bottom w:val="single" w:color="auto" w:sz="4" w:space="0"/>
              <w:right w:val="single" w:color="auto" w:sz="4" w:space="0"/>
              <w:tl2br w:val="nil"/>
              <w:tr2bl w:val="nil"/>
            </w:tcBorders>
            <w:noWrap/>
            <w:vAlign w:val="center"/>
          </w:tcPr>
          <w:p>
            <w:pPr>
              <w:jc w:val="center"/>
              <w:rPr>
                <w:rFonts w:ascii="宋体" w:cs="Lucida Sans"/>
                <w:color w:val="000000"/>
                <w:sz w:val="16"/>
              </w:rPr>
            </w:pPr>
            <w:r>
              <w:rPr>
                <w:rFonts w:ascii="宋体" w:cs="Lucida Sans"/>
                <w:color w:val="000000"/>
                <w:sz w:val="16"/>
              </w:rPr>
              <w:t>100</w:t>
            </w:r>
          </w:p>
        </w:tc>
        <w:tc>
          <w:tcPr>
            <w:tcW w:w="1245" w:type="dxa"/>
            <w:tcBorders>
              <w:top w:val="single" w:color="auto" w:sz="4" w:space="0"/>
              <w:left w:val="single" w:color="auto" w:sz="4" w:space="0"/>
              <w:bottom w:val="single" w:color="auto" w:sz="4" w:space="0"/>
              <w:right w:val="single" w:color="auto" w:sz="4"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auto" w:sz="4"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时效指标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完成慰问时间</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12</w:t>
            </w:r>
          </w:p>
        </w:tc>
        <w:tc>
          <w:tcPr>
            <w:tcW w:w="600" w:type="dxa"/>
            <w:tcBorders>
              <w:top w:val="single" w:color="auto" w:sz="4"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月</w:t>
            </w:r>
          </w:p>
        </w:tc>
        <w:tc>
          <w:tcPr>
            <w:tcW w:w="1447" w:type="dxa"/>
            <w:tcBorders>
              <w:top w:val="single" w:color="auto" w:sz="4"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年底前完成全覆盖走访慰问</w:t>
            </w:r>
          </w:p>
        </w:tc>
        <w:tc>
          <w:tcPr>
            <w:tcW w:w="1245" w:type="dxa"/>
            <w:tcBorders>
              <w:top w:val="single" w:color="auto" w:sz="4"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维持代管国企改制退休职工稳定</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定性</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好坏</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olor w:val="000000"/>
                <w:sz w:val="18"/>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好</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越级上访人次</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人次</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全年无越级上访事件发生</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满意度指标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服务对象满意度指标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对离退休人员</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服务对象满意度达95%以上</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成本指标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经济成本指标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总成本控制</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万元</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14</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rPr>
                <w:rFonts w:ascii="宋体" w:cs="Lucida Sans"/>
                <w:color w:val="000000"/>
                <w:sz w:val="18"/>
              </w:rPr>
            </w:pPr>
            <w:r>
              <w:rPr>
                <w:rFonts w:ascii="宋体" w:cs="Lucida Sans"/>
                <w:color w:val="000000"/>
                <w:sz w:val="18"/>
              </w:rPr>
              <w:t>99</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项目预算数16.99万元，实际支付14万元，预算执行率82.39%，上门慰问、维稳次数达到设定的100次目标任务，全年无越级上访事件发生，服务对象满意度高，绩效目标任务完成较好，项目自评总分99分。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由于代管退休及遗属人员减少，加之优化走访方案，压减支出，致使预算执行率偏低，年中报请财政进行了预算调剂，收回结余资金。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我中心将进一步精准编制预算，加强预算绩效监控，合理安排走访慰问维稳工作。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提高预算编制质量，严格执行预算，保障单位日常运转。</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较为精准编制预算，严格支出审核，压减公务接待费，保障了单位日常运转。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r>
              <w:rPr>
                <w:rFonts w:ascii="宋体"/>
                <w:color w:val="000000"/>
                <w:sz w:val="18"/>
                <w:szCs w:val="18"/>
              </w:rPr>
              <w:t>对单位日常运转所产生的办公费、印刷费、物业管理费、劳务费、工会经费、福利费、其他交通费等开展严格审核，严格控制“三公”经费支出。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2.40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2.40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2.10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87.50%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预算执行率未达到90%的原因为压减“三公”经费，0.3万元公务接待费预算未产生支出。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2.40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2.40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2.10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87.50%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科目调整次数</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5</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次</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质量指标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预算编制准确率（计算方法为：∣（执行数-预算数）/预算数∣）</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5</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12</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6"/>
              </w:rPr>
            </w:pPr>
            <w:r>
              <w:rPr>
                <w:rFonts w:ascii="宋体" w:cs="Lucida Sans"/>
                <w:color w:val="000000"/>
                <w:sz w:val="16"/>
              </w:rPr>
              <w:t>严格控制公务接待费，本年未支出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经济效益指标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“三公经费”控制率[计算方法为：（三公经费实际支出数/预算安排数]×100%）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运转保障率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rPr>
                <w:rFonts w:ascii="宋体" w:cs="Lucida Sans"/>
                <w:color w:val="000000"/>
                <w:sz w:val="18"/>
              </w:rPr>
            </w:pPr>
            <w:r>
              <w:rPr>
                <w:rFonts w:ascii="宋体" w:cs="Lucida Sans"/>
                <w:color w:val="000000"/>
                <w:sz w:val="18"/>
              </w:rPr>
              <w:t>100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6"/>
              </w:rPr>
            </w:pPr>
            <w:r>
              <w:rPr>
                <w:rFonts w:ascii="宋体" w:cs="Lucida Sans"/>
                <w:color w:val="000000"/>
                <w:sz w:val="16"/>
              </w:rPr>
              <w:t>对单位日常运转所产生的各项费用精准预算，严格支出审核，切实压减“三公”经费，充分保障了单位日常运转，自评得分100分。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严格执行相关政策，保障工资及时、足额发放或社保及时、足额缴纳，预算编制科学合理，减少结余资金。</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严格执行年度考核奖发放标准，按时、足额发放。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根据单位年度考核结果，严格执行发放标准，准确计算每个职工发放金额，按时、足额发放。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1.60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3.06</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3.06</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i/>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1.60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3.06</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3.06</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发放（缴纳）覆盖率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足额保障率（参保率）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rPr>
                <w:rFonts w:ascii="宋体" w:cs="Lucida Sans"/>
                <w:color w:val="000000"/>
                <w:sz w:val="18"/>
              </w:rPr>
            </w:pPr>
            <w:r>
              <w:rPr>
                <w:rFonts w:ascii="宋体" w:cs="Lucida Sans"/>
                <w:color w:val="000000"/>
                <w:sz w:val="18"/>
              </w:rPr>
              <w:t>100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6"/>
              </w:rPr>
            </w:pPr>
            <w:r>
              <w:rPr>
                <w:rFonts w:ascii="宋体" w:cs="Lucida Sans"/>
                <w:color w:val="000000"/>
                <w:sz w:val="16"/>
              </w:rPr>
              <w:t>严格执行发放标准，准确计算每个职工发放金额，按时、足额发放，自评得分100分。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p>
            <w:pPr>
              <w:pStyle w:val="2"/>
            </w:pPr>
          </w:p>
          <w:p>
            <w:pPr>
              <w:pStyle w:val="2"/>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严格执行相关政策，保障工资及时、足额发放或社保及时、足额缴纳，预算编制科学合理，减少结余资金。</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严格执行住房公积金和职工社保相关政策，准确计算，按时、足额缴纳。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严格执行相关政策，及时计算、申报、足额缴纳在职职工五险一金。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8.38</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15.27</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15.27</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i/>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8.38</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15.27</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15.27</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发放（缴纳）覆盖率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足额保障率（参保率）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rPr>
                <w:rFonts w:ascii="宋体" w:cs="Lucida Sans"/>
                <w:color w:val="000000"/>
                <w:sz w:val="18"/>
              </w:rPr>
            </w:pPr>
            <w:r>
              <w:rPr>
                <w:rFonts w:ascii="宋体" w:cs="Lucida Sans"/>
                <w:color w:val="000000"/>
                <w:sz w:val="18"/>
              </w:rPr>
              <w:t>100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6"/>
              </w:rPr>
            </w:pPr>
            <w:r>
              <w:rPr>
                <w:rFonts w:ascii="宋体" w:cs="Lucida Sans"/>
                <w:color w:val="000000"/>
                <w:sz w:val="16"/>
              </w:rPr>
              <w:t>严格执行相关政策，及时计算、申报、足额缴纳在职职工五险一金，自评得分100分。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p>
            <w:pPr>
              <w:pStyle w:val="2"/>
            </w:pPr>
          </w:p>
          <w:p>
            <w:pPr>
              <w:pStyle w:val="2"/>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严格执行相关政策，保障工资及时、足额发放或社保及时、足额缴纳，预算编制科学合理，减少结余资金。</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严格执行事业人员工资政策，保障了职工工资及时、足额发放。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 xml:space="preserve">严格执行事业人员工资政策，及时、足额发放职工工资并代扣个税和五险一金个人部分。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17.15</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17.15</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15.90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92.69%</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i/>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17.15</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17.15</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15.90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92.69%</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发放（缴纳）覆盖率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r>
              <w:rPr>
                <w:rFonts w:ascii="微软雅黑" w:eastAsia="微软雅黑" w:cs="Lucida Sans"/>
                <w:i/>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足额保障率（参保率）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r>
              <w:rPr>
                <w:rFonts w:ascii="微软雅黑" w:eastAsia="微软雅黑" w:cs="Lucida Sans"/>
                <w:i/>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rPr>
                <w:rFonts w:ascii="宋体" w:cs="Lucida Sans"/>
                <w:color w:val="000000"/>
                <w:sz w:val="18"/>
              </w:rPr>
            </w:pPr>
            <w:r>
              <w:rPr>
                <w:rFonts w:ascii="宋体" w:cs="Lucida Sans"/>
                <w:color w:val="000000"/>
                <w:sz w:val="18"/>
              </w:rPr>
              <w:t>100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严格执行事业人员工资政策，保障了职工工资及时、足额发放并代扣个税和五险一金个人部分。自评得分100分。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p>
            <w:pPr>
              <w:pStyle w:val="2"/>
            </w:pPr>
          </w:p>
          <w:p>
            <w:pPr>
              <w:pStyle w:val="2"/>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严格执行相关政策，保障工资及时、足额发放或社保及时、足额缴纳，预算编制科学合理，减少结余资金。</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严格执行相关政策，保障了事业人员基础绩效奖及时、足额发放。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严格执行相关政策，及时、足额发放事业人员基础绩效奖并代扣个税和五险一金个人部分。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6.64</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6.64</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6.45</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97.08%</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i/>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6.64</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6.64</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6.45</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97.08%</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发放（缴纳）覆盖率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足额保障率（参保率）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rPr>
                <w:rFonts w:ascii="宋体" w:cs="Lucida Sans"/>
                <w:color w:val="000000"/>
                <w:sz w:val="18"/>
              </w:rPr>
            </w:pPr>
            <w:r>
              <w:rPr>
                <w:rFonts w:ascii="宋体" w:cs="Lucida Sans"/>
                <w:color w:val="000000"/>
                <w:sz w:val="18"/>
              </w:rPr>
              <w:t>100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严格执行相关政策，及时、足额发放事业人员基础绩效奖并代扣个税和五险一金个人部分，自评得分100分。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p>
            <w:pPr>
              <w:pStyle w:val="2"/>
            </w:pPr>
          </w:p>
          <w:p>
            <w:pPr>
              <w:pStyle w:val="2"/>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严格执行相关政策，保障工资及时、足额发放或社保及时、足额缴纳，预算编制科学合理，减少结余资金。</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严格执行相关政策，确保了退休人员生活补助及时、足额发放。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依据相关政策，核定退休人员生活补助标准，及时、足额发放。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7.56</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42.84</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42.00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98.04%</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i/>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7.56</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42.84</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42.00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98.04%</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发放（缴纳）覆盖率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足额保障率（参保率）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rPr>
                <w:rFonts w:ascii="宋体" w:cs="Lucida Sans"/>
                <w:color w:val="000000"/>
                <w:sz w:val="18"/>
              </w:rPr>
            </w:pPr>
            <w:r>
              <w:rPr>
                <w:rFonts w:ascii="宋体" w:cs="Lucida Sans"/>
                <w:color w:val="000000"/>
                <w:sz w:val="18"/>
              </w:rPr>
              <w:t>100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严格执行相关政策，确保了退休人员生活补助及时、足额发放，自评得分100分。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提高预算编制质量，严格执行预算，保障单位日常运转。</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严格执行预算，严格支出审核，充分保障工会会员权益和职工福利。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严格执行工会经费和福利费管理办法，加强经费支出审核，严格执行预算，保障单位日常运转。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0.53</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0.53</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0.53</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i/>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0.53</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0.53</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0.53</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科目调整次数</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5</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次</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质量指标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预算编制准确率（计算方法为：∣（执行数-预算数）/预算数∣）</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5</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经济效益指标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“三公经费”控制率[计算方法为：（三公经费实际支出数/预算安排数]×100%）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运转保障率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rPr>
                <w:rFonts w:ascii="宋体" w:cs="Lucida Sans"/>
                <w:color w:val="000000"/>
                <w:sz w:val="18"/>
              </w:rPr>
            </w:pPr>
            <w:r>
              <w:rPr>
                <w:rFonts w:ascii="宋体" w:cs="Lucida Sans"/>
                <w:color w:val="000000"/>
                <w:sz w:val="18"/>
              </w:rPr>
              <w:t>100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严格执行工会经费和福利费管理办法，加强经费支出审核，严格执行预算，保障了单位日常运转，自评得分100分。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提高预算编制质量，严格执行预算，保障单位日常运转。</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严格执行预算，保障了退休活动有序开展，加强了党建工作。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严格执行预算，党建工作和退休活动按年度计划有序开展。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0.92</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0.92</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0.92</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i/>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0.92</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0.92</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0.92</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科目调整次数</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5</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次</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olor w:val="000000"/>
                <w:sz w:val="18"/>
              </w:rPr>
            </w:pP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质量指标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预算编制准确率（计算方法为：∣（执行数-预算数）/预算数∣）</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5</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olor w:val="000000"/>
                <w:sz w:val="18"/>
              </w:rPr>
            </w:pP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经济效益指标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“三公经费”控制率[计算方法为：（三公经费实际支出数/预算安排数]×100%）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olor w:val="000000"/>
                <w:sz w:val="18"/>
              </w:rPr>
            </w:pP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运转保障率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olor w:val="000000"/>
                <w:sz w:val="18"/>
              </w:rPr>
            </w:pP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color w:val="000000"/>
                <w:sz w:val="16"/>
              </w:rPr>
            </w:pPr>
            <w:r>
              <w:rPr>
                <w:rFonts w:ascii="微软雅黑" w:eastAsia="微软雅黑" w:cs="Lucida Sans"/>
                <w:color w:val="000000"/>
                <w:sz w:val="16"/>
              </w:rPr>
              <w:t>严格执行预算，党建工作和退休活动按年度计划有序开展，自评得分100分。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严格执行相关政策，保障工资及时、足额发放或社保及时、足额缴纳，预算编制科学合理，减少结余资金</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严格执行相关政策，保障了工资及时、足额发放。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及时开展人员清算，严格执行事业人员工资政策，及时、足额发放工资。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4.36</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3.78</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86.73%</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i/>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4.36</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3.78</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86.73%</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发放（缴纳）覆盖率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r>
              <w:rPr>
                <w:rFonts w:ascii="微软雅黑" w:eastAsia="微软雅黑" w:cs="Lucida Sans"/>
                <w:i/>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olor w:val="000000"/>
                <w:sz w:val="18"/>
              </w:rPr>
            </w:pP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足额保障率（参保率）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r>
              <w:rPr>
                <w:rFonts w:ascii="微软雅黑" w:eastAsia="微软雅黑" w:cs="Lucida Sans"/>
                <w:i/>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olor w:val="000000"/>
                <w:sz w:val="18"/>
              </w:rPr>
            </w:pP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及时开展人员清算，严格执行事业人员工资政策，及时、足额发放工资，自评得分100分。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p>
            <w:pPr>
              <w:pStyle w:val="2"/>
            </w:pPr>
          </w:p>
          <w:p>
            <w:pPr>
              <w:pStyle w:val="2"/>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51080022R000006850233-财政全额供养“退休中人”一次性补贴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严格执行相关政策，保障工资及时、足额发放或社保及时、足额缴纳，预算编制科学合理，减少结余资金</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预算下达后，予以及时、足额发放。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r>
              <w:rPr>
                <w:rFonts w:ascii="宋体"/>
                <w:color w:val="000000"/>
                <w:sz w:val="18"/>
                <w:szCs w:val="18"/>
              </w:rPr>
              <w:t>报请人社局对单位财政全额供养“退休中人”一次性补贴及时核定，财政下达资金后，单位及时、足额发放。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2.04</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2.04</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i/>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2.04</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2.04</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发放（缴纳）覆盖率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r>
              <w:rPr>
                <w:rFonts w:ascii="微软雅黑" w:eastAsia="微软雅黑" w:cs="Lucida Sans"/>
                <w:i/>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足额保障率（参保率）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r>
              <w:rPr>
                <w:rFonts w:ascii="微软雅黑" w:eastAsia="微软雅黑" w:cs="Lucida Sans"/>
                <w:i/>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rPr>
                <w:rFonts w:ascii="宋体" w:cs="Lucida Sans"/>
                <w:color w:val="000000"/>
                <w:sz w:val="18"/>
              </w:rPr>
            </w:pPr>
            <w:r>
              <w:rPr>
                <w:rFonts w:ascii="宋体" w:cs="Lucida Sans"/>
                <w:color w:val="000000"/>
                <w:sz w:val="18"/>
              </w:rPr>
              <w:t>100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r>
              <w:rPr>
                <w:rFonts w:ascii="微软雅黑" w:eastAsia="微软雅黑"/>
                <w:color w:val="000000"/>
                <w:sz w:val="16"/>
                <w:szCs w:val="16"/>
              </w:rPr>
              <w:t>严格执行预算，及时、足额发放退休中人”一次性补贴，自评得分100分。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pPr>
              <w:rPr>
                <w:rFonts w:ascii="宋体"/>
                <w:sz w:val="18"/>
              </w:rPr>
            </w:pPr>
          </w:p>
          <w:p>
            <w:pPr>
              <w:pStyle w:val="2"/>
            </w:pPr>
          </w:p>
          <w:p>
            <w:pPr>
              <w:pStyle w:val="2"/>
            </w:pPr>
          </w:p>
          <w:p>
            <w:pPr>
              <w:pStyle w:val="2"/>
            </w:pPr>
          </w:p>
          <w:p>
            <w:pPr>
              <w:pStyle w:val="2"/>
            </w:pPr>
          </w:p>
          <w:p>
            <w:pPr>
              <w:pStyle w:val="2"/>
            </w:pPr>
          </w:p>
          <w:p>
            <w:pPr>
              <w:pStyle w:val="2"/>
            </w:pPr>
          </w:p>
          <w:p>
            <w:pPr>
              <w:pStyle w:val="2"/>
            </w:pPr>
          </w:p>
          <w:p>
            <w:pPr>
              <w:pStyle w:val="2"/>
            </w:pPr>
          </w:p>
        </w:tc>
        <w:tc>
          <w:tcPr>
            <w:tcW w:w="2130" w:type="dxa"/>
            <w:tcBorders>
              <w:top w:val="nil"/>
              <w:left w:val="nil"/>
              <w:bottom w:val="nil"/>
              <w:right w:val="nil"/>
              <w:tl2br w:val="nil"/>
              <w:tr2bl w:val="nil"/>
            </w:tcBorders>
            <w:noWrap/>
            <w:vAlign w:val="center"/>
          </w:tcPr>
          <w:p>
            <w:pPr>
              <w:rPr>
                <w:rFonts w:ascii="宋体"/>
                <w:sz w:val="18"/>
              </w:rPr>
            </w:pPr>
          </w:p>
        </w:tc>
        <w:tc>
          <w:tcPr>
            <w:tcW w:w="1324" w:type="dxa"/>
            <w:tcBorders>
              <w:top w:val="nil"/>
              <w:left w:val="nil"/>
              <w:bottom w:val="nil"/>
              <w:right w:val="nil"/>
              <w:tl2br w:val="nil"/>
              <w:tr2bl w:val="nil"/>
            </w:tcBorders>
            <w:noWrap/>
            <w:vAlign w:val="center"/>
          </w:tcPr>
          <w:p>
            <w:pPr>
              <w:rPr>
                <w:rFonts w:ascii="宋体"/>
                <w:sz w:val="18"/>
              </w:rPr>
            </w:pPr>
          </w:p>
        </w:tc>
        <w:tc>
          <w:tcPr>
            <w:tcW w:w="1559"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25" w:type="dxa"/>
            <w:tcBorders>
              <w:top w:val="nil"/>
              <w:left w:val="nil"/>
              <w:bottom w:val="nil"/>
              <w:right w:val="nil"/>
              <w:tl2br w:val="nil"/>
              <w:tr2bl w:val="nil"/>
            </w:tcBorders>
            <w:noWrap/>
            <w:vAlign w:val="center"/>
          </w:tcPr>
          <w:p>
            <w:pPr>
              <w:rPr>
                <w:rFonts w:ascii="宋体"/>
                <w:sz w:val="18"/>
              </w:rPr>
            </w:pPr>
          </w:p>
        </w:tc>
        <w:tc>
          <w:tcPr>
            <w:tcW w:w="600" w:type="dxa"/>
            <w:tcBorders>
              <w:top w:val="nil"/>
              <w:left w:val="nil"/>
              <w:bottom w:val="nil"/>
              <w:right w:val="nil"/>
              <w:tl2br w:val="nil"/>
              <w:tr2bl w:val="nil"/>
            </w:tcBorders>
            <w:noWrap/>
            <w:vAlign w:val="center"/>
          </w:tcPr>
          <w:p>
            <w:pPr>
              <w:rPr>
                <w:rFonts w:ascii="宋体"/>
                <w:sz w:val="18"/>
              </w:rPr>
            </w:pPr>
          </w:p>
        </w:tc>
        <w:tc>
          <w:tcPr>
            <w:tcW w:w="1447" w:type="dxa"/>
            <w:tcBorders>
              <w:top w:val="nil"/>
              <w:left w:val="nil"/>
              <w:bottom w:val="nil"/>
              <w:right w:val="nil"/>
              <w:tl2br w:val="nil"/>
              <w:tr2bl w:val="nil"/>
            </w:tcBorders>
            <w:noWrap/>
            <w:vAlign w:val="center"/>
          </w:tcPr>
          <w:p>
            <w:pPr>
              <w:rPr>
                <w:rFonts w:ascii="宋体"/>
                <w:sz w:val="18"/>
              </w:rPr>
            </w:pPr>
          </w:p>
        </w:tc>
        <w:tc>
          <w:tcPr>
            <w:tcW w:w="1245" w:type="dxa"/>
            <w:tcBorders>
              <w:top w:val="nil"/>
              <w:left w:val="nil"/>
              <w:bottom w:val="nil"/>
              <w:right w:val="nil"/>
              <w:tl2br w:val="nil"/>
              <w:tr2bl w:val="nil"/>
            </w:tcBorders>
            <w:noWrap/>
            <w:vAlign w:val="center"/>
          </w:tcPr>
          <w:p>
            <w:pPr>
              <w:rPr>
                <w:rFonts w:ascii="宋体"/>
                <w:sz w:val="18"/>
              </w:rPr>
            </w:pPr>
          </w:p>
        </w:tc>
        <w:tc>
          <w:tcPr>
            <w:tcW w:w="952" w:type="dxa"/>
            <w:tcBorders>
              <w:top w:val="nil"/>
              <w:left w:val="nil"/>
              <w:bottom w:val="nil"/>
              <w:right w:val="nil"/>
              <w:tl2br w:val="nil"/>
              <w:tr2bl w:val="nil"/>
            </w:tcBorders>
            <w:noWrap/>
            <w:vAlign w:val="center"/>
          </w:tcPr>
          <w:p>
            <w:pPr>
              <w:rPr>
                <w:rFonts w:ascii="宋体"/>
                <w:sz w:val="18"/>
              </w:rPr>
            </w:pPr>
          </w:p>
        </w:tc>
        <w:tc>
          <w:tcPr>
            <w:tcW w:w="2095" w:type="dxa"/>
            <w:tcBorders>
              <w:top w:val="nil"/>
              <w:left w:val="nil"/>
              <w:bottom w:val="nil"/>
              <w:right w:val="nil"/>
              <w:tl2br w:val="nil"/>
              <w:tr2bl w:val="nil"/>
            </w:tcBorders>
            <w:noWrap/>
            <w:vAlign w:val="center"/>
          </w:tcPr>
          <w:p>
            <w:pPr>
              <w:rPr>
                <w:rFonts w:ascii="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4142"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b/>
                <w:color w:val="000000"/>
                <w:sz w:val="30"/>
              </w:rPr>
            </w:pPr>
            <w:r>
              <w:rPr>
                <w:rFonts w:ascii="黑体" w:eastAsia="黑体" w:cs="Lucida Sans"/>
                <w:b/>
                <w:color w:val="000000"/>
                <w:sz w:val="30"/>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项目名称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89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主管部门</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广元市应急管理局部门</w:t>
            </w:r>
          </w:p>
        </w:tc>
        <w:tc>
          <w:tcPr>
            <w:tcW w:w="1447" w:type="dxa"/>
            <w:tcBorders>
              <w:top w:val="nil"/>
              <w:left w:val="nil"/>
              <w:bottom w:val="nil"/>
              <w:right w:val="nil"/>
              <w:tl2br w:val="nil"/>
              <w:tr2bl w:val="nil"/>
            </w:tcBorders>
            <w:noWrap/>
            <w:vAlign w:val="center"/>
          </w:tcPr>
          <w:p>
            <w:pPr>
              <w:rPr>
                <w:rFonts w:ascii="黑体" w:eastAsia="黑体" w:cs="Lucida Sans"/>
                <w:color w:val="000000"/>
                <w:sz w:val="18"/>
              </w:rPr>
            </w:pPr>
            <w:r>
              <w:rPr>
                <w:rFonts w:ascii="黑体" w:eastAsia="黑体" w:cs="Lucida Sans"/>
                <w:color w:val="000000"/>
                <w:sz w:val="18"/>
              </w:rPr>
              <w:t>实施单位 （盖章）</w:t>
            </w:r>
          </w:p>
        </w:tc>
        <w:tc>
          <w:tcPr>
            <w:tcW w:w="4292"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广元市安全生产风险研判中心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项目基本情况</w:t>
            </w:r>
          </w:p>
        </w:tc>
        <w:tc>
          <w:tcPr>
            <w:tcW w:w="213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1.项目年度目标完成情况</w:t>
            </w: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项目年度目标</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黑体" w:eastAsia="黑体" w:cs="Lucida Sans"/>
                <w:color w:val="000000"/>
                <w:sz w:val="18"/>
              </w:rPr>
            </w:pPr>
            <w:r>
              <w:rPr>
                <w:rFonts w:ascii="黑体" w:eastAsia="黑体" w:cs="Lucida Sans"/>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50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严格执行相关政策，保障工资及时、足额发放或社保及时、足额缴纳，预算编制科学合理，减少结余资金</w:t>
            </w:r>
          </w:p>
        </w:tc>
        <w:tc>
          <w:tcPr>
            <w:tcW w:w="5739"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严格执行抚恤金相关政策，保障了代管退休人员死亡抚恤金及时、足额发放。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2.项目实施内容及过程概述</w:t>
            </w:r>
          </w:p>
        </w:tc>
        <w:tc>
          <w:tcPr>
            <w:tcW w:w="11247"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严格执行相关政策，认真核实代管退休人员抚恤金发放依据和标准，及时、足额发放。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预算执行情况（10分）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年度预算数（万元）</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年初预算</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调整后预算数</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预算执行数</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预算执行率</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总额</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10.06</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8.55</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85.06%</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w:t>
            </w:r>
          </w:p>
        </w:tc>
        <w:tc>
          <w:tcPr>
            <w:tcW w:w="209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代管退休人员张仕轩死亡丧葬费不符合发放政策，丧葬费1.51万元退还财政。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其中：财政资金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10.06</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8.55</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85.06%</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财政专户管理资金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单位资金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0.00%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其他资金</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26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i/>
                <w:color w:val="000000"/>
                <w:sz w:val="16"/>
              </w:rPr>
            </w:pP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209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绩效指标（90分）</w:t>
            </w: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一级指标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二级指标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指标性质</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度量单位</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完成值</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权重</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得分</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产出指标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数量指标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发放（缴纳）覆盖率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60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765"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1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效益指标</w:t>
            </w:r>
          </w:p>
        </w:tc>
        <w:tc>
          <w:tcPr>
            <w:tcW w:w="132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社会效益指标</w:t>
            </w:r>
          </w:p>
        </w:tc>
        <w:tc>
          <w:tcPr>
            <w:tcW w:w="155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足额保障率（参保率）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w:t>
            </w:r>
          </w:p>
        </w:tc>
        <w:tc>
          <w:tcPr>
            <w:tcW w:w="1447"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cs="Lucida Sans"/>
                <w:color w:val="000000"/>
                <w:sz w:val="16"/>
              </w:rPr>
            </w:pPr>
            <w:r>
              <w:rPr>
                <w:rFonts w:ascii="微软雅黑" w:eastAsia="微软雅黑" w:cs="Lucida Sans"/>
                <w:color w:val="000000"/>
                <w:sz w:val="16"/>
              </w:rPr>
              <w:t>100</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30</w:t>
            </w: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微软雅黑" w:eastAsia="微软雅黑"/>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985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合计</w:t>
            </w:r>
          </w:p>
        </w:tc>
        <w:tc>
          <w:tcPr>
            <w:tcW w:w="124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100</w:t>
            </w:r>
          </w:p>
        </w:tc>
        <w:tc>
          <w:tcPr>
            <w:tcW w:w="952"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c>
          <w:tcPr>
            <w:tcW w:w="20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评价结论</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宋体" w:cs="Lucida Sans"/>
                <w:color w:val="000000"/>
                <w:sz w:val="18"/>
              </w:rPr>
            </w:pPr>
            <w:r>
              <w:rPr>
                <w:rFonts w:ascii="宋体" w:cs="Lucida Sans"/>
                <w:color w:val="000000"/>
                <w:sz w:val="18"/>
              </w:rPr>
              <w:t>严格执行相关政策，认真核实代管退休人员抚恤金发放依据和标准，及时、足额发放，自评得分100分。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存在问题</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rFonts w:ascii="宋体" w:cs="Lucida Sans"/>
                <w:color w:val="000000"/>
                <w:sz w:val="18"/>
              </w:rPr>
            </w:pPr>
            <w:r>
              <w:rPr>
                <w:rFonts w:ascii="宋体" w:cs="Lucida Sans"/>
                <w:color w:val="000000"/>
                <w:sz w:val="18"/>
              </w:rPr>
              <w:t>改进措施</w:t>
            </w:r>
          </w:p>
        </w:tc>
        <w:tc>
          <w:tcPr>
            <w:tcW w:w="133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微软雅黑" w:eastAsia="微软雅黑" w:cs="Lucida Sans"/>
                <w:i/>
                <w:color w:val="000000"/>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7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项目负责人：王志明</w:t>
            </w:r>
          </w:p>
        </w:tc>
        <w:tc>
          <w:tcPr>
            <w:tcW w:w="776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rPr>
                <w:rFonts w:ascii="黑体" w:eastAsia="黑体" w:cs="Lucida Sans"/>
                <w:color w:val="000000"/>
                <w:sz w:val="18"/>
              </w:rPr>
            </w:pPr>
            <w:r>
              <w:rPr>
                <w:rFonts w:ascii="黑体" w:eastAsia="黑体" w:cs="Lucida Sans"/>
                <w:color w:val="000000"/>
                <w:sz w:val="18"/>
              </w:rPr>
              <w:t>财务负责人：王志明</w:t>
            </w:r>
          </w:p>
        </w:tc>
      </w:tr>
    </w:tbl>
    <w:p>
      <w:pPr>
        <w:pStyle w:val="2"/>
        <w:spacing w:line="20" w:lineRule="exact"/>
        <w:rPr>
          <w:rFonts w:ascii="仿宋_GB2312" w:eastAsia="仿宋_GB2312" w:cs="仿宋"/>
          <w:kern w:val="0"/>
          <w:sz w:val="32"/>
          <w:szCs w:val="32"/>
        </w:rPr>
      </w:pPr>
    </w:p>
    <w:p>
      <w:pPr>
        <w:pStyle w:val="2"/>
        <w:spacing w:line="20" w:lineRule="exact"/>
        <w:rPr>
          <w:rFonts w:ascii="仿宋_GB2312" w:eastAsia="仿宋_GB2312" w:cs="仿宋"/>
          <w:kern w:val="0"/>
          <w:sz w:val="32"/>
          <w:szCs w:val="32"/>
        </w:rPr>
      </w:pPr>
    </w:p>
    <w:p>
      <w:pPr>
        <w:pStyle w:val="2"/>
        <w:spacing w:line="20" w:lineRule="exact"/>
        <w:rPr>
          <w:rFonts w:ascii="仿宋_GB2312" w:eastAsia="仿宋_GB2312" w:cs="仿宋"/>
          <w:kern w:val="0"/>
          <w:sz w:val="32"/>
          <w:szCs w:val="32"/>
        </w:rPr>
      </w:pPr>
    </w:p>
    <w:p>
      <w:pPr>
        <w:pStyle w:val="2"/>
        <w:spacing w:line="20" w:lineRule="exact"/>
        <w:rPr>
          <w:rFonts w:ascii="仿宋_GB2312" w:eastAsia="仿宋_GB2312" w:cs="仿宋"/>
          <w:kern w:val="0"/>
          <w:sz w:val="32"/>
          <w:szCs w:val="32"/>
        </w:rPr>
      </w:pPr>
    </w:p>
    <w:p>
      <w:pPr>
        <w:pStyle w:val="2"/>
        <w:spacing w:line="20" w:lineRule="exact"/>
        <w:rPr>
          <w:rFonts w:ascii="仿宋_GB2312" w:eastAsia="仿宋_GB2312" w:cs="仿宋"/>
          <w:kern w:val="0"/>
          <w:sz w:val="32"/>
          <w:szCs w:val="32"/>
        </w:rPr>
      </w:pPr>
    </w:p>
    <w:p>
      <w:pPr>
        <w:rPr>
          <w:rFonts w:ascii="黑体" w:eastAsia="黑体"/>
          <w:sz w:val="44"/>
          <w:szCs w:val="44"/>
        </w:rPr>
        <w:sectPr>
          <w:footerReference r:id="rId5" w:type="default"/>
          <w:pgSz w:w="16838" w:h="11906" w:orient="landscape"/>
          <w:pgMar w:top="2098" w:right="1588" w:bottom="1985" w:left="1588" w:header="720" w:footer="1701" w:gutter="0"/>
          <w:cols w:space="720" w:num="1"/>
          <w:docGrid w:type="linesAndChars" w:linePitch="312" w:charSpace="0"/>
        </w:sectPr>
      </w:pPr>
    </w:p>
    <w:p>
      <w:pPr>
        <w:pStyle w:val="2"/>
      </w:pPr>
    </w:p>
    <w:p>
      <w:pPr>
        <w:pStyle w:val="13"/>
      </w:pPr>
      <w:bookmarkStart w:id="50" w:name="_Toc22394"/>
      <w:r>
        <w:rPr>
          <w:rFonts w:hint="eastAsia"/>
        </w:rPr>
        <w:t>第</w:t>
      </w:r>
      <w:r>
        <w:rPr>
          <w:rStyle w:val="18"/>
          <w:rFonts w:hint="eastAsia" w:ascii="Calibri Light" w:hAnsi="Calibri Light" w:eastAsia="方正小标宋简体" w:cs="Times New Roman"/>
          <w:b w:val="0"/>
          <w:bCs/>
          <w:kern w:val="2"/>
          <w:szCs w:val="32"/>
        </w:rPr>
        <w:t>五部分 附表</w:t>
      </w:r>
      <w:bookmarkEnd w:id="50"/>
    </w:p>
    <w:p>
      <w:pPr>
        <w:pStyle w:val="2"/>
      </w:pPr>
    </w:p>
    <w:p>
      <w:pPr>
        <w:pStyle w:val="4"/>
        <w:spacing w:before="0" w:after="0" w:line="576" w:lineRule="exact"/>
        <w:ind w:firstLine="640" w:firstLineChars="200"/>
        <w:rPr>
          <w:rFonts w:ascii="仿宋" w:eastAsia="仿宋"/>
          <w:b w:val="0"/>
          <w:bCs w:val="0"/>
        </w:rPr>
      </w:pPr>
      <w:bookmarkStart w:id="51" w:name="_Toc21578"/>
      <w:r>
        <w:rPr>
          <w:rFonts w:hint="eastAsia" w:ascii="仿宋" w:eastAsia="仿宋"/>
          <w:b w:val="0"/>
          <w:bCs w:val="0"/>
        </w:rPr>
        <w:t>一、收</w:t>
      </w:r>
      <w:r>
        <w:rPr>
          <w:rStyle w:val="19"/>
          <w:rFonts w:hint="eastAsia" w:ascii="仿宋" w:eastAsia="仿宋"/>
          <w:b w:val="0"/>
          <w:bCs w:val="0"/>
        </w:rPr>
        <w:t>入支出决算总表</w:t>
      </w:r>
      <w:bookmarkEnd w:id="51"/>
    </w:p>
    <w:p>
      <w:pPr>
        <w:pStyle w:val="4"/>
        <w:spacing w:before="0" w:after="0" w:line="576" w:lineRule="exact"/>
        <w:ind w:firstLine="640" w:firstLineChars="200"/>
        <w:rPr>
          <w:rFonts w:ascii="仿宋" w:eastAsia="仿宋"/>
          <w:b w:val="0"/>
          <w:bCs w:val="0"/>
        </w:rPr>
      </w:pPr>
      <w:bookmarkStart w:id="52" w:name="_Toc1665"/>
      <w:r>
        <w:rPr>
          <w:rFonts w:hint="eastAsia" w:ascii="仿宋" w:eastAsia="仿宋"/>
          <w:b w:val="0"/>
          <w:bCs w:val="0"/>
        </w:rPr>
        <w:t>二、收</w:t>
      </w:r>
      <w:r>
        <w:rPr>
          <w:rStyle w:val="19"/>
          <w:rFonts w:hint="eastAsia" w:ascii="仿宋" w:eastAsia="仿宋"/>
          <w:b w:val="0"/>
          <w:bCs w:val="0"/>
        </w:rPr>
        <w:t>入决算表</w:t>
      </w:r>
      <w:bookmarkEnd w:id="52"/>
    </w:p>
    <w:p>
      <w:pPr>
        <w:pStyle w:val="4"/>
        <w:spacing w:before="0" w:after="0" w:line="576" w:lineRule="exact"/>
        <w:ind w:firstLine="640" w:firstLineChars="200"/>
        <w:rPr>
          <w:rFonts w:ascii="仿宋" w:eastAsia="仿宋"/>
          <w:b w:val="0"/>
          <w:bCs w:val="0"/>
        </w:rPr>
      </w:pPr>
      <w:bookmarkStart w:id="53" w:name="_Toc3604"/>
      <w:r>
        <w:rPr>
          <w:rStyle w:val="19"/>
          <w:rFonts w:hint="eastAsia" w:ascii="仿宋" w:eastAsia="仿宋"/>
          <w:b w:val="0"/>
          <w:bCs w:val="0"/>
        </w:rPr>
        <w:t>三、</w:t>
      </w:r>
      <w:r>
        <w:rPr>
          <w:rFonts w:hint="eastAsia" w:ascii="仿宋" w:eastAsia="仿宋"/>
          <w:b w:val="0"/>
          <w:bCs w:val="0"/>
        </w:rPr>
        <w:t>支</w:t>
      </w:r>
      <w:r>
        <w:rPr>
          <w:rStyle w:val="19"/>
          <w:rFonts w:hint="eastAsia" w:ascii="仿宋" w:eastAsia="仿宋"/>
          <w:b w:val="0"/>
          <w:bCs w:val="0"/>
        </w:rPr>
        <w:t>出决算表</w:t>
      </w:r>
      <w:bookmarkEnd w:id="53"/>
    </w:p>
    <w:p>
      <w:pPr>
        <w:pStyle w:val="4"/>
        <w:spacing w:before="0" w:after="0" w:line="576" w:lineRule="exact"/>
        <w:ind w:firstLine="640" w:firstLineChars="200"/>
        <w:rPr>
          <w:rFonts w:ascii="仿宋" w:eastAsia="仿宋"/>
          <w:b w:val="0"/>
          <w:bCs w:val="0"/>
        </w:rPr>
      </w:pPr>
      <w:bookmarkStart w:id="54" w:name="_Toc5157"/>
      <w:r>
        <w:rPr>
          <w:rStyle w:val="19"/>
          <w:rFonts w:hint="eastAsia" w:ascii="仿宋" w:eastAsia="仿宋"/>
          <w:b w:val="0"/>
          <w:bCs w:val="0"/>
        </w:rPr>
        <w:t>四、</w:t>
      </w:r>
      <w:r>
        <w:rPr>
          <w:rFonts w:hint="eastAsia" w:ascii="仿宋" w:eastAsia="仿宋"/>
          <w:b w:val="0"/>
          <w:bCs w:val="0"/>
        </w:rPr>
        <w:t>财</w:t>
      </w:r>
      <w:r>
        <w:rPr>
          <w:rStyle w:val="19"/>
          <w:rFonts w:hint="eastAsia" w:ascii="仿宋" w:eastAsia="仿宋"/>
          <w:b w:val="0"/>
          <w:bCs w:val="0"/>
        </w:rPr>
        <w:t>政拨款收入支出决算总表</w:t>
      </w:r>
      <w:bookmarkEnd w:id="54"/>
    </w:p>
    <w:p>
      <w:pPr>
        <w:pStyle w:val="4"/>
        <w:spacing w:before="0" w:after="0" w:line="576" w:lineRule="exact"/>
        <w:ind w:firstLine="640" w:firstLineChars="200"/>
        <w:rPr>
          <w:rStyle w:val="19"/>
          <w:rFonts w:ascii="仿宋" w:eastAsia="仿宋"/>
          <w:b w:val="0"/>
          <w:bCs w:val="0"/>
        </w:rPr>
      </w:pPr>
      <w:bookmarkStart w:id="55" w:name="_Toc1348"/>
      <w:r>
        <w:rPr>
          <w:rStyle w:val="19"/>
          <w:rFonts w:hint="eastAsia" w:ascii="仿宋" w:eastAsia="仿宋"/>
          <w:b w:val="0"/>
          <w:bCs w:val="0"/>
        </w:rPr>
        <w:t>五、</w:t>
      </w:r>
      <w:r>
        <w:rPr>
          <w:rFonts w:hint="eastAsia" w:ascii="仿宋" w:eastAsia="仿宋"/>
          <w:b w:val="0"/>
          <w:bCs w:val="0"/>
        </w:rPr>
        <w:t>财</w:t>
      </w:r>
      <w:r>
        <w:rPr>
          <w:rStyle w:val="19"/>
          <w:rFonts w:hint="eastAsia" w:ascii="仿宋" w:eastAsia="仿宋"/>
          <w:b w:val="0"/>
          <w:bCs w:val="0"/>
        </w:rPr>
        <w:t>政拨款支出决算明细表</w:t>
      </w:r>
      <w:bookmarkEnd w:id="55"/>
    </w:p>
    <w:p>
      <w:pPr>
        <w:pStyle w:val="4"/>
        <w:spacing w:before="0" w:after="0" w:line="576" w:lineRule="exact"/>
        <w:ind w:firstLine="640" w:firstLineChars="200"/>
        <w:rPr>
          <w:rFonts w:ascii="仿宋" w:eastAsia="仿宋"/>
          <w:b w:val="0"/>
          <w:bCs w:val="0"/>
        </w:rPr>
      </w:pPr>
      <w:bookmarkStart w:id="56" w:name="_Toc23270"/>
      <w:r>
        <w:rPr>
          <w:rStyle w:val="19"/>
          <w:rFonts w:hint="eastAsia" w:ascii="仿宋" w:eastAsia="仿宋"/>
          <w:b w:val="0"/>
          <w:bCs w:val="0"/>
        </w:rPr>
        <w:t>六、</w:t>
      </w:r>
      <w:r>
        <w:rPr>
          <w:rFonts w:hint="eastAsia" w:ascii="仿宋" w:eastAsia="仿宋"/>
          <w:b w:val="0"/>
          <w:bCs w:val="0"/>
        </w:rPr>
        <w:t>一</w:t>
      </w:r>
      <w:r>
        <w:rPr>
          <w:rStyle w:val="19"/>
          <w:rFonts w:hint="eastAsia" w:ascii="仿宋" w:eastAsia="仿宋"/>
          <w:b w:val="0"/>
          <w:bCs w:val="0"/>
        </w:rPr>
        <w:t>般公共预算财政拨款支出决算表</w:t>
      </w:r>
      <w:bookmarkEnd w:id="56"/>
    </w:p>
    <w:p>
      <w:pPr>
        <w:pStyle w:val="4"/>
        <w:spacing w:before="0" w:after="0" w:line="576" w:lineRule="exact"/>
        <w:ind w:firstLine="640" w:firstLineChars="200"/>
        <w:rPr>
          <w:rFonts w:ascii="仿宋" w:eastAsia="仿宋"/>
          <w:b w:val="0"/>
          <w:bCs w:val="0"/>
        </w:rPr>
      </w:pPr>
      <w:bookmarkStart w:id="57" w:name="_Toc1583"/>
      <w:r>
        <w:rPr>
          <w:rStyle w:val="19"/>
          <w:rFonts w:hint="eastAsia" w:ascii="仿宋" w:eastAsia="仿宋"/>
          <w:b w:val="0"/>
          <w:bCs w:val="0"/>
        </w:rPr>
        <w:t>七、</w:t>
      </w:r>
      <w:r>
        <w:rPr>
          <w:rFonts w:hint="eastAsia" w:ascii="仿宋" w:eastAsia="仿宋"/>
          <w:b w:val="0"/>
          <w:bCs w:val="0"/>
        </w:rPr>
        <w:t>一</w:t>
      </w:r>
      <w:r>
        <w:rPr>
          <w:rStyle w:val="19"/>
          <w:rFonts w:hint="eastAsia" w:ascii="仿宋" w:eastAsia="仿宋"/>
          <w:b w:val="0"/>
          <w:bCs w:val="0"/>
        </w:rPr>
        <w:t>般公共预算财政拨款支出决算明细表</w:t>
      </w:r>
      <w:bookmarkEnd w:id="57"/>
    </w:p>
    <w:p>
      <w:pPr>
        <w:pStyle w:val="4"/>
        <w:spacing w:before="0" w:after="0" w:line="576" w:lineRule="exact"/>
        <w:ind w:firstLine="640" w:firstLineChars="200"/>
        <w:rPr>
          <w:rFonts w:ascii="仿宋" w:eastAsia="仿宋"/>
          <w:b w:val="0"/>
          <w:bCs w:val="0"/>
        </w:rPr>
      </w:pPr>
      <w:bookmarkStart w:id="58" w:name="_Toc18996"/>
      <w:r>
        <w:rPr>
          <w:rStyle w:val="19"/>
          <w:rFonts w:hint="eastAsia" w:ascii="仿宋" w:eastAsia="仿宋"/>
          <w:b w:val="0"/>
          <w:bCs w:val="0"/>
        </w:rPr>
        <w:t>八、</w:t>
      </w:r>
      <w:r>
        <w:rPr>
          <w:rFonts w:hint="eastAsia" w:ascii="仿宋" w:eastAsia="仿宋"/>
          <w:b w:val="0"/>
          <w:bCs w:val="0"/>
        </w:rPr>
        <w:t>一</w:t>
      </w:r>
      <w:r>
        <w:rPr>
          <w:rStyle w:val="19"/>
          <w:rFonts w:hint="eastAsia" w:ascii="仿宋" w:eastAsia="仿宋"/>
          <w:b w:val="0"/>
          <w:bCs w:val="0"/>
        </w:rPr>
        <w:t>般公共预算财政拨款基本支出决算表</w:t>
      </w:r>
      <w:bookmarkEnd w:id="58"/>
    </w:p>
    <w:p>
      <w:pPr>
        <w:pStyle w:val="4"/>
        <w:spacing w:before="0" w:after="0" w:line="576" w:lineRule="exact"/>
        <w:ind w:firstLine="640" w:firstLineChars="200"/>
        <w:rPr>
          <w:rFonts w:ascii="仿宋" w:eastAsia="仿宋"/>
          <w:b w:val="0"/>
          <w:bCs w:val="0"/>
        </w:rPr>
      </w:pPr>
      <w:bookmarkStart w:id="59" w:name="_Toc3381"/>
      <w:r>
        <w:rPr>
          <w:rStyle w:val="19"/>
          <w:rFonts w:hint="eastAsia" w:ascii="仿宋" w:eastAsia="仿宋"/>
          <w:b w:val="0"/>
          <w:bCs w:val="0"/>
        </w:rPr>
        <w:t>九、</w:t>
      </w:r>
      <w:r>
        <w:rPr>
          <w:rFonts w:hint="eastAsia" w:ascii="仿宋" w:eastAsia="仿宋"/>
          <w:b w:val="0"/>
          <w:bCs w:val="0"/>
        </w:rPr>
        <w:t>一</w:t>
      </w:r>
      <w:r>
        <w:rPr>
          <w:rStyle w:val="19"/>
          <w:rFonts w:hint="eastAsia" w:ascii="仿宋" w:eastAsia="仿宋"/>
          <w:b w:val="0"/>
          <w:bCs w:val="0"/>
        </w:rPr>
        <w:t>般公共预算财政拨款项目支出决算表</w:t>
      </w:r>
      <w:bookmarkEnd w:id="59"/>
    </w:p>
    <w:p>
      <w:pPr>
        <w:pStyle w:val="4"/>
        <w:spacing w:before="0" w:after="0" w:line="576" w:lineRule="exact"/>
        <w:ind w:firstLine="640" w:firstLineChars="200"/>
        <w:rPr>
          <w:rFonts w:ascii="仿宋" w:eastAsia="仿宋"/>
          <w:b w:val="0"/>
          <w:bCs w:val="0"/>
        </w:rPr>
      </w:pPr>
      <w:bookmarkStart w:id="60" w:name="_Toc13558"/>
      <w:r>
        <w:rPr>
          <w:rStyle w:val="19"/>
          <w:rFonts w:hint="eastAsia" w:ascii="仿宋" w:eastAsia="仿宋"/>
          <w:b w:val="0"/>
          <w:bCs w:val="0"/>
        </w:rPr>
        <w:t>十、</w:t>
      </w:r>
      <w:r>
        <w:rPr>
          <w:rFonts w:hint="eastAsia" w:ascii="仿宋" w:eastAsia="仿宋"/>
          <w:b w:val="0"/>
          <w:bCs w:val="0"/>
        </w:rPr>
        <w:t>政</w:t>
      </w:r>
      <w:r>
        <w:rPr>
          <w:rStyle w:val="19"/>
          <w:rFonts w:hint="eastAsia" w:ascii="仿宋" w:eastAsia="仿宋"/>
          <w:b w:val="0"/>
          <w:bCs w:val="0"/>
        </w:rPr>
        <w:t>府性基金预算财政拨款收入支出决算表</w:t>
      </w:r>
      <w:bookmarkEnd w:id="60"/>
    </w:p>
    <w:p>
      <w:pPr>
        <w:pStyle w:val="4"/>
        <w:spacing w:before="0" w:after="0" w:line="576" w:lineRule="exact"/>
        <w:ind w:firstLine="640" w:firstLineChars="200"/>
        <w:rPr>
          <w:rFonts w:ascii="仿宋" w:eastAsia="仿宋"/>
          <w:b w:val="0"/>
          <w:bCs w:val="0"/>
        </w:rPr>
      </w:pPr>
      <w:bookmarkStart w:id="61" w:name="_Toc20887"/>
      <w:r>
        <w:rPr>
          <w:rStyle w:val="19"/>
          <w:rFonts w:hint="eastAsia" w:ascii="仿宋" w:eastAsia="仿宋"/>
          <w:b w:val="0"/>
          <w:bCs w:val="0"/>
        </w:rPr>
        <w:t>十一、</w:t>
      </w:r>
      <w:r>
        <w:rPr>
          <w:rFonts w:hint="eastAsia" w:ascii="仿宋" w:eastAsia="仿宋"/>
          <w:b w:val="0"/>
          <w:bCs w:val="0"/>
        </w:rPr>
        <w:t>国</w:t>
      </w:r>
      <w:r>
        <w:rPr>
          <w:rStyle w:val="19"/>
          <w:rFonts w:hint="eastAsia" w:ascii="仿宋" w:eastAsia="仿宋"/>
          <w:b w:val="0"/>
          <w:bCs w:val="0"/>
        </w:rPr>
        <w:t>有资本经营预算财政拨款收入支出决算表</w:t>
      </w:r>
      <w:bookmarkEnd w:id="61"/>
    </w:p>
    <w:p>
      <w:pPr>
        <w:pStyle w:val="4"/>
        <w:spacing w:before="0" w:after="0" w:line="576" w:lineRule="exact"/>
        <w:ind w:firstLine="640" w:firstLineChars="200"/>
        <w:rPr>
          <w:rFonts w:ascii="仿宋" w:eastAsia="仿宋"/>
          <w:b w:val="0"/>
          <w:bCs w:val="0"/>
        </w:rPr>
      </w:pPr>
      <w:bookmarkStart w:id="62" w:name="_Toc19830"/>
      <w:r>
        <w:rPr>
          <w:rStyle w:val="19"/>
          <w:rFonts w:hint="eastAsia" w:ascii="仿宋" w:eastAsia="仿宋"/>
          <w:b w:val="0"/>
          <w:bCs w:val="0"/>
        </w:rPr>
        <w:t>十二、国有资本经营预算财政拨款支出决算表</w:t>
      </w:r>
      <w:bookmarkEnd w:id="62"/>
    </w:p>
    <w:p>
      <w:pPr>
        <w:pStyle w:val="4"/>
        <w:spacing w:before="0" w:after="0" w:line="576" w:lineRule="exact"/>
        <w:ind w:firstLine="640" w:firstLineChars="200"/>
        <w:rPr>
          <w:rStyle w:val="19"/>
          <w:rFonts w:ascii="仿宋" w:eastAsia="仿宋"/>
          <w:b w:val="0"/>
          <w:bCs w:val="0"/>
        </w:rPr>
      </w:pPr>
      <w:bookmarkStart w:id="63" w:name="_Toc31812"/>
      <w:r>
        <w:rPr>
          <w:rStyle w:val="19"/>
          <w:rFonts w:hint="eastAsia" w:ascii="仿宋" w:eastAsia="仿宋"/>
          <w:b w:val="0"/>
          <w:bCs w:val="0"/>
        </w:rPr>
        <w:t>十三、财政拨款“三公”经费支出决算表</w:t>
      </w:r>
      <w:bookmarkEnd w:id="63"/>
    </w:p>
    <w:p>
      <w:pPr>
        <w:pStyle w:val="2"/>
        <w:spacing w:after="0" w:line="576" w:lineRule="exact"/>
        <w:ind w:firstLine="420" w:firstLineChars="200"/>
      </w:pPr>
    </w:p>
    <w:sectPr>
      <w:pgSz w:w="11906" w:h="16838"/>
      <w:pgMar w:top="2098" w:right="1588" w:bottom="1985" w:left="1588" w:header="851" w:footer="1701"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Calibri Light">
    <w:altName w:val="Lucida Sans"/>
    <w:panose1 w:val="020F0302020204030204"/>
    <w:charset w:val="00"/>
    <w:family w:val="auto"/>
    <w:pitch w:val="default"/>
    <w:sig w:usb0="00000000" w:usb1="00000000" w:usb2="00000009" w:usb3="00000000" w:csb0="200001FF"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Lucida Sans">
    <w:panose1 w:val="020B0602030504020204"/>
    <w:charset w:val="00"/>
    <w:family w:val="swiss"/>
    <w:pitch w:val="default"/>
    <w:sig w:usb0="00000000" w:usb1="00000000" w:usb2="00000000" w:usb3="00000000" w:csb0="00000000" w:csb1="00000000"/>
  </w:font>
  <w:font w:name="微软雅黑">
    <w:altName w:val="黑体"/>
    <w:panose1 w:val="020B0503020204020204"/>
    <w:charset w:val="86"/>
    <w:family w:val="swiss"/>
    <w:pitch w:val="default"/>
    <w:sig w:usb0="00000000" w:usb1="00000000" w:usb2="00000016" w:usb3="00000000" w:csb0="0004001F" w:csb1="00000000"/>
  </w:font>
  <w:font w:name="Comic Sans MS">
    <w:panose1 w:val="030F0702030302020204"/>
    <w:charset w:val="00"/>
    <w:family w:val="auto"/>
    <w:pitch w:val="default"/>
    <w:sig w:usb0="00000287" w:usb1="00000000" w:usb2="00000000" w:usb3="00000000" w:csb0="2000009F"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right"/>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622300" cy="230505"/>
              <wp:effectExtent l="0" t="0" r="0" b="0"/>
              <wp:wrapNone/>
              <wp:docPr id="1" name="文本框 2"/>
              <wp:cNvGraphicFramePr/>
              <a:graphic xmlns:a="http://schemas.openxmlformats.org/drawingml/2006/main">
                <a:graphicData uri="http://schemas.microsoft.com/office/word/2010/wordprocessingShape">
                  <wps:wsp>
                    <wps:cNvSpPr/>
                    <wps:spPr>
                      <a:xfrm>
                        <a:off x="0" y="0"/>
                        <a:ext cx="622300" cy="230251"/>
                      </a:xfrm>
                      <a:prstGeom prst="rect">
                        <a:avLst/>
                      </a:prstGeom>
                      <a:noFill/>
                      <a:ln w="6350" cap="flat" cmpd="sng">
                        <a:noFill/>
                        <a:prstDash val="solid"/>
                        <a:round/>
                      </a:ln>
                    </wps:spPr>
                    <wps:txbx>
                      <w:txbxContent>
                        <w:p>
                          <w:pPr>
                            <w:pStyle w:val="8"/>
                            <w:rPr>
                              <w:rFonts w:hint="eastAsia" w:ascii="宋体" w:eastAsia="宋体" w:cs="宋体"/>
                              <w:sz w:val="28"/>
                              <w:szCs w:val="28"/>
                            </w:rPr>
                          </w:pPr>
                          <w:r>
                            <w:rPr>
                              <w:rFonts w:hint="eastAsia" w:ascii="宋体" w:eastAsia="宋体" w:cs="宋体"/>
                              <w:sz w:val="28"/>
                              <w:szCs w:val="28"/>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w:t>
                          </w:r>
                          <w:r>
                            <w:rPr>
                              <w:rFonts w:hint="eastAsia" w:ascii="宋体" w:eastAsia="宋体" w:cs="宋体"/>
                              <w:sz w:val="28"/>
                              <w:szCs w:val="28"/>
                            </w:rPr>
                            <w:fldChar w:fldCharType="end"/>
                          </w:r>
                          <w:r>
                            <w:rPr>
                              <w:rFonts w:hint="eastAsia" w:asci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rect id="文本框 2" o:spid="_x0000_s1026" o:spt="1" style="position:absolute;left:0pt;margin-top:0pt;height:18.15pt;width:49pt;mso-position-horizontal:outside;mso-position-horizontal-relative:margin;mso-wrap-style:none;z-index:251659264;mso-width-relative:page;mso-height-relative:page;" filled="f" stroked="f" coordsize="21600,21600" o:gfxdata="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BYAAABkcnMv&#10;UEsBAhQAFAAAAAgAh07iQByTaJXWAAAAAwEAAA8AAAAAAAAAAQAgAAAAOAAAAGRycy9kb3ducmV2&#10;LnhtbFBLAQIUABQAAAAIAIdO4kAmI3Qc6AEAAK4DAAAOAAAAAAAAAAEAIAAAADsBAABkcnMvZTJv&#10;RG9jLnhtbFBLBQYAAAAABgAGAFkBAACVBQAAAAA=&#10;">
              <v:fill on="f" focussize="0,0"/>
              <v:stroke on="f" weight="0.5pt" joinstyle="round"/>
              <v:imagedata o:title=""/>
              <o:lock v:ext="edit" aspectratio="f"/>
              <v:textbox inset="0mm,0mm,0mm,0mm" style="mso-fit-shape-to-text:t;">
                <w:txbxContent>
                  <w:p>
                    <w:pPr>
                      <w:pStyle w:val="8"/>
                      <w:rPr>
                        <w:rFonts w:hint="eastAsia" w:ascii="宋体" w:eastAsia="宋体" w:cs="宋体"/>
                        <w:sz w:val="28"/>
                        <w:szCs w:val="28"/>
                      </w:rPr>
                    </w:pPr>
                    <w:r>
                      <w:rPr>
                        <w:rFonts w:hint="eastAsia" w:ascii="宋体" w:eastAsia="宋体" w:cs="宋体"/>
                        <w:sz w:val="28"/>
                        <w:szCs w:val="28"/>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w:t>
                    </w:r>
                    <w:r>
                      <w:rPr>
                        <w:rFonts w:hint="eastAsia" w:ascii="宋体" w:eastAsia="宋体" w:cs="宋体"/>
                        <w:sz w:val="28"/>
                        <w:szCs w:val="28"/>
                      </w:rPr>
                      <w:fldChar w:fldCharType="end"/>
                    </w:r>
                    <w:r>
                      <w:rPr>
                        <w:rFonts w:hint="eastAsia" w:ascii="宋体" w:eastAsia="宋体" w:cs="宋体"/>
                        <w:sz w:val="28"/>
                        <w:szCs w:val="28"/>
                      </w:rPr>
                      <w:t xml:space="preserve"> —</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622300" cy="230505"/>
              <wp:effectExtent l="0" t="0" r="0" b="0"/>
              <wp:wrapNone/>
              <wp:docPr id="4" name="文本框 3"/>
              <wp:cNvGraphicFramePr/>
              <a:graphic xmlns:a="http://schemas.openxmlformats.org/drawingml/2006/main">
                <a:graphicData uri="http://schemas.microsoft.com/office/word/2010/wordprocessingShape">
                  <wps:wsp>
                    <wps:cNvSpPr/>
                    <wps:spPr>
                      <a:xfrm>
                        <a:off x="0" y="0"/>
                        <a:ext cx="622300" cy="230251"/>
                      </a:xfrm>
                      <a:prstGeom prst="rect">
                        <a:avLst/>
                      </a:prstGeom>
                      <a:noFill/>
                      <a:ln w="6350" cap="flat" cmpd="sng">
                        <a:noFill/>
                        <a:prstDash val="solid"/>
                        <a:round/>
                      </a:ln>
                    </wps:spPr>
                    <wps:txbx>
                      <w:txbxContent>
                        <w:p>
                          <w:pPr>
                            <w:pStyle w:val="8"/>
                            <w:rPr>
                              <w:rFonts w:hint="eastAsia" w:ascii="宋体" w:eastAsia="宋体" w:cs="宋体"/>
                              <w:sz w:val="28"/>
                              <w:szCs w:val="28"/>
                            </w:rPr>
                          </w:pPr>
                          <w:r>
                            <w:rPr>
                              <w:rFonts w:hint="eastAsia" w:ascii="宋体" w:eastAsia="宋体" w:cs="宋体"/>
                              <w:sz w:val="28"/>
                              <w:szCs w:val="28"/>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2</w:t>
                          </w:r>
                          <w:r>
                            <w:rPr>
                              <w:rFonts w:hint="eastAsia" w:ascii="宋体" w:eastAsia="宋体" w:cs="宋体"/>
                              <w:sz w:val="28"/>
                              <w:szCs w:val="28"/>
                            </w:rPr>
                            <w:fldChar w:fldCharType="end"/>
                          </w:r>
                          <w:r>
                            <w:rPr>
                              <w:rFonts w:hint="eastAsia" w:asci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rect id="文本框 3" o:spid="_x0000_s1026" o:spt="1" style="position:absolute;left:0pt;margin-top:0pt;height:18.15pt;width:49pt;mso-position-horizontal:outside;mso-position-horizontal-relative:margin;mso-wrap-style:none;z-index:251659264;mso-width-relative:page;mso-height-relative:page;" filled="f" stroked="f" coordsize="21600,21600" o:gfxdata="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BYAAABkcnMv&#10;UEsBAhQAFAAAAAgAh07iQByTaJXWAAAAAwEAAA8AAAAAAAAAAQAgAAAAOAAAAGRycy9kb3ducmV2&#10;LnhtbFBLAQIUABQAAAAIAIdO4kAuWHWA6AEAAK4DAAAOAAAAAAAAAAEAIAAAADsBAABkcnMvZTJv&#10;RG9jLnhtbFBLBQYAAAAABgAGAFkBAACVBQAAAAA=&#10;">
              <v:fill on="f" focussize="0,0"/>
              <v:stroke on="f" weight="0.5pt" joinstyle="round"/>
              <v:imagedata o:title=""/>
              <o:lock v:ext="edit" aspectratio="f"/>
              <v:textbox inset="0mm,0mm,0mm,0mm" style="mso-fit-shape-to-text:t;">
                <w:txbxContent>
                  <w:p>
                    <w:pPr>
                      <w:pStyle w:val="8"/>
                      <w:rPr>
                        <w:rFonts w:hint="eastAsia" w:ascii="宋体" w:eastAsia="宋体" w:cs="宋体"/>
                        <w:sz w:val="28"/>
                        <w:szCs w:val="28"/>
                      </w:rPr>
                    </w:pPr>
                    <w:r>
                      <w:rPr>
                        <w:rFonts w:hint="eastAsia" w:ascii="宋体" w:eastAsia="宋体" w:cs="宋体"/>
                        <w:sz w:val="28"/>
                        <w:szCs w:val="28"/>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2</w:t>
                    </w:r>
                    <w:r>
                      <w:rPr>
                        <w:rFonts w:hint="eastAsia" w:ascii="宋体" w:eastAsia="宋体" w:cs="宋体"/>
                        <w:sz w:val="28"/>
                        <w:szCs w:val="28"/>
                      </w:rPr>
                      <w:fldChar w:fldCharType="end"/>
                    </w:r>
                    <w:r>
                      <w:rPr>
                        <w:rFonts w:hint="eastAsia" w:ascii="宋体" w:eastAsia="宋体" w:cs="宋体"/>
                        <w:sz w:val="28"/>
                        <w:szCs w:val="28"/>
                      </w:rPr>
                      <w:t xml:space="preserve"> —</w:t>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right"/>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711200" cy="230505"/>
              <wp:effectExtent l="0" t="0" r="0" b="0"/>
              <wp:wrapNone/>
              <wp:docPr id="25" name="文本框 5"/>
              <wp:cNvGraphicFramePr/>
              <a:graphic xmlns:a="http://schemas.openxmlformats.org/drawingml/2006/main">
                <a:graphicData uri="http://schemas.microsoft.com/office/word/2010/wordprocessingShape">
                  <wps:wsp>
                    <wps:cNvSpPr/>
                    <wps:spPr>
                      <a:xfrm>
                        <a:off x="0" y="0"/>
                        <a:ext cx="711200" cy="230251"/>
                      </a:xfrm>
                      <a:prstGeom prst="rect">
                        <a:avLst/>
                      </a:prstGeom>
                      <a:noFill/>
                      <a:ln w="6350" cap="flat" cmpd="sng">
                        <a:noFill/>
                        <a:prstDash val="solid"/>
                        <a:round/>
                      </a:ln>
                    </wps:spPr>
                    <wps:txbx>
                      <w:txbxContent>
                        <w:p>
                          <w:pPr>
                            <w:pStyle w:val="8"/>
                            <w:rPr>
                              <w:rFonts w:hint="eastAsia" w:ascii="宋体" w:eastAsia="宋体" w:cs="宋体"/>
                              <w:sz w:val="28"/>
                              <w:szCs w:val="28"/>
                            </w:rPr>
                          </w:pPr>
                          <w:r>
                            <w:rPr>
                              <w:rFonts w:hint="eastAsia" w:ascii="宋体" w:eastAsia="宋体" w:cs="宋体"/>
                              <w:sz w:val="28"/>
                              <w:szCs w:val="28"/>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13</w:t>
                          </w:r>
                          <w:r>
                            <w:rPr>
                              <w:rFonts w:hint="eastAsia" w:ascii="宋体" w:eastAsia="宋体" w:cs="宋体"/>
                              <w:sz w:val="28"/>
                              <w:szCs w:val="28"/>
                            </w:rPr>
                            <w:fldChar w:fldCharType="end"/>
                          </w:r>
                          <w:r>
                            <w:rPr>
                              <w:rFonts w:hint="eastAsia" w:asci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rect id="文本框 5" o:spid="_x0000_s1026" o:spt="1" style="position:absolute;left:0pt;margin-top:0pt;height:18.15pt;width:56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BoeZAx1wAAAAQBAAAPAAAAAAAAAAEAIAAAADgAAABkcnMvZG93&#10;bnJldi54bWxQSwECFAAUAAAACACHTuJAlSiHMusBAACvAwAADgAAAAAAAAABACAAAAA8AQAAZHJz&#10;L2Uyb0RvYy54bWxQSwUGAAAAAAYABgBZAQAAmQUAAAAA&#10;">
              <v:fill on="f" focussize="0,0"/>
              <v:stroke on="f" weight="0.5pt" joinstyle="round"/>
              <v:imagedata o:title=""/>
              <o:lock v:ext="edit" aspectratio="f"/>
              <v:textbox inset="0mm,0mm,0mm,0mm" style="mso-fit-shape-to-text:t;">
                <w:txbxContent>
                  <w:p>
                    <w:pPr>
                      <w:pStyle w:val="8"/>
                      <w:rPr>
                        <w:rFonts w:hint="eastAsia" w:ascii="宋体" w:eastAsia="宋体" w:cs="宋体"/>
                        <w:sz w:val="28"/>
                        <w:szCs w:val="28"/>
                      </w:rPr>
                    </w:pPr>
                    <w:r>
                      <w:rPr>
                        <w:rFonts w:hint="eastAsia" w:ascii="宋体" w:eastAsia="宋体" w:cs="宋体"/>
                        <w:sz w:val="28"/>
                        <w:szCs w:val="28"/>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13</w:t>
                    </w:r>
                    <w:r>
                      <w:rPr>
                        <w:rFonts w:hint="eastAsia" w:ascii="宋体" w:eastAsia="宋体" w:cs="宋体"/>
                        <w:sz w:val="28"/>
                        <w:szCs w:val="28"/>
                      </w:rPr>
                      <w:fldChar w:fldCharType="end"/>
                    </w:r>
                    <w:r>
                      <w:rPr>
                        <w:rFonts w:hint="eastAsia" w:ascii="宋体" w:eastAsia="宋体" w:cs="宋体"/>
                        <w:sz w:val="28"/>
                        <w:szCs w:val="28"/>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dit="readOnly" w:enforcement="0"/>
  <w:defaultTabStop w:val="420"/>
  <w:evenAndOddHeaders w:val="true"/>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000000"/>
    <w:rsid w:val="21F4698D"/>
    <w:rsid w:val="29D51FEB"/>
    <w:rsid w:val="4FFBBCA3"/>
    <w:rsid w:val="DFE744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link w:val="18"/>
    <w:qFormat/>
    <w:uiPriority w:val="0"/>
    <w:pPr>
      <w:keepNext/>
      <w:keepLines/>
      <w:widowControl w:val="0"/>
      <w:suppressAutoHyphens/>
      <w:spacing w:before="340" w:after="330" w:line="578" w:lineRule="auto"/>
      <w:outlineLvl w:val="0"/>
    </w:pPr>
    <w:rPr>
      <w:b/>
      <w:bCs/>
      <w:kern w:val="44"/>
      <w:sz w:val="44"/>
      <w:szCs w:val="44"/>
    </w:rPr>
  </w:style>
  <w:style w:type="paragraph" w:styleId="4">
    <w:name w:val="heading 2"/>
    <w:basedOn w:val="1"/>
    <w:next w:val="1"/>
    <w:link w:val="19"/>
    <w:qFormat/>
    <w:uiPriority w:val="0"/>
    <w:pPr>
      <w:keepNext/>
      <w:keepLines/>
      <w:widowControl w:val="0"/>
      <w:suppressAutoHyphens/>
      <w:spacing w:before="260" w:after="260" w:line="415" w:lineRule="auto"/>
      <w:outlineLvl w:val="1"/>
    </w:pPr>
    <w:rPr>
      <w:rFonts w:ascii="Cambria" w:hAnsi="Cambria"/>
      <w:b/>
      <w:bCs/>
      <w:sz w:val="32"/>
      <w:szCs w:val="32"/>
    </w:rPr>
  </w:style>
  <w:style w:type="paragraph" w:styleId="5">
    <w:name w:val="heading 3"/>
    <w:basedOn w:val="1"/>
    <w:next w:val="1"/>
    <w:qFormat/>
    <w:uiPriority w:val="0"/>
    <w:pPr>
      <w:keepNext/>
      <w:keepLines/>
      <w:widowControl w:val="0"/>
      <w:suppressAutoHyphens/>
      <w:spacing w:before="260" w:after="260" w:line="415" w:lineRule="auto"/>
      <w:outlineLvl w:val="2"/>
    </w:pPr>
    <w:rPr>
      <w:b/>
      <w:sz w:val="32"/>
    </w:rPr>
  </w:style>
  <w:style w:type="paragraph" w:styleId="6">
    <w:name w:val="heading 4"/>
    <w:basedOn w:val="1"/>
    <w:next w:val="1"/>
    <w:qFormat/>
    <w:uiPriority w:val="0"/>
    <w:pPr>
      <w:keepNext/>
      <w:keepLines/>
      <w:widowControl w:val="0"/>
      <w:suppressAutoHyphens/>
      <w:spacing w:line="576" w:lineRule="exact"/>
      <w:ind w:firstLine="200" w:firstLineChars="200"/>
      <w:outlineLvl w:val="3"/>
    </w:pPr>
    <w:rPr>
      <w:rFonts w:ascii="Calibri Light" w:hAnsi="Calibri Light" w:eastAsia="楷体" w:cs="Times New Roman"/>
      <w:b/>
      <w:bCs/>
      <w:sz w:val="28"/>
      <w:szCs w:val="28"/>
    </w:rPr>
  </w:style>
  <w:style w:type="character" w:default="1" w:styleId="15">
    <w:name w:val="Default Paragraph Font"/>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40" w:line="276" w:lineRule="auto"/>
    </w:pPr>
  </w:style>
  <w:style w:type="paragraph" w:styleId="7">
    <w:name w:val="toc 3"/>
    <w:basedOn w:val="1"/>
    <w:next w:val="1"/>
    <w:qFormat/>
    <w:uiPriority w:val="0"/>
    <w:pPr>
      <w:ind w:left="840"/>
    </w:pPr>
  </w:style>
  <w:style w:type="paragraph" w:styleId="8">
    <w:name w:val="footer"/>
    <w:basedOn w:val="1"/>
    <w:qFormat/>
    <w:uiPriority w:val="0"/>
    <w:pPr>
      <w:tabs>
        <w:tab w:val="center" w:pos="4153"/>
        <w:tab w:val="right" w:pos="8307"/>
      </w:tabs>
      <w:snapToGrid w:val="0"/>
      <w:jc w:val="left"/>
    </w:pPr>
    <w:rPr>
      <w:sz w:val="18"/>
    </w:rPr>
  </w:style>
  <w:style w:type="paragraph" w:styleId="9">
    <w:name w:val="header"/>
    <w:basedOn w:val="1"/>
    <w:qFormat/>
    <w:uiPriority w:val="0"/>
    <w:pPr>
      <w:pBdr>
        <w:bottom w:val="single" w:color="auto" w:sz="6" w:space="1"/>
      </w:pBdr>
      <w:tabs>
        <w:tab w:val="center" w:pos="4153"/>
        <w:tab w:val="right" w:pos="8307"/>
      </w:tabs>
      <w:snapToGrid w:val="0"/>
      <w:jc w:val="center"/>
    </w:pPr>
    <w:rPr>
      <w:sz w:val="18"/>
    </w:rPr>
  </w:style>
  <w:style w:type="paragraph" w:styleId="10">
    <w:name w:val="toc 1"/>
    <w:basedOn w:val="1"/>
    <w:next w:val="1"/>
    <w:qFormat/>
    <w:uiPriority w:val="0"/>
    <w:pPr>
      <w:tabs>
        <w:tab w:val="right" w:leader="dot" w:pos="8296"/>
      </w:tabs>
      <w:spacing w:before="93"/>
      <w:jc w:val="center"/>
    </w:pPr>
    <w:rPr>
      <w:rFonts w:ascii="仿宋" w:eastAsia="仿宋"/>
      <w:sz w:val="28"/>
      <w:szCs w:val="28"/>
    </w:rPr>
  </w:style>
  <w:style w:type="paragraph" w:styleId="11">
    <w:name w:val="Subtitle"/>
    <w:basedOn w:val="1"/>
    <w:next w:val="1"/>
    <w:qFormat/>
    <w:uiPriority w:val="0"/>
    <w:pPr>
      <w:spacing w:line="576" w:lineRule="exact"/>
      <w:ind w:firstLine="200" w:firstLineChars="200"/>
      <w:jc w:val="left"/>
      <w:outlineLvl w:val="1"/>
    </w:pPr>
    <w:rPr>
      <w:rFonts w:ascii="Calibri Light" w:hAnsi="Calibri Light" w:eastAsia="黑体" w:cs="Times New Roman"/>
      <w:bCs/>
      <w:kern w:val="28"/>
      <w:sz w:val="32"/>
      <w:szCs w:val="32"/>
    </w:rPr>
  </w:style>
  <w:style w:type="paragraph" w:styleId="12">
    <w:name w:val="toc 2"/>
    <w:basedOn w:val="1"/>
    <w:next w:val="1"/>
    <w:qFormat/>
    <w:uiPriority w:val="0"/>
    <w:pPr>
      <w:tabs>
        <w:tab w:val="right" w:leader="dot" w:pos="8296"/>
      </w:tabs>
      <w:ind w:left="200" w:leftChars="200"/>
    </w:pPr>
  </w:style>
  <w:style w:type="paragraph" w:styleId="13">
    <w:name w:val="Title"/>
    <w:basedOn w:val="1"/>
    <w:next w:val="1"/>
    <w:qFormat/>
    <w:uiPriority w:val="0"/>
    <w:pPr>
      <w:spacing w:before="240" w:after="60"/>
      <w:jc w:val="center"/>
      <w:outlineLvl w:val="0"/>
    </w:pPr>
    <w:rPr>
      <w:rFonts w:ascii="Calibri Light" w:hAnsi="Calibri Light" w:eastAsia="方正小标宋简体" w:cs="Times New Roman"/>
      <w:bCs/>
      <w:sz w:val="44"/>
      <w:szCs w:val="32"/>
    </w:rPr>
  </w:style>
  <w:style w:type="character" w:styleId="16">
    <w:name w:val="Strong"/>
    <w:basedOn w:val="15"/>
    <w:qFormat/>
    <w:uiPriority w:val="0"/>
    <w:rPr>
      <w:b/>
    </w:rPr>
  </w:style>
  <w:style w:type="character" w:styleId="17">
    <w:name w:val="page number"/>
    <w:basedOn w:val="15"/>
    <w:qFormat/>
    <w:uiPriority w:val="0"/>
  </w:style>
  <w:style w:type="character" w:customStyle="1" w:styleId="18">
    <w:name w:val="heading 1 Char"/>
    <w:basedOn w:val="15"/>
    <w:link w:val="3"/>
    <w:qFormat/>
    <w:uiPriority w:val="0"/>
    <w:rPr>
      <w:rFonts w:ascii="Calibri" w:hAnsi="Calibri" w:eastAsia="宋体" w:cs="Times New Roman"/>
      <w:b/>
      <w:bCs/>
      <w:kern w:val="44"/>
      <w:sz w:val="44"/>
      <w:szCs w:val="44"/>
      <w:lang w:val="en-US" w:eastAsia="zh-CN" w:bidi="ar-SA"/>
    </w:rPr>
  </w:style>
  <w:style w:type="character" w:customStyle="1" w:styleId="19">
    <w:name w:val="heading 2 Char"/>
    <w:basedOn w:val="15"/>
    <w:link w:val="4"/>
    <w:qFormat/>
    <w:uiPriority w:val="0"/>
    <w:rPr>
      <w:rFonts w:ascii="Cambria" w:hAnsi="Cambria" w:eastAsia="宋体" w:cs="Times New Roman"/>
      <w:b/>
      <w:bCs/>
      <w:kern w:val="2"/>
      <w:sz w:val="32"/>
      <w:szCs w:val="32"/>
      <w:lang w:val="en-US" w:eastAsia="zh-CN" w:bidi="ar-SA"/>
    </w:rPr>
  </w:style>
  <w:style w:type="paragraph" w:styleId="20">
    <w:name w:val="List Paragraph"/>
    <w:basedOn w:val="1"/>
    <w:qFormat/>
    <w:uiPriority w:val="0"/>
    <w:pPr>
      <w:ind w:firstLine="200" w:firstLineChars="200"/>
    </w:pPr>
  </w:style>
  <w:style w:type="paragraph" w:customStyle="1" w:styleId="21">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微软中国</Company>
  <Pages>44</Pages>
  <Words>495</Words>
  <Characters>1002</Characters>
  <Lines>2517</Lines>
  <Paragraphs>1582</Paragraphs>
  <TotalTime>10</TotalTime>
  <ScaleCrop>false</ScaleCrop>
  <LinksUpToDate>false</LinksUpToDate>
  <CharactersWithSpaces>1008</CharactersWithSpaces>
  <Application>WPS Office_11.8.2.9980_F1E327BC-269C-435d-A152-05C5408002CA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2025-09-04T22:49:00Z</dcterms:created>
  <dc:creator>Administrator</dc:creator>
  <cp:lastModifiedBy> </cp:lastModifiedBy>
  <dcterms:modified xsi:type="dcterms:W3CDTF">2025-10-11T17:09:06Z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KSOTemplateDocerSaveRecord">
    <vt:lpwstr>eyJoZGlkIjoiYTc2ZGZiNzZiNDVlOGViOWVmM2JhOTY0NGJkNjUyYzgiLCJ1c2VySWQiOiIyMjA2OTAwNTAifQ==</vt:lpwstr>
  </property>
  <property fmtid="{D5CDD505-2E9C-101B-9397-08002B2CF9AE}" pid="4" name="ICV">
    <vt:lpwstr>1343E279186F4671A3D6531D21D4CC8B_12</vt:lpwstr>
  </property>
</Properties>
</file>