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2"/>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77425"/>
      <w:bookmarkStart w:id="3" w:name="_Toc24757"/>
      <w:bookmarkStart w:id="4" w:name="_Toc15377193"/>
      <w:bookmarkStart w:id="5" w:name="_Toc15396475"/>
      <w:bookmarkStart w:id="6" w:name="_Toc15396597"/>
      <w:r>
        <w:rPr>
          <w:rFonts w:hint="eastAsia" w:ascii="方正小标宋简体" w:hAnsi="方正小标宋简体" w:eastAsia="方正小标宋简体" w:cs="方正小标宋简体"/>
          <w:sz w:val="72"/>
          <w:szCs w:val="72"/>
        </w:rPr>
        <w:t>2024年度</w:t>
      </w:r>
      <w:bookmarkEnd w:id="1"/>
      <w:bookmarkEnd w:id="2"/>
      <w:bookmarkEnd w:id="3"/>
      <w:bookmarkEnd w:id="4"/>
      <w:bookmarkEnd w:id="5"/>
      <w:bookmarkEnd w:id="6"/>
    </w:p>
    <w:bookmarkEnd w:id="0"/>
    <w:p>
      <w:pPr>
        <w:adjustRightInd w:val="0"/>
        <w:snapToGrid w:val="0"/>
        <w:spacing w:line="360" w:lineRule="auto"/>
        <w:jc w:val="center"/>
        <w:outlineLvl w:val="0"/>
        <w:rPr>
          <w:rFonts w:ascii="方正小标宋简体" w:hAnsi="宋体" w:eastAsia="方正小标宋简体"/>
          <w:sz w:val="52"/>
          <w:szCs w:val="52"/>
        </w:rPr>
      </w:pPr>
      <w:bookmarkStart w:id="7" w:name="_Toc15396476"/>
      <w:bookmarkStart w:id="8" w:name="_Toc15396598"/>
      <w:bookmarkStart w:id="9" w:name="_Toc15377194"/>
      <w:bookmarkStart w:id="10" w:name="_Toc7670"/>
      <w:bookmarkStart w:id="11" w:name="_Toc15377426"/>
      <w:bookmarkStart w:id="12" w:name="_Toc15306268"/>
      <w:bookmarkStart w:id="13" w:name="_Toc15378442"/>
      <w:r>
        <w:rPr>
          <w:rFonts w:hint="eastAsia" w:ascii="方正小标宋简体" w:hAnsi="方正小标宋简体" w:eastAsia="方正小标宋简体" w:cs="方正小标宋简体"/>
          <w:sz w:val="72"/>
          <w:szCs w:val="72"/>
        </w:rPr>
        <w:t>广元市机械化养护与应急保障中心单位决算</w:t>
      </w:r>
      <w:bookmarkEnd w:id="7"/>
      <w:bookmarkEnd w:id="8"/>
      <w:bookmarkEnd w:id="9"/>
      <w:bookmarkEnd w:id="10"/>
      <w:bookmarkEnd w:id="11"/>
      <w:bookmarkEnd w:id="12"/>
      <w:bookmarkEnd w:id="13"/>
    </w:p>
    <w:p>
      <w:pPr>
        <w:widowControl/>
        <w:jc w:val="center"/>
        <w:rPr>
          <w:rFonts w:hint="eastAsia" w:ascii="黑体" w:hAnsi="黑体" w:eastAsia="黑体"/>
          <w:sz w:val="48"/>
          <w:szCs w:val="48"/>
        </w:rPr>
        <w:sectPr>
          <w:headerReference r:id="rId4" w:type="first"/>
          <w:headerReference r:id="rId3"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cstheme="minorBidi"/>
          <w:sz w:val="28"/>
          <w:szCs w:val="28"/>
        </w:rPr>
      </w:pPr>
      <w:r>
        <w:rPr>
          <w:rFonts w:hint="eastAsia" w:ascii="黑体" w:hAnsi="黑体" w:eastAsia="黑体"/>
          <w:sz w:val="48"/>
          <w:szCs w:val="48"/>
        </w:rPr>
        <w:t>目录</w:t>
      </w:r>
    </w:p>
    <w:p>
      <w:pPr>
        <w:pStyle w:val="11"/>
      </w:pPr>
      <w:r>
        <w:rPr>
          <w:rFonts w:hint="eastAsia"/>
        </w:rPr>
        <w:t>公开时间：2025年</w:t>
      </w:r>
      <w:r>
        <w:rPr>
          <w:rFonts w:hint="eastAsia"/>
          <w:lang w:val="en-US" w:eastAsia="zh-CN"/>
        </w:rPr>
        <w:t>10</w:t>
      </w:r>
      <w:r>
        <w:rPr>
          <w:rFonts w:hint="eastAsia"/>
        </w:rPr>
        <w:t>月</w:t>
      </w:r>
      <w:r>
        <w:rPr>
          <w:rFonts w:hint="eastAsia"/>
          <w:lang w:val="en-US" w:eastAsia="zh-CN"/>
        </w:rPr>
        <w:t>14</w:t>
      </w:r>
      <w:r>
        <w:rPr>
          <w:rFonts w:hint="eastAsia"/>
        </w:rPr>
        <w:t>日</w:t>
      </w:r>
    </w:p>
    <w:sdt>
      <w:sdtPr>
        <w:rPr>
          <w:rFonts w:ascii="宋体" w:hAnsi="宋体" w:eastAsia="宋体" w:cs="Times New Roman"/>
          <w:kern w:val="2"/>
          <w:sz w:val="21"/>
          <w:szCs w:val="24"/>
          <w:lang w:val="en-US" w:eastAsia="zh-CN" w:bidi="ar-SA"/>
        </w:rPr>
        <w:id w:val="147451355"/>
        <w15:color w:val="DBDBDB"/>
        <w:docPartObj>
          <w:docPartGallery w:val="Table of Contents"/>
          <w:docPartUnique/>
        </w:docPartObj>
      </w:sdtPr>
      <w:sdtEndPr>
        <w:rPr>
          <w:rFonts w:ascii="仿宋" w:hAnsi="仿宋" w:eastAsia="仿宋"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仿宋" w:hAnsi="仿宋" w:eastAsia="仿宋"/>
              <w:sz w:val="24"/>
            </w:rPr>
            <w:fldChar w:fldCharType="begin"/>
          </w:r>
          <w:r>
            <w:rPr>
              <w:rFonts w:ascii="仿宋" w:hAnsi="仿宋" w:eastAsia="仿宋"/>
              <w:sz w:val="24"/>
            </w:rPr>
            <w:instrText xml:space="preserve">TOC \o "1-2" \h \u </w:instrText>
          </w:r>
          <w:r>
            <w:rPr>
              <w:rFonts w:ascii="仿宋" w:hAnsi="仿宋" w:eastAsia="仿宋"/>
              <w:sz w:val="24"/>
            </w:rPr>
            <w:fldChar w:fldCharType="separate"/>
          </w:r>
        </w:p>
        <w:p>
          <w:pPr>
            <w:pStyle w:val="11"/>
            <w:tabs>
              <w:tab w:val="right" w:leader="dot" w:pos="8306"/>
              <w:tab w:val="clear" w:pos="8296"/>
            </w:tabs>
          </w:pPr>
          <w:r>
            <w:rPr>
              <w:rFonts w:ascii="仿宋" w:hAnsi="仿宋" w:eastAsia="仿宋"/>
            </w:rPr>
            <w:fldChar w:fldCharType="begin"/>
          </w:r>
          <w:r>
            <w:rPr>
              <w:rFonts w:ascii="仿宋" w:hAnsi="仿宋" w:eastAsia="仿宋"/>
            </w:rPr>
            <w:instrText xml:space="preserve"> HYPERLINK \l _Toc921 </w:instrText>
          </w:r>
          <w:r>
            <w:rPr>
              <w:rFonts w:ascii="仿宋" w:hAnsi="仿宋" w:eastAsia="仿宋"/>
            </w:rP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_Toc921 \h </w:instrText>
          </w:r>
          <w:r>
            <w:fldChar w:fldCharType="separate"/>
          </w:r>
          <w:r>
            <w:t>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_Toc10735 </w:instrText>
          </w:r>
          <w:r>
            <w:rPr>
              <w:rFonts w:ascii="仿宋" w:hAnsi="仿宋" w:eastAsia="仿宋"/>
            </w:rPr>
            <w:fldChar w:fldCharType="separate"/>
          </w:r>
          <w:r>
            <w:rPr>
              <w:rFonts w:hint="eastAsia"/>
              <w:lang w:val="zh-CN"/>
            </w:rPr>
            <w:t>一、主要职责</w:t>
          </w:r>
          <w:r>
            <w:tab/>
          </w:r>
          <w:r>
            <w:fldChar w:fldCharType="begin"/>
          </w:r>
          <w:r>
            <w:instrText xml:space="preserve"> PAGEREF _Toc10735 \h </w:instrText>
          </w:r>
          <w:r>
            <w:fldChar w:fldCharType="separate"/>
          </w:r>
          <w:r>
            <w:t>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_Toc25308 </w:instrText>
          </w:r>
          <w:r>
            <w:rPr>
              <w:rFonts w:ascii="仿宋" w:hAnsi="仿宋" w:eastAsia="仿宋"/>
            </w:rPr>
            <w:fldChar w:fldCharType="separate"/>
          </w:r>
          <w:r>
            <w:rPr>
              <w:rFonts w:hint="eastAsia"/>
              <w:lang w:val="zh-CN"/>
            </w:rPr>
            <w:t>二、机构设置</w:t>
          </w:r>
          <w:r>
            <w:tab/>
          </w:r>
          <w:r>
            <w:fldChar w:fldCharType="begin"/>
          </w:r>
          <w:r>
            <w:instrText xml:space="preserve"> PAGEREF _Toc25308 \h </w:instrText>
          </w:r>
          <w:r>
            <w:fldChar w:fldCharType="separate"/>
          </w:r>
          <w:r>
            <w:t>2</w:t>
          </w:r>
          <w:r>
            <w:fldChar w:fldCharType="end"/>
          </w:r>
          <w:r>
            <w:rPr>
              <w:rFonts w:ascii="仿宋" w:hAnsi="仿宋" w:eastAsia="仿宋"/>
            </w:rPr>
            <w:fldChar w:fldCharType="end"/>
          </w:r>
        </w:p>
        <w:p>
          <w:pPr>
            <w:pStyle w:val="11"/>
            <w:tabs>
              <w:tab w:val="right" w:leader="dot" w:pos="8306"/>
              <w:tab w:val="clear" w:pos="8296"/>
            </w:tabs>
          </w:pPr>
          <w:r>
            <w:rPr>
              <w:rFonts w:ascii="仿宋" w:hAnsi="仿宋" w:eastAsia="仿宋"/>
            </w:rPr>
            <w:fldChar w:fldCharType="begin"/>
          </w:r>
          <w:r>
            <w:rPr>
              <w:rFonts w:ascii="仿宋" w:hAnsi="仿宋" w:eastAsia="仿宋"/>
            </w:rPr>
            <w:instrText xml:space="preserve"> HYPERLINK \l _Toc24380 </w:instrText>
          </w:r>
          <w:r>
            <w:rPr>
              <w:rFonts w:ascii="仿宋" w:hAnsi="仿宋" w:eastAsia="仿宋"/>
            </w:rPr>
            <w:fldChar w:fldCharType="separate"/>
          </w:r>
          <w:r>
            <w:rPr>
              <w:rFonts w:hint="eastAsia" w:ascii="黑体" w:hAnsi="黑体" w:eastAsia="黑体"/>
            </w:rPr>
            <w:t>第二部分 2024年度</w:t>
          </w:r>
          <w:r>
            <w:rPr>
              <w:rFonts w:hint="eastAsia" w:ascii="黑体" w:hAnsi="黑体" w:eastAsia="黑体"/>
              <w:bCs/>
            </w:rPr>
            <w:t>单位决算情况说明</w:t>
          </w:r>
          <w:r>
            <w:tab/>
          </w:r>
          <w:r>
            <w:fldChar w:fldCharType="begin"/>
          </w:r>
          <w:r>
            <w:instrText xml:space="preserve"> PAGEREF _Toc24380 \h </w:instrText>
          </w:r>
          <w:r>
            <w:fldChar w:fldCharType="separate"/>
          </w:r>
          <w:r>
            <w:t>3</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_Toc13273 </w:instrText>
          </w:r>
          <w:r>
            <w:rPr>
              <w:rFonts w:ascii="仿宋" w:hAnsi="仿宋" w:eastAsia="仿宋"/>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_Toc13273 \h </w:instrText>
          </w:r>
          <w:r>
            <w:fldChar w:fldCharType="separate"/>
          </w:r>
          <w:r>
            <w:t>3</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_Toc23352 </w:instrText>
          </w:r>
          <w:r>
            <w:rPr>
              <w:rFonts w:ascii="仿宋" w:hAnsi="仿宋" w:eastAsia="仿宋"/>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_Toc23352 \h </w:instrText>
          </w:r>
          <w:r>
            <w:fldChar w:fldCharType="separate"/>
          </w:r>
          <w:r>
            <w:t>3</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_Toc28706 </w:instrText>
          </w:r>
          <w:r>
            <w:rPr>
              <w:rFonts w:ascii="仿宋" w:hAnsi="仿宋" w:eastAsia="仿宋"/>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_Toc28706 \h </w:instrText>
          </w:r>
          <w:r>
            <w:fldChar w:fldCharType="separate"/>
          </w:r>
          <w:r>
            <w:t>4</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_Toc15446 </w:instrText>
          </w:r>
          <w:r>
            <w:rPr>
              <w:rFonts w:ascii="仿宋" w:hAnsi="仿宋" w:eastAsia="仿宋"/>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_Toc15446 \h </w:instrText>
          </w:r>
          <w:r>
            <w:fldChar w:fldCharType="separate"/>
          </w:r>
          <w:r>
            <w:t>4</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_Toc19242 </w:instrText>
          </w:r>
          <w:r>
            <w:rPr>
              <w:rFonts w:ascii="仿宋" w:hAnsi="仿宋" w:eastAsia="仿宋"/>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_Toc19242 \h </w:instrText>
          </w:r>
          <w:r>
            <w:fldChar w:fldCharType="separate"/>
          </w:r>
          <w:r>
            <w:t>5</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_Toc31814 </w:instrText>
          </w:r>
          <w:r>
            <w:rPr>
              <w:rFonts w:ascii="仿宋" w:hAnsi="仿宋" w:eastAsia="仿宋"/>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_Toc31814 \h </w:instrText>
          </w:r>
          <w:r>
            <w:fldChar w:fldCharType="separate"/>
          </w:r>
          <w:r>
            <w:t>7</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_Toc15702 </w:instrText>
          </w:r>
          <w:r>
            <w:rPr>
              <w:rFonts w:ascii="仿宋" w:hAnsi="仿宋" w:eastAsia="仿宋"/>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_Toc15702 \h </w:instrText>
          </w:r>
          <w:r>
            <w:fldChar w:fldCharType="separate"/>
          </w:r>
          <w:r>
            <w:t>7</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_Toc30059 </w:instrText>
          </w:r>
          <w:r>
            <w:rPr>
              <w:rFonts w:ascii="仿宋" w:hAnsi="仿宋" w:eastAsia="仿宋"/>
            </w:rP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_Toc30059 \h </w:instrText>
          </w:r>
          <w:r>
            <w:fldChar w:fldCharType="separate"/>
          </w:r>
          <w:r>
            <w:t>9</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_Toc12811 </w:instrText>
          </w:r>
          <w:r>
            <w:rPr>
              <w:rFonts w:ascii="仿宋" w:hAnsi="仿宋" w:eastAsia="仿宋"/>
            </w:rPr>
            <w:fldChar w:fldCharType="separate"/>
          </w:r>
          <w:r>
            <w:rPr>
              <w:rFonts w:hint="eastAsia" w:ascii="黑体" w:hAnsi="黑体" w:eastAsia="黑体"/>
            </w:rPr>
            <w:t>九、 国有资本经营预算支出决算情况说明</w:t>
          </w:r>
          <w:r>
            <w:tab/>
          </w:r>
          <w:r>
            <w:fldChar w:fldCharType="begin"/>
          </w:r>
          <w:r>
            <w:instrText xml:space="preserve"> PAGEREF _Toc12811 \h </w:instrText>
          </w:r>
          <w:r>
            <w:fldChar w:fldCharType="separate"/>
          </w:r>
          <w:r>
            <w:t>9</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_Toc2433 </w:instrText>
          </w:r>
          <w:r>
            <w:rPr>
              <w:rFonts w:ascii="仿宋" w:hAnsi="仿宋" w:eastAsia="仿宋"/>
            </w:rPr>
            <w:fldChar w:fldCharType="separate"/>
          </w:r>
          <w:r>
            <w:rPr>
              <w:rFonts w:hint="eastAsia" w:ascii="黑体" w:hAnsi="黑体" w:eastAsia="黑体"/>
            </w:rPr>
            <w:t>十、 其他重要事项的情况说明</w:t>
          </w:r>
          <w:r>
            <w:tab/>
          </w:r>
          <w:r>
            <w:fldChar w:fldCharType="begin"/>
          </w:r>
          <w:r>
            <w:instrText xml:space="preserve"> PAGEREF _Toc2433 \h </w:instrText>
          </w:r>
          <w:r>
            <w:fldChar w:fldCharType="separate"/>
          </w:r>
          <w:r>
            <w:t>9</w:t>
          </w:r>
          <w:r>
            <w:fldChar w:fldCharType="end"/>
          </w:r>
          <w:r>
            <w:rPr>
              <w:rFonts w:ascii="仿宋" w:hAnsi="仿宋" w:eastAsia="仿宋"/>
            </w:rPr>
            <w:fldChar w:fldCharType="end"/>
          </w:r>
        </w:p>
        <w:p>
          <w:pPr>
            <w:pStyle w:val="11"/>
            <w:tabs>
              <w:tab w:val="right" w:leader="dot" w:pos="8306"/>
              <w:tab w:val="clear" w:pos="8296"/>
            </w:tabs>
          </w:pPr>
          <w:r>
            <w:rPr>
              <w:rFonts w:ascii="仿宋" w:hAnsi="仿宋" w:eastAsia="仿宋"/>
            </w:rPr>
            <w:fldChar w:fldCharType="begin"/>
          </w:r>
          <w:r>
            <w:rPr>
              <w:rFonts w:ascii="仿宋" w:hAnsi="仿宋" w:eastAsia="仿宋"/>
            </w:rPr>
            <w:instrText xml:space="preserve"> HYPERLINK \l _Toc26448 </w:instrText>
          </w:r>
          <w:r>
            <w:rPr>
              <w:rFonts w:ascii="仿宋" w:hAnsi="仿宋" w:eastAsia="仿宋"/>
            </w:rP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_Toc26448 \h </w:instrText>
          </w:r>
          <w:r>
            <w:fldChar w:fldCharType="separate"/>
          </w:r>
          <w:r>
            <w:t>11</w:t>
          </w:r>
          <w:r>
            <w:fldChar w:fldCharType="end"/>
          </w:r>
          <w:r>
            <w:rPr>
              <w:rFonts w:ascii="仿宋" w:hAnsi="仿宋" w:eastAsia="仿宋"/>
            </w:rPr>
            <w:fldChar w:fldCharType="end"/>
          </w:r>
        </w:p>
        <w:p>
          <w:pPr>
            <w:pStyle w:val="11"/>
            <w:tabs>
              <w:tab w:val="right" w:leader="dot" w:pos="8306"/>
              <w:tab w:val="clear" w:pos="8296"/>
            </w:tabs>
          </w:pPr>
          <w:r>
            <w:rPr>
              <w:rFonts w:ascii="仿宋" w:hAnsi="仿宋" w:eastAsia="仿宋"/>
            </w:rPr>
            <w:fldChar w:fldCharType="begin"/>
          </w:r>
          <w:r>
            <w:rPr>
              <w:rFonts w:ascii="仿宋" w:hAnsi="仿宋" w:eastAsia="仿宋"/>
            </w:rPr>
            <w:instrText xml:space="preserve"> HYPERLINK \l _Toc23931 </w:instrText>
          </w:r>
          <w:r>
            <w:rPr>
              <w:rFonts w:ascii="仿宋" w:hAnsi="仿宋" w:eastAsia="仿宋"/>
            </w:rP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_Toc23931 \h </w:instrText>
          </w:r>
          <w:r>
            <w:fldChar w:fldCharType="separate"/>
          </w:r>
          <w:r>
            <w:t>13</w:t>
          </w:r>
          <w:r>
            <w:fldChar w:fldCharType="end"/>
          </w:r>
          <w:r>
            <w:rPr>
              <w:rFonts w:ascii="仿宋" w:hAnsi="仿宋" w:eastAsia="仿宋"/>
            </w:rPr>
            <w:fldChar w:fldCharType="end"/>
          </w:r>
        </w:p>
        <w:p>
          <w:pPr>
            <w:pStyle w:val="11"/>
            <w:tabs>
              <w:tab w:val="right" w:leader="dot" w:pos="8306"/>
              <w:tab w:val="clear" w:pos="8296"/>
            </w:tabs>
          </w:pPr>
          <w:r>
            <w:rPr>
              <w:rFonts w:ascii="仿宋" w:hAnsi="仿宋" w:eastAsia="仿宋"/>
            </w:rPr>
            <w:fldChar w:fldCharType="begin"/>
          </w:r>
          <w:r>
            <w:rPr>
              <w:rFonts w:ascii="仿宋" w:hAnsi="仿宋" w:eastAsia="仿宋"/>
            </w:rPr>
            <w:instrText xml:space="preserve"> HYPERLINK \l _Toc3854 </w:instrText>
          </w:r>
          <w:r>
            <w:rPr>
              <w:rFonts w:ascii="仿宋" w:hAnsi="仿宋" w:eastAsia="仿宋"/>
            </w:rP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_Toc3854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_Toc6735 </w:instrText>
          </w:r>
          <w:r>
            <w:rPr>
              <w:rFonts w:ascii="仿宋" w:hAnsi="仿宋" w:eastAsia="仿宋"/>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_Toc6735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_Toc18193 </w:instrText>
          </w:r>
          <w:r>
            <w:rPr>
              <w:rFonts w:ascii="仿宋" w:hAnsi="仿宋" w:eastAsia="仿宋"/>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_Toc18193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_Toc2539 </w:instrText>
          </w:r>
          <w:r>
            <w:rPr>
              <w:rFonts w:ascii="仿宋" w:hAnsi="仿宋" w:eastAsia="仿宋"/>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_Toc2539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_Toc2030 </w:instrText>
          </w:r>
          <w:r>
            <w:rPr>
              <w:rFonts w:ascii="仿宋" w:hAnsi="仿宋" w:eastAsia="仿宋"/>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_Toc2030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_Toc5219 </w:instrText>
          </w:r>
          <w:r>
            <w:rPr>
              <w:rFonts w:ascii="仿宋" w:hAnsi="仿宋" w:eastAsia="仿宋"/>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_Toc5219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_Toc3323 </w:instrText>
          </w:r>
          <w:r>
            <w:rPr>
              <w:rFonts w:ascii="仿宋" w:hAnsi="仿宋" w:eastAsia="仿宋"/>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_Toc3323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_Toc29948 </w:instrText>
          </w:r>
          <w:r>
            <w:rPr>
              <w:rFonts w:ascii="仿宋" w:hAnsi="仿宋" w:eastAsia="仿宋"/>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_Toc29948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_Toc1162 </w:instrText>
          </w:r>
          <w:r>
            <w:rPr>
              <w:rFonts w:ascii="仿宋" w:hAnsi="仿宋" w:eastAsia="仿宋"/>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_Toc1162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_Toc2141 </w:instrText>
          </w:r>
          <w:r>
            <w:rPr>
              <w:rFonts w:ascii="仿宋" w:hAnsi="仿宋" w:eastAsia="仿宋"/>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_Toc2141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_Toc2521 </w:instrText>
          </w:r>
          <w:r>
            <w:rPr>
              <w:rFonts w:ascii="仿宋" w:hAnsi="仿宋" w:eastAsia="仿宋"/>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_Toc2521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_Toc12599 </w:instrText>
          </w:r>
          <w:r>
            <w:rPr>
              <w:rFonts w:ascii="仿宋" w:hAnsi="仿宋" w:eastAsia="仿宋"/>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_Toc12599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_Toc32667 </w:instrText>
          </w:r>
          <w:r>
            <w:rPr>
              <w:rFonts w:ascii="仿宋" w:hAnsi="仿宋" w:eastAsia="仿宋"/>
            </w:rPr>
            <w:fldChar w:fldCharType="separate"/>
          </w:r>
          <w:r>
            <w:rPr>
              <w:rFonts w:hint="eastAsia" w:ascii="仿宋" w:hAnsi="仿宋" w:eastAsia="仿宋"/>
              <w:bCs w:val="0"/>
            </w:rPr>
            <w:t>十二、国有资本经营预算财政拨款支出决算表</w:t>
          </w:r>
          <w:r>
            <w:tab/>
          </w:r>
          <w:r>
            <w:fldChar w:fldCharType="begin"/>
          </w:r>
          <w:r>
            <w:instrText xml:space="preserve"> PAGEREF _Toc32667 \h </w:instrText>
          </w:r>
          <w:r>
            <w:fldChar w:fldCharType="separate"/>
          </w:r>
          <w:r>
            <w:t>31</w:t>
          </w:r>
          <w:r>
            <w:fldChar w:fldCharType="end"/>
          </w:r>
          <w:r>
            <w:rPr>
              <w:rFonts w:ascii="仿宋" w:hAnsi="仿宋" w:eastAsia="仿宋"/>
            </w:rPr>
            <w:fldChar w:fldCharType="end"/>
          </w:r>
        </w:p>
        <w:p>
          <w:pPr>
            <w:pStyle w:val="12"/>
            <w:tabs>
              <w:tab w:val="right" w:leader="dot" w:pos="8306"/>
              <w:tab w:val="clear" w:pos="8296"/>
            </w:tabs>
          </w:pPr>
          <w:r>
            <w:rPr>
              <w:rFonts w:ascii="仿宋" w:hAnsi="仿宋" w:eastAsia="仿宋"/>
            </w:rPr>
            <w:fldChar w:fldCharType="begin"/>
          </w:r>
          <w:r>
            <w:rPr>
              <w:rFonts w:ascii="仿宋" w:hAnsi="仿宋" w:eastAsia="仿宋"/>
            </w:rPr>
            <w:instrText xml:space="preserve"> HYPERLINK \l _Toc12074 </w:instrText>
          </w:r>
          <w:r>
            <w:rPr>
              <w:rFonts w:ascii="仿宋" w:hAnsi="仿宋" w:eastAsia="仿宋"/>
            </w:rPr>
            <w:fldChar w:fldCharType="separate"/>
          </w:r>
          <w:r>
            <w:rPr>
              <w:rFonts w:hint="eastAsia" w:ascii="仿宋" w:hAnsi="仿宋" w:eastAsia="仿宋"/>
              <w:bCs w:val="0"/>
            </w:rPr>
            <w:t>十三、财政拨款“三公”经费支出决算表</w:t>
          </w:r>
          <w:r>
            <w:tab/>
          </w:r>
          <w:r>
            <w:fldChar w:fldCharType="begin"/>
          </w:r>
          <w:r>
            <w:instrText xml:space="preserve"> PAGEREF _Toc12074 \h </w:instrText>
          </w:r>
          <w:r>
            <w:fldChar w:fldCharType="separate"/>
          </w:r>
          <w:r>
            <w:t>31</w:t>
          </w:r>
          <w:r>
            <w:fldChar w:fldCharType="end"/>
          </w:r>
          <w:r>
            <w:rPr>
              <w:rFonts w:ascii="仿宋" w:hAnsi="仿宋" w:eastAsia="仿宋"/>
            </w:rPr>
            <w:fldChar w:fldCharType="end"/>
          </w:r>
        </w:p>
        <w:p>
          <w:pPr>
            <w:widowControl/>
            <w:adjustRightInd w:val="0"/>
            <w:snapToGrid w:val="0"/>
            <w:spacing w:line="440" w:lineRule="exact"/>
            <w:jc w:val="left"/>
            <w:rPr>
              <w:rFonts w:ascii="仿宋" w:hAnsi="仿宋" w:eastAsia="仿宋" w:cs="Times New Roman"/>
              <w:kern w:val="2"/>
              <w:sz w:val="21"/>
              <w:szCs w:val="24"/>
              <w:lang w:val="en-US" w:eastAsia="zh-CN" w:bidi="ar-SA"/>
            </w:rPr>
          </w:pPr>
          <w:r>
            <w:rPr>
              <w:rFonts w:ascii="仿宋" w:hAnsi="仿宋" w:eastAsia="仿宋"/>
            </w:rPr>
            <w:fldChar w:fldCharType="end"/>
          </w:r>
        </w:p>
      </w:sdtContent>
    </w:sdt>
    <w:p>
      <w:pPr>
        <w:widowControl/>
        <w:spacing w:line="440" w:lineRule="exact"/>
        <w:jc w:val="left"/>
        <w:rPr>
          <w:rFonts w:ascii="仿宋" w:hAnsi="仿宋" w:eastAsia="仿宋"/>
          <w:bCs/>
          <w:kern w:val="44"/>
          <w:sz w:val="24"/>
        </w:rPr>
      </w:pPr>
      <w:bookmarkStart w:id="14" w:name="_Toc15396599"/>
      <w:bookmarkStart w:id="15" w:name="_Toc15377196"/>
    </w:p>
    <w:p>
      <w:pPr>
        <w:pStyle w:val="3"/>
        <w:jc w:val="center"/>
        <w:rPr>
          <w:rFonts w:hint="eastAsia" w:ascii="黑体" w:hAnsi="黑体" w:eastAsia="黑体"/>
          <w:b w:val="0"/>
        </w:rPr>
        <w:sectPr>
          <w:footerReference r:id="rId6" w:type="first"/>
          <w:footerReference r:id="rId5" w:type="default"/>
          <w:pgSz w:w="11906" w:h="16838"/>
          <w:pgMar w:top="1440" w:right="1800" w:bottom="1440" w:left="1800" w:header="851" w:footer="992" w:gutter="0"/>
          <w:pgNumType w:fmt="decimal"/>
          <w:cols w:space="425" w:num="1"/>
          <w:docGrid w:type="lines" w:linePitch="312" w:charSpace="0"/>
        </w:sectPr>
      </w:pPr>
      <w:bookmarkStart w:id="16" w:name="_Toc921"/>
    </w:p>
    <w:p>
      <w:pPr>
        <w:pStyle w:val="3"/>
        <w:jc w:val="center"/>
        <w:rPr>
          <w:rStyle w:val="19"/>
          <w:rFonts w:ascii="黑体" w:hAnsi="黑体" w:eastAsia="黑体"/>
          <w:b/>
          <w:bCs w:val="0"/>
        </w:rPr>
      </w:pPr>
      <w:r>
        <w:rPr>
          <w:rFonts w:hint="eastAsia" w:ascii="黑体" w:hAnsi="黑体" w:eastAsia="黑体"/>
          <w:b w:val="0"/>
        </w:rPr>
        <w:t>第一部分 单位</w:t>
      </w:r>
      <w:r>
        <w:rPr>
          <w:rStyle w:val="19"/>
          <w:rFonts w:hint="eastAsia" w:ascii="黑体" w:hAnsi="黑体" w:eastAsia="黑体"/>
          <w:b w:val="0"/>
          <w:bCs w:val="0"/>
        </w:rPr>
        <w:t>概况</w:t>
      </w:r>
      <w:bookmarkEnd w:id="14"/>
      <w:bookmarkEnd w:id="15"/>
      <w:bookmarkEnd w:id="16"/>
    </w:p>
    <w:p>
      <w:pPr>
        <w:pStyle w:val="4"/>
        <w:bidi w:val="0"/>
        <w:rPr>
          <w:lang w:val="zh-CN"/>
        </w:rPr>
      </w:pPr>
      <w:bookmarkStart w:id="17" w:name="_Toc10735"/>
      <w:bookmarkStart w:id="18" w:name="_Toc17318"/>
      <w:r>
        <w:rPr>
          <w:rFonts w:hint="eastAsia"/>
          <w:lang w:val="zh-CN"/>
        </w:rPr>
        <w:t>一、主要职责</w:t>
      </w:r>
      <w:bookmarkEnd w:id="17"/>
    </w:p>
    <w:p>
      <w:pPr>
        <w:spacing w:line="576"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1.我单位主要负责公路机械化养护与应急保障，中等职业教育，行业培训教育和安全评估考核服务，承接全市境内国省干线公路预防性养护，公路大中型工程建设，公路交通战备保障，应急保障服务，承担中等职业教育，职业技能鉴定考核，交通行政执法人员培训，内河船舶船员培训等。</w:t>
      </w:r>
    </w:p>
    <w:p>
      <w:pPr>
        <w:spacing w:line="576"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2.配合市公路服务中心、市港航发展中心指导全市道路运输企业客运（含网约、巡游出租车驾驶员）、货运、危货（含驾驶员、押运员）从业资格证和内河船舶船员适任（驾驶、轮机）、基本安全、特殊培训等相关培训工作，协助做好相关培训证书考试（考核）工作。</w:t>
      </w:r>
    </w:p>
    <w:p>
      <w:pPr>
        <w:spacing w:line="576"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3.配合市公路服务中心并牵头制订交通运输行业安全管理人员资质培训提升计划，指导开展交通运输行业企业两类人员年度安全培训，特别是“两客一危”等道路运输企业。严格按照交通运输部《道路运输企业主要负责人和安全管理人员安全考核管理办法》（交运规﹝2019﹞6 号）的规定，切实做好道路运输企业两类人员安全考核和延续审核工作。</w:t>
      </w:r>
    </w:p>
    <w:p>
      <w:pPr>
        <w:spacing w:line="576"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4.按照市委编委《关于成立广元市机械化养护与应急保障中心及调整市交通技校机构编制事项的通知》（广编办﹝2017﹞56 号）规定，协助市公路建设服务中心开展公路大中修工程和机械化养护工作，协助市交通运输指挥中心开展交通运输行业应急保障工作。</w:t>
      </w:r>
    </w:p>
    <w:p>
      <w:pPr>
        <w:spacing w:line="576"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5、配合市交通运输局办公室做好交通运输系统宣传工作和交通运输行业史志编纂等工作。</w:t>
      </w:r>
    </w:p>
    <w:p>
      <w:pPr>
        <w:pStyle w:val="4"/>
        <w:bidi w:val="0"/>
        <w:rPr>
          <w:lang w:val="zh-CN"/>
        </w:rPr>
      </w:pPr>
      <w:bookmarkStart w:id="19" w:name="_Toc25308"/>
      <w:r>
        <w:rPr>
          <w:rFonts w:hint="eastAsia"/>
          <w:lang w:val="zh-CN"/>
        </w:rPr>
        <w:t>二、机构设置</w:t>
      </w:r>
      <w:bookmarkEnd w:id="19"/>
    </w:p>
    <w:bookmarkEnd w:id="18"/>
    <w:p>
      <w:pPr>
        <w:spacing w:line="576" w:lineRule="exact"/>
        <w:ind w:firstLine="640" w:firstLineChars="200"/>
        <w:rPr>
          <w:rFonts w:ascii="仿宋" w:hAnsi="仿宋" w:eastAsia="仿宋" w:cs="仿宋"/>
          <w:sz w:val="32"/>
          <w:szCs w:val="32"/>
          <w:lang w:val="zh-CN"/>
        </w:rPr>
      </w:pPr>
      <w:bookmarkStart w:id="20" w:name="_Toc15396600"/>
      <w:bookmarkStart w:id="21" w:name="_Toc15377197"/>
      <w:r>
        <w:rPr>
          <w:rFonts w:hint="eastAsia" w:ascii="仿宋" w:hAnsi="仿宋" w:eastAsia="仿宋" w:cs="仿宋"/>
          <w:sz w:val="32"/>
          <w:szCs w:val="32"/>
          <w:lang w:val="zh-CN"/>
        </w:rPr>
        <w:t xml:space="preserve">我单位为市交通运输局部门下属二级预算单位，根据单位职责分工，单位内设机构5个，包括办公室、财务科、驾培科、职培科、总务科。本单位无下属机构 。 </w:t>
      </w:r>
    </w:p>
    <w:p>
      <w:pPr>
        <w:spacing w:line="576" w:lineRule="exact"/>
        <w:ind w:firstLine="640" w:firstLineChars="200"/>
        <w:rPr>
          <w:rFonts w:ascii="仿宋" w:hAnsi="仿宋" w:eastAsia="仿宋" w:cs="仿宋"/>
          <w:sz w:val="32"/>
          <w:szCs w:val="32"/>
          <w:lang w:val="zh-CN"/>
        </w:rPr>
      </w:pPr>
    </w:p>
    <w:bookmarkEnd w:id="20"/>
    <w:bookmarkEnd w:id="21"/>
    <w:p>
      <w:pPr>
        <w:spacing w:line="576" w:lineRule="exact"/>
        <w:ind w:firstLine="640" w:firstLineChars="200"/>
        <w:rPr>
          <w:rFonts w:ascii="仿宋" w:hAnsi="仿宋" w:eastAsia="仿宋" w:cs="仿宋"/>
          <w:sz w:val="32"/>
          <w:szCs w:val="32"/>
          <w:lang w:val="zh-CN"/>
        </w:rPr>
      </w:pPr>
      <w:r>
        <w:rPr>
          <w:rFonts w:ascii="仿宋" w:hAnsi="仿宋" w:eastAsia="仿宋" w:cs="仿宋"/>
          <w:sz w:val="32"/>
          <w:szCs w:val="32"/>
          <w:lang w:val="zh-CN"/>
        </w:rPr>
        <w:br w:type="page"/>
      </w:r>
    </w:p>
    <w:p>
      <w:pPr>
        <w:pStyle w:val="3"/>
        <w:ind w:right="440"/>
        <w:jc w:val="center"/>
      </w:pPr>
      <w:bookmarkStart w:id="22" w:name="_Toc15396602"/>
      <w:bookmarkStart w:id="23" w:name="_Toc15377204"/>
      <w:bookmarkStart w:id="24" w:name="_Toc24380"/>
      <w:r>
        <w:rPr>
          <w:rFonts w:hint="eastAsia" w:ascii="黑体" w:hAnsi="黑体" w:eastAsia="黑体"/>
          <w:b w:val="0"/>
        </w:rPr>
        <w:t>第二部分 2024年度</w:t>
      </w:r>
      <w:r>
        <w:rPr>
          <w:rStyle w:val="19"/>
          <w:rFonts w:hint="eastAsia" w:ascii="黑体" w:hAnsi="黑体" w:eastAsia="黑体"/>
          <w:b w:val="0"/>
          <w:bCs/>
        </w:rPr>
        <w:t>单位决算情况说明</w:t>
      </w:r>
      <w:bookmarkEnd w:id="22"/>
      <w:bookmarkEnd w:id="23"/>
      <w:bookmarkEnd w:id="24"/>
    </w:p>
    <w:p>
      <w:pPr>
        <w:pStyle w:val="30"/>
        <w:numPr>
          <w:ilvl w:val="0"/>
          <w:numId w:val="1"/>
        </w:numPr>
        <w:spacing w:line="600" w:lineRule="exact"/>
        <w:ind w:firstLineChars="0"/>
        <w:outlineLvl w:val="1"/>
        <w:rPr>
          <w:rStyle w:val="20"/>
          <w:rFonts w:ascii="黑体" w:hAnsi="黑体" w:eastAsia="黑体"/>
          <w:b w:val="0"/>
        </w:rPr>
      </w:pPr>
      <w:bookmarkStart w:id="25" w:name="_Toc13273"/>
      <w:bookmarkStart w:id="26" w:name="_Toc15377205"/>
      <w:bookmarkStart w:id="27" w:name="_Toc15396603"/>
      <w:r>
        <w:rPr>
          <w:rFonts w:hint="eastAsia" w:ascii="黑体" w:hAnsi="黑体" w:eastAsia="黑体"/>
          <w:sz w:val="32"/>
          <w:szCs w:val="32"/>
        </w:rPr>
        <w:t>收</w:t>
      </w:r>
      <w:r>
        <w:rPr>
          <w:rStyle w:val="20"/>
          <w:rFonts w:hint="eastAsia" w:ascii="黑体" w:hAnsi="黑体" w:eastAsia="黑体"/>
          <w:b w:val="0"/>
        </w:rPr>
        <w:t>入支出决算总体情况说明</w:t>
      </w:r>
      <w:bookmarkEnd w:id="25"/>
      <w:bookmarkEnd w:id="26"/>
      <w:bookmarkEnd w:id="27"/>
    </w:p>
    <w:p>
      <w:pPr>
        <w:spacing w:line="600" w:lineRule="exact"/>
        <w:ind w:firstLine="640" w:firstLineChars="200"/>
        <w:rPr>
          <w:rFonts w:ascii="仿宋" w:hAnsi="仿宋" w:eastAsia="仿宋"/>
          <w:sz w:val="32"/>
          <w:szCs w:val="32"/>
        </w:rPr>
      </w:pPr>
      <w:r>
        <w:rPr>
          <w:rFonts w:hint="eastAsia" w:ascii="仿宋" w:hAnsi="仿宋" w:eastAsia="仿宋"/>
          <w:sz w:val="32"/>
          <w:szCs w:val="32"/>
        </w:rPr>
        <w:t>2024年度收、支总计均为462.17万元。与2023年度相比，收、支总计各减少198.69万元，下降30.07</w:t>
      </w:r>
      <w:r>
        <w:rPr>
          <w:rFonts w:ascii="仿宋" w:hAnsi="仿宋" w:eastAsia="仿宋"/>
          <w:sz w:val="32"/>
          <w:szCs w:val="32"/>
        </w:rPr>
        <w:t>%</w:t>
      </w:r>
      <w:r>
        <w:rPr>
          <w:rFonts w:hint="eastAsia" w:ascii="仿宋" w:hAnsi="仿宋" w:eastAsia="仿宋"/>
          <w:sz w:val="32"/>
          <w:szCs w:val="32"/>
        </w:rPr>
        <w:t>。主要变动原因是机构改革，部分职能从我单位剥离出去减少了支出。</w:t>
      </w:r>
    </w:p>
    <w:p>
      <w:pPr>
        <w:spacing w:line="600" w:lineRule="exact"/>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jc w:val="right"/>
        <w:rPr>
          <w:rFonts w:ascii="仿宋_GB2312" w:eastAsia="仿宋_GB2312"/>
          <w:sz w:val="32"/>
          <w:szCs w:val="32"/>
        </w:rPr>
      </w:pPr>
      <w:r>
        <w:rPr>
          <w:rFonts w:hint="eastAsia" w:ascii="仿宋_GB2312" w:eastAsia="仿宋_GB2312"/>
          <w:sz w:val="32"/>
          <w:szCs w:val="32"/>
        </w:rPr>
        <w:t>单位：万元</w:t>
      </w:r>
    </w:p>
    <w:p>
      <w:pPr>
        <w:pStyle w:val="2"/>
        <w:spacing w:before="93"/>
      </w:pPr>
      <w:r>
        <w:drawing>
          <wp:inline distT="0" distB="0" distL="114300" distR="114300">
            <wp:extent cx="5080000" cy="1852930"/>
            <wp:effectExtent l="4445" t="4445" r="2095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0"/>
        <w:numPr>
          <w:ilvl w:val="0"/>
          <w:numId w:val="1"/>
        </w:numPr>
        <w:spacing w:line="600" w:lineRule="exact"/>
        <w:ind w:firstLineChars="0"/>
        <w:outlineLvl w:val="1"/>
        <w:rPr>
          <w:rStyle w:val="20"/>
          <w:rFonts w:ascii="黑体" w:hAnsi="黑体" w:eastAsia="黑体"/>
          <w:b w:val="0"/>
        </w:rPr>
      </w:pPr>
      <w:bookmarkStart w:id="28" w:name="_Toc23352"/>
      <w:bookmarkStart w:id="29" w:name="_Toc15377206"/>
      <w:bookmarkStart w:id="30" w:name="_Toc15396604"/>
      <w:r>
        <w:rPr>
          <w:rFonts w:hint="eastAsia" w:ascii="黑体" w:hAnsi="黑体" w:eastAsia="黑体"/>
          <w:sz w:val="32"/>
          <w:szCs w:val="32"/>
        </w:rPr>
        <w:t>收</w:t>
      </w:r>
      <w:r>
        <w:rPr>
          <w:rStyle w:val="20"/>
          <w:rFonts w:hint="eastAsia" w:ascii="黑体" w:hAnsi="黑体" w:eastAsia="黑体"/>
          <w:b w:val="0"/>
        </w:rPr>
        <w:t>入决算情况说明</w:t>
      </w:r>
      <w:bookmarkEnd w:id="28"/>
      <w:bookmarkEnd w:id="29"/>
      <w:bookmarkEnd w:id="30"/>
    </w:p>
    <w:p>
      <w:pPr>
        <w:spacing w:line="600" w:lineRule="exact"/>
        <w:ind w:firstLine="640" w:firstLineChars="200"/>
        <w:outlineLvl w:val="1"/>
        <w:rPr>
          <w:rFonts w:ascii="仿宋" w:hAnsi="仿宋" w:eastAsia="仿宋"/>
          <w:sz w:val="32"/>
          <w:szCs w:val="32"/>
        </w:rPr>
      </w:pPr>
      <w:bookmarkStart w:id="31" w:name="_Toc11816"/>
      <w:r>
        <w:rPr>
          <w:rFonts w:hint="eastAsia" w:ascii="仿宋" w:hAnsi="仿宋" w:eastAsia="仿宋"/>
          <w:sz w:val="32"/>
          <w:szCs w:val="32"/>
        </w:rPr>
        <w:t>2024年度本年收入合计</w:t>
      </w:r>
      <w:r>
        <w:rPr>
          <w:rFonts w:hint="eastAsia" w:ascii="仿宋" w:hAnsi="仿宋" w:eastAsia="仿宋"/>
          <w:b/>
          <w:sz w:val="32"/>
          <w:szCs w:val="32"/>
        </w:rPr>
        <w:t>459.44</w:t>
      </w:r>
      <w:r>
        <w:rPr>
          <w:rFonts w:hint="eastAsia" w:ascii="仿宋" w:hAnsi="仿宋" w:eastAsia="仿宋"/>
          <w:sz w:val="32"/>
          <w:szCs w:val="32"/>
        </w:rPr>
        <w:t>万元，其中：一般公共预算财政拨款收入</w:t>
      </w:r>
      <w:r>
        <w:rPr>
          <w:rFonts w:hint="eastAsia" w:ascii="仿宋" w:hAnsi="仿宋" w:eastAsia="仿宋"/>
          <w:b/>
          <w:sz w:val="32"/>
          <w:szCs w:val="32"/>
        </w:rPr>
        <w:t>459.44</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w:t>
      </w:r>
      <w:bookmarkEnd w:id="31"/>
    </w:p>
    <w:p>
      <w:pPr>
        <w:spacing w:line="600" w:lineRule="exact"/>
        <w:jc w:val="center"/>
        <w:rPr>
          <w:rFonts w:ascii="仿宋" w:hAnsi="仿宋" w:eastAsia="仿宋"/>
          <w:sz w:val="32"/>
          <w:szCs w:val="32"/>
        </w:rPr>
      </w:pPr>
      <w:r>
        <w:rPr>
          <w:rFonts w:hint="eastAsia" w:ascii="仿宋" w:hAnsi="仿宋" w:eastAsia="仿宋"/>
          <w:sz w:val="32"/>
          <w:szCs w:val="32"/>
        </w:rPr>
        <w:t>图2：收入决算结构图</w:t>
      </w:r>
    </w:p>
    <w:p>
      <w:pPr>
        <w:spacing w:line="600" w:lineRule="exact"/>
        <w:jc w:val="right"/>
        <w:rPr>
          <w:rFonts w:ascii="仿宋_GB2312" w:eastAsia="仿宋_GB2312"/>
          <w:sz w:val="32"/>
          <w:szCs w:val="32"/>
        </w:rPr>
      </w:pPr>
      <w:r>
        <w:rPr>
          <w:rFonts w:hint="eastAsia" w:ascii="仿宋_GB2312" w:eastAsia="仿宋_GB2312"/>
          <w:sz w:val="32"/>
          <w:szCs w:val="32"/>
        </w:rPr>
        <w:t>单位：万元</w:t>
      </w:r>
    </w:p>
    <w:p>
      <w:pPr>
        <w:pStyle w:val="2"/>
        <w:spacing w:before="93"/>
        <w:jc w:val="center"/>
        <w:rPr>
          <w:sz w:val="32"/>
          <w:szCs w:val="32"/>
        </w:rPr>
      </w:pPr>
      <w:r>
        <w:rPr>
          <w:rFonts w:hint="eastAsia"/>
        </w:rPr>
        <w:drawing>
          <wp:inline distT="0" distB="0" distL="114300" distR="114300">
            <wp:extent cx="4305935" cy="1737360"/>
            <wp:effectExtent l="4445" t="4445" r="13970" b="107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30"/>
        <w:numPr>
          <w:ilvl w:val="0"/>
          <w:numId w:val="1"/>
        </w:numPr>
        <w:spacing w:line="600" w:lineRule="exact"/>
        <w:ind w:firstLineChars="0"/>
        <w:outlineLvl w:val="1"/>
        <w:rPr>
          <w:rStyle w:val="20"/>
          <w:rFonts w:ascii="黑体" w:hAnsi="黑体" w:eastAsia="黑体"/>
          <w:b w:val="0"/>
        </w:rPr>
      </w:pPr>
      <w:bookmarkStart w:id="32" w:name="_Toc15396605"/>
      <w:bookmarkStart w:id="33" w:name="_Toc28706"/>
      <w:bookmarkStart w:id="34" w:name="_Toc15377207"/>
      <w:r>
        <w:rPr>
          <w:rFonts w:hint="eastAsia" w:ascii="黑体" w:hAnsi="黑体" w:eastAsia="黑体"/>
          <w:sz w:val="32"/>
          <w:szCs w:val="32"/>
        </w:rPr>
        <w:t>支</w:t>
      </w:r>
      <w:r>
        <w:rPr>
          <w:rStyle w:val="20"/>
          <w:rFonts w:hint="eastAsia" w:ascii="黑体" w:hAnsi="黑体" w:eastAsia="黑体"/>
          <w:b w:val="0"/>
        </w:rPr>
        <w:t>出决算情况说明</w:t>
      </w:r>
      <w:bookmarkEnd w:id="32"/>
      <w:bookmarkEnd w:id="33"/>
      <w:bookmarkEnd w:id="34"/>
    </w:p>
    <w:p>
      <w:pPr>
        <w:spacing w:line="600" w:lineRule="exact"/>
        <w:ind w:firstLine="640" w:firstLineChars="200"/>
        <w:outlineLvl w:val="1"/>
        <w:rPr>
          <w:rFonts w:ascii="仿宋" w:hAnsi="仿宋" w:eastAsia="仿宋"/>
          <w:sz w:val="32"/>
          <w:szCs w:val="32"/>
        </w:rPr>
      </w:pPr>
      <w:bookmarkStart w:id="35" w:name="_Toc30725"/>
      <w:r>
        <w:rPr>
          <w:rFonts w:hint="eastAsia" w:ascii="仿宋" w:hAnsi="仿宋" w:eastAsia="仿宋"/>
          <w:sz w:val="32"/>
          <w:szCs w:val="32"/>
        </w:rPr>
        <w:t>2024年度本年支出合计</w:t>
      </w:r>
      <w:r>
        <w:rPr>
          <w:rFonts w:hint="eastAsia" w:ascii="仿宋" w:hAnsi="仿宋" w:eastAsia="仿宋"/>
          <w:b/>
          <w:sz w:val="32"/>
          <w:szCs w:val="32"/>
        </w:rPr>
        <w:t>462.17</w:t>
      </w:r>
      <w:r>
        <w:rPr>
          <w:rFonts w:hint="eastAsia" w:ascii="仿宋" w:hAnsi="仿宋" w:eastAsia="仿宋"/>
          <w:sz w:val="32"/>
          <w:szCs w:val="32"/>
        </w:rPr>
        <w:t>万元，其中：基本支出</w:t>
      </w:r>
      <w:r>
        <w:rPr>
          <w:rFonts w:hint="eastAsia" w:ascii="仿宋" w:hAnsi="仿宋" w:eastAsia="仿宋"/>
          <w:b/>
          <w:sz w:val="32"/>
          <w:szCs w:val="32"/>
        </w:rPr>
        <w:t>362.98</w:t>
      </w:r>
      <w:r>
        <w:rPr>
          <w:rFonts w:hint="eastAsia" w:ascii="仿宋" w:hAnsi="仿宋" w:eastAsia="仿宋"/>
          <w:sz w:val="32"/>
          <w:szCs w:val="32"/>
        </w:rPr>
        <w:t>万元，占</w:t>
      </w:r>
      <w:r>
        <w:rPr>
          <w:rFonts w:hint="eastAsia" w:ascii="仿宋" w:hAnsi="仿宋" w:eastAsia="仿宋"/>
          <w:b/>
          <w:sz w:val="32"/>
          <w:szCs w:val="32"/>
        </w:rPr>
        <w:t>78.54</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b/>
          <w:sz w:val="32"/>
          <w:szCs w:val="32"/>
        </w:rPr>
        <w:t>99.19</w:t>
      </w:r>
      <w:r>
        <w:rPr>
          <w:rFonts w:hint="eastAsia" w:ascii="仿宋" w:hAnsi="仿宋" w:eastAsia="仿宋"/>
          <w:sz w:val="32"/>
          <w:szCs w:val="32"/>
        </w:rPr>
        <w:t>万元，占</w:t>
      </w:r>
      <w:r>
        <w:rPr>
          <w:rFonts w:hint="eastAsia" w:ascii="仿宋" w:hAnsi="仿宋" w:eastAsia="仿宋"/>
          <w:b/>
          <w:sz w:val="32"/>
          <w:szCs w:val="32"/>
        </w:rPr>
        <w:t>21.46</w:t>
      </w:r>
      <w:r>
        <w:rPr>
          <w:rFonts w:ascii="仿宋" w:hAnsi="仿宋" w:eastAsia="仿宋"/>
          <w:sz w:val="32"/>
          <w:szCs w:val="32"/>
        </w:rPr>
        <w:t>%</w:t>
      </w:r>
      <w:r>
        <w:rPr>
          <w:rFonts w:hint="eastAsia" w:ascii="仿宋" w:hAnsi="仿宋" w:eastAsia="仿宋"/>
          <w:sz w:val="32"/>
          <w:szCs w:val="32"/>
        </w:rPr>
        <w:t>。</w:t>
      </w:r>
      <w:bookmarkEnd w:id="35"/>
    </w:p>
    <w:p>
      <w:pPr>
        <w:spacing w:line="600" w:lineRule="exact"/>
        <w:jc w:val="center"/>
        <w:rPr>
          <w:rFonts w:ascii="仿宋" w:hAnsi="仿宋" w:eastAsia="仿宋"/>
          <w:sz w:val="32"/>
          <w:szCs w:val="32"/>
        </w:rPr>
      </w:pPr>
      <w:r>
        <w:rPr>
          <w:rFonts w:hint="eastAsia" w:ascii="仿宋" w:hAnsi="仿宋" w:eastAsia="仿宋"/>
          <w:sz w:val="32"/>
          <w:szCs w:val="32"/>
        </w:rPr>
        <w:t>图3：支出决算结构图</w:t>
      </w:r>
    </w:p>
    <w:p>
      <w:pPr>
        <w:spacing w:line="600" w:lineRule="exact"/>
        <w:jc w:val="right"/>
        <w:rPr>
          <w:rFonts w:ascii="仿宋_GB2312" w:eastAsia="仿宋_GB2312"/>
          <w:sz w:val="32"/>
          <w:szCs w:val="32"/>
        </w:rPr>
      </w:pPr>
      <w:r>
        <w:rPr>
          <w:rFonts w:hint="eastAsia" w:ascii="仿宋_GB2312" w:eastAsia="仿宋_GB2312"/>
          <w:sz w:val="32"/>
          <w:szCs w:val="32"/>
        </w:rPr>
        <w:t>单位：万元</w:t>
      </w:r>
    </w:p>
    <w:p>
      <w:pPr>
        <w:pStyle w:val="2"/>
        <w:spacing w:before="93"/>
        <w:rPr>
          <w:sz w:val="32"/>
          <w:szCs w:val="32"/>
        </w:rPr>
      </w:pPr>
      <w:r>
        <w:rPr>
          <w:rFonts w:hint="eastAsia"/>
        </w:rPr>
        <w:drawing>
          <wp:inline distT="0" distB="0" distL="114300" distR="114300">
            <wp:extent cx="5080000" cy="1947545"/>
            <wp:effectExtent l="4445" t="4445" r="20955" b="1016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outlineLvl w:val="1"/>
        <w:rPr>
          <w:rStyle w:val="20"/>
          <w:rFonts w:ascii="黑体" w:hAnsi="黑体" w:eastAsia="黑体"/>
          <w:b w:val="0"/>
        </w:rPr>
      </w:pPr>
      <w:bookmarkStart w:id="36" w:name="_Toc15446"/>
      <w:bookmarkStart w:id="37" w:name="_Toc15396606"/>
      <w:bookmarkStart w:id="38" w:name="_Toc15377208"/>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36"/>
      <w:bookmarkEnd w:id="37"/>
      <w:bookmarkEnd w:id="38"/>
    </w:p>
    <w:p>
      <w:pPr>
        <w:spacing w:line="600" w:lineRule="exact"/>
        <w:ind w:firstLine="640" w:firstLineChars="200"/>
        <w:rPr>
          <w:rFonts w:ascii="仿宋" w:hAnsi="仿宋" w:eastAsia="仿宋"/>
          <w:sz w:val="32"/>
          <w:szCs w:val="32"/>
        </w:rPr>
      </w:pPr>
      <w:r>
        <w:rPr>
          <w:rFonts w:hint="eastAsia" w:ascii="仿宋" w:hAnsi="仿宋" w:eastAsia="仿宋"/>
          <w:sz w:val="32"/>
          <w:szCs w:val="32"/>
        </w:rPr>
        <w:t>2024年度财政拨款收、支总计均为</w:t>
      </w:r>
      <w:r>
        <w:rPr>
          <w:rFonts w:hint="eastAsia" w:ascii="仿宋" w:hAnsi="仿宋" w:eastAsia="仿宋"/>
          <w:b/>
          <w:sz w:val="32"/>
          <w:szCs w:val="32"/>
        </w:rPr>
        <w:t>462.17</w:t>
      </w:r>
      <w:r>
        <w:rPr>
          <w:rFonts w:hint="eastAsia" w:ascii="仿宋" w:hAnsi="仿宋" w:eastAsia="仿宋"/>
          <w:sz w:val="32"/>
          <w:szCs w:val="32"/>
        </w:rPr>
        <w:t>万元。与2023年度相比，财政拨款收、支总计各减少198.69万元，下降30.07</w:t>
      </w:r>
      <w:r>
        <w:rPr>
          <w:rFonts w:ascii="仿宋" w:hAnsi="仿宋" w:eastAsia="仿宋"/>
          <w:sz w:val="32"/>
          <w:szCs w:val="32"/>
        </w:rPr>
        <w:t>%</w:t>
      </w:r>
      <w:r>
        <w:rPr>
          <w:rFonts w:hint="eastAsia" w:ascii="仿宋" w:hAnsi="仿宋" w:eastAsia="仿宋"/>
          <w:sz w:val="32"/>
          <w:szCs w:val="32"/>
        </w:rPr>
        <w:t>。主要变动原因是机构改革，部分职能从我单位剥离出去减少了支出。</w:t>
      </w:r>
    </w:p>
    <w:p>
      <w:pPr>
        <w:spacing w:line="600" w:lineRule="exact"/>
        <w:jc w:val="center"/>
        <w:rPr>
          <w:rFonts w:ascii="仿宋" w:hAnsi="仿宋" w:eastAsia="仿宋"/>
          <w:sz w:val="32"/>
          <w:szCs w:val="32"/>
        </w:rPr>
      </w:pPr>
      <w:r>
        <w:rPr>
          <w:rFonts w:hint="eastAsia" w:ascii="仿宋" w:hAnsi="仿宋" w:eastAsia="仿宋"/>
          <w:sz w:val="32"/>
          <w:szCs w:val="32"/>
        </w:rPr>
        <w:t>图4：财政拨款收、支决算总计变动情况</w:t>
      </w:r>
    </w:p>
    <w:p>
      <w:pPr>
        <w:pStyle w:val="2"/>
        <w:spacing w:before="93"/>
        <w:jc w:val="right"/>
        <w:rPr>
          <w:sz w:val="32"/>
          <w:szCs w:val="32"/>
        </w:rPr>
      </w:pPr>
      <w:r>
        <w:rPr>
          <w:rFonts w:hint="eastAsia"/>
          <w:sz w:val="32"/>
          <w:szCs w:val="32"/>
        </w:rPr>
        <w:t>单位：万元</w:t>
      </w:r>
    </w:p>
    <w:p>
      <w:pPr>
        <w:pStyle w:val="2"/>
        <w:spacing w:before="93"/>
        <w:jc w:val="right"/>
        <w:rPr>
          <w:rFonts w:ascii="仿宋" w:hAnsi="仿宋" w:eastAsia="仿宋"/>
          <w:b/>
          <w:sz w:val="32"/>
          <w:szCs w:val="32"/>
        </w:rPr>
      </w:pPr>
      <w:r>
        <w:rPr>
          <w:rFonts w:hint="eastAsia"/>
          <w:sz w:val="32"/>
          <w:szCs w:val="32"/>
        </w:rPr>
        <w:drawing>
          <wp:inline distT="0" distB="0" distL="114300" distR="114300">
            <wp:extent cx="5080000" cy="1988820"/>
            <wp:effectExtent l="4445" t="4445" r="20955" b="698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Style w:val="20"/>
          <w:rFonts w:ascii="黑体" w:hAnsi="黑体" w:eastAsia="黑体"/>
          <w:b w:val="0"/>
        </w:rPr>
      </w:pPr>
      <w:bookmarkStart w:id="39" w:name="_Toc19242"/>
      <w:bookmarkStart w:id="40" w:name="_Toc15396607"/>
      <w:bookmarkStart w:id="41" w:name="_Toc15377209"/>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39"/>
      <w:bookmarkEnd w:id="40"/>
      <w:bookmarkEnd w:id="41"/>
    </w:p>
    <w:p>
      <w:pPr>
        <w:spacing w:line="600" w:lineRule="exact"/>
        <w:ind w:firstLine="642" w:firstLineChars="200"/>
        <w:outlineLvl w:val="2"/>
        <w:rPr>
          <w:rFonts w:ascii="仿宋" w:hAnsi="仿宋" w:eastAsia="仿宋"/>
          <w:b/>
          <w:sz w:val="32"/>
          <w:szCs w:val="32"/>
        </w:rPr>
      </w:pPr>
      <w:bookmarkStart w:id="42" w:name="_Toc15377210"/>
      <w:r>
        <w:rPr>
          <w:rFonts w:hint="eastAsia" w:ascii="仿宋" w:hAnsi="仿宋" w:eastAsia="仿宋"/>
          <w:b/>
          <w:sz w:val="32"/>
          <w:szCs w:val="32"/>
        </w:rPr>
        <w:t>（一）一般公共预算财政拨款支出决算总体情况</w:t>
      </w:r>
      <w:bookmarkEnd w:id="42"/>
    </w:p>
    <w:p>
      <w:pPr>
        <w:spacing w:line="600" w:lineRule="exact"/>
        <w:ind w:firstLine="640" w:firstLineChars="200"/>
        <w:rPr>
          <w:rFonts w:ascii="仿宋" w:hAnsi="仿宋" w:eastAsia="仿宋"/>
          <w:sz w:val="32"/>
          <w:szCs w:val="32"/>
        </w:rPr>
      </w:pPr>
      <w:r>
        <w:rPr>
          <w:rFonts w:hint="eastAsia" w:ascii="仿宋" w:hAnsi="仿宋" w:eastAsia="仿宋"/>
          <w:sz w:val="32"/>
          <w:szCs w:val="32"/>
        </w:rPr>
        <w:t>2024年度一般公共预算财政拨款支出</w:t>
      </w:r>
      <w:r>
        <w:rPr>
          <w:rFonts w:hint="eastAsia" w:ascii="仿宋" w:hAnsi="仿宋" w:eastAsia="仿宋"/>
          <w:b/>
          <w:sz w:val="32"/>
          <w:szCs w:val="32"/>
        </w:rPr>
        <w:t>462.17</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。与2023年度相比，一般公共预算财政拨款支出减少195.97万元，下降29.78</w:t>
      </w:r>
      <w:r>
        <w:rPr>
          <w:rFonts w:ascii="仿宋" w:hAnsi="仿宋" w:eastAsia="仿宋"/>
          <w:sz w:val="32"/>
          <w:szCs w:val="32"/>
        </w:rPr>
        <w:t>%</w:t>
      </w:r>
      <w:r>
        <w:rPr>
          <w:rFonts w:hint="eastAsia" w:ascii="仿宋" w:hAnsi="仿宋" w:eastAsia="仿宋"/>
          <w:sz w:val="32"/>
          <w:szCs w:val="32"/>
        </w:rPr>
        <w:t>。主要变动原因是机构改革，部分职能从我单位剥离出去减少了支出。</w:t>
      </w:r>
    </w:p>
    <w:p>
      <w:pPr>
        <w:spacing w:line="600"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pStyle w:val="2"/>
        <w:spacing w:before="93"/>
        <w:jc w:val="right"/>
        <w:rPr>
          <w:sz w:val="32"/>
          <w:szCs w:val="32"/>
        </w:rPr>
      </w:pPr>
      <w:r>
        <w:rPr>
          <w:rFonts w:hint="eastAsia"/>
          <w:sz w:val="32"/>
          <w:szCs w:val="32"/>
        </w:rPr>
        <w:t>单位：万元</w:t>
      </w:r>
    </w:p>
    <w:p>
      <w:pPr>
        <w:pStyle w:val="2"/>
        <w:spacing w:before="93"/>
        <w:jc w:val="right"/>
        <w:rPr>
          <w:rFonts w:ascii="仿宋" w:hAnsi="仿宋" w:eastAsia="仿宋"/>
          <w:sz w:val="32"/>
          <w:szCs w:val="32"/>
        </w:rPr>
      </w:pPr>
      <w:r>
        <w:rPr>
          <w:rFonts w:hint="eastAsia"/>
          <w:sz w:val="32"/>
          <w:szCs w:val="32"/>
        </w:rPr>
        <w:drawing>
          <wp:inline distT="0" distB="0" distL="114300" distR="114300">
            <wp:extent cx="5080000" cy="2754630"/>
            <wp:effectExtent l="4445" t="4445" r="20955" b="222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2" w:firstLineChars="200"/>
        <w:outlineLvl w:val="2"/>
        <w:rPr>
          <w:rFonts w:ascii="仿宋" w:hAnsi="仿宋" w:eastAsia="仿宋"/>
          <w:b/>
          <w:sz w:val="32"/>
          <w:szCs w:val="32"/>
        </w:rPr>
      </w:pPr>
      <w:bookmarkStart w:id="43" w:name="_Toc15377211"/>
      <w:r>
        <w:rPr>
          <w:rFonts w:hint="eastAsia" w:ascii="仿宋" w:hAnsi="仿宋" w:eastAsia="仿宋"/>
          <w:b/>
          <w:sz w:val="32"/>
          <w:szCs w:val="32"/>
        </w:rPr>
        <w:t>（二）一般公共预算财政拨款支出决算结构情况</w:t>
      </w:r>
      <w:bookmarkEnd w:id="43"/>
    </w:p>
    <w:p>
      <w:pPr>
        <w:spacing w:line="600" w:lineRule="exact"/>
        <w:ind w:firstLine="640"/>
        <w:rPr>
          <w:rFonts w:ascii="仿宋" w:hAnsi="仿宋" w:eastAsia="仿宋"/>
          <w:sz w:val="32"/>
          <w:szCs w:val="32"/>
        </w:rPr>
      </w:pPr>
      <w:r>
        <w:rPr>
          <w:rFonts w:hint="eastAsia" w:ascii="仿宋" w:hAnsi="仿宋" w:eastAsia="仿宋"/>
          <w:sz w:val="32"/>
          <w:szCs w:val="32"/>
        </w:rPr>
        <w:t>2024年度一般公共预算财政拨款支出</w:t>
      </w:r>
      <w:r>
        <w:rPr>
          <w:rFonts w:hint="eastAsia" w:ascii="仿宋" w:hAnsi="仿宋" w:eastAsia="仿宋"/>
          <w:b/>
          <w:sz w:val="32"/>
          <w:szCs w:val="32"/>
        </w:rPr>
        <w:t>462.17</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教育支出</w:t>
      </w:r>
      <w:r>
        <w:rPr>
          <w:rFonts w:hint="eastAsia" w:ascii="仿宋" w:hAnsi="仿宋" w:eastAsia="仿宋"/>
          <w:sz w:val="32"/>
          <w:szCs w:val="32"/>
        </w:rPr>
        <w:t>2.72万元，占0.59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50.19万元，占10.86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rPr>
        <w:t>13.89万元，占3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农林水支出1.82</w:t>
      </w:r>
      <w:r>
        <w:rPr>
          <w:rFonts w:hint="eastAsia" w:ascii="仿宋" w:hAnsi="仿宋" w:eastAsia="仿宋"/>
          <w:sz w:val="32"/>
          <w:szCs w:val="32"/>
        </w:rPr>
        <w:t>万元，占0.39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交通运输支出368.7</w:t>
      </w:r>
      <w:r>
        <w:rPr>
          <w:rFonts w:hint="eastAsia" w:ascii="仿宋" w:hAnsi="仿宋" w:eastAsia="仿宋"/>
          <w:sz w:val="32"/>
          <w:szCs w:val="32"/>
        </w:rPr>
        <w:t>万元，占79.78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rPr>
        <w:t>24.85万元，占5.38</w:t>
      </w:r>
      <w:r>
        <w:rPr>
          <w:rFonts w:ascii="仿宋" w:hAnsi="仿宋" w:eastAsia="仿宋"/>
          <w:sz w:val="32"/>
          <w:szCs w:val="32"/>
        </w:rPr>
        <w:t>%</w:t>
      </w:r>
      <w:r>
        <w:rPr>
          <w:rFonts w:hint="eastAsia" w:ascii="仿宋" w:hAnsi="仿宋" w:eastAsia="仿宋"/>
          <w:sz w:val="32"/>
          <w:szCs w:val="32"/>
        </w:rPr>
        <w:t>。</w:t>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 w:firstLineChars="200"/>
        <w:jc w:val="right"/>
        <w:rPr>
          <w:rFonts w:ascii="仿宋_GB2312" w:eastAsia="仿宋_GB2312"/>
          <w:sz w:val="32"/>
          <w:szCs w:val="32"/>
        </w:rPr>
      </w:pPr>
      <w:r>
        <w:rPr>
          <w:rFonts w:hint="eastAsia" w:ascii="仿宋_GB2312" w:eastAsia="仿宋_GB2312"/>
          <w:sz w:val="32"/>
          <w:szCs w:val="32"/>
        </w:rPr>
        <w:t>单位：万元</w:t>
      </w:r>
    </w:p>
    <w:p>
      <w:pPr>
        <w:pStyle w:val="2"/>
        <w:spacing w:before="93"/>
      </w:pPr>
      <w:r>
        <w:drawing>
          <wp:inline distT="0" distB="0" distL="114300" distR="114300">
            <wp:extent cx="5080000" cy="2607945"/>
            <wp:effectExtent l="4445" t="4445" r="20955"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2" w:firstLineChars="200"/>
        <w:outlineLvl w:val="2"/>
        <w:rPr>
          <w:rFonts w:ascii="仿宋" w:hAnsi="仿宋" w:eastAsia="仿宋"/>
          <w:b/>
          <w:sz w:val="32"/>
          <w:szCs w:val="32"/>
        </w:rPr>
      </w:pPr>
      <w:bookmarkStart w:id="44" w:name="_Toc15377212"/>
      <w:r>
        <w:rPr>
          <w:rFonts w:hint="eastAsia" w:ascii="仿宋" w:hAnsi="仿宋" w:eastAsia="仿宋"/>
          <w:b/>
          <w:sz w:val="32"/>
          <w:szCs w:val="32"/>
        </w:rPr>
        <w:t>（三）一般公共预算财政拨款支出决算具体情况</w:t>
      </w:r>
      <w:bookmarkEnd w:id="44"/>
    </w:p>
    <w:p>
      <w:pPr>
        <w:spacing w:line="600" w:lineRule="exact"/>
        <w:ind w:firstLine="642" w:firstLineChars="200"/>
        <w:outlineLvl w:val="2"/>
        <w:rPr>
          <w:rFonts w:ascii="仿宋" w:hAnsi="仿宋" w:eastAsia="仿宋"/>
          <w:sz w:val="32"/>
          <w:szCs w:val="32"/>
        </w:rPr>
      </w:pPr>
      <w:bookmarkStart w:id="45" w:name="_Toc15378460"/>
      <w:bookmarkStart w:id="46" w:name="_Toc15377213"/>
      <w:bookmarkStart w:id="47" w:name="_Toc15377444"/>
      <w:r>
        <w:rPr>
          <w:rFonts w:hint="eastAsia" w:ascii="仿宋" w:hAnsi="仿宋" w:eastAsia="仿宋"/>
          <w:b/>
          <w:sz w:val="32"/>
          <w:szCs w:val="32"/>
        </w:rPr>
        <w:t>2024年度一般公共预算支出决算数为462.17万元</w:t>
      </w:r>
      <w:r>
        <w:rPr>
          <w:rFonts w:hint="eastAsia" w:ascii="仿宋" w:hAnsi="仿宋" w:eastAsia="仿宋"/>
          <w:sz w:val="32"/>
          <w:szCs w:val="32"/>
        </w:rPr>
        <w:t>，</w:t>
      </w:r>
      <w:r>
        <w:rPr>
          <w:rStyle w:val="17"/>
          <w:rFonts w:hint="eastAsia" w:ascii="仿宋" w:hAnsi="仿宋" w:eastAsia="仿宋"/>
          <w:bCs/>
          <w:sz w:val="32"/>
          <w:szCs w:val="32"/>
        </w:rPr>
        <w:t>完成预算100</w:t>
      </w:r>
      <w:r>
        <w:rPr>
          <w:rStyle w:val="17"/>
          <w:rFonts w:ascii="仿宋" w:hAnsi="仿宋" w:eastAsia="仿宋"/>
          <w:bCs/>
          <w:sz w:val="32"/>
          <w:szCs w:val="32"/>
        </w:rPr>
        <w:t>%</w:t>
      </w:r>
      <w:r>
        <w:rPr>
          <w:rStyle w:val="17"/>
          <w:rFonts w:hint="eastAsia" w:ascii="仿宋" w:hAnsi="仿宋" w:eastAsia="仿宋"/>
          <w:bCs/>
          <w:sz w:val="32"/>
          <w:szCs w:val="32"/>
        </w:rPr>
        <w:t>。其中：</w:t>
      </w:r>
      <w:bookmarkEnd w:id="45"/>
      <w:bookmarkEnd w:id="46"/>
      <w:bookmarkEnd w:id="47"/>
    </w:p>
    <w:p>
      <w:pPr>
        <w:spacing w:line="600" w:lineRule="exact"/>
        <w:ind w:firstLine="642" w:firstLineChars="200"/>
        <w:rPr>
          <w:rFonts w:ascii="仿宋" w:hAnsi="仿宋" w:eastAsia="仿宋"/>
          <w:b/>
          <w:sz w:val="32"/>
          <w:szCs w:val="32"/>
        </w:rPr>
      </w:pPr>
      <w:r>
        <w:rPr>
          <w:rStyle w:val="17"/>
          <w:rFonts w:hint="eastAsia" w:ascii="仿宋" w:hAnsi="仿宋" w:eastAsia="仿宋"/>
          <w:bCs/>
          <w:sz w:val="32"/>
          <w:szCs w:val="32"/>
        </w:rPr>
        <w:t>1</w:t>
      </w:r>
      <w:r>
        <w:rPr>
          <w:rStyle w:val="17"/>
          <w:rFonts w:ascii="仿宋" w:hAnsi="仿宋" w:eastAsia="仿宋"/>
          <w:bCs/>
          <w:sz w:val="32"/>
          <w:szCs w:val="32"/>
        </w:rPr>
        <w:t>.</w:t>
      </w:r>
      <w:r>
        <w:rPr>
          <w:rStyle w:val="17"/>
          <w:rFonts w:hint="eastAsia" w:ascii="仿宋" w:hAnsi="仿宋" w:eastAsia="仿宋"/>
          <w:bCs/>
          <w:sz w:val="32"/>
          <w:szCs w:val="32"/>
        </w:rPr>
        <w:t>教育支出（类）职业教育（款）技校教育（项）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支出决算为2.72万元，完成预算100%。</w:t>
      </w:r>
    </w:p>
    <w:p>
      <w:pPr>
        <w:spacing w:line="600" w:lineRule="exact"/>
        <w:ind w:firstLine="642" w:firstLineChars="200"/>
        <w:rPr>
          <w:rStyle w:val="17"/>
          <w:rFonts w:ascii="仿宋" w:hAnsi="仿宋" w:eastAsia="仿宋"/>
          <w:b w:val="0"/>
          <w:bCs/>
          <w:sz w:val="32"/>
          <w:szCs w:val="32"/>
        </w:rPr>
      </w:pPr>
      <w:r>
        <w:rPr>
          <w:rStyle w:val="17"/>
          <w:rFonts w:hint="eastAsia" w:ascii="仿宋" w:hAnsi="仿宋" w:eastAsia="仿宋"/>
          <w:bCs/>
          <w:sz w:val="32"/>
          <w:szCs w:val="32"/>
        </w:rPr>
        <w:t>2</w:t>
      </w:r>
      <w:r>
        <w:rPr>
          <w:rStyle w:val="17"/>
          <w:rFonts w:ascii="仿宋" w:hAnsi="仿宋" w:eastAsia="仿宋"/>
          <w:bCs/>
          <w:sz w:val="32"/>
          <w:szCs w:val="32"/>
        </w:rPr>
        <w:t>.</w:t>
      </w:r>
      <w:r>
        <w:rPr>
          <w:rStyle w:val="17"/>
          <w:rFonts w:hint="eastAsia" w:ascii="仿宋" w:hAnsi="仿宋" w:eastAsia="仿宋"/>
          <w:bCs/>
          <w:sz w:val="32"/>
          <w:szCs w:val="32"/>
        </w:rPr>
        <w:t>社会保障和就业支出（类）行政事业单位养老支出（款）机关事业单位基本养老保险缴费支出（项）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支出决算为28.49万元，完成预算100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pStyle w:val="2"/>
        <w:spacing w:before="93"/>
        <w:ind w:firstLine="642" w:firstLineChars="200"/>
        <w:rPr>
          <w:rStyle w:val="17"/>
          <w:rFonts w:ascii="仿宋" w:hAnsi="仿宋" w:eastAsia="仿宋"/>
          <w:b w:val="0"/>
          <w:bCs/>
          <w:sz w:val="32"/>
          <w:szCs w:val="32"/>
        </w:rPr>
      </w:pPr>
      <w:r>
        <w:rPr>
          <w:rStyle w:val="17"/>
          <w:rFonts w:hint="eastAsia" w:ascii="仿宋" w:hAnsi="仿宋" w:eastAsia="仿宋"/>
          <w:bCs/>
          <w:sz w:val="32"/>
          <w:szCs w:val="32"/>
        </w:rPr>
        <w:t>3</w:t>
      </w:r>
      <w:r>
        <w:rPr>
          <w:rStyle w:val="17"/>
          <w:rFonts w:ascii="仿宋" w:hAnsi="仿宋" w:eastAsia="仿宋"/>
          <w:bCs/>
          <w:sz w:val="32"/>
          <w:szCs w:val="32"/>
        </w:rPr>
        <w:t>.</w:t>
      </w:r>
      <w:r>
        <w:rPr>
          <w:rStyle w:val="17"/>
          <w:rFonts w:hint="eastAsia" w:ascii="仿宋" w:hAnsi="仿宋" w:eastAsia="仿宋"/>
          <w:bCs/>
          <w:sz w:val="32"/>
          <w:szCs w:val="32"/>
        </w:rPr>
        <w:t>社会保障和就业支出（类）行政事业单位养老支出（款）机关事业单位职业年金缴费支出（项）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支出决算为14.24万元，完成预算100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pStyle w:val="2"/>
        <w:spacing w:before="93"/>
        <w:ind w:firstLine="642" w:firstLineChars="200"/>
      </w:pPr>
      <w:r>
        <w:rPr>
          <w:rStyle w:val="17"/>
          <w:rFonts w:hint="eastAsia" w:ascii="仿宋" w:hAnsi="仿宋" w:eastAsia="仿宋"/>
          <w:bCs/>
          <w:sz w:val="32"/>
          <w:szCs w:val="32"/>
        </w:rPr>
        <w:t>4</w:t>
      </w:r>
      <w:r>
        <w:rPr>
          <w:rStyle w:val="17"/>
          <w:rFonts w:ascii="仿宋" w:hAnsi="仿宋" w:eastAsia="仿宋"/>
          <w:bCs/>
          <w:sz w:val="32"/>
          <w:szCs w:val="32"/>
        </w:rPr>
        <w:t>.</w:t>
      </w:r>
      <w:r>
        <w:rPr>
          <w:rStyle w:val="17"/>
          <w:rFonts w:hint="eastAsia" w:ascii="仿宋" w:hAnsi="仿宋" w:eastAsia="仿宋"/>
          <w:bCs/>
          <w:sz w:val="32"/>
          <w:szCs w:val="32"/>
        </w:rPr>
        <w:t>社会保障和就业支出（类）抚恤（款）死亡抚恤（项）</w:t>
      </w:r>
      <w:r>
        <w:rPr>
          <w:rStyle w:val="17"/>
          <w:rFonts w:hint="eastAsia" w:ascii="仿宋" w:hAnsi="仿宋" w:eastAsia="仿宋"/>
          <w:bCs/>
          <w:sz w:val="32"/>
          <w:szCs w:val="32"/>
          <w:lang w:eastAsia="zh-CN"/>
        </w:rPr>
        <w:t>：</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支出决算为7.46万元，完成预算100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Style w:val="17"/>
          <w:rFonts w:hint="eastAsia" w:ascii="仿宋" w:hAnsi="仿宋" w:eastAsia="仿宋"/>
          <w:bCs/>
          <w:sz w:val="32"/>
          <w:szCs w:val="32"/>
        </w:rPr>
        <w:t>5</w:t>
      </w:r>
      <w:r>
        <w:rPr>
          <w:rStyle w:val="17"/>
          <w:rFonts w:ascii="仿宋" w:hAnsi="仿宋" w:eastAsia="仿宋"/>
          <w:bCs/>
          <w:sz w:val="32"/>
          <w:szCs w:val="32"/>
        </w:rPr>
        <w:t>.</w:t>
      </w:r>
      <w:r>
        <w:rPr>
          <w:rFonts w:hint="eastAsia" w:ascii="仿宋" w:hAnsi="仿宋" w:eastAsia="仿宋"/>
          <w:b/>
          <w:bCs/>
          <w:sz w:val="32"/>
          <w:szCs w:val="32"/>
        </w:rPr>
        <w:t>卫生健康支出</w:t>
      </w:r>
      <w:r>
        <w:rPr>
          <w:rStyle w:val="17"/>
          <w:rFonts w:hint="eastAsia" w:ascii="仿宋" w:hAnsi="仿宋" w:eastAsia="仿宋"/>
          <w:bCs/>
          <w:sz w:val="32"/>
          <w:szCs w:val="32"/>
        </w:rPr>
        <w:t>（类）行政事业单位医疗（款）事业单位医疗（项）</w:t>
      </w:r>
      <w:r>
        <w:rPr>
          <w:rStyle w:val="17"/>
          <w:rFonts w:hint="eastAsia" w:ascii="仿宋" w:hAnsi="仿宋" w:eastAsia="仿宋"/>
          <w:bCs/>
          <w:sz w:val="32"/>
          <w:szCs w:val="32"/>
          <w:lang w:eastAsia="zh-CN"/>
        </w:rPr>
        <w:t>：</w:t>
      </w:r>
      <w:r>
        <w:rPr>
          <w:rStyle w:val="17"/>
          <w:rFonts w:hint="eastAsia" w:ascii="仿宋" w:hAnsi="仿宋" w:eastAsia="仿宋"/>
          <w:b w:val="0"/>
          <w:bCs/>
          <w:sz w:val="32"/>
          <w:szCs w:val="32"/>
        </w:rPr>
        <w:t>支出决算为13.89万元，完成预算100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Style w:val="17"/>
          <w:rFonts w:ascii="仿宋" w:hAnsi="仿宋" w:eastAsia="仿宋"/>
          <w:bCs/>
          <w:sz w:val="32"/>
          <w:szCs w:val="32"/>
        </w:rPr>
        <w:t>6.</w:t>
      </w:r>
      <w:r>
        <w:rPr>
          <w:rFonts w:hint="eastAsia" w:ascii="仿宋" w:hAnsi="仿宋" w:eastAsia="仿宋"/>
          <w:b/>
          <w:bCs/>
          <w:sz w:val="32"/>
          <w:szCs w:val="32"/>
        </w:rPr>
        <w:t>农林水支出</w:t>
      </w:r>
      <w:r>
        <w:rPr>
          <w:rStyle w:val="17"/>
          <w:rFonts w:hint="eastAsia" w:ascii="仿宋" w:hAnsi="仿宋" w:eastAsia="仿宋"/>
          <w:bCs/>
          <w:sz w:val="32"/>
          <w:szCs w:val="32"/>
        </w:rPr>
        <w:t>（类）巩固脱贫攻坚成果衔接乡村振兴（款）其他巩固脱贫攻坚成果衔接乡村振兴支出（项）</w:t>
      </w:r>
      <w:r>
        <w:rPr>
          <w:rStyle w:val="17"/>
          <w:rFonts w:hint="eastAsia" w:ascii="仿宋" w:hAnsi="仿宋" w:eastAsia="仿宋"/>
          <w:bCs/>
          <w:sz w:val="32"/>
          <w:szCs w:val="32"/>
          <w:lang w:eastAsia="zh-CN"/>
        </w:rPr>
        <w:t>：</w:t>
      </w:r>
      <w:r>
        <w:rPr>
          <w:rStyle w:val="17"/>
          <w:rFonts w:hint="eastAsia" w:ascii="仿宋" w:hAnsi="仿宋" w:eastAsia="仿宋"/>
          <w:b w:val="0"/>
          <w:bCs/>
          <w:sz w:val="32"/>
          <w:szCs w:val="32"/>
        </w:rPr>
        <w:t>支出决算为1.82万元，完成预算100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2" w:firstLineChars="200"/>
        <w:rPr>
          <w:rStyle w:val="17"/>
          <w:rFonts w:ascii="仿宋" w:hAnsi="仿宋" w:eastAsia="仿宋"/>
          <w:bCs/>
          <w:sz w:val="32"/>
          <w:szCs w:val="32"/>
        </w:rPr>
      </w:pPr>
      <w:r>
        <w:rPr>
          <w:rFonts w:hint="eastAsia" w:ascii="仿宋" w:hAnsi="仿宋" w:eastAsia="仿宋"/>
          <w:b/>
          <w:bCs/>
          <w:sz w:val="32"/>
          <w:szCs w:val="32"/>
        </w:rPr>
        <w:t>7.交通运输支出</w:t>
      </w:r>
      <w:r>
        <w:rPr>
          <w:rStyle w:val="17"/>
          <w:rFonts w:hint="eastAsia" w:ascii="仿宋" w:hAnsi="仿宋" w:eastAsia="仿宋"/>
          <w:bCs/>
          <w:sz w:val="32"/>
          <w:szCs w:val="32"/>
        </w:rPr>
        <w:t>（类）公路水路运输（款）其他公路水路运输支出（项）</w:t>
      </w:r>
      <w:r>
        <w:rPr>
          <w:rStyle w:val="17"/>
          <w:rFonts w:hint="eastAsia" w:ascii="仿宋" w:hAnsi="仿宋" w:eastAsia="仿宋"/>
          <w:bCs/>
          <w:sz w:val="32"/>
          <w:szCs w:val="32"/>
          <w:lang w:eastAsia="zh-CN"/>
        </w:rPr>
        <w:t>：</w:t>
      </w:r>
      <w:r>
        <w:rPr>
          <w:rStyle w:val="17"/>
          <w:rFonts w:hint="eastAsia" w:ascii="仿宋" w:hAnsi="仿宋" w:eastAsia="仿宋"/>
          <w:b w:val="0"/>
          <w:bCs/>
          <w:sz w:val="32"/>
          <w:szCs w:val="32"/>
        </w:rPr>
        <w:t>支出决算为368.7万元，完成预算100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hint="eastAsia" w:ascii="仿宋" w:hAnsi="仿宋" w:eastAsia="仿宋"/>
          <w:b/>
          <w:bCs/>
          <w:sz w:val="32"/>
          <w:szCs w:val="32"/>
        </w:rPr>
        <w:t>8.住房保障支出</w:t>
      </w:r>
      <w:r>
        <w:rPr>
          <w:rStyle w:val="17"/>
          <w:rFonts w:hint="eastAsia" w:ascii="仿宋" w:hAnsi="仿宋" w:eastAsia="仿宋"/>
          <w:bCs/>
          <w:sz w:val="32"/>
          <w:szCs w:val="32"/>
        </w:rPr>
        <w:t>（类）住房改革支出（款）住房公积金（项）</w:t>
      </w:r>
      <w:r>
        <w:rPr>
          <w:rStyle w:val="17"/>
          <w:rFonts w:hint="eastAsia" w:ascii="仿宋" w:hAnsi="仿宋" w:eastAsia="仿宋"/>
          <w:bCs/>
          <w:sz w:val="32"/>
          <w:szCs w:val="32"/>
          <w:lang w:eastAsia="zh-CN"/>
        </w:rPr>
        <w:t>：</w:t>
      </w:r>
      <w:r>
        <w:rPr>
          <w:rStyle w:val="17"/>
          <w:rFonts w:hint="eastAsia" w:ascii="仿宋" w:hAnsi="仿宋" w:eastAsia="仿宋"/>
          <w:b w:val="0"/>
          <w:bCs/>
          <w:sz w:val="32"/>
          <w:szCs w:val="32"/>
        </w:rPr>
        <w:t>支出决算为24.85万元，完成预算100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tabs>
          <w:tab w:val="right" w:pos="8306"/>
        </w:tabs>
        <w:spacing w:line="600" w:lineRule="exact"/>
        <w:ind w:firstLine="640"/>
        <w:outlineLvl w:val="1"/>
        <w:rPr>
          <w:rStyle w:val="20"/>
        </w:rPr>
      </w:pPr>
      <w:bookmarkStart w:id="48" w:name="_Toc15396608"/>
      <w:bookmarkStart w:id="49" w:name="_Toc31814"/>
      <w:bookmarkStart w:id="50"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48"/>
      <w:bookmarkEnd w:id="49"/>
      <w:bookmarkEnd w:id="50"/>
      <w:r>
        <w:rPr>
          <w:rStyle w:val="20"/>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2024年度一般公共预算财政拨款基本支出</w:t>
      </w:r>
      <w:r>
        <w:rPr>
          <w:rFonts w:hint="eastAsia" w:ascii="仿宋" w:hAnsi="仿宋" w:eastAsia="仿宋"/>
          <w:b/>
          <w:sz w:val="32"/>
          <w:szCs w:val="32"/>
        </w:rPr>
        <w:t>362.98</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3</w:t>
      </w:r>
      <w:r>
        <w:rPr>
          <w:rFonts w:hint="eastAsia" w:ascii="仿宋" w:hAnsi="仿宋" w:eastAsia="仿宋"/>
          <w:b/>
          <w:sz w:val="32"/>
          <w:szCs w:val="32"/>
        </w:rPr>
        <w:t>39.15</w:t>
      </w:r>
      <w:r>
        <w:rPr>
          <w:rFonts w:hint="eastAsia" w:ascii="仿宋" w:hAnsi="仿宋" w:eastAsia="仿宋"/>
          <w:sz w:val="32"/>
          <w:szCs w:val="32"/>
        </w:rPr>
        <w:t>万元，主要包括：基本工资、津贴补贴、奖金、绩效工资、机关事业单位基本养老保险缴费、职业年金缴费、职工基本医疗保险缴费、其他社会保障缴费、住房公积金、抚恤金、生活补助。</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2</w:t>
      </w:r>
      <w:r>
        <w:rPr>
          <w:rFonts w:hint="eastAsia" w:ascii="仿宋" w:hAnsi="仿宋" w:eastAsia="仿宋"/>
          <w:b/>
          <w:sz w:val="32"/>
          <w:szCs w:val="32"/>
        </w:rPr>
        <w:t>3.83</w:t>
      </w:r>
      <w:r>
        <w:rPr>
          <w:rFonts w:hint="eastAsia" w:ascii="仿宋" w:hAnsi="仿宋" w:eastAsia="仿宋"/>
          <w:sz w:val="32"/>
          <w:szCs w:val="32"/>
        </w:rPr>
        <w:t>万元，主要包括：办公费、印刷费、水费、电费、邮电费、物业管理费、差旅费、维修（护）费、劳务费、委托业务费、工会经费、其他交通费用、其他商品和服务支出。</w:t>
      </w:r>
    </w:p>
    <w:p>
      <w:pPr>
        <w:spacing w:line="600" w:lineRule="exact"/>
        <w:ind w:firstLine="640"/>
        <w:outlineLvl w:val="1"/>
        <w:rPr>
          <w:rStyle w:val="20"/>
          <w:rFonts w:ascii="黑体" w:hAnsi="黑体" w:eastAsia="黑体"/>
          <w:b w:val="0"/>
        </w:rPr>
      </w:pPr>
      <w:bookmarkStart w:id="51" w:name="_Toc15396609"/>
      <w:bookmarkStart w:id="52" w:name="_Toc15702"/>
      <w:bookmarkStart w:id="53" w:name="_Toc15377215"/>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51"/>
      <w:bookmarkEnd w:id="52"/>
      <w:bookmarkEnd w:id="53"/>
    </w:p>
    <w:p>
      <w:pPr>
        <w:spacing w:line="600" w:lineRule="exact"/>
        <w:ind w:firstLine="640"/>
        <w:outlineLvl w:val="2"/>
        <w:rPr>
          <w:rFonts w:ascii="仿宋" w:hAnsi="仿宋" w:eastAsia="仿宋"/>
          <w:b/>
          <w:sz w:val="32"/>
          <w:szCs w:val="32"/>
        </w:rPr>
      </w:pPr>
      <w:bookmarkStart w:id="54" w:name="_Toc15377216"/>
      <w:r>
        <w:rPr>
          <w:rFonts w:hint="eastAsia" w:ascii="仿宋" w:hAnsi="仿宋" w:eastAsia="仿宋"/>
          <w:b/>
          <w:sz w:val="32"/>
          <w:szCs w:val="32"/>
        </w:rPr>
        <w:t>（一）“三公”经费财政拨款支出决算总体情况说明</w:t>
      </w:r>
      <w:bookmarkEnd w:id="54"/>
    </w:p>
    <w:p>
      <w:pPr>
        <w:spacing w:line="600" w:lineRule="exact"/>
        <w:ind w:firstLine="640"/>
        <w:rPr>
          <w:rFonts w:ascii="仿宋" w:hAnsi="仿宋" w:eastAsia="仿宋"/>
          <w:sz w:val="32"/>
          <w:szCs w:val="32"/>
        </w:rPr>
      </w:pPr>
      <w:r>
        <w:rPr>
          <w:rFonts w:hint="eastAsia" w:ascii="仿宋" w:hAnsi="仿宋" w:eastAsia="仿宋"/>
          <w:sz w:val="32"/>
          <w:szCs w:val="32"/>
        </w:rPr>
        <w:t>2024年度“三公”经费财政拨款支出决算为</w:t>
      </w:r>
      <w:r>
        <w:rPr>
          <w:rFonts w:hint="eastAsia" w:ascii="仿宋" w:hAnsi="仿宋" w:eastAsia="仿宋"/>
          <w:b/>
          <w:sz w:val="32"/>
          <w:szCs w:val="32"/>
        </w:rPr>
        <w:t>0</w:t>
      </w:r>
      <w:r>
        <w:rPr>
          <w:rFonts w:hint="eastAsia" w:ascii="仿宋" w:hAnsi="仿宋" w:eastAsia="仿宋"/>
          <w:sz w:val="32"/>
          <w:szCs w:val="32"/>
        </w:rPr>
        <w:t>万元，</w:t>
      </w:r>
      <w:r>
        <w:rPr>
          <w:rFonts w:hint="eastAsia" w:ascii="仿宋" w:hAnsi="仿宋" w:eastAsia="仿宋"/>
          <w:sz w:val="32"/>
          <w:szCs w:val="32"/>
          <w:lang w:eastAsia="zh-CN"/>
        </w:rPr>
        <w:t>未安排预算</w:t>
      </w:r>
      <w:r>
        <w:rPr>
          <w:rFonts w:hint="eastAsia" w:ascii="仿宋" w:hAnsi="仿宋" w:eastAsia="仿宋"/>
          <w:sz w:val="32"/>
          <w:szCs w:val="32"/>
        </w:rPr>
        <w:t>，较上年度减少0.08万元，下降100%。决算数</w:t>
      </w:r>
      <w:r>
        <w:rPr>
          <w:rFonts w:hint="eastAsia" w:ascii="仿宋" w:hAnsi="仿宋" w:eastAsia="仿宋"/>
          <w:sz w:val="32"/>
          <w:szCs w:val="32"/>
          <w:lang w:eastAsia="zh-CN"/>
        </w:rPr>
        <w:t>与预算数持平</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55" w:name="_Toc15377217"/>
      <w:r>
        <w:rPr>
          <w:rFonts w:hint="eastAsia" w:ascii="仿宋" w:hAnsi="仿宋" w:eastAsia="仿宋"/>
          <w:b/>
          <w:sz w:val="32"/>
          <w:szCs w:val="32"/>
        </w:rPr>
        <w:t>（二）“三公”经费财政拨款支出决算具体情况说明</w:t>
      </w:r>
      <w:bookmarkEnd w:id="55"/>
    </w:p>
    <w:p>
      <w:pPr>
        <w:spacing w:line="600" w:lineRule="exact"/>
        <w:ind w:firstLine="640"/>
        <w:rPr>
          <w:rFonts w:ascii="仿宋" w:hAnsi="仿宋" w:eastAsia="仿宋"/>
          <w:sz w:val="32"/>
          <w:szCs w:val="32"/>
        </w:rPr>
      </w:pPr>
      <w:r>
        <w:rPr>
          <w:rFonts w:hint="eastAsia" w:ascii="仿宋" w:hAnsi="仿宋" w:eastAsia="仿宋"/>
          <w:sz w:val="32"/>
          <w:szCs w:val="32"/>
        </w:rPr>
        <w:t>2024年度“三公”经费财政拨款支出决算中，因公出国（境）费支出决算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spacing w:line="600" w:lineRule="exact"/>
        <w:jc w:val="center"/>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0" w:firstLineChars="200"/>
        <w:jc w:val="right"/>
        <w:rPr>
          <w:rFonts w:ascii="仿宋_GB2312" w:eastAsia="仿宋_GB2312"/>
          <w:sz w:val="32"/>
          <w:szCs w:val="32"/>
        </w:rPr>
      </w:pPr>
      <w:r>
        <w:rPr>
          <w:rFonts w:hint="eastAsia" w:ascii="仿宋_GB2312" w:eastAsia="仿宋_GB2312"/>
          <w:sz w:val="32"/>
          <w:szCs w:val="32"/>
        </w:rPr>
        <w:t>单位：万元</w:t>
      </w:r>
    </w:p>
    <w:p>
      <w:pPr>
        <w:pStyle w:val="2"/>
        <w:spacing w:before="93"/>
      </w:pPr>
      <w:r>
        <w:rPr>
          <w:rFonts w:hint="eastAsia"/>
        </w:rPr>
        <w:drawing>
          <wp:inline distT="0" distB="0" distL="114300" distR="114300">
            <wp:extent cx="5080000" cy="2434590"/>
            <wp:effectExtent l="4445" t="4445" r="20955" b="1841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rPr>
          <w:rFonts w:ascii="仿宋_GB2312" w:eastAsia="仿宋_GB2312"/>
          <w:b/>
          <w:sz w:val="32"/>
          <w:szCs w:val="32"/>
        </w:rPr>
      </w:pPr>
      <w:bookmarkStart w:id="56" w:name="_Toc15377218"/>
      <w:bookmarkStart w:id="57" w:name="_Toc15396610"/>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年初未安排预算，</w:t>
      </w:r>
      <w:r>
        <w:rPr>
          <w:rFonts w:hint="eastAsia" w:ascii="仿宋_GB2312" w:eastAsia="仿宋_GB2312"/>
          <w:sz w:val="32"/>
          <w:szCs w:val="32"/>
        </w:rPr>
        <w:t>因公出国（境）支出决算比2023年持平。</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7"/>
          <w:rFonts w:hint="eastAsia" w:ascii="仿宋" w:hAnsi="仿宋" w:eastAsia="仿宋"/>
          <w:b w:val="0"/>
          <w:bCs/>
          <w:sz w:val="32"/>
          <w:szCs w:val="32"/>
          <w:lang w:eastAsia="zh-CN"/>
        </w:rPr>
        <w:t>年初未安排预算</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公务用车购置及运行维护费支出决算比2023年度持平。</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万元。全年按规定更新购置公务用车0辆。截至2024年</w:t>
      </w:r>
      <w:r>
        <w:rPr>
          <w:rFonts w:ascii="仿宋_GB2312" w:eastAsia="仿宋_GB2312"/>
          <w:sz w:val="32"/>
          <w:szCs w:val="32"/>
        </w:rPr>
        <w:t>12</w:t>
      </w:r>
      <w:r>
        <w:rPr>
          <w:rFonts w:hint="eastAsia" w:ascii="仿宋_GB2312" w:eastAsia="仿宋_GB2312"/>
          <w:sz w:val="32"/>
          <w:szCs w:val="32"/>
        </w:rPr>
        <w:t>月31日，单位共有公务用车0辆。</w:t>
      </w:r>
    </w:p>
    <w:p>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lang w:eastAsia="zh-CN"/>
        </w:rPr>
        <w:t>未安排预算</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公务接待费支出决算比2023年度减少0.08万元，下降100</w:t>
      </w:r>
      <w:r>
        <w:rPr>
          <w:rFonts w:ascii="仿宋_GB2312" w:eastAsia="仿宋_GB2312"/>
          <w:sz w:val="32"/>
          <w:szCs w:val="32"/>
        </w:rPr>
        <w:t>%</w:t>
      </w:r>
      <w:r>
        <w:rPr>
          <w:rFonts w:hint="eastAsia" w:ascii="仿宋_GB2312" w:eastAsia="仿宋_GB2312"/>
          <w:sz w:val="32"/>
          <w:szCs w:val="32"/>
        </w:rPr>
        <w:t>。主要原因是2024年无来广人员。其中：</w:t>
      </w:r>
    </w:p>
    <w:p>
      <w:pPr>
        <w:spacing w:line="600" w:lineRule="exact"/>
        <w:ind w:firstLine="640"/>
        <w:rPr>
          <w:rFonts w:hint="eastAsia" w:ascii="仿宋_GB2312" w:eastAsia="仿宋_GB2312"/>
          <w:sz w:val="32"/>
          <w:szCs w:val="32"/>
          <w:lang w:eastAsia="zh-CN"/>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2" w:firstLineChars="200"/>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outlineLvl w:val="1"/>
        <w:rPr>
          <w:rStyle w:val="20"/>
          <w:rFonts w:ascii="黑体" w:hAnsi="黑体" w:eastAsia="黑体"/>
        </w:rPr>
      </w:pPr>
      <w:bookmarkStart w:id="58" w:name="_Toc30059"/>
      <w:r>
        <w:rPr>
          <w:rFonts w:hint="eastAsia" w:ascii="黑体" w:eastAsia="黑体"/>
          <w:sz w:val="32"/>
          <w:szCs w:val="32"/>
        </w:rPr>
        <w:t>八、</w:t>
      </w:r>
      <w:r>
        <w:rPr>
          <w:rStyle w:val="20"/>
          <w:rFonts w:hint="eastAsia" w:ascii="黑体" w:hAnsi="黑体" w:eastAsia="黑体"/>
          <w:b w:val="0"/>
        </w:rPr>
        <w:t>政府性基金预算支出决算情况说明</w:t>
      </w:r>
      <w:bookmarkEnd w:id="56"/>
      <w:bookmarkEnd w:id="57"/>
      <w:bookmarkEnd w:id="58"/>
    </w:p>
    <w:p>
      <w:pPr>
        <w:spacing w:line="600" w:lineRule="exact"/>
        <w:ind w:firstLine="640"/>
        <w:rPr>
          <w:rFonts w:ascii="仿宋_GB2312" w:eastAsia="仿宋_GB2312"/>
          <w:sz w:val="32"/>
          <w:szCs w:val="32"/>
        </w:rPr>
      </w:pPr>
      <w:r>
        <w:rPr>
          <w:rFonts w:hint="eastAsia" w:ascii="仿宋_GB2312" w:eastAsia="仿宋_GB2312"/>
          <w:sz w:val="32"/>
          <w:szCs w:val="32"/>
        </w:rPr>
        <w:t>2024年度政府性基金预算财政拨款支出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2"/>
        </w:numPr>
        <w:spacing w:line="600" w:lineRule="exact"/>
        <w:ind w:firstLine="640"/>
        <w:outlineLvl w:val="1"/>
        <w:rPr>
          <w:rStyle w:val="20"/>
          <w:rFonts w:ascii="黑体" w:hAnsi="黑体" w:eastAsia="黑体"/>
          <w:b w:val="0"/>
        </w:rPr>
      </w:pPr>
      <w:bookmarkStart w:id="59" w:name="_Toc15377219"/>
      <w:bookmarkStart w:id="60" w:name="_Toc15396611"/>
      <w:bookmarkStart w:id="61" w:name="_Toc12811"/>
      <w:r>
        <w:rPr>
          <w:rStyle w:val="20"/>
          <w:rFonts w:hint="eastAsia" w:ascii="黑体" w:hAnsi="黑体" w:eastAsia="黑体"/>
          <w:b w:val="0"/>
        </w:rPr>
        <w:t>国有资本经营预算支出决算情况说明</w:t>
      </w:r>
      <w:bookmarkEnd w:id="59"/>
      <w:bookmarkEnd w:id="60"/>
      <w:bookmarkEnd w:id="61"/>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2024年度国有资本经营预算财政拨款支出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2"/>
        </w:numPr>
        <w:spacing w:line="600" w:lineRule="exact"/>
        <w:ind w:firstLine="640"/>
        <w:outlineLvl w:val="1"/>
        <w:rPr>
          <w:rStyle w:val="20"/>
          <w:rFonts w:ascii="黑体" w:hAnsi="黑体" w:eastAsia="黑体"/>
          <w:b w:val="0"/>
        </w:rPr>
      </w:pPr>
      <w:bookmarkStart w:id="62" w:name="_Toc15396612"/>
      <w:bookmarkStart w:id="63" w:name="_Toc2433"/>
      <w:bookmarkStart w:id="64" w:name="_Toc15377221"/>
      <w:r>
        <w:rPr>
          <w:rStyle w:val="20"/>
          <w:rFonts w:hint="eastAsia" w:ascii="黑体" w:hAnsi="黑体" w:eastAsia="黑体"/>
          <w:b w:val="0"/>
        </w:rPr>
        <w:t>其他重要事项的情况说明</w:t>
      </w:r>
      <w:bookmarkEnd w:id="62"/>
      <w:bookmarkEnd w:id="63"/>
      <w:bookmarkEnd w:id="64"/>
    </w:p>
    <w:p>
      <w:pPr>
        <w:spacing w:line="600" w:lineRule="exact"/>
        <w:ind w:firstLine="642" w:firstLineChars="200"/>
        <w:outlineLvl w:val="2"/>
        <w:rPr>
          <w:rFonts w:ascii="仿宋" w:hAnsi="仿宋" w:eastAsia="仿宋"/>
          <w:sz w:val="32"/>
          <w:szCs w:val="32"/>
        </w:rPr>
      </w:pPr>
      <w:bookmarkStart w:id="65" w:name="_Toc15377222"/>
      <w:r>
        <w:rPr>
          <w:rFonts w:hint="eastAsia" w:ascii="仿宋" w:hAnsi="仿宋" w:eastAsia="仿宋"/>
          <w:b/>
          <w:sz w:val="32"/>
          <w:szCs w:val="32"/>
        </w:rPr>
        <w:t>（一）机关运行经费支出情况</w:t>
      </w:r>
      <w:bookmarkEnd w:id="65"/>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2024年度，广元市机械化养护与应急保障中心机关运行经费支出</w:t>
      </w:r>
      <w:r>
        <w:rPr>
          <w:rFonts w:ascii="仿宋" w:hAnsi="仿宋" w:eastAsia="仿宋"/>
          <w:b/>
          <w:sz w:val="32"/>
          <w:szCs w:val="32"/>
        </w:rPr>
        <w:t>0</w:t>
      </w:r>
      <w:r>
        <w:rPr>
          <w:rFonts w:hint="eastAsia" w:ascii="仿宋_GB2312" w:eastAsia="仿宋_GB2312"/>
          <w:sz w:val="32"/>
          <w:szCs w:val="32"/>
        </w:rPr>
        <w:t>万元，比2023年度决算数持平。</w:t>
      </w:r>
      <w:r>
        <w:rPr>
          <w:rFonts w:hint="eastAsia" w:ascii="仿宋_GB2312" w:eastAsia="仿宋_GB2312"/>
          <w:sz w:val="32"/>
        </w:rPr>
        <w:t>主要原因是本单位属于事业单位，不产生机关运行经费。</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6" w:name="_Toc15377223"/>
      <w:r>
        <w:rPr>
          <w:rFonts w:hint="eastAsia" w:ascii="仿宋" w:hAnsi="仿宋" w:eastAsia="仿宋"/>
          <w:b/>
          <w:sz w:val="32"/>
          <w:szCs w:val="32"/>
        </w:rPr>
        <w:t>（二）政府采购支出情况</w:t>
      </w:r>
      <w:bookmarkEnd w:id="6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2024年度广元市机械化养护与应急保障中心政府采购支出总额</w:t>
      </w:r>
      <w:r>
        <w:rPr>
          <w:rFonts w:ascii="仿宋" w:hAnsi="仿宋" w:eastAsia="仿宋"/>
          <w:b/>
          <w:sz w:val="32"/>
          <w:szCs w:val="32"/>
        </w:rPr>
        <w:t>0</w:t>
      </w:r>
      <w:r>
        <w:rPr>
          <w:rFonts w:hint="eastAsia" w:ascii="仿宋_GB2312" w:eastAsia="仿宋_GB2312"/>
          <w:sz w:val="32"/>
          <w:szCs w:val="32"/>
        </w:rPr>
        <w:t>万元。</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7" w:name="_Toc15377224"/>
      <w:r>
        <w:rPr>
          <w:rFonts w:hint="eastAsia" w:ascii="仿宋" w:hAnsi="仿宋" w:eastAsia="仿宋"/>
          <w:b/>
          <w:sz w:val="32"/>
          <w:szCs w:val="32"/>
        </w:rPr>
        <w:t>（三）国有资产占有使用情况</w:t>
      </w:r>
      <w:bookmarkEnd w:id="67"/>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日，广元市机械化养护与应急保障中心共有车辆</w:t>
      </w:r>
      <w:r>
        <w:rPr>
          <w:rFonts w:hint="eastAsia" w:ascii="仿宋_GB2312" w:eastAsia="仿宋_GB2312"/>
          <w:b/>
          <w:sz w:val="32"/>
          <w:szCs w:val="32"/>
        </w:rPr>
        <w:t>53</w:t>
      </w:r>
      <w:r>
        <w:rPr>
          <w:rFonts w:hint="eastAsia" w:ascii="仿宋_GB2312" w:eastAsia="仿宋_GB2312"/>
          <w:sz w:val="32"/>
          <w:szCs w:val="32"/>
        </w:rPr>
        <w:t>辆，其中：</w:t>
      </w:r>
      <w:bookmarkStart w:id="103" w:name="_GoBack"/>
      <w:bookmarkEnd w:id="103"/>
      <w:r>
        <w:rPr>
          <w:rFonts w:hint="eastAsia" w:ascii="仿宋_GB2312" w:eastAsia="仿宋_GB2312"/>
          <w:sz w:val="32"/>
          <w:szCs w:val="32"/>
        </w:rPr>
        <w:t>其他用车53辆，</w:t>
      </w:r>
      <w:r>
        <w:rPr>
          <w:rFonts w:hint="eastAsia" w:ascii="仿宋_GB2312" w:eastAsia="仿宋_GB2312"/>
          <w:sz w:val="32"/>
        </w:rPr>
        <w:t>其他用车主要是用于驾驶员培训教学、学员接送等</w:t>
      </w:r>
      <w:r>
        <w:rPr>
          <w:rFonts w:ascii="仿宋_GB2312" w:eastAsia="仿宋_GB2312"/>
          <w:sz w:val="32"/>
        </w:rPr>
        <w:t>5</w:t>
      </w:r>
      <w:r>
        <w:rPr>
          <w:rFonts w:hint="eastAsia" w:ascii="仿宋_GB2312" w:eastAsia="仿宋_GB2312"/>
          <w:sz w:val="32"/>
        </w:rPr>
        <w:t>3辆。</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2" w:firstLineChars="200"/>
        <w:jc w:val="left"/>
        <w:outlineLvl w:val="2"/>
        <w:rPr>
          <w:rFonts w:ascii="仿宋" w:hAnsi="仿宋" w:eastAsia="仿宋"/>
          <w:b/>
          <w:sz w:val="32"/>
          <w:szCs w:val="32"/>
          <w:highlight w:val="yellow"/>
        </w:rPr>
      </w:pPr>
      <w:r>
        <w:rPr>
          <w:rFonts w:hint="eastAsia" w:ascii="仿宋" w:hAnsi="仿宋" w:eastAsia="仿宋"/>
          <w:b/>
          <w:sz w:val="32"/>
          <w:szCs w:val="32"/>
        </w:rPr>
        <w:t>（</w:t>
      </w:r>
      <w:r>
        <w:rPr>
          <w:rFonts w:hint="eastAsia" w:ascii="仿宋_GB2312" w:hAnsi="仿宋_GB2312" w:eastAsia="仿宋_GB2312" w:cs="仿宋_GB2312"/>
          <w:sz w:val="32"/>
          <w:szCs w:val="32"/>
          <w:lang w:val="zh-CN"/>
        </w:rPr>
        <w:t>四）预算绩效管理情况</w:t>
      </w:r>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根据预算绩效管理要求，本单位在2024年度预算编制阶段，组织对</w:t>
      </w:r>
      <w:r>
        <w:rPr>
          <w:rFonts w:hint="eastAsia" w:ascii="仿宋_GB2312" w:eastAsia="仿宋_GB2312"/>
          <w:sz w:val="32"/>
          <w:szCs w:val="32"/>
          <w:lang w:val="en-US" w:eastAsia="zh-CN"/>
        </w:rPr>
        <w:t>2</w:t>
      </w:r>
      <w:r>
        <w:rPr>
          <w:rFonts w:hint="eastAsia" w:ascii="仿宋_GB2312" w:eastAsia="仿宋_GB2312"/>
          <w:sz w:val="32"/>
          <w:szCs w:val="32"/>
        </w:rPr>
        <w:t>项目（</w:t>
      </w:r>
      <w:r>
        <w:rPr>
          <w:rFonts w:hint="eastAsia" w:ascii="仿宋_GB2312" w:eastAsia="仿宋_GB2312"/>
          <w:sz w:val="32"/>
          <w:szCs w:val="32"/>
          <w:lang w:val="en-US" w:eastAsia="zh-CN"/>
        </w:rPr>
        <w:t>乡村振兴工作经费、省级交通专项应急资金</w:t>
      </w: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2</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2</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2</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3"/>
        </w:numPr>
        <w:spacing w:line="600" w:lineRule="exact"/>
        <w:ind w:firstLine="660" w:firstLineChars="150"/>
        <w:jc w:val="center"/>
        <w:outlineLvl w:val="0"/>
        <w:rPr>
          <w:rStyle w:val="19"/>
          <w:rFonts w:ascii="黑体" w:hAnsi="黑体" w:eastAsia="黑体"/>
          <w:b w:val="0"/>
        </w:rPr>
      </w:pPr>
      <w:bookmarkStart w:id="68" w:name="_Toc15396613"/>
      <w:bookmarkStart w:id="69" w:name="_Toc26448"/>
      <w:bookmarkStart w:id="70" w:name="_Toc15377225"/>
      <w:r>
        <w:rPr>
          <w:rFonts w:hint="eastAsia" w:ascii="黑体" w:hAnsi="黑体" w:eastAsia="黑体"/>
          <w:sz w:val="44"/>
          <w:szCs w:val="44"/>
        </w:rPr>
        <w:t>名</w:t>
      </w:r>
      <w:r>
        <w:rPr>
          <w:rStyle w:val="19"/>
          <w:rFonts w:hint="eastAsia" w:ascii="黑体" w:hAnsi="黑体" w:eastAsia="黑体"/>
          <w:b w:val="0"/>
        </w:rPr>
        <w:t>词解释</w:t>
      </w:r>
      <w:bookmarkEnd w:id="68"/>
      <w:bookmarkEnd w:id="69"/>
      <w:bookmarkEnd w:id="70"/>
    </w:p>
    <w:p>
      <w:pPr>
        <w:spacing w:line="600" w:lineRule="exact"/>
        <w:jc w:val="left"/>
        <w:rPr>
          <w:rFonts w:ascii="宋体"/>
          <w:b/>
          <w:sz w:val="44"/>
          <w:szCs w:val="44"/>
        </w:rPr>
      </w:pPr>
    </w:p>
    <w:p>
      <w:pPr>
        <w:pStyle w:val="29"/>
        <w:spacing w:line="500" w:lineRule="exact"/>
        <w:ind w:firstLine="640" w:firstLineChars="200"/>
        <w:rPr>
          <w:rFonts w:hAnsi="仿宋"/>
          <w:color w:val="auto"/>
          <w:sz w:val="32"/>
          <w:szCs w:val="32"/>
        </w:rPr>
      </w:pPr>
      <w:bookmarkStart w:id="71" w:name="_Toc15377226"/>
      <w:r>
        <w:rPr>
          <w:rFonts w:hAnsi="仿宋"/>
          <w:color w:val="auto"/>
          <w:sz w:val="32"/>
          <w:szCs w:val="32"/>
        </w:rPr>
        <w:t>1.</w:t>
      </w:r>
      <w:r>
        <w:rPr>
          <w:rFonts w:hint="eastAsia" w:hAnsi="仿宋"/>
          <w:color w:val="auto"/>
          <w:sz w:val="32"/>
          <w:szCs w:val="32"/>
        </w:rPr>
        <w:t>财政拨款收入：指单位从同级财政部门取得的财政预算资金。</w:t>
      </w:r>
    </w:p>
    <w:p>
      <w:pPr>
        <w:pStyle w:val="29"/>
        <w:spacing w:line="500" w:lineRule="exact"/>
        <w:ind w:firstLine="640" w:firstLineChars="200"/>
        <w:rPr>
          <w:rFonts w:hAnsi="仿宋"/>
          <w:color w:val="auto"/>
          <w:sz w:val="32"/>
          <w:szCs w:val="32"/>
        </w:rPr>
      </w:pPr>
      <w:r>
        <w:rPr>
          <w:rFonts w:hint="eastAsia" w:hAnsi="仿宋"/>
          <w:color w:val="auto"/>
          <w:sz w:val="32"/>
          <w:szCs w:val="32"/>
        </w:rPr>
        <w:t>2</w:t>
      </w:r>
      <w:r>
        <w:rPr>
          <w:rFonts w:hAnsi="仿宋"/>
          <w:color w:val="auto"/>
          <w:sz w:val="32"/>
          <w:szCs w:val="32"/>
        </w:rPr>
        <w:t>.</w:t>
      </w:r>
      <w:r>
        <w:rPr>
          <w:rFonts w:hint="eastAsia" w:hAnsi="仿宋"/>
          <w:color w:val="auto"/>
          <w:sz w:val="32"/>
          <w:szCs w:val="32"/>
        </w:rPr>
        <w:t>年初结转和结余：指以前年度尚未完成、结转到本年按有关规定继续使用的资金。</w:t>
      </w:r>
    </w:p>
    <w:p>
      <w:pPr>
        <w:spacing w:line="500" w:lineRule="exact"/>
        <w:ind w:firstLine="640" w:firstLineChars="200"/>
        <w:rPr>
          <w:rFonts w:ascii="仿宋" w:hAnsi="仿宋" w:eastAsia="仿宋"/>
          <w:sz w:val="32"/>
        </w:rPr>
      </w:pPr>
      <w:r>
        <w:rPr>
          <w:rFonts w:hint="eastAsia" w:ascii="仿宋" w:hAnsi="仿宋" w:eastAsia="仿宋"/>
          <w:sz w:val="32"/>
        </w:rPr>
        <w:t>4</w:t>
      </w:r>
      <w:r>
        <w:rPr>
          <w:rFonts w:ascii="仿宋" w:hAnsi="仿宋" w:eastAsia="仿宋"/>
          <w:sz w:val="32"/>
        </w:rPr>
        <w:t>.</w:t>
      </w:r>
      <w:r>
        <w:rPr>
          <w:rFonts w:hint="eastAsia" w:ascii="仿宋" w:hAnsi="仿宋" w:eastAsia="仿宋"/>
          <w:sz w:val="32"/>
        </w:rPr>
        <w:t>教育支出（类）职业教育（款）技校教育（项）：指人力资源社会保障部门举办的技校教育支出，政府各部门对社会组织等举办的技工学校的资助，如捐赠、补贴等。</w:t>
      </w:r>
    </w:p>
    <w:p>
      <w:pPr>
        <w:pStyle w:val="13"/>
        <w:spacing w:before="75" w:beforeAutospacing="0" w:after="75" w:afterAutospacing="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5</w:t>
      </w:r>
      <w:r>
        <w:rPr>
          <w:rFonts w:ascii="仿宋" w:hAnsi="仿宋" w:eastAsia="仿宋" w:cs="仿宋"/>
          <w:color w:val="000000"/>
          <w:sz w:val="32"/>
          <w:szCs w:val="32"/>
        </w:rPr>
        <w:t>.</w:t>
      </w:r>
      <w:r>
        <w:rPr>
          <w:rFonts w:hint="eastAsia" w:ascii="仿宋" w:hAnsi="仿宋" w:eastAsia="仿宋" w:cs="仿宋"/>
          <w:color w:val="000000"/>
          <w:sz w:val="32"/>
          <w:szCs w:val="32"/>
        </w:rPr>
        <w:t>社会保障和就业支出（类）行政事业单位养老支出（款）机关事业单位基本养老保险缴费支出（项）：指机关事业单位实施养老保险制度由单位实际缴纳的基本养老保险支出。</w:t>
      </w:r>
    </w:p>
    <w:p>
      <w:pPr>
        <w:pStyle w:val="13"/>
        <w:spacing w:before="75" w:beforeAutospacing="0" w:after="75" w:afterAutospacing="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6</w:t>
      </w:r>
      <w:r>
        <w:rPr>
          <w:rFonts w:ascii="仿宋" w:hAnsi="仿宋" w:eastAsia="仿宋" w:cs="仿宋"/>
          <w:color w:val="000000"/>
          <w:sz w:val="32"/>
          <w:szCs w:val="32"/>
        </w:rPr>
        <w:t>.</w:t>
      </w:r>
      <w:r>
        <w:rPr>
          <w:rFonts w:hint="eastAsia" w:ascii="仿宋" w:hAnsi="仿宋" w:eastAsia="仿宋" w:cs="仿宋"/>
          <w:color w:val="000000"/>
          <w:sz w:val="32"/>
          <w:szCs w:val="32"/>
        </w:rPr>
        <w:t>社会保障和就业支出（类）行政事业单位养老支出（款）机关事业单位职业年金缴费支出（项）：指机关事业单位实施养老保险制度由单位实际缴纳的职业年金支出。</w:t>
      </w:r>
    </w:p>
    <w:p>
      <w:pPr>
        <w:spacing w:line="500" w:lineRule="exact"/>
        <w:ind w:firstLine="640" w:firstLineChars="200"/>
        <w:rPr>
          <w:rFonts w:ascii="仿宋" w:hAnsi="仿宋" w:eastAsia="仿宋"/>
          <w:sz w:val="32"/>
        </w:rPr>
      </w:pPr>
      <w:r>
        <w:rPr>
          <w:rFonts w:hint="eastAsia" w:ascii="仿宋" w:hAnsi="仿宋" w:eastAsia="仿宋"/>
          <w:sz w:val="32"/>
        </w:rPr>
        <w:t>7</w:t>
      </w:r>
      <w:r>
        <w:rPr>
          <w:rFonts w:ascii="仿宋" w:hAnsi="仿宋" w:eastAsia="仿宋"/>
          <w:sz w:val="32"/>
        </w:rPr>
        <w:t>.</w:t>
      </w:r>
      <w:r>
        <w:rPr>
          <w:rFonts w:hint="eastAsia" w:ascii="仿宋" w:hAnsi="仿宋" w:eastAsia="仿宋"/>
          <w:sz w:val="32"/>
        </w:rPr>
        <w:t>社会保障和就业支出（类）抚恤（款）死亡抚恤（项）：指按规定用于烈士和牺牲、病故人员家属的一次性和定期抚恤金以及丧葬补助费。</w:t>
      </w:r>
    </w:p>
    <w:p>
      <w:pPr>
        <w:pStyle w:val="13"/>
        <w:spacing w:before="75" w:beforeAutospacing="0" w:after="75" w:afterAutospacing="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8</w:t>
      </w:r>
      <w:r>
        <w:rPr>
          <w:rFonts w:ascii="仿宋" w:hAnsi="仿宋" w:eastAsia="仿宋" w:cs="仿宋"/>
          <w:color w:val="000000"/>
          <w:sz w:val="32"/>
          <w:szCs w:val="32"/>
        </w:rPr>
        <w:t>.</w:t>
      </w:r>
      <w:r>
        <w:rPr>
          <w:rFonts w:hint="eastAsia" w:ascii="仿宋" w:hAnsi="仿宋" w:eastAsia="仿宋" w:cs="仿宋"/>
          <w:color w:val="000000"/>
          <w:sz w:val="32"/>
          <w:szCs w:val="32"/>
        </w:rPr>
        <w:t>卫生健康支出（类）行政事业单位医疗（款）事业单位医疗（项）：指财政部门安排的事业单位基本医疗保险缴费经费，未参加医疗保险的事业单位的公费医疗经费，按国家规定享受离休人员待遇人员的医疗经费。</w:t>
      </w:r>
    </w:p>
    <w:p>
      <w:pPr>
        <w:pStyle w:val="13"/>
        <w:spacing w:before="75" w:beforeAutospacing="0" w:after="75" w:afterAutospacing="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9</w:t>
      </w:r>
      <w:r>
        <w:rPr>
          <w:rFonts w:ascii="仿宋" w:hAnsi="仿宋" w:eastAsia="仿宋" w:cs="仿宋"/>
          <w:color w:val="000000"/>
          <w:sz w:val="32"/>
          <w:szCs w:val="32"/>
        </w:rPr>
        <w:t>.</w:t>
      </w:r>
      <w:r>
        <w:rPr>
          <w:rFonts w:hint="eastAsia" w:ascii="仿宋" w:hAnsi="仿宋" w:eastAsia="仿宋" w:cs="仿宋"/>
          <w:color w:val="000000"/>
          <w:sz w:val="32"/>
          <w:szCs w:val="32"/>
        </w:rPr>
        <w:t>农林水支出（类）巩固脱贫攻坚成果衔接乡村振兴（款）其他巩固脱贫攻坚成果衔接乡村振兴支出（项）：指行政事业单位根据国家政策开展结对帮扶发生的支出。</w:t>
      </w:r>
    </w:p>
    <w:p>
      <w:pPr>
        <w:pStyle w:val="13"/>
        <w:spacing w:before="75" w:beforeAutospacing="0" w:after="75" w:afterAutospacing="0" w:line="50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10</w:t>
      </w:r>
      <w:r>
        <w:rPr>
          <w:rFonts w:ascii="仿宋" w:hAnsi="仿宋" w:eastAsia="仿宋" w:cs="仿宋"/>
          <w:color w:val="000000"/>
          <w:sz w:val="32"/>
          <w:szCs w:val="32"/>
        </w:rPr>
        <w:t>.</w:t>
      </w:r>
      <w:r>
        <w:rPr>
          <w:rFonts w:hint="eastAsia" w:ascii="仿宋" w:hAnsi="仿宋" w:eastAsia="仿宋" w:cs="仿宋"/>
          <w:color w:val="000000"/>
          <w:sz w:val="32"/>
          <w:szCs w:val="32"/>
        </w:rPr>
        <w:t>交通运输支出（类）公路水路运输（款）其他公路水路运输支出（项）：指行政事业单位开展相关事务发生的支出。</w:t>
      </w:r>
    </w:p>
    <w:p>
      <w:pPr>
        <w:pStyle w:val="13"/>
        <w:spacing w:before="75" w:beforeAutospacing="0" w:after="75" w:afterAutospacing="0" w:line="500" w:lineRule="exact"/>
        <w:ind w:firstLine="640" w:firstLineChars="200"/>
        <w:rPr>
          <w:rFonts w:ascii="仿宋" w:hAnsi="仿宋" w:eastAsia="仿宋"/>
          <w:sz w:val="32"/>
          <w:szCs w:val="32"/>
        </w:rPr>
      </w:pPr>
      <w:r>
        <w:rPr>
          <w:rFonts w:hint="eastAsia" w:ascii="仿宋" w:hAnsi="仿宋" w:eastAsia="仿宋" w:cs="仿宋"/>
          <w:color w:val="000000"/>
          <w:sz w:val="32"/>
          <w:szCs w:val="32"/>
        </w:rPr>
        <w:t>11</w:t>
      </w:r>
      <w:r>
        <w:rPr>
          <w:rFonts w:ascii="仿宋" w:hAnsi="仿宋" w:eastAsia="仿宋" w:cs="仿宋"/>
          <w:color w:val="000000"/>
          <w:sz w:val="32"/>
          <w:szCs w:val="32"/>
        </w:rPr>
        <w:t>.</w:t>
      </w:r>
      <w:r>
        <w:rPr>
          <w:rFonts w:hint="eastAsia" w:ascii="仿宋" w:hAnsi="仿宋" w:eastAsia="仿宋" w:cs="仿宋"/>
          <w:color w:val="000000"/>
          <w:sz w:val="32"/>
          <w:szCs w:val="32"/>
        </w:rPr>
        <w:t>住房保障支出（类）住房改革支出（款）住房公积金（项）：指行政事业单位按人力资源和社会保障部、财政部规定的基本工资和津贴补贴以及规定比例为职工缴纳的住房公积金。</w:t>
      </w:r>
    </w:p>
    <w:p>
      <w:pPr>
        <w:spacing w:line="500" w:lineRule="exact"/>
        <w:ind w:firstLine="640" w:firstLineChars="200"/>
        <w:rPr>
          <w:rFonts w:ascii="仿宋" w:hAnsi="仿宋" w:eastAsia="仿宋"/>
          <w:sz w:val="32"/>
        </w:rPr>
      </w:pPr>
      <w:r>
        <w:rPr>
          <w:rFonts w:ascii="仿宋" w:hAnsi="仿宋" w:eastAsia="仿宋"/>
          <w:sz w:val="32"/>
        </w:rPr>
        <w:t>1</w:t>
      </w:r>
      <w:r>
        <w:rPr>
          <w:rFonts w:hint="eastAsia" w:ascii="仿宋" w:hAnsi="仿宋" w:eastAsia="仿宋"/>
          <w:sz w:val="32"/>
        </w:rPr>
        <w:t>2</w:t>
      </w:r>
      <w:r>
        <w:rPr>
          <w:rFonts w:ascii="仿宋" w:hAnsi="仿宋" w:eastAsia="仿宋"/>
          <w:sz w:val="32"/>
        </w:rPr>
        <w:t>.</w:t>
      </w:r>
      <w:r>
        <w:rPr>
          <w:rFonts w:hint="eastAsia" w:ascii="仿宋" w:hAnsi="仿宋" w:eastAsia="仿宋"/>
          <w:sz w:val="32"/>
        </w:rPr>
        <w:t>基本支出：指为保障机构正常运转、完成日常工作任务而发生的人员支出和公用支出。</w:t>
      </w:r>
    </w:p>
    <w:p>
      <w:pPr>
        <w:spacing w:line="500" w:lineRule="exact"/>
        <w:ind w:firstLine="640" w:firstLineChars="200"/>
        <w:rPr>
          <w:rFonts w:ascii="仿宋" w:hAnsi="仿宋" w:eastAsia="仿宋"/>
          <w:sz w:val="32"/>
        </w:rPr>
      </w:pPr>
      <w:r>
        <w:rPr>
          <w:rFonts w:ascii="仿宋" w:hAnsi="仿宋" w:eastAsia="仿宋"/>
          <w:sz w:val="32"/>
        </w:rPr>
        <w:t>1</w:t>
      </w:r>
      <w:r>
        <w:rPr>
          <w:rFonts w:hint="eastAsia" w:ascii="仿宋" w:hAnsi="仿宋" w:eastAsia="仿宋"/>
          <w:sz w:val="32"/>
        </w:rPr>
        <w:t>3</w:t>
      </w:r>
      <w:r>
        <w:rPr>
          <w:rFonts w:ascii="仿宋" w:hAnsi="仿宋" w:eastAsia="仿宋"/>
          <w:sz w:val="32"/>
        </w:rPr>
        <w:t>.</w:t>
      </w:r>
      <w:r>
        <w:rPr>
          <w:rFonts w:hint="eastAsia" w:ascii="仿宋" w:hAnsi="仿宋" w:eastAsia="仿宋"/>
          <w:sz w:val="32"/>
        </w:rPr>
        <w:t>项目支出：指在基本支出之外为完成特定行政任务和事业发展目标所发生的支出。</w:t>
      </w:r>
    </w:p>
    <w:p>
      <w:pPr>
        <w:spacing w:line="600" w:lineRule="exact"/>
        <w:ind w:firstLine="640" w:firstLineChars="200"/>
        <w:jc w:val="left"/>
        <w:outlineLvl w:val="0"/>
        <w:rPr>
          <w:rFonts w:hint="eastAsia" w:ascii="仿宋" w:hAnsi="仿宋" w:eastAsia="仿宋" w:cs="仿宋"/>
          <w:color w:val="000000"/>
          <w:sz w:val="32"/>
          <w:szCs w:val="32"/>
        </w:rPr>
      </w:pPr>
      <w:bookmarkStart w:id="72" w:name="_Toc15554"/>
      <w:r>
        <w:rPr>
          <w:rFonts w:hint="eastAsia" w:ascii="仿宋" w:hAnsi="仿宋" w:eastAsia="仿宋" w:cs="仿宋"/>
          <w:color w:val="000000"/>
          <w:sz w:val="32"/>
          <w:szCs w:val="32"/>
        </w:rPr>
        <w:t>14.“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72"/>
    </w:p>
    <w:p>
      <w:pPr>
        <w:spacing w:line="600" w:lineRule="exact"/>
        <w:ind w:firstLine="640" w:firstLineChars="200"/>
        <w:jc w:val="left"/>
        <w:outlineLvl w:val="0"/>
        <w:rPr>
          <w:rFonts w:hint="eastAsia" w:ascii="仿宋" w:hAnsi="仿宋" w:eastAsia="仿宋" w:cs="仿宋"/>
          <w:color w:val="000000"/>
          <w:sz w:val="32"/>
          <w:szCs w:val="32"/>
        </w:rPr>
      </w:pPr>
    </w:p>
    <w:p>
      <w:pPr>
        <w:spacing w:line="600" w:lineRule="exact"/>
        <w:ind w:firstLine="640" w:firstLineChars="200"/>
        <w:jc w:val="left"/>
        <w:outlineLvl w:val="0"/>
        <w:rPr>
          <w:rFonts w:hint="eastAsia" w:ascii="仿宋" w:hAnsi="仿宋" w:eastAsia="仿宋" w:cs="仿宋"/>
          <w:color w:val="000000"/>
          <w:sz w:val="32"/>
          <w:szCs w:val="32"/>
        </w:rPr>
        <w:sectPr>
          <w:footerReference r:id="rId7" w:type="default"/>
          <w:pgSz w:w="11906" w:h="16838"/>
          <w:pgMar w:top="1440" w:right="1800" w:bottom="1440" w:left="1800" w:header="851" w:footer="992" w:gutter="0"/>
          <w:pgNumType w:fmt="decimal" w:start="1"/>
          <w:cols w:space="425" w:num="1"/>
          <w:docGrid w:type="lines" w:linePitch="312" w:charSpace="0"/>
        </w:sectPr>
      </w:pPr>
    </w:p>
    <w:p>
      <w:pPr>
        <w:spacing w:line="600" w:lineRule="exact"/>
        <w:jc w:val="center"/>
        <w:outlineLvl w:val="0"/>
        <w:rPr>
          <w:rStyle w:val="19"/>
          <w:rFonts w:ascii="黑体" w:hAnsi="黑体" w:eastAsia="黑体"/>
          <w:b w:val="0"/>
        </w:rPr>
      </w:pPr>
      <w:bookmarkStart w:id="73" w:name="_Toc15396614"/>
      <w:bookmarkStart w:id="74" w:name="_Toc23931"/>
      <w:bookmarkStart w:id="75" w:name="_Toc15396618"/>
      <w:r>
        <w:rPr>
          <w:rFonts w:hint="eastAsia" w:ascii="黑体" w:hAnsi="黑体" w:eastAsia="黑体"/>
          <w:sz w:val="44"/>
          <w:szCs w:val="44"/>
        </w:rPr>
        <w:t>第</w:t>
      </w:r>
      <w:r>
        <w:rPr>
          <w:rStyle w:val="19"/>
          <w:rFonts w:hint="eastAsia" w:ascii="黑体" w:hAnsi="黑体" w:eastAsia="黑体"/>
          <w:b w:val="0"/>
        </w:rPr>
        <w:t>四部分 附件</w:t>
      </w:r>
      <w:bookmarkEnd w:id="73"/>
      <w:bookmarkEnd w:id="74"/>
    </w:p>
    <w:tbl>
      <w:tblPr>
        <w:tblStyle w:val="15"/>
        <w:tblW w:w="143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475"/>
        <w:gridCol w:w="1305"/>
        <w:gridCol w:w="1965"/>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0.70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51080022T000004939999-乡村振兴工作经费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推进驻村帮扶乡村振兴工作，着力完成重点工作；协助帮扶村，加强村党组织建设；协助抓好特色优势产业发展，推进强村富民；提升治理水平；为民办事服务。</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推进驻村帮扶乡村振兴工作，着力完成重点工作；协助帮扶村，加强村党组织建设；协助抓好特色优势产业发展，推进强村富民；提升治理水平；为民办事服务。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乡村振兴帮扶村个数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乡村振兴工作完成程度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完成乡村振兴相应工作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落实乡村振兴政策，服务乡村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安排工作经费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完成驻村人员生活补贴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项目负责人：翟斌</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19.92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97.67%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人员变动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19.92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97.67%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14.47</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28.01</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14.47</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28.01</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28.01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80.59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80.59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人员变动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80.59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80.59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99.27%</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140.59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140.59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94.42%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140.59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140.59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94.42%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56.89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56.89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56.89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56.89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96.13%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33.26</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33.26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33.26</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33.26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7.46</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7.46</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7.46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2024年未成立工会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4.39</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4.39</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厉行节约、未外出开展党建相关活动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该项目规划科学，决策依据充分，程序合法合规、资金到位及时拨付规范。项目自评得分100分。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项目负责人：谭军</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9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4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51080024T000011276485-省级交通专项应急资金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广元市交通运输局部门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广元市机械化养护与应急保障中心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5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项目2024年通过对国省干线的突发道路阻断的抢险工程 ，以便在道路出现塌方、断路时，及时进行抢通保通，确保出行的及时性和安全性。</w:t>
            </w:r>
          </w:p>
        </w:tc>
        <w:tc>
          <w:tcPr>
            <w:tcW w:w="43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该项目目标任务全面完成。迅速控制险情，完成受损设施抢修；建立健全应急响应机制；抢险工作高效推进，区域功能恢复至灾前水平，达成预期目标。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083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启动后，迅速组建抢险队伍，携带专业设备赶赴现场，完成灾情评估与危险排查。通过科学调度，有序开展道路疏通、设施抢修等工作。后期跟进抢险保通，修复损毁设施，复盘优化应急流程，全程高效保障区域安全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清理塌方土石方量及拆除结构物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立方米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1350.5立方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挡墙砼凿除</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立方米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130立方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对国省干线的地质灾害隐患点进行处置次数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浇筑混凝土路面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1884.96立方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按实际完成量计量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混凝土路面破除</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250.5平方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道路抢通保通及时行性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2个月完成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促进地方经济发展</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保障道路通达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受影响地区恢复正常比例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生态修复措施落实率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当地群众对抢险工作满意度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过往车辆驾驶员对道路恢复通行满意度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项目建设资金预算支出数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97.36万元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项目已完成，部分资金未用完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社会成本指标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97.36%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项目已完成，部分资金未用完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14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经自评，该项目总分94分。项目实施成效显著：第一时间完成现场险情处置，快速恢复受损区域功能，保障群众生命财产安全；建立了完善的应急响应机制，各部门协同高效；通过抢险实践，锻炼了专业队伍，提升了应急处置能力；同时，及时开展灾后重建，受损设施修复率达100%，群众满意度较高，为区域安全稳定奠定坚实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30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val="0"/>
                <w:iCs w:val="0"/>
                <w:color w:val="000000"/>
                <w:sz w:val="16"/>
                <w:szCs w:val="16"/>
                <w:u w:val="none"/>
              </w:rPr>
            </w:pPr>
            <w:r>
              <w:rPr>
                <w:rFonts w:hint="eastAsia" w:ascii="微软雅黑" w:hAnsi="微软雅黑" w:eastAsia="微软雅黑" w:cs="微软雅黑"/>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9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项目负责人：李长斌</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财务负责人：谭军</w:t>
            </w:r>
          </w:p>
        </w:tc>
      </w:tr>
    </w:tbl>
    <w:p>
      <w:pPr>
        <w:pStyle w:val="2"/>
        <w:spacing w:before="93"/>
      </w:pPr>
    </w:p>
    <w:p>
      <w:pPr>
        <w:pStyle w:val="2"/>
        <w:spacing w:before="93"/>
      </w:pP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sectPr>
          <w:pgSz w:w="16838" w:h="11906" w:orient="landscape"/>
          <w:pgMar w:top="1800" w:right="1440" w:bottom="1800" w:left="1440" w:header="964" w:footer="1020" w:gutter="0"/>
          <w:pgNumType w:fmt="decimal"/>
          <w:cols w:space="425" w:num="1"/>
          <w:titlePg/>
          <w:docGrid w:type="lines" w:linePitch="312" w:charSpace="0"/>
        </w:sectPr>
      </w:pPr>
    </w:p>
    <w:p>
      <w:pPr>
        <w:pStyle w:val="2"/>
      </w:pPr>
    </w:p>
    <w:p>
      <w:pPr>
        <w:spacing w:line="600" w:lineRule="exact"/>
        <w:jc w:val="center"/>
        <w:outlineLvl w:val="0"/>
        <w:rPr>
          <w:rFonts w:ascii="仿宋" w:hAnsi="仿宋" w:eastAsia="仿宋"/>
        </w:rPr>
      </w:pPr>
      <w:bookmarkStart w:id="76" w:name="_Toc3854"/>
      <w:r>
        <w:rPr>
          <w:rFonts w:hint="eastAsia" w:ascii="黑体" w:hAnsi="黑体" w:eastAsia="黑体"/>
          <w:sz w:val="44"/>
          <w:szCs w:val="44"/>
        </w:rPr>
        <w:t>第</w:t>
      </w:r>
      <w:r>
        <w:rPr>
          <w:rStyle w:val="19"/>
          <w:rFonts w:hint="eastAsia" w:ascii="黑体" w:hAnsi="黑体" w:eastAsia="黑体"/>
          <w:b w:val="0"/>
        </w:rPr>
        <w:t>五部分 附表</w:t>
      </w:r>
      <w:bookmarkEnd w:id="71"/>
      <w:bookmarkEnd w:id="75"/>
      <w:bookmarkEnd w:id="76"/>
      <w:bookmarkStart w:id="77" w:name="_Toc15396619"/>
    </w:p>
    <w:p>
      <w:pPr>
        <w:pStyle w:val="4"/>
        <w:rPr>
          <w:rFonts w:ascii="仿宋" w:hAnsi="仿宋" w:eastAsia="仿宋"/>
        </w:rPr>
      </w:pPr>
      <w:bookmarkStart w:id="78" w:name="_Toc6735"/>
      <w:r>
        <w:rPr>
          <w:rFonts w:hint="eastAsia" w:ascii="仿宋" w:hAnsi="仿宋" w:eastAsia="仿宋"/>
          <w:b w:val="0"/>
        </w:rPr>
        <w:t>一、收</w:t>
      </w:r>
      <w:r>
        <w:rPr>
          <w:rStyle w:val="20"/>
          <w:rFonts w:hint="eastAsia" w:ascii="仿宋" w:hAnsi="仿宋" w:eastAsia="仿宋"/>
          <w:b w:val="0"/>
          <w:bCs w:val="0"/>
        </w:rPr>
        <w:t>入支出决算总表</w:t>
      </w:r>
      <w:bookmarkEnd w:id="77"/>
      <w:bookmarkEnd w:id="78"/>
    </w:p>
    <w:p>
      <w:pPr>
        <w:pStyle w:val="4"/>
        <w:rPr>
          <w:rFonts w:ascii="仿宋" w:hAnsi="仿宋" w:eastAsia="仿宋"/>
        </w:rPr>
      </w:pPr>
      <w:bookmarkStart w:id="79" w:name="_Toc15396620"/>
      <w:bookmarkStart w:id="80" w:name="_Toc18193"/>
      <w:r>
        <w:rPr>
          <w:rFonts w:hint="eastAsia" w:ascii="仿宋" w:hAnsi="仿宋" w:eastAsia="仿宋"/>
          <w:b w:val="0"/>
        </w:rPr>
        <w:t>二、收</w:t>
      </w:r>
      <w:r>
        <w:rPr>
          <w:rStyle w:val="20"/>
          <w:rFonts w:hint="eastAsia" w:ascii="仿宋" w:hAnsi="仿宋" w:eastAsia="仿宋"/>
          <w:b w:val="0"/>
          <w:bCs w:val="0"/>
        </w:rPr>
        <w:t>入决算表</w:t>
      </w:r>
      <w:bookmarkEnd w:id="79"/>
      <w:bookmarkEnd w:id="80"/>
    </w:p>
    <w:p>
      <w:pPr>
        <w:pStyle w:val="4"/>
        <w:rPr>
          <w:rFonts w:ascii="仿宋" w:hAnsi="仿宋" w:eastAsia="仿宋"/>
        </w:rPr>
      </w:pPr>
      <w:bookmarkStart w:id="81" w:name="_Toc2539"/>
      <w:bookmarkStart w:id="82" w:name="_Toc15396621"/>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81"/>
      <w:bookmarkEnd w:id="82"/>
    </w:p>
    <w:p>
      <w:pPr>
        <w:pStyle w:val="4"/>
        <w:rPr>
          <w:rFonts w:ascii="仿宋" w:hAnsi="仿宋" w:eastAsia="仿宋"/>
          <w:b w:val="0"/>
        </w:rPr>
      </w:pPr>
      <w:bookmarkStart w:id="83" w:name="_Toc2030"/>
      <w:bookmarkStart w:id="84" w:name="_Toc15396622"/>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83"/>
      <w:bookmarkEnd w:id="84"/>
    </w:p>
    <w:p>
      <w:pPr>
        <w:pStyle w:val="4"/>
        <w:rPr>
          <w:rStyle w:val="20"/>
          <w:rFonts w:ascii="仿宋" w:hAnsi="仿宋" w:eastAsia="仿宋"/>
          <w:b w:val="0"/>
          <w:bCs w:val="0"/>
        </w:rPr>
      </w:pPr>
      <w:bookmarkStart w:id="85" w:name="_Toc5219"/>
      <w:bookmarkStart w:id="86" w:name="_Toc15396623"/>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85"/>
      <w:bookmarkEnd w:id="86"/>
      <w:bookmarkStart w:id="87" w:name="_Toc15396624"/>
    </w:p>
    <w:p>
      <w:pPr>
        <w:pStyle w:val="4"/>
        <w:rPr>
          <w:rFonts w:ascii="仿宋" w:hAnsi="仿宋" w:eastAsia="仿宋"/>
        </w:rPr>
      </w:pPr>
      <w:bookmarkStart w:id="88" w:name="_Toc3323"/>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87"/>
      <w:bookmarkEnd w:id="88"/>
    </w:p>
    <w:p>
      <w:pPr>
        <w:pStyle w:val="4"/>
        <w:rPr>
          <w:rFonts w:ascii="仿宋" w:hAnsi="仿宋" w:eastAsia="仿宋"/>
        </w:rPr>
      </w:pPr>
      <w:bookmarkStart w:id="89" w:name="_Toc15396625"/>
      <w:bookmarkStart w:id="90" w:name="_Toc29948"/>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89"/>
      <w:bookmarkEnd w:id="90"/>
    </w:p>
    <w:p>
      <w:pPr>
        <w:pStyle w:val="4"/>
        <w:rPr>
          <w:rFonts w:ascii="仿宋" w:hAnsi="仿宋" w:eastAsia="仿宋"/>
        </w:rPr>
      </w:pPr>
      <w:bookmarkStart w:id="91" w:name="_Toc15396626"/>
      <w:bookmarkStart w:id="92" w:name="_Toc1162"/>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91"/>
      <w:bookmarkEnd w:id="92"/>
    </w:p>
    <w:p>
      <w:pPr>
        <w:pStyle w:val="4"/>
        <w:rPr>
          <w:rFonts w:ascii="仿宋" w:hAnsi="仿宋" w:eastAsia="仿宋"/>
        </w:rPr>
      </w:pPr>
      <w:bookmarkStart w:id="93" w:name="_Toc15396627"/>
      <w:bookmarkStart w:id="94" w:name="_Toc2141"/>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93"/>
      <w:bookmarkEnd w:id="94"/>
    </w:p>
    <w:p>
      <w:pPr>
        <w:pStyle w:val="4"/>
        <w:rPr>
          <w:rFonts w:ascii="仿宋" w:hAnsi="仿宋" w:eastAsia="仿宋"/>
        </w:rPr>
      </w:pPr>
      <w:bookmarkStart w:id="95" w:name="_Toc15396628"/>
      <w:bookmarkStart w:id="96" w:name="_Toc2521"/>
      <w:r>
        <w:rPr>
          <w:rStyle w:val="20"/>
          <w:rFonts w:hint="eastAsia" w:ascii="仿宋" w:hAnsi="仿宋" w:eastAsia="仿宋"/>
          <w:b w:val="0"/>
          <w:bCs w:val="0"/>
        </w:rPr>
        <w:t>十、</w:t>
      </w:r>
      <w:bookmarkEnd w:id="95"/>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96"/>
    </w:p>
    <w:p>
      <w:pPr>
        <w:pStyle w:val="4"/>
        <w:rPr>
          <w:rFonts w:ascii="仿宋" w:hAnsi="仿宋" w:eastAsia="仿宋"/>
        </w:rPr>
      </w:pPr>
      <w:bookmarkStart w:id="97" w:name="_Toc15396629"/>
      <w:bookmarkStart w:id="98" w:name="_Toc12599"/>
      <w:r>
        <w:rPr>
          <w:rStyle w:val="20"/>
          <w:rFonts w:hint="eastAsia" w:ascii="仿宋" w:hAnsi="仿宋" w:eastAsia="仿宋"/>
          <w:b w:val="0"/>
          <w:bCs w:val="0"/>
        </w:rPr>
        <w:t>十一、</w:t>
      </w:r>
      <w:bookmarkEnd w:id="97"/>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98"/>
    </w:p>
    <w:p>
      <w:pPr>
        <w:pStyle w:val="4"/>
        <w:rPr>
          <w:rFonts w:ascii="仿宋" w:hAnsi="仿宋" w:eastAsia="仿宋"/>
        </w:rPr>
      </w:pPr>
      <w:bookmarkStart w:id="99" w:name="_Toc15396630"/>
      <w:bookmarkStart w:id="100" w:name="_Toc32667"/>
      <w:r>
        <w:rPr>
          <w:rStyle w:val="20"/>
          <w:rFonts w:hint="eastAsia" w:ascii="仿宋" w:hAnsi="仿宋" w:eastAsia="仿宋"/>
          <w:b w:val="0"/>
          <w:bCs w:val="0"/>
        </w:rPr>
        <w:t>十二、</w:t>
      </w:r>
      <w:bookmarkEnd w:id="99"/>
      <w:r>
        <w:rPr>
          <w:rStyle w:val="20"/>
          <w:rFonts w:hint="eastAsia" w:ascii="仿宋" w:hAnsi="仿宋" w:eastAsia="仿宋"/>
          <w:b w:val="0"/>
          <w:bCs w:val="0"/>
        </w:rPr>
        <w:t>国有资本经营预算财政拨款支出决算表</w:t>
      </w:r>
      <w:bookmarkEnd w:id="100"/>
    </w:p>
    <w:p>
      <w:pPr>
        <w:pStyle w:val="4"/>
        <w:rPr>
          <w:rFonts w:eastAsia="仿宋"/>
        </w:rPr>
      </w:pPr>
      <w:bookmarkStart w:id="101" w:name="_Toc15396631"/>
      <w:bookmarkStart w:id="102" w:name="_Toc12074"/>
      <w:r>
        <w:rPr>
          <w:rStyle w:val="20"/>
          <w:rFonts w:hint="eastAsia" w:ascii="仿宋" w:hAnsi="仿宋" w:eastAsia="仿宋"/>
          <w:b w:val="0"/>
          <w:bCs w:val="0"/>
        </w:rPr>
        <w:t>十三、</w:t>
      </w:r>
      <w:bookmarkEnd w:id="101"/>
      <w:r>
        <w:rPr>
          <w:rStyle w:val="20"/>
          <w:rFonts w:hint="eastAsia" w:ascii="仿宋" w:hAnsi="仿宋" w:eastAsia="仿宋"/>
          <w:b w:val="0"/>
          <w:bCs w:val="0"/>
        </w:rPr>
        <w:t>财政拨款“三公”经费支出决算表</w:t>
      </w:r>
      <w:bookmarkEnd w:id="102"/>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3086" o:spid="_x0000_s308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DM4YWM0NDVmZWRjYWMzMTdjNWNhYzUxM2I3MmFjYjYifQ=="/>
  </w:docVars>
  <w:rsids>
    <w:rsidRoot w:val="00F1361C"/>
    <w:rsid w:val="000222C6"/>
    <w:rsid w:val="0002549F"/>
    <w:rsid w:val="00031F77"/>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03240"/>
    <w:rsid w:val="00114E9B"/>
    <w:rsid w:val="00142216"/>
    <w:rsid w:val="00144D6A"/>
    <w:rsid w:val="0014729F"/>
    <w:rsid w:val="00157BAB"/>
    <w:rsid w:val="001654D1"/>
    <w:rsid w:val="00174518"/>
    <w:rsid w:val="00174FFA"/>
    <w:rsid w:val="0017551F"/>
    <w:rsid w:val="0018106D"/>
    <w:rsid w:val="001877A7"/>
    <w:rsid w:val="00191536"/>
    <w:rsid w:val="00196687"/>
    <w:rsid w:val="001A1DAD"/>
    <w:rsid w:val="001B1A3F"/>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67915"/>
    <w:rsid w:val="00280496"/>
    <w:rsid w:val="002819D9"/>
    <w:rsid w:val="00294DC9"/>
    <w:rsid w:val="00295495"/>
    <w:rsid w:val="002A31DE"/>
    <w:rsid w:val="002B2613"/>
    <w:rsid w:val="002C5004"/>
    <w:rsid w:val="002C73CA"/>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77AA3"/>
    <w:rsid w:val="0058486E"/>
    <w:rsid w:val="00585B33"/>
    <w:rsid w:val="0059014D"/>
    <w:rsid w:val="005B5C64"/>
    <w:rsid w:val="005B6E8A"/>
    <w:rsid w:val="005C4177"/>
    <w:rsid w:val="005C5337"/>
    <w:rsid w:val="005C6BD0"/>
    <w:rsid w:val="005D1C8B"/>
    <w:rsid w:val="005D468D"/>
    <w:rsid w:val="005D5CED"/>
    <w:rsid w:val="005F10BC"/>
    <w:rsid w:val="005F1A4C"/>
    <w:rsid w:val="00605688"/>
    <w:rsid w:val="006070AF"/>
    <w:rsid w:val="00607E6C"/>
    <w:rsid w:val="006101B1"/>
    <w:rsid w:val="00614E44"/>
    <w:rsid w:val="006162BB"/>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8544B"/>
    <w:rsid w:val="006957AC"/>
    <w:rsid w:val="006A3141"/>
    <w:rsid w:val="006A5E34"/>
    <w:rsid w:val="006B2422"/>
    <w:rsid w:val="006B2B9A"/>
    <w:rsid w:val="006C1937"/>
    <w:rsid w:val="006F020C"/>
    <w:rsid w:val="0071021A"/>
    <w:rsid w:val="007127B7"/>
    <w:rsid w:val="0071798E"/>
    <w:rsid w:val="007416B6"/>
    <w:rsid w:val="00746F48"/>
    <w:rsid w:val="0075404D"/>
    <w:rsid w:val="00754215"/>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66C54"/>
    <w:rsid w:val="00871F71"/>
    <w:rsid w:val="00872C24"/>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568"/>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24334"/>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557D5"/>
    <w:rsid w:val="00D7035F"/>
    <w:rsid w:val="00DA634F"/>
    <w:rsid w:val="00DA65AC"/>
    <w:rsid w:val="00DB1913"/>
    <w:rsid w:val="00DC410D"/>
    <w:rsid w:val="00DC5A81"/>
    <w:rsid w:val="00DC68CA"/>
    <w:rsid w:val="00DC7CBA"/>
    <w:rsid w:val="00DD33FF"/>
    <w:rsid w:val="00DD73B7"/>
    <w:rsid w:val="00DE323F"/>
    <w:rsid w:val="00DF28BC"/>
    <w:rsid w:val="00DF34B9"/>
    <w:rsid w:val="00E01053"/>
    <w:rsid w:val="00E07ACF"/>
    <w:rsid w:val="00E331A1"/>
    <w:rsid w:val="00E33202"/>
    <w:rsid w:val="00E336A9"/>
    <w:rsid w:val="00E472B1"/>
    <w:rsid w:val="00E50624"/>
    <w:rsid w:val="00E51342"/>
    <w:rsid w:val="00E568DF"/>
    <w:rsid w:val="00E64269"/>
    <w:rsid w:val="00E82267"/>
    <w:rsid w:val="00E853CE"/>
    <w:rsid w:val="00E867B6"/>
    <w:rsid w:val="00EA010F"/>
    <w:rsid w:val="00EB00D1"/>
    <w:rsid w:val="00EC2AC7"/>
    <w:rsid w:val="00ED1B63"/>
    <w:rsid w:val="00ED3C1F"/>
    <w:rsid w:val="00ED4085"/>
    <w:rsid w:val="00ED420E"/>
    <w:rsid w:val="00ED6FBE"/>
    <w:rsid w:val="00EE2F57"/>
    <w:rsid w:val="00EF4C34"/>
    <w:rsid w:val="00EF5C27"/>
    <w:rsid w:val="00EF77C6"/>
    <w:rsid w:val="00EF7DED"/>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C2870"/>
    <w:rsid w:val="00FD3CC1"/>
    <w:rsid w:val="00FF1E02"/>
    <w:rsid w:val="00FF30B4"/>
    <w:rsid w:val="03DC2831"/>
    <w:rsid w:val="081B5E94"/>
    <w:rsid w:val="0A2032A3"/>
    <w:rsid w:val="0B8A37D8"/>
    <w:rsid w:val="0EFE371F"/>
    <w:rsid w:val="0F587009"/>
    <w:rsid w:val="0F5FFB2F"/>
    <w:rsid w:val="0FFFCF60"/>
    <w:rsid w:val="10C055FF"/>
    <w:rsid w:val="118107EC"/>
    <w:rsid w:val="11DD6519"/>
    <w:rsid w:val="16BB723D"/>
    <w:rsid w:val="18015F3F"/>
    <w:rsid w:val="184E065C"/>
    <w:rsid w:val="1AA66E7A"/>
    <w:rsid w:val="1BE8440E"/>
    <w:rsid w:val="1C3F578D"/>
    <w:rsid w:val="1D155CEE"/>
    <w:rsid w:val="1E86536F"/>
    <w:rsid w:val="1F1545CE"/>
    <w:rsid w:val="1FDBBF84"/>
    <w:rsid w:val="20F57F95"/>
    <w:rsid w:val="240371BF"/>
    <w:rsid w:val="25711CC6"/>
    <w:rsid w:val="25C741E6"/>
    <w:rsid w:val="276F80C0"/>
    <w:rsid w:val="27842671"/>
    <w:rsid w:val="29073CA5"/>
    <w:rsid w:val="29FD04D3"/>
    <w:rsid w:val="2ABE7A3E"/>
    <w:rsid w:val="2AC82E3D"/>
    <w:rsid w:val="2AFF09B6"/>
    <w:rsid w:val="2CA234A8"/>
    <w:rsid w:val="2D2B714B"/>
    <w:rsid w:val="2E240DE9"/>
    <w:rsid w:val="2EFA178C"/>
    <w:rsid w:val="2EFDF86C"/>
    <w:rsid w:val="2F370591"/>
    <w:rsid w:val="2F805A94"/>
    <w:rsid w:val="2F9D17E1"/>
    <w:rsid w:val="30777956"/>
    <w:rsid w:val="30B46D73"/>
    <w:rsid w:val="319F7F4E"/>
    <w:rsid w:val="3264169D"/>
    <w:rsid w:val="332F5AD8"/>
    <w:rsid w:val="343C2E00"/>
    <w:rsid w:val="356A28F1"/>
    <w:rsid w:val="357C035A"/>
    <w:rsid w:val="368E000D"/>
    <w:rsid w:val="383D272C"/>
    <w:rsid w:val="39AE70AB"/>
    <w:rsid w:val="3A4DCE41"/>
    <w:rsid w:val="3BCB56FA"/>
    <w:rsid w:val="3C0C0783"/>
    <w:rsid w:val="3D417662"/>
    <w:rsid w:val="3E1F1494"/>
    <w:rsid w:val="3EE7C2F4"/>
    <w:rsid w:val="3F371B56"/>
    <w:rsid w:val="3F792ED8"/>
    <w:rsid w:val="3F9F3A96"/>
    <w:rsid w:val="3FECA4B2"/>
    <w:rsid w:val="3FF58C48"/>
    <w:rsid w:val="406562ED"/>
    <w:rsid w:val="42FF6694"/>
    <w:rsid w:val="43813FC6"/>
    <w:rsid w:val="449A71A0"/>
    <w:rsid w:val="44E328F5"/>
    <w:rsid w:val="45970134"/>
    <w:rsid w:val="48BF60AB"/>
    <w:rsid w:val="493C27E9"/>
    <w:rsid w:val="496F39ED"/>
    <w:rsid w:val="49FF41D3"/>
    <w:rsid w:val="4BE068DB"/>
    <w:rsid w:val="4BF6002B"/>
    <w:rsid w:val="4BFFC6BE"/>
    <w:rsid w:val="4ECE2238"/>
    <w:rsid w:val="4EEE4313"/>
    <w:rsid w:val="50200A18"/>
    <w:rsid w:val="51DB4B86"/>
    <w:rsid w:val="51F64DB0"/>
    <w:rsid w:val="526D7141"/>
    <w:rsid w:val="55333C3E"/>
    <w:rsid w:val="556C2493"/>
    <w:rsid w:val="59A73B07"/>
    <w:rsid w:val="59EE791A"/>
    <w:rsid w:val="5BCB035F"/>
    <w:rsid w:val="5D177188"/>
    <w:rsid w:val="5EFF6632"/>
    <w:rsid w:val="5F5A7CA1"/>
    <w:rsid w:val="5F67802D"/>
    <w:rsid w:val="5F7DC4F2"/>
    <w:rsid w:val="5FB36814"/>
    <w:rsid w:val="5FBB8E56"/>
    <w:rsid w:val="5FFB5535"/>
    <w:rsid w:val="646E664C"/>
    <w:rsid w:val="64CA39A1"/>
    <w:rsid w:val="69630ADE"/>
    <w:rsid w:val="69BD5F13"/>
    <w:rsid w:val="69FB0B4B"/>
    <w:rsid w:val="6BA56D33"/>
    <w:rsid w:val="6BFFE1FB"/>
    <w:rsid w:val="6C4A05C8"/>
    <w:rsid w:val="6D3B1A89"/>
    <w:rsid w:val="6DB7D8A3"/>
    <w:rsid w:val="6EC78701"/>
    <w:rsid w:val="6F7A5481"/>
    <w:rsid w:val="6FFE07A9"/>
    <w:rsid w:val="71BF4EC2"/>
    <w:rsid w:val="72734D90"/>
    <w:rsid w:val="73446F12"/>
    <w:rsid w:val="73E75B71"/>
    <w:rsid w:val="7412278C"/>
    <w:rsid w:val="748B46A3"/>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74DF2"/>
    <w:rsid w:val="7FFD083E"/>
    <w:rsid w:val="7FFF9372"/>
    <w:rsid w:val="84BF1F3B"/>
    <w:rsid w:val="8F55B106"/>
    <w:rsid w:val="95DF317D"/>
    <w:rsid w:val="97E77C70"/>
    <w:rsid w:val="9CFFACCB"/>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line="560" w:lineRule="exact"/>
      <w:ind w:firstLine="420" w:firstLineChars="200"/>
      <w:outlineLvl w:val="1"/>
    </w:pPr>
    <w:rPr>
      <w:rFonts w:asciiTheme="majorAscii" w:hAnsiTheme="majorAsci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2"/>
    <w:semiHidden/>
    <w:unhideWhenUsed/>
    <w:qFormat/>
    <w:uiPriority w:val="99"/>
    <w:rPr>
      <w:sz w:val="18"/>
      <w:szCs w:val="18"/>
    </w:rPr>
  </w:style>
  <w:style w:type="paragraph" w:styleId="9">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Normal (Web)"/>
    <w:basedOn w:val="1"/>
    <w:unhideWhenUsed/>
    <w:qFormat/>
    <w:uiPriority w:val="99"/>
    <w:pPr>
      <w:widowControl/>
      <w:spacing w:before="100" w:beforeAutospacing="1" w:after="100" w:afterAutospacing="1"/>
    </w:pPr>
    <w:rPr>
      <w:rFonts w:ascii="宋体" w:hAnsi="宋体" w:cs="宋体"/>
    </w:rPr>
  </w:style>
  <w:style w:type="paragraph" w:styleId="14">
    <w:name w:val="Body Text First Indent 2"/>
    <w:basedOn w:val="6"/>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Ascii" w:hAnsiTheme="majorAsci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0"/>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9"/>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批注框文本 Char"/>
    <w:basedOn w:val="16"/>
    <w:link w:val="8"/>
    <w:semiHidden/>
    <w:qFormat/>
    <w:uiPriority w:val="99"/>
    <w:rPr>
      <w:rFonts w:ascii="Times New Roman" w:hAnsi="Times New Roman"/>
      <w:kern w:val="2"/>
      <w:sz w:val="18"/>
      <w:szCs w:val="18"/>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常用样式（方正仿宋简）"/>
    <w:basedOn w:val="1"/>
    <w:qFormat/>
    <w:uiPriority w:val="0"/>
    <w:pPr>
      <w:spacing w:line="560" w:lineRule="exact"/>
      <w:ind w:firstLine="200" w:firstLineChars="200"/>
    </w:pPr>
    <w:rPr>
      <w:rFonts w:eastAsia="方正仿宋简体"/>
      <w:sz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2024年</c:v>
                </c:pt>
                <c:pt idx="1">
                  <c:v>2023年</c:v>
                </c:pt>
              </c:strCache>
            </c:strRef>
          </c:cat>
          <c:val>
            <c:numRef>
              <c:f>Sheet1!$B$2:$B$3</c:f>
              <c:numCache>
                <c:formatCode>General</c:formatCode>
                <c:ptCount val="2"/>
                <c:pt idx="0">
                  <c:v>462.17</c:v>
                </c:pt>
                <c:pt idx="1">
                  <c:v>660.86</c:v>
                </c:pt>
              </c:numCache>
            </c:numRef>
          </c:val>
        </c:ser>
        <c:dLbls>
          <c:showLegendKey val="false"/>
          <c:showVal val="true"/>
          <c:showCatName val="false"/>
          <c:showSerName val="false"/>
          <c:showPercent val="false"/>
          <c:showBubbleSize val="false"/>
        </c:dLbls>
        <c:gapWidth val="219"/>
        <c:overlap val="-27"/>
        <c:axId val="107154432"/>
        <c:axId val="107275008"/>
      </c:barChart>
      <c:catAx>
        <c:axId val="10715443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7275008"/>
        <c:crosses val="autoZero"/>
        <c:auto val="true"/>
        <c:lblAlgn val="ctr"/>
        <c:lblOffset val="100"/>
        <c:noMultiLvlLbl val="false"/>
      </c:catAx>
      <c:valAx>
        <c:axId val="10727500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715443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一般公共预算财政拨款收入459.44万元</c:v>
                </c:pt>
              </c:strCache>
            </c:strRef>
          </c:cat>
          <c:val>
            <c:numRef>
              <c:f>Sheet1!$B$2</c:f>
              <c:numCache>
                <c:formatCode>General</c:formatCode>
                <c:ptCount val="1"/>
                <c:pt idx="0">
                  <c:v>459.44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基本支出362.98万元</c:v>
                </c:pt>
                <c:pt idx="1">
                  <c:v>项目支出99.19万元</c:v>
                </c:pt>
              </c:strCache>
            </c:strRef>
          </c:cat>
          <c:val>
            <c:numRef>
              <c:f>Sheet1!$B$2:$B$3</c:f>
              <c:numCache>
                <c:formatCode>General</c:formatCode>
                <c:ptCount val="2"/>
                <c:pt idx="0">
                  <c:v>362.98</c:v>
                </c:pt>
                <c:pt idx="1">
                  <c:v>99.19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187625"/>
          <c:y val="0.917833333333333"/>
          <c:w val="0.601625"/>
          <c:h val="0.062166666666666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2024年</c:v>
                </c:pt>
                <c:pt idx="1">
                  <c:v>2023年</c:v>
                </c:pt>
              </c:strCache>
            </c:strRef>
          </c:cat>
          <c:val>
            <c:numRef>
              <c:f>Sheet1!$B$2:$B$3</c:f>
              <c:numCache>
                <c:formatCode>General</c:formatCode>
                <c:ptCount val="2"/>
                <c:pt idx="0">
                  <c:v>462.17</c:v>
                </c:pt>
                <c:pt idx="1">
                  <c:v>660.86</c:v>
                </c:pt>
              </c:numCache>
            </c:numRef>
          </c:val>
        </c:ser>
        <c:dLbls>
          <c:showLegendKey val="false"/>
          <c:showVal val="true"/>
          <c:showCatName val="false"/>
          <c:showSerName val="false"/>
          <c:showPercent val="false"/>
          <c:showBubbleSize val="false"/>
        </c:dLbls>
        <c:gapWidth val="219"/>
        <c:overlap val="-27"/>
        <c:axId val="113145344"/>
        <c:axId val="114041600"/>
      </c:barChart>
      <c:catAx>
        <c:axId val="11314534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14041600"/>
        <c:crosses val="autoZero"/>
        <c:auto val="true"/>
        <c:lblAlgn val="ctr"/>
        <c:lblOffset val="100"/>
        <c:noMultiLvlLbl val="false"/>
      </c:catAx>
      <c:valAx>
        <c:axId val="11404160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1314534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false"/>
            <c:dispEq val="false"/>
          </c:trendline>
          <c:cat>
            <c:strRef>
              <c:f>Sheet1!$A$2:$A$3</c:f>
              <c:strCache>
                <c:ptCount val="2"/>
                <c:pt idx="0">
                  <c:v>2024年</c:v>
                </c:pt>
                <c:pt idx="1">
                  <c:v>2023年</c:v>
                </c:pt>
              </c:strCache>
            </c:strRef>
          </c:cat>
          <c:val>
            <c:numRef>
              <c:f>Sheet1!$B$2:$B$3</c:f>
              <c:numCache>
                <c:formatCode>General</c:formatCode>
                <c:ptCount val="2"/>
                <c:pt idx="0">
                  <c:v>462.17</c:v>
                </c:pt>
                <c:pt idx="1">
                  <c:v>658.14</c:v>
                </c:pt>
              </c:numCache>
            </c:numRef>
          </c:val>
        </c:ser>
        <c:dLbls>
          <c:showLegendKey val="false"/>
          <c:showVal val="true"/>
          <c:showCatName val="false"/>
          <c:showSerName val="false"/>
          <c:showPercent val="false"/>
          <c:showBubbleSize val="false"/>
        </c:dLbls>
        <c:gapWidth val="219"/>
        <c:overlap val="-27"/>
        <c:axId val="138158080"/>
        <c:axId val="138164480"/>
      </c:barChart>
      <c:catAx>
        <c:axId val="13815808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8164480"/>
        <c:crosses val="autoZero"/>
        <c:auto val="true"/>
        <c:lblAlgn val="ctr"/>
        <c:lblOffset val="100"/>
        <c:noMultiLvlLbl val="false"/>
      </c:catAx>
      <c:valAx>
        <c:axId val="13816448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815808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Lbls>
            <c:dLbl>
              <c:idx val="0"/>
              <c:layout>
                <c:manualLayout>
                  <c:x val="0.0082632687025546"/>
                  <c:y val="-0.001531247669590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14962309406876"/>
                  <c:y val="0.0487100004460705"/>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5"/>
              <c:layout>
                <c:manualLayout>
                  <c:x val="-0.0513325961365825"/>
                  <c:y val="0.013200744154630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Sheet1!$A$2:$A$7</c:f>
              <c:strCache>
                <c:ptCount val="6"/>
                <c:pt idx="0">
                  <c:v>教育支出2.72万元</c:v>
                </c:pt>
                <c:pt idx="1">
                  <c:v>社会保障和就业支出50.19万元</c:v>
                </c:pt>
                <c:pt idx="2">
                  <c:v>卫生健康支出13.89万元</c:v>
                </c:pt>
                <c:pt idx="3">
                  <c:v>农林水支出1.82万元</c:v>
                </c:pt>
                <c:pt idx="4">
                  <c:v>交通运输支出368.7万元</c:v>
                </c:pt>
                <c:pt idx="5">
                  <c:v>住房保障支出24.85万元</c:v>
                </c:pt>
              </c:strCache>
            </c:strRef>
          </c:cat>
          <c:val>
            <c:numRef>
              <c:f>Sheet1!$B$2:$B$7</c:f>
              <c:numCache>
                <c:formatCode>General</c:formatCode>
                <c:ptCount val="6"/>
                <c:pt idx="0">
                  <c:v>2.72</c:v>
                </c:pt>
                <c:pt idx="1">
                  <c:v>50.19</c:v>
                </c:pt>
                <c:pt idx="2">
                  <c:v>13.89</c:v>
                </c:pt>
                <c:pt idx="3">
                  <c:v>1.82</c:v>
                </c:pt>
                <c:pt idx="4">
                  <c:v>368.7</c:v>
                </c:pt>
                <c:pt idx="5">
                  <c:v>24.85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公务接待费支出决算0万元</c:v>
                </c:pt>
              </c:strCache>
            </c:strRef>
          </c:cat>
          <c:val>
            <c:numRef>
              <c:f>Sheet1!$B$2</c:f>
              <c:numCache>
                <c:formatCode>General</c:formatCode>
                <c:ptCount val="1"/>
                <c:pt idx="0">
                  <c:v>0</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8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33</Pages>
  <Words>2266</Words>
  <Characters>2548</Characters>
  <Lines>11</Lines>
  <Paragraphs>12</Paragraphs>
  <TotalTime>27</TotalTime>
  <ScaleCrop>false</ScaleCrop>
  <LinksUpToDate>false</LinksUpToDate>
  <CharactersWithSpaces>2600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2025-10-10T15:23:34Z</dcterms:modified>
  <dc:title>四川省***</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E328C6FB14DF4CB3B2A41B376F4839E0_12</vt:lpwstr>
  </property>
  <property fmtid="{D5CDD505-2E9C-101B-9397-08002B2CF9AE}" pid="4" name="KSOTemplateDocerSaveRecord">
    <vt:lpwstr>eyJoZGlkIjoiYTc2ZGZiNzZiNDVlOGViOWVmM2JhOTY0NGJkNjUyYzgiLCJ1c2VySWQiOiIyMjA2OTAwNTAifQ==</vt:lpwstr>
  </property>
</Properties>
</file>