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Override PartName="/word/theme/themeOverride3.xml" ContentType="application/vnd.openxmlformats-officedocument.themeOverride+xml"/>
  <Override PartName="/word/theme/themeOverride4.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color w:val="auto"/>
          <w:sz w:val="21"/>
          <w:szCs w:val="21"/>
          <w:highlight w:val="none"/>
        </w:rPr>
      </w:pPr>
      <w:bookmarkStart w:id="0" w:name="_Toc15306267"/>
    </w:p>
    <w:p>
      <w:pPr>
        <w:spacing w:line="600" w:lineRule="exact"/>
        <w:jc w:val="center"/>
        <w:outlineLvl w:val="9"/>
        <w:rPr>
          <w:rFonts w:ascii="方正小标宋简体" w:hAnsi="宋体" w:eastAsia="方正小标宋简体"/>
          <w:color w:val="auto"/>
          <w:sz w:val="72"/>
          <w:szCs w:val="72"/>
          <w:highlight w:val="none"/>
        </w:rPr>
      </w:pPr>
    </w:p>
    <w:p>
      <w:pPr>
        <w:spacing w:line="360" w:lineRule="auto"/>
        <w:jc w:val="center"/>
        <w:outlineLvl w:val="9"/>
        <w:rPr>
          <w:rFonts w:ascii="方正小标宋简体" w:hAnsi="宋体" w:eastAsia="方正小标宋简体"/>
          <w:color w:val="auto"/>
          <w:sz w:val="72"/>
          <w:szCs w:val="72"/>
          <w:highlight w:val="none"/>
        </w:rPr>
      </w:pPr>
    </w:p>
    <w:p>
      <w:pPr>
        <w:keepNext w:val="0"/>
        <w:keepLines w:val="0"/>
        <w:pageBreakBefore w:val="0"/>
        <w:kinsoku/>
        <w:wordWrap/>
        <w:overflowPunct/>
        <w:topLinePunct w:val="0"/>
        <w:autoSpaceDE/>
        <w:autoSpaceDN/>
        <w:bidi w:val="0"/>
        <w:adjustRightInd w:val="0"/>
        <w:snapToGrid w:val="0"/>
        <w:spacing w:line="360" w:lineRule="auto"/>
        <w:ind w:leftChars="0"/>
        <w:jc w:val="center"/>
        <w:textAlignment w:val="auto"/>
        <w:outlineLvl w:val="0"/>
        <w:rPr>
          <w:rFonts w:hint="eastAsia" w:ascii="仿宋_GB2312" w:hAnsi="仿宋_GB2312" w:eastAsia="仿宋_GB2312" w:cs="仿宋_GB2312"/>
          <w:color w:val="auto"/>
          <w:sz w:val="32"/>
          <w:szCs w:val="32"/>
          <w:highlight w:val="none"/>
        </w:rPr>
      </w:pPr>
      <w:bookmarkStart w:id="1" w:name="_Toc15396597"/>
      <w:bookmarkStart w:id="2" w:name="_Toc15396475"/>
      <w:bookmarkStart w:id="3" w:name="_Toc15378441"/>
      <w:bookmarkStart w:id="4" w:name="_Toc28101"/>
      <w:bookmarkStart w:id="5" w:name="_Toc15377425"/>
      <w:bookmarkStart w:id="6" w:name="_Toc8833"/>
      <w:bookmarkStart w:id="7" w:name="_Toc11368"/>
      <w:bookmarkStart w:id="8" w:name="_Toc15377193"/>
      <w:r>
        <w:rPr>
          <w:rFonts w:hint="eastAsia" w:ascii="方正小标宋简体" w:hAnsi="方正小标宋简体" w:eastAsia="方正小标宋简体" w:cs="方正小标宋简体"/>
          <w:color w:val="auto"/>
          <w:sz w:val="52"/>
          <w:szCs w:val="52"/>
          <w:highlight w:val="none"/>
        </w:rPr>
        <w:t>20</w:t>
      </w:r>
      <w:r>
        <w:rPr>
          <w:rFonts w:hint="eastAsia" w:ascii="方正小标宋简体" w:hAnsi="方正小标宋简体" w:eastAsia="方正小标宋简体" w:cs="方正小标宋简体"/>
          <w:color w:val="auto"/>
          <w:sz w:val="52"/>
          <w:szCs w:val="52"/>
          <w:highlight w:val="none"/>
          <w:lang w:val="en-US" w:eastAsia="zh-CN"/>
        </w:rPr>
        <w:t>24</w:t>
      </w:r>
      <w:r>
        <w:rPr>
          <w:rFonts w:hint="eastAsia" w:ascii="方正小标宋简体" w:hAnsi="方正小标宋简体" w:eastAsia="方正小标宋简体" w:cs="方正小标宋简体"/>
          <w:color w:val="auto"/>
          <w:sz w:val="52"/>
          <w:szCs w:val="52"/>
          <w:highlight w:val="none"/>
        </w:rPr>
        <w:t>年度</w:t>
      </w:r>
      <w:bookmarkEnd w:id="1"/>
      <w:bookmarkEnd w:id="2"/>
      <w:bookmarkEnd w:id="3"/>
      <w:bookmarkEnd w:id="4"/>
      <w:bookmarkEnd w:id="5"/>
      <w:bookmarkEnd w:id="6"/>
      <w:bookmarkEnd w:id="7"/>
      <w:bookmarkEnd w:id="8"/>
    </w:p>
    <w:p>
      <w:pPr>
        <w:keepNext w:val="0"/>
        <w:keepLines w:val="0"/>
        <w:pageBreakBefore w:val="0"/>
        <w:kinsoku/>
        <w:wordWrap/>
        <w:overflowPunct/>
        <w:topLinePunct w:val="0"/>
        <w:autoSpaceDE/>
        <w:autoSpaceDN/>
        <w:bidi w:val="0"/>
        <w:adjustRightInd w:val="0"/>
        <w:snapToGrid w:val="0"/>
        <w:spacing w:line="360" w:lineRule="auto"/>
        <w:ind w:leftChars="0"/>
        <w:jc w:val="center"/>
        <w:textAlignment w:val="auto"/>
        <w:outlineLvl w:val="0"/>
        <w:rPr>
          <w:rFonts w:hint="eastAsia" w:ascii="方正小标宋简体" w:hAnsi="方正小标宋简体" w:eastAsia="方正小标宋简体" w:cs="方正小标宋简体"/>
          <w:color w:val="auto"/>
          <w:sz w:val="52"/>
          <w:szCs w:val="52"/>
          <w:highlight w:val="none"/>
        </w:rPr>
      </w:pPr>
      <w:bookmarkStart w:id="9" w:name="_Toc15377426"/>
      <w:bookmarkStart w:id="10" w:name="_Toc15396476"/>
      <w:bookmarkStart w:id="11" w:name="_Toc13020"/>
      <w:bookmarkStart w:id="12" w:name="_Toc15396598"/>
      <w:bookmarkStart w:id="13" w:name="_Toc15377194"/>
      <w:bookmarkStart w:id="14" w:name="_Toc15378442"/>
      <w:bookmarkStart w:id="15" w:name="_Toc29981"/>
      <w:bookmarkStart w:id="16" w:name="_Toc9727"/>
      <w:r>
        <w:rPr>
          <w:rFonts w:hint="eastAsia" w:ascii="方正小标宋简体" w:hAnsi="方正小标宋简体" w:eastAsia="方正小标宋简体" w:cs="方正小标宋简体"/>
          <w:color w:val="auto"/>
          <w:sz w:val="52"/>
          <w:szCs w:val="52"/>
          <w:highlight w:val="none"/>
          <w:lang w:eastAsia="zh-CN"/>
        </w:rPr>
        <w:t>广元市</w:t>
      </w:r>
      <w:bookmarkEnd w:id="0"/>
      <w:bookmarkStart w:id="17" w:name="_Toc15306268"/>
      <w:r>
        <w:rPr>
          <w:rFonts w:hint="eastAsia" w:ascii="方正小标宋简体" w:hAnsi="方正小标宋简体" w:eastAsia="方正小标宋简体" w:cs="方正小标宋简体"/>
          <w:color w:val="auto"/>
          <w:sz w:val="52"/>
          <w:szCs w:val="52"/>
          <w:highlight w:val="none"/>
          <w:lang w:val="en-US" w:eastAsia="zh-CN"/>
        </w:rPr>
        <w:t>自然资源局</w:t>
      </w:r>
      <w:r>
        <w:rPr>
          <w:rFonts w:hint="eastAsia" w:ascii="方正小标宋简体" w:hAnsi="方正小标宋简体" w:eastAsia="方正小标宋简体" w:cs="方正小标宋简体"/>
          <w:color w:val="auto"/>
          <w:sz w:val="52"/>
          <w:szCs w:val="52"/>
          <w:highlight w:val="none"/>
          <w:lang w:eastAsia="zh-CN"/>
        </w:rPr>
        <w:t>单位</w:t>
      </w:r>
      <w:r>
        <w:rPr>
          <w:rFonts w:hint="eastAsia" w:ascii="方正小标宋简体" w:hAnsi="方正小标宋简体" w:eastAsia="方正小标宋简体" w:cs="方正小标宋简体"/>
          <w:color w:val="auto"/>
          <w:sz w:val="52"/>
          <w:szCs w:val="52"/>
          <w:highlight w:val="none"/>
        </w:rPr>
        <w:t>决算</w:t>
      </w:r>
      <w:bookmarkEnd w:id="9"/>
      <w:bookmarkEnd w:id="10"/>
      <w:bookmarkEnd w:id="11"/>
      <w:bookmarkEnd w:id="12"/>
      <w:bookmarkEnd w:id="13"/>
      <w:bookmarkEnd w:id="14"/>
      <w:bookmarkEnd w:id="15"/>
      <w:bookmarkEnd w:id="16"/>
      <w:bookmarkEnd w:id="17"/>
    </w:p>
    <w:p>
      <w:pPr>
        <w:keepNext w:val="0"/>
        <w:keepLines w:val="0"/>
        <w:pageBreakBefore w:val="0"/>
        <w:kinsoku/>
        <w:wordWrap/>
        <w:overflowPunct/>
        <w:topLinePunct w:val="0"/>
        <w:autoSpaceDE/>
        <w:autoSpaceDN/>
        <w:bidi w:val="0"/>
        <w:adjustRightInd w:val="0"/>
        <w:snapToGrid w:val="0"/>
        <w:spacing w:line="576" w:lineRule="exact"/>
        <w:ind w:leftChars="0"/>
        <w:jc w:val="center"/>
        <w:textAlignment w:val="auto"/>
        <w:outlineLvl w:val="9"/>
        <w:rPr>
          <w:rFonts w:hint="eastAsia" w:ascii="仿宋_GB2312" w:hAnsi="仿宋_GB2312" w:eastAsia="仿宋_GB2312" w:cs="仿宋_GB2312"/>
          <w:color w:val="auto"/>
          <w:sz w:val="32"/>
          <w:szCs w:val="32"/>
          <w:highlight w:val="none"/>
        </w:rPr>
      </w:pPr>
    </w:p>
    <w:p>
      <w:pPr>
        <w:keepNext w:val="0"/>
        <w:keepLines w:val="0"/>
        <w:pageBreakBefore w:val="0"/>
        <w:widowControl/>
        <w:kinsoku/>
        <w:wordWrap/>
        <w:overflowPunct/>
        <w:topLinePunct w:val="0"/>
        <w:autoSpaceDE/>
        <w:autoSpaceDN/>
        <w:bidi w:val="0"/>
        <w:spacing w:line="576" w:lineRule="exact"/>
        <w:ind w:leftChars="0"/>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br w:type="page"/>
      </w:r>
      <w:r>
        <w:rPr>
          <w:rFonts w:hint="eastAsia" w:ascii="方正小标宋_GBK" w:hAnsi="方正小标宋_GBK" w:eastAsia="方正小标宋_GBK" w:cs="方正小标宋_GBK"/>
          <w:color w:val="auto"/>
          <w:sz w:val="44"/>
          <w:szCs w:val="44"/>
          <w:highlight w:val="none"/>
        </w:rPr>
        <w:t>目</w:t>
      </w:r>
      <w:r>
        <w:rPr>
          <w:rFonts w:hint="eastAsia" w:ascii="方正小标宋_GBK" w:hAnsi="方正小标宋_GBK" w:eastAsia="方正小标宋_GBK" w:cs="方正小标宋_GBK"/>
          <w:color w:val="auto"/>
          <w:sz w:val="44"/>
          <w:szCs w:val="44"/>
          <w:highlight w:val="none"/>
          <w:lang w:val="en-US" w:eastAsia="zh-CN"/>
        </w:rPr>
        <w:t xml:space="preserve">  </w:t>
      </w:r>
      <w:r>
        <w:rPr>
          <w:rFonts w:hint="eastAsia" w:ascii="方正小标宋_GBK" w:hAnsi="方正小标宋_GBK" w:eastAsia="方正小标宋_GBK" w:cs="方正小标宋_GBK"/>
          <w:color w:val="auto"/>
          <w:sz w:val="44"/>
          <w:szCs w:val="44"/>
          <w:highlight w:val="none"/>
        </w:rPr>
        <w:t>录</w:t>
      </w:r>
    </w:p>
    <w:p>
      <w:pPr>
        <w:pStyle w:val="11"/>
        <w:keepNext w:val="0"/>
        <w:keepLines w:val="0"/>
        <w:pageBreakBefore w:val="0"/>
        <w:kinsoku/>
        <w:wordWrap/>
        <w:overflowPunct/>
        <w:topLinePunct w:val="0"/>
        <w:autoSpaceDE/>
        <w:autoSpaceDN/>
        <w:bidi w:val="0"/>
        <w:spacing w:before="0" w:line="576" w:lineRule="exact"/>
        <w:ind w:leftChars="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公开时间：20</w:t>
      </w:r>
      <w:r>
        <w:rPr>
          <w:rFonts w:hint="eastAsia" w:ascii="仿宋_GB2312" w:hAnsi="仿宋_GB2312" w:eastAsia="仿宋_GB2312" w:cs="仿宋_GB2312"/>
          <w:color w:val="auto"/>
          <w:sz w:val="32"/>
          <w:szCs w:val="32"/>
          <w:highlight w:val="none"/>
          <w:lang w:val="en-US" w:eastAsia="zh-CN"/>
        </w:rPr>
        <w:t>25</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 xml:space="preserve">10 </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 xml:space="preserve"> 14</w:t>
      </w:r>
      <w:r>
        <w:rPr>
          <w:rFonts w:hint="eastAsia" w:ascii="仿宋_GB2312" w:hAnsi="仿宋_GB2312" w:eastAsia="仿宋_GB2312" w:cs="仿宋_GB2312"/>
          <w:color w:val="auto"/>
          <w:sz w:val="32"/>
          <w:szCs w:val="32"/>
          <w:highlight w:val="none"/>
        </w:rPr>
        <w:t>日</w:t>
      </w:r>
    </w:p>
    <w:sdt>
      <w:sdtPr>
        <w:rPr>
          <w:rFonts w:ascii="宋体" w:hAnsi="宋体" w:eastAsia="宋体" w:cs="Times New Roman"/>
          <w:kern w:val="2"/>
          <w:sz w:val="21"/>
          <w:szCs w:val="24"/>
          <w:lang w:val="en-US" w:eastAsia="zh-CN" w:bidi="ar-SA"/>
        </w:rPr>
        <w:id w:val="147460834"/>
        <w15:color w:val="DBDBDB"/>
        <w:docPartObj>
          <w:docPartGallery w:val="Table of Contents"/>
          <w:docPartUnique/>
        </w:docPartObj>
      </w:sdtPr>
      <w:sdtEndPr>
        <w:rPr>
          <w:rFonts w:ascii="宋体" w:hAnsi="宋体" w:eastAsia="宋体" w:cs="Times New Roman"/>
          <w:kern w:val="2"/>
          <w:sz w:val="21"/>
          <w:szCs w:val="24"/>
          <w:lang w:val="en-US" w:eastAsia="zh-CN" w:bidi="ar-SA"/>
        </w:rPr>
      </w:sdtEndPr>
      <w:sdtContent>
        <w:p>
          <w:pPr>
            <w:rPr>
              <w:rFonts w:ascii="Times New Roman" w:hAnsi="Times New Roman" w:eastAsia="宋体" w:cs="Times New Roman"/>
              <w:kern w:val="2"/>
              <w:sz w:val="21"/>
              <w:szCs w:val="24"/>
              <w:lang w:val="en-US" w:eastAsia="zh-CN" w:bidi="ar-SA"/>
            </w:rPr>
          </w:pPr>
          <w:bookmarkStart w:id="18" w:name="_Toc15396599"/>
          <w:bookmarkStart w:id="19" w:name="_Toc15377196"/>
          <w:r>
            <w:fldChar w:fldCharType="begin"/>
          </w:r>
          <w:r>
            <w:instrText xml:space="preserve">TOC \o "1-3" \h \u </w:instrText>
          </w:r>
          <w:r>
            <w:fldChar w:fldCharType="separate"/>
          </w:r>
        </w:p>
        <w:p>
          <w:pPr>
            <w:pStyle w:val="11"/>
            <w:tabs>
              <w:tab w:val="right" w:leader="dot" w:pos="8845"/>
              <w:tab w:val="clear" w:pos="8296"/>
            </w:tabs>
            <w:spacing w:line="360" w:lineRule="auto"/>
          </w:pPr>
          <w:r>
            <w:fldChar w:fldCharType="begin"/>
          </w:r>
          <w:r>
            <w:instrText xml:space="preserve"> HYPERLINK \l _Toc15383 </w:instrText>
          </w:r>
          <w:r>
            <w:fldChar w:fldCharType="separate"/>
          </w:r>
          <w:r>
            <w:rPr>
              <w:rFonts w:hint="eastAsia" w:ascii="黑体" w:hAnsi="黑体" w:eastAsia="黑体"/>
              <w:highlight w:val="none"/>
            </w:rPr>
            <w:t xml:space="preserve">第一部分 </w:t>
          </w:r>
          <w:r>
            <w:rPr>
              <w:rFonts w:hint="eastAsia" w:ascii="黑体" w:hAnsi="黑体" w:eastAsia="黑体"/>
              <w:highlight w:val="none"/>
              <w:lang w:eastAsia="zh-CN"/>
            </w:rPr>
            <w:t>单位</w:t>
          </w:r>
          <w:r>
            <w:rPr>
              <w:rFonts w:hint="eastAsia" w:ascii="黑体" w:hAnsi="黑体" w:eastAsia="黑体"/>
              <w:bCs w:val="0"/>
              <w:highlight w:val="none"/>
            </w:rPr>
            <w:t>概况</w:t>
          </w:r>
          <w:r>
            <w:tab/>
          </w:r>
          <w:r>
            <w:fldChar w:fldCharType="begin"/>
          </w:r>
          <w:r>
            <w:instrText xml:space="preserve"> PAGEREF _Toc15383 \h </w:instrText>
          </w:r>
          <w:r>
            <w:fldChar w:fldCharType="separate"/>
          </w:r>
          <w:r>
            <w:t>1</w:t>
          </w:r>
          <w:r>
            <w:fldChar w:fldCharType="end"/>
          </w:r>
          <w:r>
            <w:fldChar w:fldCharType="end"/>
          </w:r>
        </w:p>
        <w:p>
          <w:pPr>
            <w:pStyle w:val="12"/>
            <w:tabs>
              <w:tab w:val="right" w:leader="dot" w:pos="8845"/>
              <w:tab w:val="clear" w:pos="8296"/>
            </w:tabs>
            <w:spacing w:line="360" w:lineRule="auto"/>
          </w:pPr>
          <w:r>
            <w:fldChar w:fldCharType="begin"/>
          </w:r>
          <w:r>
            <w:instrText xml:space="preserve"> HYPERLINK \l _Toc18611 </w:instrText>
          </w:r>
          <w:r>
            <w:fldChar w:fldCharType="separate"/>
          </w:r>
          <w:r>
            <w:rPr>
              <w:rFonts w:hint="eastAsia" w:ascii="黑体" w:hAnsi="黑体" w:eastAsia="黑体"/>
              <w:bCs w:val="0"/>
              <w:highlight w:val="none"/>
              <w:lang w:val="en-US" w:eastAsia="zh-CN"/>
            </w:rPr>
            <w:t>一、</w:t>
          </w:r>
          <w:r>
            <w:rPr>
              <w:rFonts w:hint="eastAsia" w:ascii="黑体" w:hAnsi="黑体" w:eastAsia="黑体"/>
              <w:bCs w:val="0"/>
              <w:highlight w:val="none"/>
              <w:lang w:eastAsia="zh-CN"/>
            </w:rPr>
            <w:t>主要职责</w:t>
          </w:r>
          <w:r>
            <w:tab/>
          </w:r>
          <w:r>
            <w:fldChar w:fldCharType="begin"/>
          </w:r>
          <w:r>
            <w:instrText xml:space="preserve"> PAGEREF _Toc18611 \h </w:instrText>
          </w:r>
          <w:r>
            <w:fldChar w:fldCharType="separate"/>
          </w:r>
          <w:r>
            <w:t>1</w:t>
          </w:r>
          <w:r>
            <w:fldChar w:fldCharType="end"/>
          </w:r>
          <w:r>
            <w:fldChar w:fldCharType="end"/>
          </w:r>
        </w:p>
        <w:p>
          <w:pPr>
            <w:pStyle w:val="12"/>
            <w:tabs>
              <w:tab w:val="right" w:leader="dot" w:pos="8845"/>
              <w:tab w:val="clear" w:pos="8296"/>
            </w:tabs>
            <w:spacing w:line="360" w:lineRule="auto"/>
          </w:pPr>
          <w:r>
            <w:fldChar w:fldCharType="begin"/>
          </w:r>
          <w:r>
            <w:instrText xml:space="preserve"> HYPERLINK \l _Toc23886 </w:instrText>
          </w:r>
          <w:r>
            <w:fldChar w:fldCharType="separate"/>
          </w:r>
          <w:r>
            <w:rPr>
              <w:rFonts w:hint="eastAsia" w:ascii="黑体" w:hAnsi="黑体" w:eastAsia="黑体"/>
              <w:highlight w:val="none"/>
              <w:lang w:val="en-US" w:eastAsia="zh-CN"/>
            </w:rPr>
            <w:t>二、机构设置</w:t>
          </w:r>
          <w:r>
            <w:tab/>
          </w:r>
          <w:r>
            <w:fldChar w:fldCharType="begin"/>
          </w:r>
          <w:r>
            <w:instrText xml:space="preserve"> PAGEREF _Toc23886 \h </w:instrText>
          </w:r>
          <w:r>
            <w:fldChar w:fldCharType="separate"/>
          </w:r>
          <w:r>
            <w:t>5</w:t>
          </w:r>
          <w:r>
            <w:fldChar w:fldCharType="end"/>
          </w:r>
          <w:r>
            <w:fldChar w:fldCharType="end"/>
          </w:r>
        </w:p>
        <w:p>
          <w:pPr>
            <w:pStyle w:val="11"/>
            <w:tabs>
              <w:tab w:val="right" w:leader="dot" w:pos="8845"/>
              <w:tab w:val="clear" w:pos="8296"/>
            </w:tabs>
            <w:spacing w:line="360" w:lineRule="auto"/>
          </w:pPr>
          <w:r>
            <w:fldChar w:fldCharType="begin"/>
          </w:r>
          <w:r>
            <w:instrText xml:space="preserve"> HYPERLINK \l _Toc7283 </w:instrText>
          </w:r>
          <w:r>
            <w:fldChar w:fldCharType="separate"/>
          </w:r>
          <w:r>
            <w:rPr>
              <w:rFonts w:hint="eastAsia" w:ascii="黑体" w:hAnsi="黑体" w:eastAsia="黑体"/>
              <w:bCs/>
              <w:highlight w:val="none"/>
            </w:rPr>
            <w:t xml:space="preserve">第二部分 </w:t>
          </w:r>
          <w:r>
            <w:rPr>
              <w:rFonts w:hint="eastAsia" w:ascii="黑体" w:hAnsi="黑体" w:eastAsia="黑体"/>
              <w:bCs/>
              <w:highlight w:val="none"/>
              <w:lang w:val="en-US" w:eastAsia="zh-CN"/>
            </w:rPr>
            <w:t>2024年度</w:t>
          </w:r>
          <w:r>
            <w:rPr>
              <w:rFonts w:hint="eastAsia" w:ascii="黑体" w:hAnsi="黑体" w:eastAsia="黑体"/>
              <w:bCs/>
              <w:highlight w:val="none"/>
              <w:lang w:eastAsia="zh-CN"/>
            </w:rPr>
            <w:t>单位</w:t>
          </w:r>
          <w:r>
            <w:rPr>
              <w:rFonts w:hint="eastAsia" w:ascii="黑体" w:hAnsi="黑体" w:eastAsia="黑体"/>
              <w:bCs/>
              <w:highlight w:val="none"/>
            </w:rPr>
            <w:t>决算情况说明</w:t>
          </w:r>
          <w:r>
            <w:tab/>
          </w:r>
          <w:r>
            <w:fldChar w:fldCharType="begin"/>
          </w:r>
          <w:r>
            <w:instrText xml:space="preserve"> PAGEREF _Toc7283 \h </w:instrText>
          </w:r>
          <w:r>
            <w:fldChar w:fldCharType="separate"/>
          </w:r>
          <w:r>
            <w:t>6</w:t>
          </w:r>
          <w:r>
            <w:fldChar w:fldCharType="end"/>
          </w:r>
          <w:r>
            <w:fldChar w:fldCharType="end"/>
          </w:r>
        </w:p>
        <w:p>
          <w:pPr>
            <w:pStyle w:val="12"/>
            <w:tabs>
              <w:tab w:val="right" w:leader="dot" w:pos="8845"/>
              <w:tab w:val="clear" w:pos="8296"/>
            </w:tabs>
            <w:spacing w:line="360" w:lineRule="auto"/>
          </w:pPr>
          <w:r>
            <w:fldChar w:fldCharType="begin"/>
          </w:r>
          <w:r>
            <w:instrText xml:space="preserve"> HYPERLINK \l _Toc30662 </w:instrText>
          </w:r>
          <w:r>
            <w:fldChar w:fldCharType="separate"/>
          </w:r>
          <w:r>
            <w:rPr>
              <w:rFonts w:hint="eastAsia" w:ascii="黑体" w:hAnsi="黑体" w:eastAsia="黑体"/>
              <w:szCs w:val="32"/>
              <w:highlight w:val="none"/>
              <w:lang w:eastAsia="zh-CN"/>
            </w:rPr>
            <w:t>一、收入支出决算总体情况说明</w:t>
          </w:r>
          <w:r>
            <w:tab/>
          </w:r>
          <w:r>
            <w:fldChar w:fldCharType="begin"/>
          </w:r>
          <w:r>
            <w:instrText xml:space="preserve"> PAGEREF _Toc30662 \h </w:instrText>
          </w:r>
          <w:r>
            <w:fldChar w:fldCharType="separate"/>
          </w:r>
          <w:r>
            <w:t>6</w:t>
          </w:r>
          <w:r>
            <w:fldChar w:fldCharType="end"/>
          </w:r>
          <w:r>
            <w:fldChar w:fldCharType="end"/>
          </w:r>
        </w:p>
        <w:p>
          <w:pPr>
            <w:pStyle w:val="12"/>
            <w:tabs>
              <w:tab w:val="right" w:leader="dot" w:pos="8845"/>
              <w:tab w:val="clear" w:pos="8296"/>
            </w:tabs>
            <w:spacing w:line="360" w:lineRule="auto"/>
          </w:pPr>
          <w:r>
            <w:fldChar w:fldCharType="begin"/>
          </w:r>
          <w:r>
            <w:instrText xml:space="preserve"> HYPERLINK \l _Toc25471 </w:instrText>
          </w:r>
          <w:r>
            <w:fldChar w:fldCharType="separate"/>
          </w:r>
          <w:r>
            <w:rPr>
              <w:rFonts w:hint="eastAsia" w:ascii="黑体" w:hAnsi="黑体" w:eastAsia="黑体"/>
              <w:szCs w:val="32"/>
              <w:highlight w:val="none"/>
              <w:lang w:eastAsia="zh-CN"/>
            </w:rPr>
            <w:t>二、收入决算情况说明</w:t>
          </w:r>
          <w:r>
            <w:tab/>
          </w:r>
          <w:r>
            <w:fldChar w:fldCharType="begin"/>
          </w:r>
          <w:r>
            <w:instrText xml:space="preserve"> PAGEREF _Toc25471 \h </w:instrText>
          </w:r>
          <w:r>
            <w:fldChar w:fldCharType="separate"/>
          </w:r>
          <w:r>
            <w:t>6</w:t>
          </w:r>
          <w:r>
            <w:fldChar w:fldCharType="end"/>
          </w:r>
          <w:r>
            <w:fldChar w:fldCharType="end"/>
          </w:r>
        </w:p>
        <w:p>
          <w:pPr>
            <w:pStyle w:val="12"/>
            <w:tabs>
              <w:tab w:val="right" w:leader="dot" w:pos="8845"/>
              <w:tab w:val="clear" w:pos="8296"/>
            </w:tabs>
            <w:spacing w:line="360" w:lineRule="auto"/>
          </w:pPr>
          <w:r>
            <w:fldChar w:fldCharType="begin"/>
          </w:r>
          <w:r>
            <w:instrText xml:space="preserve"> HYPERLINK \l _Toc25204 </w:instrText>
          </w:r>
          <w:r>
            <w:fldChar w:fldCharType="separate"/>
          </w:r>
          <w:r>
            <w:rPr>
              <w:rFonts w:hint="eastAsia" w:ascii="黑体" w:hAnsi="黑体" w:eastAsia="黑体"/>
              <w:szCs w:val="32"/>
              <w:highlight w:val="none"/>
              <w:lang w:eastAsia="zh-CN"/>
            </w:rPr>
            <w:t>三、支出决算情况说明</w:t>
          </w:r>
          <w:r>
            <w:tab/>
          </w:r>
          <w:r>
            <w:fldChar w:fldCharType="begin"/>
          </w:r>
          <w:r>
            <w:instrText xml:space="preserve"> PAGEREF _Toc25204 \h </w:instrText>
          </w:r>
          <w:r>
            <w:fldChar w:fldCharType="separate"/>
          </w:r>
          <w:r>
            <w:t>7</w:t>
          </w:r>
          <w:r>
            <w:fldChar w:fldCharType="end"/>
          </w:r>
          <w:r>
            <w:fldChar w:fldCharType="end"/>
          </w:r>
        </w:p>
        <w:p>
          <w:pPr>
            <w:pStyle w:val="12"/>
            <w:tabs>
              <w:tab w:val="right" w:leader="dot" w:pos="8845"/>
              <w:tab w:val="clear" w:pos="8296"/>
            </w:tabs>
            <w:spacing w:line="360" w:lineRule="auto"/>
          </w:pPr>
          <w:r>
            <w:fldChar w:fldCharType="begin"/>
          </w:r>
          <w:r>
            <w:instrText xml:space="preserve"> HYPERLINK \l _Toc20295 </w:instrText>
          </w:r>
          <w:r>
            <w:fldChar w:fldCharType="separate"/>
          </w:r>
          <w:r>
            <w:rPr>
              <w:rFonts w:hint="eastAsia" w:ascii="黑体" w:hAnsi="黑体" w:eastAsia="黑体"/>
              <w:szCs w:val="32"/>
              <w:highlight w:val="none"/>
              <w:lang w:eastAsia="zh-CN"/>
            </w:rPr>
            <w:t>四、财政拨款收入支出决算总体情况说明</w:t>
          </w:r>
          <w:r>
            <w:tab/>
          </w:r>
          <w:r>
            <w:fldChar w:fldCharType="begin"/>
          </w:r>
          <w:r>
            <w:instrText xml:space="preserve"> PAGEREF _Toc20295 \h </w:instrText>
          </w:r>
          <w:r>
            <w:fldChar w:fldCharType="separate"/>
          </w:r>
          <w:r>
            <w:t>8</w:t>
          </w:r>
          <w:r>
            <w:fldChar w:fldCharType="end"/>
          </w:r>
          <w:r>
            <w:fldChar w:fldCharType="end"/>
          </w:r>
        </w:p>
        <w:p>
          <w:pPr>
            <w:pStyle w:val="12"/>
            <w:tabs>
              <w:tab w:val="right" w:leader="dot" w:pos="8845"/>
              <w:tab w:val="clear" w:pos="8296"/>
            </w:tabs>
            <w:spacing w:line="360" w:lineRule="auto"/>
          </w:pPr>
          <w:r>
            <w:fldChar w:fldCharType="begin"/>
          </w:r>
          <w:r>
            <w:instrText xml:space="preserve"> HYPERLINK \l _Toc31785 </w:instrText>
          </w:r>
          <w:r>
            <w:fldChar w:fldCharType="separate"/>
          </w:r>
          <w:r>
            <w:rPr>
              <w:rFonts w:hint="eastAsia" w:ascii="黑体" w:hAnsi="黑体" w:eastAsia="黑体"/>
              <w:szCs w:val="32"/>
              <w:highlight w:val="none"/>
            </w:rPr>
            <w:t>五、一</w:t>
          </w:r>
          <w:r>
            <w:rPr>
              <w:rFonts w:hint="eastAsia" w:ascii="黑体" w:hAnsi="黑体" w:eastAsia="黑体"/>
              <w:highlight w:val="none"/>
            </w:rPr>
            <w:t>般公共预算财政拨款支出决算情况说明</w:t>
          </w:r>
          <w:r>
            <w:tab/>
          </w:r>
          <w:r>
            <w:fldChar w:fldCharType="begin"/>
          </w:r>
          <w:r>
            <w:instrText xml:space="preserve"> PAGEREF _Toc31785 \h </w:instrText>
          </w:r>
          <w:r>
            <w:fldChar w:fldCharType="separate"/>
          </w:r>
          <w:r>
            <w:t>8</w:t>
          </w:r>
          <w:r>
            <w:fldChar w:fldCharType="end"/>
          </w:r>
          <w:r>
            <w:fldChar w:fldCharType="end"/>
          </w:r>
        </w:p>
        <w:p>
          <w:pPr>
            <w:pStyle w:val="12"/>
            <w:tabs>
              <w:tab w:val="right" w:leader="dot" w:pos="8845"/>
              <w:tab w:val="clear" w:pos="8296"/>
            </w:tabs>
            <w:spacing w:line="360" w:lineRule="auto"/>
          </w:pPr>
          <w:r>
            <w:fldChar w:fldCharType="begin"/>
          </w:r>
          <w:r>
            <w:instrText xml:space="preserve"> HYPERLINK \l _Toc11779 </w:instrText>
          </w:r>
          <w: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_Toc11779 \h </w:instrText>
          </w:r>
          <w:r>
            <w:fldChar w:fldCharType="separate"/>
          </w:r>
          <w:r>
            <w:t>12</w:t>
          </w:r>
          <w:r>
            <w:fldChar w:fldCharType="end"/>
          </w:r>
          <w:r>
            <w:fldChar w:fldCharType="end"/>
          </w:r>
        </w:p>
        <w:p>
          <w:pPr>
            <w:pStyle w:val="12"/>
            <w:tabs>
              <w:tab w:val="right" w:leader="dot" w:pos="8845"/>
              <w:tab w:val="clear" w:pos="8296"/>
            </w:tabs>
            <w:spacing w:line="360" w:lineRule="auto"/>
          </w:pPr>
          <w:r>
            <w:fldChar w:fldCharType="begin"/>
          </w:r>
          <w:r>
            <w:instrText xml:space="preserve"> HYPERLINK \l _Toc3924 </w:instrText>
          </w:r>
          <w:r>
            <w:fldChar w:fldCharType="separate"/>
          </w:r>
          <w:r>
            <w:rPr>
              <w:rFonts w:hint="eastAsia" w:ascii="黑体" w:eastAsia="黑体"/>
              <w:szCs w:val="32"/>
              <w:highlight w:val="none"/>
            </w:rPr>
            <w:t>七、</w:t>
          </w:r>
          <w:r>
            <w:rPr>
              <w:rFonts w:hint="eastAsia" w:ascii="黑体" w:hAnsi="黑体" w:eastAsia="黑体"/>
              <w:highlight w:val="none"/>
            </w:rPr>
            <w:t>财政拨款“三公”经费支出决算情况说明</w:t>
          </w:r>
          <w:r>
            <w:tab/>
          </w:r>
          <w:r>
            <w:fldChar w:fldCharType="begin"/>
          </w:r>
          <w:r>
            <w:instrText xml:space="preserve"> PAGEREF _Toc3924 \h </w:instrText>
          </w:r>
          <w:r>
            <w:fldChar w:fldCharType="separate"/>
          </w:r>
          <w:r>
            <w:t>12</w:t>
          </w:r>
          <w:r>
            <w:fldChar w:fldCharType="end"/>
          </w:r>
          <w:r>
            <w:fldChar w:fldCharType="end"/>
          </w:r>
        </w:p>
        <w:p>
          <w:pPr>
            <w:pStyle w:val="12"/>
            <w:tabs>
              <w:tab w:val="right" w:leader="dot" w:pos="8845"/>
              <w:tab w:val="clear" w:pos="8296"/>
            </w:tabs>
            <w:spacing w:line="360" w:lineRule="auto"/>
          </w:pPr>
          <w:r>
            <w:fldChar w:fldCharType="begin"/>
          </w:r>
          <w:r>
            <w:instrText xml:space="preserve"> HYPERLINK \l _Toc4030 </w:instrText>
          </w:r>
          <w:r>
            <w:fldChar w:fldCharType="separate"/>
          </w:r>
          <w:r>
            <w:rPr>
              <w:rFonts w:hint="eastAsia" w:ascii="黑体" w:eastAsia="黑体"/>
              <w:szCs w:val="32"/>
              <w:highlight w:val="none"/>
            </w:rPr>
            <w:t>八、</w:t>
          </w:r>
          <w:r>
            <w:rPr>
              <w:rFonts w:hint="eastAsia" w:ascii="黑体" w:hAnsi="黑体" w:eastAsia="黑体"/>
              <w:highlight w:val="none"/>
            </w:rPr>
            <w:t>政府性基金预算支出决算情况说明</w:t>
          </w:r>
          <w:r>
            <w:tab/>
          </w:r>
          <w:r>
            <w:fldChar w:fldCharType="begin"/>
          </w:r>
          <w:r>
            <w:instrText xml:space="preserve"> PAGEREF _Toc4030 \h </w:instrText>
          </w:r>
          <w:r>
            <w:fldChar w:fldCharType="separate"/>
          </w:r>
          <w:r>
            <w:t>15</w:t>
          </w:r>
          <w:r>
            <w:fldChar w:fldCharType="end"/>
          </w:r>
          <w:r>
            <w:fldChar w:fldCharType="end"/>
          </w:r>
        </w:p>
        <w:p>
          <w:pPr>
            <w:pStyle w:val="12"/>
            <w:tabs>
              <w:tab w:val="right" w:leader="dot" w:pos="8845"/>
              <w:tab w:val="clear" w:pos="8296"/>
            </w:tabs>
            <w:spacing w:line="360" w:lineRule="auto"/>
          </w:pPr>
          <w:r>
            <w:fldChar w:fldCharType="begin"/>
          </w:r>
          <w:r>
            <w:instrText xml:space="preserve"> HYPERLINK \l _Toc21616 </w:instrText>
          </w:r>
          <w:r>
            <w:fldChar w:fldCharType="separate"/>
          </w:r>
          <w:r>
            <w:rPr>
              <w:rFonts w:hint="eastAsia" w:ascii="黑体" w:hAnsi="黑体" w:eastAsia="黑体"/>
            </w:rPr>
            <w:t xml:space="preserve">九、 </w:t>
          </w:r>
          <w:r>
            <w:rPr>
              <w:rFonts w:hint="eastAsia" w:ascii="黑体" w:hAnsi="黑体" w:eastAsia="黑体"/>
              <w:highlight w:val="none"/>
            </w:rPr>
            <w:t>国有资本经营预算支出决算情况说明</w:t>
          </w:r>
          <w:r>
            <w:tab/>
          </w:r>
          <w:r>
            <w:fldChar w:fldCharType="begin"/>
          </w:r>
          <w:r>
            <w:instrText xml:space="preserve"> PAGEREF _Toc21616 \h </w:instrText>
          </w:r>
          <w:r>
            <w:fldChar w:fldCharType="separate"/>
          </w:r>
          <w:r>
            <w:t>15</w:t>
          </w:r>
          <w:r>
            <w:fldChar w:fldCharType="end"/>
          </w:r>
          <w:r>
            <w:fldChar w:fldCharType="end"/>
          </w:r>
        </w:p>
        <w:p>
          <w:pPr>
            <w:pStyle w:val="12"/>
            <w:tabs>
              <w:tab w:val="right" w:leader="dot" w:pos="8845"/>
              <w:tab w:val="clear" w:pos="8296"/>
            </w:tabs>
            <w:spacing w:line="360" w:lineRule="auto"/>
          </w:pPr>
          <w:r>
            <w:fldChar w:fldCharType="begin"/>
          </w:r>
          <w:r>
            <w:instrText xml:space="preserve"> HYPERLINK \l _Toc13315 </w:instrText>
          </w:r>
          <w:r>
            <w:fldChar w:fldCharType="separate"/>
          </w:r>
          <w:r>
            <w:rPr>
              <w:rFonts w:hint="eastAsia" w:ascii="黑体" w:hAnsi="黑体" w:eastAsia="黑体"/>
            </w:rPr>
            <w:t xml:space="preserve">十、 </w:t>
          </w:r>
          <w:r>
            <w:rPr>
              <w:rFonts w:hint="eastAsia" w:ascii="黑体" w:hAnsi="黑体" w:eastAsia="黑体"/>
              <w:highlight w:val="none"/>
            </w:rPr>
            <w:t>其他重要事项的情况说明</w:t>
          </w:r>
          <w:r>
            <w:tab/>
          </w:r>
          <w:r>
            <w:fldChar w:fldCharType="begin"/>
          </w:r>
          <w:r>
            <w:instrText xml:space="preserve"> PAGEREF _Toc13315 \h </w:instrText>
          </w:r>
          <w:r>
            <w:fldChar w:fldCharType="separate"/>
          </w:r>
          <w:r>
            <w:t>15</w:t>
          </w:r>
          <w:r>
            <w:fldChar w:fldCharType="end"/>
          </w:r>
          <w:r>
            <w:fldChar w:fldCharType="end"/>
          </w:r>
        </w:p>
        <w:p>
          <w:pPr>
            <w:pStyle w:val="11"/>
            <w:tabs>
              <w:tab w:val="right" w:leader="dot" w:pos="8845"/>
              <w:tab w:val="clear" w:pos="8296"/>
            </w:tabs>
            <w:spacing w:line="360" w:lineRule="auto"/>
          </w:pPr>
          <w:r>
            <w:fldChar w:fldCharType="begin"/>
          </w:r>
          <w:r>
            <w:instrText xml:space="preserve"> HYPERLINK \l _Toc24691 </w:instrText>
          </w:r>
          <w:r>
            <w:fldChar w:fldCharType="separate"/>
          </w:r>
          <w:r>
            <w:rPr>
              <w:rFonts w:hint="eastAsia" w:ascii="黑体" w:hAnsi="黑体" w:eastAsia="黑体"/>
              <w:szCs w:val="44"/>
              <w:highlight w:val="none"/>
              <w:lang w:eastAsia="zh-CN"/>
            </w:rPr>
            <w:t>第三部分</w:t>
          </w:r>
          <w:r>
            <w:rPr>
              <w:rFonts w:hint="eastAsia" w:ascii="黑体" w:hAnsi="黑体" w:eastAsia="黑体"/>
              <w:szCs w:val="44"/>
              <w:highlight w:val="none"/>
            </w:rPr>
            <w:t>名</w:t>
          </w:r>
          <w:r>
            <w:rPr>
              <w:rFonts w:hint="eastAsia" w:ascii="黑体" w:hAnsi="黑体" w:eastAsia="黑体"/>
              <w:highlight w:val="none"/>
            </w:rPr>
            <w:t>词解释</w:t>
          </w:r>
          <w:r>
            <w:tab/>
          </w:r>
          <w:r>
            <w:fldChar w:fldCharType="begin"/>
          </w:r>
          <w:r>
            <w:instrText xml:space="preserve"> PAGEREF _Toc24691 \h </w:instrText>
          </w:r>
          <w:r>
            <w:fldChar w:fldCharType="separate"/>
          </w:r>
          <w:r>
            <w:t>17</w:t>
          </w:r>
          <w:r>
            <w:fldChar w:fldCharType="end"/>
          </w:r>
          <w:r>
            <w:fldChar w:fldCharType="end"/>
          </w:r>
        </w:p>
        <w:p>
          <w:pPr>
            <w:pStyle w:val="11"/>
            <w:tabs>
              <w:tab w:val="right" w:leader="dot" w:pos="8845"/>
              <w:tab w:val="clear" w:pos="8296"/>
            </w:tabs>
            <w:spacing w:line="360" w:lineRule="auto"/>
          </w:pPr>
          <w:r>
            <w:fldChar w:fldCharType="begin"/>
          </w:r>
          <w:r>
            <w:instrText xml:space="preserve"> HYPERLINK \l _Toc15371 </w:instrText>
          </w:r>
          <w:r>
            <w:fldChar w:fldCharType="separate"/>
          </w:r>
          <w:r>
            <w:rPr>
              <w:rFonts w:hint="eastAsia" w:ascii="黑体" w:hAnsi="黑体" w:eastAsia="黑体"/>
              <w:szCs w:val="44"/>
              <w:highlight w:val="none"/>
            </w:rPr>
            <w:t>第</w:t>
          </w:r>
          <w:r>
            <w:rPr>
              <w:rFonts w:hint="eastAsia" w:ascii="黑体" w:hAnsi="黑体" w:eastAsia="黑体"/>
              <w:highlight w:val="none"/>
            </w:rPr>
            <w:t>四部分 附件</w:t>
          </w:r>
          <w:r>
            <w:tab/>
          </w:r>
          <w:r>
            <w:fldChar w:fldCharType="begin"/>
          </w:r>
          <w:r>
            <w:instrText xml:space="preserve"> PAGEREF _Toc15371 \h </w:instrText>
          </w:r>
          <w:r>
            <w:fldChar w:fldCharType="separate"/>
          </w:r>
          <w:r>
            <w:t>21</w:t>
          </w:r>
          <w:r>
            <w:fldChar w:fldCharType="end"/>
          </w:r>
          <w:r>
            <w:fldChar w:fldCharType="end"/>
          </w:r>
        </w:p>
        <w:p>
          <w:pPr>
            <w:pStyle w:val="11"/>
            <w:tabs>
              <w:tab w:val="right" w:leader="dot" w:pos="8845"/>
              <w:tab w:val="clear" w:pos="8296"/>
            </w:tabs>
            <w:spacing w:line="360" w:lineRule="auto"/>
          </w:pPr>
          <w:r>
            <w:fldChar w:fldCharType="begin"/>
          </w:r>
          <w:r>
            <w:instrText xml:space="preserve"> HYPERLINK \l _Toc19285 </w:instrText>
          </w:r>
          <w:r>
            <w:fldChar w:fldCharType="separate"/>
          </w:r>
          <w:r>
            <w:rPr>
              <w:rFonts w:hint="eastAsia" w:ascii="黑体" w:hAnsi="黑体" w:eastAsia="黑体"/>
              <w:szCs w:val="44"/>
              <w:highlight w:val="none"/>
            </w:rPr>
            <w:t>第</w:t>
          </w:r>
          <w:r>
            <w:rPr>
              <w:rFonts w:hint="eastAsia" w:ascii="黑体" w:hAnsi="黑体" w:eastAsia="黑体"/>
              <w:highlight w:val="none"/>
            </w:rPr>
            <w:t>五部分 附表</w:t>
          </w:r>
          <w:r>
            <w:tab/>
          </w:r>
          <w:r>
            <w:fldChar w:fldCharType="begin"/>
          </w:r>
          <w:r>
            <w:instrText xml:space="preserve"> PAGEREF _Toc19285 \h </w:instrText>
          </w:r>
          <w:r>
            <w:fldChar w:fldCharType="separate"/>
          </w:r>
          <w:r>
            <w:t>22</w:t>
          </w:r>
          <w:r>
            <w:fldChar w:fldCharType="end"/>
          </w:r>
          <w:r>
            <w:fldChar w:fldCharType="end"/>
          </w:r>
        </w:p>
        <w:p>
          <w:pPr>
            <w:pStyle w:val="12"/>
            <w:tabs>
              <w:tab w:val="right" w:leader="dot" w:pos="8845"/>
              <w:tab w:val="clear" w:pos="8296"/>
            </w:tabs>
            <w:spacing w:line="360" w:lineRule="auto"/>
          </w:pPr>
          <w:r>
            <w:fldChar w:fldCharType="begin"/>
          </w:r>
          <w:r>
            <w:instrText xml:space="preserve"> HYPERLINK \l _Toc31713 </w:instrText>
          </w:r>
          <w:r>
            <w:fldChar w:fldCharType="separate"/>
          </w:r>
          <w:r>
            <w:rPr>
              <w:rFonts w:hint="eastAsia" w:ascii="仿宋" w:hAnsi="仿宋" w:eastAsia="仿宋"/>
              <w:highlight w:val="none"/>
            </w:rPr>
            <w:t>一、收</w:t>
          </w:r>
          <w:r>
            <w:rPr>
              <w:rFonts w:hint="eastAsia" w:ascii="仿宋" w:hAnsi="仿宋" w:eastAsia="仿宋"/>
              <w:bCs w:val="0"/>
              <w:highlight w:val="none"/>
            </w:rPr>
            <w:t>入支出决算总表</w:t>
          </w:r>
          <w:r>
            <w:tab/>
          </w:r>
          <w:r>
            <w:fldChar w:fldCharType="begin"/>
          </w:r>
          <w:r>
            <w:instrText xml:space="preserve"> PAGEREF _Toc31713 \h </w:instrText>
          </w:r>
          <w:r>
            <w:fldChar w:fldCharType="separate"/>
          </w:r>
          <w:r>
            <w:t>22</w:t>
          </w:r>
          <w:r>
            <w:fldChar w:fldCharType="end"/>
          </w:r>
          <w:r>
            <w:fldChar w:fldCharType="end"/>
          </w:r>
        </w:p>
        <w:p>
          <w:pPr>
            <w:pStyle w:val="12"/>
            <w:tabs>
              <w:tab w:val="right" w:leader="dot" w:pos="8845"/>
              <w:tab w:val="clear" w:pos="8296"/>
            </w:tabs>
            <w:spacing w:line="360" w:lineRule="auto"/>
          </w:pPr>
          <w:r>
            <w:fldChar w:fldCharType="begin"/>
          </w:r>
          <w:r>
            <w:instrText xml:space="preserve"> HYPERLINK \l _Toc27175 </w:instrText>
          </w:r>
          <w:r>
            <w:fldChar w:fldCharType="separate"/>
          </w:r>
          <w:r>
            <w:rPr>
              <w:rFonts w:hint="eastAsia" w:ascii="仿宋" w:hAnsi="仿宋" w:eastAsia="仿宋"/>
              <w:highlight w:val="none"/>
            </w:rPr>
            <w:t>二、收</w:t>
          </w:r>
          <w:r>
            <w:rPr>
              <w:rFonts w:hint="eastAsia" w:ascii="仿宋" w:hAnsi="仿宋" w:eastAsia="仿宋"/>
              <w:bCs w:val="0"/>
              <w:highlight w:val="none"/>
            </w:rPr>
            <w:t>入决算表</w:t>
          </w:r>
          <w:r>
            <w:tab/>
          </w:r>
          <w:r>
            <w:fldChar w:fldCharType="begin"/>
          </w:r>
          <w:r>
            <w:instrText xml:space="preserve"> PAGEREF _Toc27175 \h </w:instrText>
          </w:r>
          <w:r>
            <w:fldChar w:fldCharType="separate"/>
          </w:r>
          <w:r>
            <w:t>22</w:t>
          </w:r>
          <w:r>
            <w:fldChar w:fldCharType="end"/>
          </w:r>
          <w:r>
            <w:fldChar w:fldCharType="end"/>
          </w:r>
        </w:p>
        <w:p>
          <w:pPr>
            <w:pStyle w:val="12"/>
            <w:tabs>
              <w:tab w:val="right" w:leader="dot" w:pos="8845"/>
              <w:tab w:val="clear" w:pos="8296"/>
            </w:tabs>
            <w:spacing w:line="360" w:lineRule="auto"/>
          </w:pPr>
          <w:r>
            <w:fldChar w:fldCharType="begin"/>
          </w:r>
          <w:r>
            <w:instrText xml:space="preserve"> HYPERLINK \l _Toc10310 </w:instrText>
          </w:r>
          <w:r>
            <w:fldChar w:fldCharType="separate"/>
          </w:r>
          <w:r>
            <w:rPr>
              <w:rFonts w:hint="eastAsia" w:ascii="仿宋" w:hAnsi="仿宋" w:eastAsia="仿宋"/>
              <w:bCs w:val="0"/>
              <w:highlight w:val="none"/>
            </w:rPr>
            <w:t>三、</w:t>
          </w:r>
          <w:r>
            <w:rPr>
              <w:rFonts w:hint="eastAsia" w:ascii="仿宋" w:hAnsi="仿宋" w:eastAsia="仿宋"/>
              <w:highlight w:val="none"/>
            </w:rPr>
            <w:t>支</w:t>
          </w:r>
          <w:r>
            <w:rPr>
              <w:rFonts w:hint="eastAsia" w:ascii="仿宋" w:hAnsi="仿宋" w:eastAsia="仿宋"/>
              <w:bCs w:val="0"/>
              <w:highlight w:val="none"/>
            </w:rPr>
            <w:t>出决算表</w:t>
          </w:r>
          <w:r>
            <w:tab/>
          </w:r>
          <w:r>
            <w:fldChar w:fldCharType="begin"/>
          </w:r>
          <w:r>
            <w:instrText xml:space="preserve"> PAGEREF _Toc10310 \h </w:instrText>
          </w:r>
          <w:r>
            <w:fldChar w:fldCharType="separate"/>
          </w:r>
          <w:r>
            <w:t>22</w:t>
          </w:r>
          <w:r>
            <w:fldChar w:fldCharType="end"/>
          </w:r>
          <w:r>
            <w:fldChar w:fldCharType="end"/>
          </w:r>
        </w:p>
        <w:p>
          <w:pPr>
            <w:pStyle w:val="12"/>
            <w:tabs>
              <w:tab w:val="right" w:leader="dot" w:pos="8845"/>
              <w:tab w:val="clear" w:pos="8296"/>
            </w:tabs>
            <w:spacing w:line="360" w:lineRule="auto"/>
          </w:pPr>
          <w:r>
            <w:fldChar w:fldCharType="begin"/>
          </w:r>
          <w:r>
            <w:instrText xml:space="preserve"> HYPERLINK \l _Toc30981 </w:instrText>
          </w:r>
          <w:r>
            <w:fldChar w:fldCharType="separate"/>
          </w:r>
          <w:r>
            <w:rPr>
              <w:rFonts w:hint="eastAsia" w:ascii="仿宋" w:hAnsi="仿宋" w:eastAsia="仿宋"/>
              <w:bCs w:val="0"/>
              <w:highlight w:val="none"/>
            </w:rPr>
            <w:t>四、</w:t>
          </w:r>
          <w:r>
            <w:rPr>
              <w:rFonts w:hint="eastAsia" w:ascii="仿宋" w:hAnsi="仿宋" w:eastAsia="仿宋"/>
              <w:highlight w:val="none"/>
            </w:rPr>
            <w:t>财</w:t>
          </w:r>
          <w:r>
            <w:rPr>
              <w:rFonts w:hint="eastAsia" w:ascii="仿宋" w:hAnsi="仿宋" w:eastAsia="仿宋"/>
              <w:bCs w:val="0"/>
              <w:highlight w:val="none"/>
            </w:rPr>
            <w:t>政拨款收入支出决算总表</w:t>
          </w:r>
          <w:r>
            <w:tab/>
          </w:r>
          <w:r>
            <w:fldChar w:fldCharType="begin"/>
          </w:r>
          <w:r>
            <w:instrText xml:space="preserve"> PAGEREF _Toc30981 \h </w:instrText>
          </w:r>
          <w:r>
            <w:fldChar w:fldCharType="separate"/>
          </w:r>
          <w:r>
            <w:t>22</w:t>
          </w:r>
          <w:r>
            <w:fldChar w:fldCharType="end"/>
          </w:r>
          <w:r>
            <w:fldChar w:fldCharType="end"/>
          </w:r>
        </w:p>
        <w:p>
          <w:pPr>
            <w:pStyle w:val="12"/>
            <w:tabs>
              <w:tab w:val="right" w:leader="dot" w:pos="8845"/>
              <w:tab w:val="clear" w:pos="8296"/>
            </w:tabs>
            <w:spacing w:line="360" w:lineRule="auto"/>
          </w:pPr>
          <w:r>
            <w:fldChar w:fldCharType="begin"/>
          </w:r>
          <w:r>
            <w:instrText xml:space="preserve"> HYPERLINK \l _Toc13216 </w:instrText>
          </w:r>
          <w:r>
            <w:fldChar w:fldCharType="separate"/>
          </w:r>
          <w:r>
            <w:rPr>
              <w:rFonts w:hint="eastAsia" w:ascii="仿宋" w:hAnsi="仿宋" w:eastAsia="仿宋"/>
              <w:bCs w:val="0"/>
              <w:highlight w:val="none"/>
            </w:rPr>
            <w:t>五、</w:t>
          </w:r>
          <w:r>
            <w:rPr>
              <w:rFonts w:hint="eastAsia" w:ascii="仿宋" w:hAnsi="仿宋" w:eastAsia="仿宋"/>
              <w:highlight w:val="none"/>
            </w:rPr>
            <w:t>财</w:t>
          </w:r>
          <w:r>
            <w:rPr>
              <w:rFonts w:hint="eastAsia" w:ascii="仿宋" w:hAnsi="仿宋" w:eastAsia="仿宋"/>
              <w:bCs w:val="0"/>
              <w:highlight w:val="none"/>
            </w:rPr>
            <w:t>政拨款支出决算明细表</w:t>
          </w:r>
          <w:r>
            <w:tab/>
          </w:r>
          <w:r>
            <w:fldChar w:fldCharType="begin"/>
          </w:r>
          <w:r>
            <w:instrText xml:space="preserve"> PAGEREF _Toc13216 \h </w:instrText>
          </w:r>
          <w:r>
            <w:fldChar w:fldCharType="separate"/>
          </w:r>
          <w:r>
            <w:t>22</w:t>
          </w:r>
          <w:r>
            <w:fldChar w:fldCharType="end"/>
          </w:r>
          <w:r>
            <w:fldChar w:fldCharType="end"/>
          </w:r>
        </w:p>
        <w:p>
          <w:pPr>
            <w:pStyle w:val="12"/>
            <w:tabs>
              <w:tab w:val="right" w:leader="dot" w:pos="8845"/>
              <w:tab w:val="clear" w:pos="8296"/>
            </w:tabs>
            <w:spacing w:line="360" w:lineRule="auto"/>
          </w:pPr>
          <w:r>
            <w:fldChar w:fldCharType="begin"/>
          </w:r>
          <w:r>
            <w:instrText xml:space="preserve"> HYPERLINK \l _Toc21180 </w:instrText>
          </w:r>
          <w:r>
            <w:fldChar w:fldCharType="separate"/>
          </w:r>
          <w:r>
            <w:rPr>
              <w:rFonts w:hint="eastAsia" w:ascii="仿宋" w:hAnsi="仿宋" w:eastAsia="仿宋"/>
              <w:bCs w:val="0"/>
              <w:highlight w:val="none"/>
            </w:rPr>
            <w:t>六、</w:t>
          </w:r>
          <w:r>
            <w:rPr>
              <w:rFonts w:hint="eastAsia" w:ascii="仿宋" w:hAnsi="仿宋" w:eastAsia="仿宋"/>
              <w:highlight w:val="none"/>
            </w:rPr>
            <w:t>一</w:t>
          </w:r>
          <w:r>
            <w:rPr>
              <w:rFonts w:hint="eastAsia" w:ascii="仿宋" w:hAnsi="仿宋" w:eastAsia="仿宋"/>
              <w:bCs w:val="0"/>
              <w:highlight w:val="none"/>
            </w:rPr>
            <w:t>般公共预算财政拨款支出决算表</w:t>
          </w:r>
          <w:r>
            <w:tab/>
          </w:r>
          <w:r>
            <w:fldChar w:fldCharType="begin"/>
          </w:r>
          <w:r>
            <w:instrText xml:space="preserve"> PAGEREF _Toc21180 \h </w:instrText>
          </w:r>
          <w:r>
            <w:fldChar w:fldCharType="separate"/>
          </w:r>
          <w:r>
            <w:t>22</w:t>
          </w:r>
          <w:r>
            <w:fldChar w:fldCharType="end"/>
          </w:r>
          <w:r>
            <w:fldChar w:fldCharType="end"/>
          </w:r>
        </w:p>
        <w:p>
          <w:pPr>
            <w:pStyle w:val="12"/>
            <w:tabs>
              <w:tab w:val="right" w:leader="dot" w:pos="8845"/>
              <w:tab w:val="clear" w:pos="8296"/>
            </w:tabs>
            <w:spacing w:line="360" w:lineRule="auto"/>
          </w:pPr>
          <w:r>
            <w:fldChar w:fldCharType="begin"/>
          </w:r>
          <w:r>
            <w:instrText xml:space="preserve"> HYPERLINK \l _Toc18514 </w:instrText>
          </w:r>
          <w:r>
            <w:fldChar w:fldCharType="separate"/>
          </w:r>
          <w:r>
            <w:rPr>
              <w:rFonts w:hint="eastAsia" w:ascii="仿宋" w:hAnsi="仿宋" w:eastAsia="仿宋"/>
              <w:bCs w:val="0"/>
              <w:highlight w:val="none"/>
            </w:rPr>
            <w:t>七、</w:t>
          </w:r>
          <w:r>
            <w:rPr>
              <w:rFonts w:hint="eastAsia" w:ascii="仿宋" w:hAnsi="仿宋" w:eastAsia="仿宋"/>
              <w:highlight w:val="none"/>
            </w:rPr>
            <w:t>一</w:t>
          </w:r>
          <w:r>
            <w:rPr>
              <w:rFonts w:hint="eastAsia" w:ascii="仿宋" w:hAnsi="仿宋" w:eastAsia="仿宋"/>
              <w:bCs w:val="0"/>
              <w:highlight w:val="none"/>
            </w:rPr>
            <w:t>般公共预算财政拨款支出决算明细表</w:t>
          </w:r>
          <w:r>
            <w:tab/>
          </w:r>
          <w:r>
            <w:fldChar w:fldCharType="begin"/>
          </w:r>
          <w:r>
            <w:instrText xml:space="preserve"> PAGEREF _Toc18514 \h </w:instrText>
          </w:r>
          <w:r>
            <w:fldChar w:fldCharType="separate"/>
          </w:r>
          <w:r>
            <w:t>22</w:t>
          </w:r>
          <w:r>
            <w:fldChar w:fldCharType="end"/>
          </w:r>
          <w:r>
            <w:fldChar w:fldCharType="end"/>
          </w:r>
        </w:p>
        <w:p>
          <w:pPr>
            <w:pStyle w:val="12"/>
            <w:tabs>
              <w:tab w:val="right" w:leader="dot" w:pos="8845"/>
              <w:tab w:val="clear" w:pos="8296"/>
            </w:tabs>
            <w:spacing w:line="360" w:lineRule="auto"/>
          </w:pPr>
          <w:r>
            <w:fldChar w:fldCharType="begin"/>
          </w:r>
          <w:r>
            <w:instrText xml:space="preserve"> HYPERLINK \l _Toc28605 </w:instrText>
          </w:r>
          <w:r>
            <w:fldChar w:fldCharType="separate"/>
          </w:r>
          <w:r>
            <w:rPr>
              <w:rFonts w:hint="eastAsia" w:ascii="仿宋" w:hAnsi="仿宋" w:eastAsia="仿宋"/>
              <w:bCs w:val="0"/>
              <w:highlight w:val="none"/>
            </w:rPr>
            <w:t>八、</w:t>
          </w:r>
          <w:r>
            <w:rPr>
              <w:rFonts w:hint="eastAsia" w:ascii="仿宋" w:hAnsi="仿宋" w:eastAsia="仿宋"/>
              <w:highlight w:val="none"/>
            </w:rPr>
            <w:t>一</w:t>
          </w:r>
          <w:r>
            <w:rPr>
              <w:rFonts w:hint="eastAsia" w:ascii="仿宋" w:hAnsi="仿宋" w:eastAsia="仿宋"/>
              <w:bCs w:val="0"/>
              <w:highlight w:val="none"/>
            </w:rPr>
            <w:t>般公共预算财政拨款基本支出决算表</w:t>
          </w:r>
          <w:r>
            <w:tab/>
          </w:r>
          <w:r>
            <w:fldChar w:fldCharType="begin"/>
          </w:r>
          <w:r>
            <w:instrText xml:space="preserve"> PAGEREF _Toc28605 \h </w:instrText>
          </w:r>
          <w:r>
            <w:fldChar w:fldCharType="separate"/>
          </w:r>
          <w:r>
            <w:t>22</w:t>
          </w:r>
          <w:r>
            <w:fldChar w:fldCharType="end"/>
          </w:r>
          <w:r>
            <w:fldChar w:fldCharType="end"/>
          </w:r>
        </w:p>
        <w:p>
          <w:pPr>
            <w:pStyle w:val="12"/>
            <w:tabs>
              <w:tab w:val="right" w:leader="dot" w:pos="8845"/>
              <w:tab w:val="clear" w:pos="8296"/>
            </w:tabs>
            <w:spacing w:line="360" w:lineRule="auto"/>
          </w:pPr>
          <w:r>
            <w:fldChar w:fldCharType="begin"/>
          </w:r>
          <w:r>
            <w:instrText xml:space="preserve"> HYPERLINK \l _Toc11626 </w:instrText>
          </w:r>
          <w:r>
            <w:fldChar w:fldCharType="separate"/>
          </w:r>
          <w:r>
            <w:rPr>
              <w:rFonts w:hint="eastAsia" w:ascii="仿宋" w:hAnsi="仿宋" w:eastAsia="仿宋"/>
              <w:bCs w:val="0"/>
              <w:highlight w:val="none"/>
            </w:rPr>
            <w:t>九、</w:t>
          </w:r>
          <w:r>
            <w:rPr>
              <w:rFonts w:hint="eastAsia" w:ascii="仿宋" w:hAnsi="仿宋" w:eastAsia="仿宋"/>
              <w:highlight w:val="none"/>
            </w:rPr>
            <w:t>一</w:t>
          </w:r>
          <w:r>
            <w:rPr>
              <w:rFonts w:hint="eastAsia" w:ascii="仿宋" w:hAnsi="仿宋" w:eastAsia="仿宋"/>
              <w:bCs w:val="0"/>
              <w:highlight w:val="none"/>
            </w:rPr>
            <w:t>般公共预算财政拨款项目支出决算表</w:t>
          </w:r>
          <w:r>
            <w:tab/>
          </w:r>
          <w:r>
            <w:fldChar w:fldCharType="begin"/>
          </w:r>
          <w:r>
            <w:instrText xml:space="preserve"> PAGEREF _Toc11626 \h </w:instrText>
          </w:r>
          <w:r>
            <w:fldChar w:fldCharType="separate"/>
          </w:r>
          <w:r>
            <w:t>22</w:t>
          </w:r>
          <w:r>
            <w:fldChar w:fldCharType="end"/>
          </w:r>
          <w:r>
            <w:fldChar w:fldCharType="end"/>
          </w:r>
        </w:p>
        <w:p>
          <w:pPr>
            <w:pStyle w:val="12"/>
            <w:tabs>
              <w:tab w:val="right" w:leader="dot" w:pos="8845"/>
              <w:tab w:val="clear" w:pos="8296"/>
            </w:tabs>
            <w:spacing w:line="360" w:lineRule="auto"/>
          </w:pPr>
          <w:r>
            <w:fldChar w:fldCharType="begin"/>
          </w:r>
          <w:r>
            <w:instrText xml:space="preserve"> HYPERLINK \l _Toc22234 </w:instrText>
          </w:r>
          <w:r>
            <w:fldChar w:fldCharType="separate"/>
          </w:r>
          <w:r>
            <w:rPr>
              <w:rFonts w:hint="eastAsia" w:ascii="仿宋" w:hAnsi="仿宋" w:eastAsia="仿宋"/>
              <w:bCs w:val="0"/>
              <w:highlight w:val="none"/>
            </w:rPr>
            <w:t>十、</w:t>
          </w:r>
          <w:r>
            <w:rPr>
              <w:rFonts w:hint="eastAsia" w:ascii="仿宋" w:hAnsi="仿宋" w:eastAsia="仿宋"/>
              <w:highlight w:val="none"/>
            </w:rPr>
            <w:t>政</w:t>
          </w:r>
          <w:r>
            <w:rPr>
              <w:rFonts w:hint="eastAsia" w:ascii="仿宋" w:hAnsi="仿宋" w:eastAsia="仿宋"/>
              <w:bCs w:val="0"/>
              <w:highlight w:val="none"/>
            </w:rPr>
            <w:t>府性基金预算财政拨款收入支出决算表</w:t>
          </w:r>
          <w:r>
            <w:tab/>
          </w:r>
          <w:r>
            <w:fldChar w:fldCharType="begin"/>
          </w:r>
          <w:r>
            <w:instrText xml:space="preserve"> PAGEREF _Toc22234 \h </w:instrText>
          </w:r>
          <w:r>
            <w:fldChar w:fldCharType="separate"/>
          </w:r>
          <w:r>
            <w:t>22</w:t>
          </w:r>
          <w:r>
            <w:fldChar w:fldCharType="end"/>
          </w:r>
          <w:r>
            <w:fldChar w:fldCharType="end"/>
          </w:r>
        </w:p>
        <w:p>
          <w:pPr>
            <w:pStyle w:val="12"/>
            <w:tabs>
              <w:tab w:val="right" w:leader="dot" w:pos="8845"/>
              <w:tab w:val="clear" w:pos="8296"/>
            </w:tabs>
            <w:spacing w:line="360" w:lineRule="auto"/>
          </w:pPr>
          <w:r>
            <w:fldChar w:fldCharType="begin"/>
          </w:r>
          <w:r>
            <w:instrText xml:space="preserve"> HYPERLINK \l _Toc8371 </w:instrText>
          </w:r>
          <w:r>
            <w:fldChar w:fldCharType="separate"/>
          </w:r>
          <w:r>
            <w:rPr>
              <w:rFonts w:hint="eastAsia" w:ascii="仿宋" w:hAnsi="仿宋" w:eastAsia="仿宋"/>
              <w:bCs w:val="0"/>
              <w:highlight w:val="none"/>
            </w:rPr>
            <w:t>十一、</w:t>
          </w:r>
          <w:r>
            <w:rPr>
              <w:rFonts w:hint="eastAsia" w:ascii="仿宋" w:hAnsi="仿宋" w:eastAsia="仿宋"/>
              <w:highlight w:val="none"/>
            </w:rPr>
            <w:t>国</w:t>
          </w:r>
          <w:r>
            <w:rPr>
              <w:rFonts w:hint="eastAsia" w:ascii="仿宋" w:hAnsi="仿宋" w:eastAsia="仿宋"/>
              <w:bCs w:val="0"/>
              <w:highlight w:val="none"/>
            </w:rPr>
            <w:t>有资本经营预算</w:t>
          </w:r>
          <w:r>
            <w:rPr>
              <w:rFonts w:hint="eastAsia" w:ascii="仿宋" w:hAnsi="仿宋" w:eastAsia="仿宋"/>
              <w:bCs w:val="0"/>
              <w:highlight w:val="none"/>
              <w:lang w:eastAsia="zh-CN"/>
            </w:rPr>
            <w:t>财政拨款收入</w:t>
          </w:r>
          <w:r>
            <w:rPr>
              <w:rFonts w:hint="eastAsia" w:ascii="仿宋" w:hAnsi="仿宋" w:eastAsia="仿宋"/>
              <w:bCs w:val="0"/>
              <w:highlight w:val="none"/>
            </w:rPr>
            <w:t>支出决算表</w:t>
          </w:r>
          <w:r>
            <w:tab/>
          </w:r>
          <w:r>
            <w:fldChar w:fldCharType="begin"/>
          </w:r>
          <w:r>
            <w:instrText xml:space="preserve"> PAGEREF _Toc8371 \h </w:instrText>
          </w:r>
          <w:r>
            <w:fldChar w:fldCharType="separate"/>
          </w:r>
          <w:r>
            <w:t>22</w:t>
          </w:r>
          <w:r>
            <w:fldChar w:fldCharType="end"/>
          </w:r>
          <w:r>
            <w:fldChar w:fldCharType="end"/>
          </w:r>
        </w:p>
        <w:p>
          <w:pPr>
            <w:pStyle w:val="12"/>
            <w:tabs>
              <w:tab w:val="right" w:leader="dot" w:pos="8845"/>
              <w:tab w:val="clear" w:pos="8296"/>
            </w:tabs>
            <w:spacing w:line="360" w:lineRule="auto"/>
          </w:pPr>
          <w:r>
            <w:fldChar w:fldCharType="begin"/>
          </w:r>
          <w:r>
            <w:instrText xml:space="preserve"> HYPERLINK \l _Toc19675 </w:instrText>
          </w:r>
          <w:r>
            <w:fldChar w:fldCharType="separate"/>
          </w:r>
          <w:r>
            <w:rPr>
              <w:rFonts w:hint="eastAsia" w:ascii="仿宋" w:hAnsi="仿宋" w:eastAsia="仿宋"/>
              <w:bCs w:val="0"/>
              <w:highlight w:val="none"/>
            </w:rPr>
            <w:t>十二、</w:t>
          </w:r>
          <w:r>
            <w:rPr>
              <w:rFonts w:hint="eastAsia" w:ascii="仿宋" w:hAnsi="仿宋" w:eastAsia="仿宋"/>
              <w:bCs w:val="0"/>
              <w:highlight w:val="none"/>
              <w:lang w:eastAsia="zh-CN"/>
            </w:rPr>
            <w:t>国有资本经营预算财政拨款支出决算表</w:t>
          </w:r>
          <w:r>
            <w:tab/>
          </w:r>
          <w:r>
            <w:fldChar w:fldCharType="begin"/>
          </w:r>
          <w:r>
            <w:instrText xml:space="preserve"> PAGEREF _Toc19675 \h </w:instrText>
          </w:r>
          <w:r>
            <w:fldChar w:fldCharType="separate"/>
          </w:r>
          <w:r>
            <w:t>22</w:t>
          </w:r>
          <w:r>
            <w:fldChar w:fldCharType="end"/>
          </w:r>
          <w:r>
            <w:fldChar w:fldCharType="end"/>
          </w:r>
        </w:p>
        <w:p>
          <w:pPr>
            <w:pStyle w:val="12"/>
            <w:tabs>
              <w:tab w:val="right" w:leader="dot" w:pos="8845"/>
              <w:tab w:val="clear" w:pos="8296"/>
            </w:tabs>
            <w:spacing w:line="360" w:lineRule="auto"/>
          </w:pPr>
          <w:r>
            <w:fldChar w:fldCharType="begin"/>
          </w:r>
          <w:r>
            <w:instrText xml:space="preserve"> HYPERLINK \l _Toc22198 </w:instrText>
          </w:r>
          <w:r>
            <w:fldChar w:fldCharType="separate"/>
          </w:r>
          <w:r>
            <w:rPr>
              <w:rFonts w:hint="eastAsia" w:ascii="仿宋" w:hAnsi="仿宋" w:eastAsia="仿宋"/>
              <w:bCs w:val="0"/>
              <w:highlight w:val="none"/>
            </w:rPr>
            <w:t>十三、</w:t>
          </w:r>
          <w:r>
            <w:rPr>
              <w:rFonts w:hint="eastAsia" w:ascii="仿宋" w:hAnsi="仿宋" w:eastAsia="仿宋"/>
              <w:bCs w:val="0"/>
              <w:highlight w:val="none"/>
              <w:lang w:eastAsia="zh-CN"/>
            </w:rPr>
            <w:t>财政拨款“三公”经费支出决算表</w:t>
          </w:r>
          <w:r>
            <w:tab/>
          </w:r>
          <w:r>
            <w:fldChar w:fldCharType="begin"/>
          </w:r>
          <w:r>
            <w:instrText xml:space="preserve"> PAGEREF _Toc22198 \h </w:instrText>
          </w:r>
          <w:r>
            <w:fldChar w:fldCharType="separate"/>
          </w:r>
          <w:r>
            <w:t>22</w:t>
          </w:r>
          <w:r>
            <w:fldChar w:fldCharType="end"/>
          </w:r>
          <w:r>
            <w:fldChar w:fldCharType="end"/>
          </w:r>
        </w:p>
        <w:p>
          <w:pPr>
            <w:spacing w:before="0" w:beforeLines="0" w:after="0" w:afterLines="0" w:line="240" w:lineRule="auto"/>
            <w:ind w:left="0" w:leftChars="0" w:right="0" w:rightChars="0" w:firstLine="0" w:firstLineChars="0"/>
            <w:jc w:val="center"/>
          </w:pPr>
          <w:r>
            <w:fldChar w:fldCharType="end"/>
          </w:r>
        </w:p>
      </w:sdtContent>
    </w:sdt>
    <w:p>
      <w:pPr>
        <w:pStyle w:val="3"/>
        <w:pageBreakBefore w:val="0"/>
        <w:kinsoku/>
        <w:wordWrap/>
        <w:overflowPunct/>
        <w:topLinePunct w:val="0"/>
        <w:bidi w:val="0"/>
        <w:snapToGrid/>
        <w:spacing w:before="0" w:after="0" w:line="576" w:lineRule="exact"/>
        <w:ind w:left="0" w:right="0"/>
        <w:jc w:val="center"/>
        <w:textAlignment w:val="auto"/>
        <w:rPr>
          <w:rFonts w:hint="eastAsia" w:ascii="黑体" w:hAnsi="黑体" w:eastAsia="黑体"/>
          <w:b w:val="0"/>
          <w:color w:val="auto"/>
          <w:highlight w:val="none"/>
        </w:rPr>
        <w:sectPr>
          <w:headerReference r:id="rId3" w:type="default"/>
          <w:pgSz w:w="11906" w:h="16838"/>
          <w:pgMar w:top="2098" w:right="1474" w:bottom="1984" w:left="1587" w:header="851" w:footer="992" w:gutter="0"/>
          <w:pgNumType w:start="1"/>
          <w:cols w:space="425" w:num="1"/>
          <w:titlePg/>
          <w:docGrid w:type="lines" w:linePitch="312" w:charSpace="0"/>
        </w:sectPr>
      </w:pPr>
      <w:bookmarkStart w:id="20" w:name="_Toc28869"/>
    </w:p>
    <w:p>
      <w:pPr>
        <w:pStyle w:val="3"/>
        <w:pageBreakBefore w:val="0"/>
        <w:kinsoku/>
        <w:wordWrap/>
        <w:overflowPunct/>
        <w:topLinePunct w:val="0"/>
        <w:bidi w:val="0"/>
        <w:snapToGrid/>
        <w:spacing w:before="0" w:after="0" w:line="576" w:lineRule="exact"/>
        <w:ind w:left="0" w:right="0"/>
        <w:jc w:val="center"/>
        <w:textAlignment w:val="auto"/>
        <w:rPr>
          <w:rStyle w:val="17"/>
          <w:rFonts w:ascii="黑体" w:hAnsi="黑体" w:eastAsia="黑体"/>
          <w:b/>
          <w:bCs w:val="0"/>
          <w:color w:val="auto"/>
          <w:highlight w:val="none"/>
        </w:rPr>
      </w:pPr>
      <w:bookmarkStart w:id="21" w:name="_Toc15383"/>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17"/>
          <w:rFonts w:hint="eastAsia" w:ascii="黑体" w:hAnsi="黑体" w:eastAsia="黑体"/>
          <w:b w:val="0"/>
          <w:bCs w:val="0"/>
          <w:color w:val="auto"/>
          <w:highlight w:val="none"/>
        </w:rPr>
        <w:t>概况</w:t>
      </w:r>
      <w:bookmarkEnd w:id="18"/>
      <w:bookmarkEnd w:id="19"/>
      <w:bookmarkEnd w:id="20"/>
      <w:bookmarkEnd w:id="21"/>
    </w:p>
    <w:p>
      <w:pPr>
        <w:pageBreakBefore w:val="0"/>
        <w:widowControl/>
        <w:kinsoku/>
        <w:wordWrap/>
        <w:overflowPunct/>
        <w:topLinePunct w:val="0"/>
        <w:bidi w:val="0"/>
        <w:snapToGrid/>
        <w:spacing w:line="576" w:lineRule="exact"/>
        <w:ind w:left="0" w:right="0"/>
        <w:jc w:val="left"/>
        <w:textAlignment w:val="auto"/>
        <w:rPr>
          <w:rFonts w:ascii="黑体" w:eastAsia="黑体"/>
          <w:color w:val="auto"/>
          <w:sz w:val="32"/>
          <w:szCs w:val="32"/>
          <w:highlight w:val="none"/>
        </w:rPr>
      </w:pPr>
    </w:p>
    <w:p>
      <w:pPr>
        <w:pageBreakBefore w:val="0"/>
        <w:widowControl w:val="0"/>
        <w:numPr>
          <w:ilvl w:val="0"/>
          <w:numId w:val="0"/>
        </w:numPr>
        <w:shd w:val="clear"/>
        <w:kinsoku/>
        <w:wordWrap/>
        <w:overflowPunct/>
        <w:topLinePunct w:val="0"/>
        <w:autoSpaceDE/>
        <w:autoSpaceDN/>
        <w:bidi w:val="0"/>
        <w:adjustRightInd/>
        <w:snapToGrid/>
        <w:spacing w:line="576" w:lineRule="exact"/>
        <w:ind w:left="0" w:leftChars="0" w:right="0" w:rightChars="0" w:firstLine="640" w:firstLineChars="200"/>
        <w:jc w:val="both"/>
        <w:textAlignment w:val="auto"/>
        <w:outlineLvl w:val="1"/>
        <w:rPr>
          <w:rStyle w:val="18"/>
          <w:rFonts w:hint="eastAsia" w:ascii="黑体" w:hAnsi="黑体" w:eastAsia="黑体"/>
          <w:b w:val="0"/>
          <w:bCs w:val="0"/>
          <w:color w:val="auto"/>
          <w:highlight w:val="none"/>
          <w:lang w:eastAsia="zh-CN"/>
        </w:rPr>
      </w:pPr>
      <w:bookmarkStart w:id="22" w:name="_Toc15995"/>
      <w:bookmarkStart w:id="23" w:name="_Toc18611"/>
      <w:bookmarkStart w:id="24" w:name="_Toc15396600"/>
      <w:bookmarkStart w:id="25" w:name="_Toc15377197"/>
      <w:r>
        <w:rPr>
          <w:rStyle w:val="18"/>
          <w:rFonts w:hint="eastAsia" w:ascii="黑体" w:hAnsi="黑体" w:eastAsia="黑体"/>
          <w:b w:val="0"/>
          <w:bCs w:val="0"/>
          <w:color w:val="auto"/>
          <w:highlight w:val="none"/>
          <w:lang w:val="en-US" w:eastAsia="zh-CN"/>
        </w:rPr>
        <w:t>一、</w:t>
      </w:r>
      <w:r>
        <w:rPr>
          <w:rStyle w:val="18"/>
          <w:rFonts w:hint="eastAsia" w:ascii="黑体" w:hAnsi="黑体" w:eastAsia="黑体"/>
          <w:b w:val="0"/>
          <w:bCs w:val="0"/>
          <w:color w:val="auto"/>
          <w:highlight w:val="none"/>
          <w:lang w:eastAsia="zh-CN"/>
        </w:rPr>
        <w:t>主要职责</w:t>
      </w:r>
      <w:bookmarkEnd w:id="22"/>
      <w:bookmarkEnd w:id="23"/>
    </w:p>
    <w:p>
      <w:pPr>
        <w:pageBreakBefore w:val="0"/>
        <w:widowControl w:val="0"/>
        <w:numPr>
          <w:ilvl w:val="0"/>
          <w:numId w:val="0"/>
        </w:numPr>
        <w:shd w:val="clear"/>
        <w:kinsoku/>
        <w:wordWrap/>
        <w:overflowPunct/>
        <w:topLinePunct w:val="0"/>
        <w:autoSpaceDE/>
        <w:autoSpaceDN/>
        <w:bidi w:val="0"/>
        <w:adjustRightInd/>
        <w:snapToGrid/>
        <w:spacing w:line="576" w:lineRule="exact"/>
        <w:ind w:left="0" w:leftChars="0" w:right="0" w:righ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一</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按照规定权限，履行全民所有土地、矿产、森林、湿地、水等自然资源资产所有者职责和所有国土空间用途管制职责。拟订全市自然资源和国土空间规划地方性法规、政策规章草案，制定有关政策措施并监督检查执行情况。</w:t>
      </w:r>
    </w:p>
    <w:p>
      <w:pPr>
        <w:pageBreakBefore w:val="0"/>
        <w:widowControl w:val="0"/>
        <w:shd w:val="clear"/>
        <w:kinsoku/>
        <w:wordWrap/>
        <w:overflowPunct/>
        <w:topLinePunct w:val="0"/>
        <w:autoSpaceDE/>
        <w:autoSpaceDN/>
        <w:bidi w:val="0"/>
        <w:adjustRightInd/>
        <w:snapToGri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二</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负责全市自然资源调查监测评价。依照自然资源调查监测评价的指标体系和统计标准，建立统一的自然资源调查监测评价制度。实施自然资源基础调查、专项调查和监测。负责自然资源调查监测评价成果的监督管理和信息发布。指导县区自然资源调查监测评价工作。</w:t>
      </w:r>
    </w:p>
    <w:p>
      <w:pPr>
        <w:pageBreakBefore w:val="0"/>
        <w:widowControl w:val="0"/>
        <w:shd w:val="clear"/>
        <w:kinsoku/>
        <w:wordWrap/>
        <w:overflowPunct/>
        <w:topLinePunct w:val="0"/>
        <w:autoSpaceDE/>
        <w:autoSpaceDN/>
        <w:bidi w:val="0"/>
        <w:adjustRightInd/>
        <w:snapToGri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三</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负责全市自然资源统一确权登记工作。组织实施各类自然资源和不动产统一确权登记、权籍调查、不动产测绘、争议、调处、成果应用的制度、标准、规范。建立健全全市自然资源和不动产登记信息管理基础平台。负责自然资源和不动产登记资料收集、整理、共享、汇交管理等。指导监督自然资源和不动产确权登记工作。</w:t>
      </w:r>
    </w:p>
    <w:p>
      <w:pPr>
        <w:pageBreakBefore w:val="0"/>
        <w:widowControl w:val="0"/>
        <w:shd w:val="clear"/>
        <w:kinsoku/>
        <w:wordWrap/>
        <w:overflowPunct/>
        <w:topLinePunct w:val="0"/>
        <w:autoSpaceDE/>
        <w:autoSpaceDN/>
        <w:bidi w:val="0"/>
        <w:adjustRightInd/>
        <w:snapToGri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四</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负责全市自然资源资产有偿使用工作。建立全民所有自然资源资产统计制度，负责全民所有自然资源资产核算。编制全民所有自然资源资产负债表，依照有关标准组织考核。按照规定权限，制定全民所有自然资源资产划拨、出让、租赁、作价出资和土地储备政策，合理配置全民所有自然资源资产。负责自然资源资产价值评估管理，依法收缴相关资产收益。</w:t>
      </w:r>
    </w:p>
    <w:p>
      <w:pPr>
        <w:pageBreakBefore w:val="0"/>
        <w:widowControl w:val="0"/>
        <w:shd w:val="clear"/>
        <w:kinsoku/>
        <w:wordWrap/>
        <w:overflowPunct/>
        <w:topLinePunct w:val="0"/>
        <w:autoSpaceDE/>
        <w:autoSpaceDN/>
        <w:bidi w:val="0"/>
        <w:adjustRightInd/>
        <w:snapToGri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五</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负责全市自然资源的合理开发利用。组织拟订并实施自然资源发展规划和战略，建立政府公示自然资源价格体系，组织开展自然资源分等定级价格评估，开展自然资源利用评价考核，指导节约集约利用。负责自然资源</w:t>
      </w:r>
      <w:r>
        <w:rPr>
          <w:rFonts w:hint="eastAsia" w:ascii="仿宋_GB2312" w:hAnsi="仿宋_GB2312" w:eastAsia="仿宋_GB2312" w:cs="仿宋_GB2312"/>
          <w:color w:val="auto"/>
          <w:sz w:val="32"/>
          <w:szCs w:val="32"/>
          <w:highlight w:val="none"/>
          <w:lang w:eastAsia="zh-CN"/>
        </w:rPr>
        <w:t>市场监管</w:t>
      </w:r>
      <w:r>
        <w:rPr>
          <w:rFonts w:hint="eastAsia" w:ascii="仿宋_GB2312" w:hAnsi="仿宋_GB2312" w:eastAsia="仿宋_GB2312" w:cs="仿宋_GB2312"/>
          <w:color w:val="auto"/>
          <w:sz w:val="32"/>
          <w:szCs w:val="32"/>
          <w:highlight w:val="none"/>
        </w:rPr>
        <w:t>。组织研究自然资源管理涉及宏观调控、区域协调和城乡统筹的政策措施。</w:t>
      </w:r>
    </w:p>
    <w:p>
      <w:pPr>
        <w:pageBreakBefore w:val="0"/>
        <w:widowControl w:val="0"/>
        <w:shd w:val="clear"/>
        <w:kinsoku/>
        <w:wordWrap/>
        <w:overflowPunct/>
        <w:topLinePunct w:val="0"/>
        <w:autoSpaceDE/>
        <w:autoSpaceDN/>
        <w:bidi w:val="0"/>
        <w:adjustRightInd/>
        <w:snapToGri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六</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负责建立全市空间规划体系并监督实施。推进主体功能区战略和制度，组织编制并监督实施国土空间规划和相关专项规划。开展国土空间开发适宜性评价，建立国土空间规划实施监测、评估和预警体系。组织划定生态保护红线、永久基本农田、城镇开发边界等控制线，构建节约资源和保护环境的生产、生活、生态空间布局。建立健全国土空间用途管制制度，研究拟订城乡规划政策并监督实施。组织拟订并实施土地等自然资源年度利用计划。负责土地等国土空间用途转用工作。负责土地征收征用管理。</w:t>
      </w:r>
    </w:p>
    <w:p>
      <w:pPr>
        <w:pageBreakBefore w:val="0"/>
        <w:widowControl w:val="0"/>
        <w:shd w:val="clear"/>
        <w:kinsoku/>
        <w:wordWrap/>
        <w:overflowPunct/>
        <w:topLinePunct w:val="0"/>
        <w:autoSpaceDE/>
        <w:autoSpaceDN/>
        <w:bidi w:val="0"/>
        <w:adjustRightInd/>
        <w:snapToGri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负责统筹全市国土空间生态修复。牵头组织编制全市国土空间生态修复规划并实施有关生态修复重大工程。负责开展国土空间综合整治、土地整理复垦、矿山地质环境恢复治理等工作。牵头建立和实施生态保护补偿制度，制定合理利用社会资金进行生态修复的政策措施，提出重大备选项目。</w:t>
      </w:r>
    </w:p>
    <w:p>
      <w:pPr>
        <w:pageBreakBefore w:val="0"/>
        <w:widowControl w:val="0"/>
        <w:shd w:val="clear"/>
        <w:kinsoku/>
        <w:wordWrap/>
        <w:overflowPunct/>
        <w:topLinePunct w:val="0"/>
        <w:autoSpaceDE/>
        <w:autoSpaceDN/>
        <w:bidi w:val="0"/>
        <w:adjustRightInd/>
        <w:snapToGri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八</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负责组织实施最严格的耕地保护制度。牵头拟订并实施全市耕地保护政策，负责耕地数量、质量、生态保护。组织实施耕地保护责任目标考核和永久基本农田特殊保护。完善耕地占补平衡制度，监督占用耕地补偿制度执行情况。</w:t>
      </w:r>
    </w:p>
    <w:p>
      <w:pPr>
        <w:pageBreakBefore w:val="0"/>
        <w:widowControl w:val="0"/>
        <w:shd w:val="clear"/>
        <w:kinsoku/>
        <w:wordWrap/>
        <w:overflowPunct/>
        <w:topLinePunct w:val="0"/>
        <w:autoSpaceDE/>
        <w:autoSpaceDN/>
        <w:bidi w:val="0"/>
        <w:adjustRightInd/>
        <w:snapToGri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九</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负责管理全市地质勘察和地质工作。拟订全市地质勘查规划并监督检查执行情况。组织实施重大地质矿产勘查专项。负责地质灾害预防和治理，监督管理地下水过量开采及引发的地面沉降等地质问题。负责古生物化石的监督管理。</w:t>
      </w:r>
    </w:p>
    <w:p>
      <w:pPr>
        <w:pageBreakBefore w:val="0"/>
        <w:widowControl w:val="0"/>
        <w:shd w:val="clear"/>
        <w:kinsoku/>
        <w:wordWrap/>
        <w:overflowPunct/>
        <w:topLinePunct w:val="0"/>
        <w:autoSpaceDE/>
        <w:autoSpaceDN/>
        <w:bidi w:val="0"/>
        <w:adjustRightInd/>
        <w:snapToGri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（十）</w:t>
      </w:r>
      <w:r>
        <w:rPr>
          <w:rFonts w:hint="eastAsia" w:ascii="仿宋_GB2312" w:hAnsi="仿宋_GB2312" w:eastAsia="仿宋_GB2312" w:cs="仿宋_GB2312"/>
          <w:color w:val="auto"/>
          <w:sz w:val="32"/>
          <w:szCs w:val="32"/>
          <w:highlight w:val="none"/>
        </w:rPr>
        <w:t>负责落实综合防灾减灾规划相关要求，组织编制并实施地质灾害防治规划。组织、指导、协调和监督地质灾害调查评价及隐患的普查、详查、排查。组织、指导开展群测群防、专业监测和预报预警等工作，组织、指导开展地质灾害工程治理工作。承担地质灾害应急救援的技术保障工作。</w:t>
      </w:r>
    </w:p>
    <w:p>
      <w:pPr>
        <w:pageBreakBefore w:val="0"/>
        <w:widowControl w:val="0"/>
        <w:shd w:val="clear"/>
        <w:kinsoku/>
        <w:wordWrap/>
        <w:overflowPunct/>
        <w:topLinePunct w:val="0"/>
        <w:autoSpaceDE/>
        <w:autoSpaceDN/>
        <w:bidi w:val="0"/>
        <w:adjustRightInd/>
        <w:snapToGri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十一</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负责全市矿产资源管理工作。负责矿产资源储量管理及压覆矿产资源审核报批。负责矿业权管理。会同有关部门承担保护性开采的特定矿种、优势矿产的调控及相关管理工作。监督指导矿产资源合理利用和保护。</w:t>
      </w:r>
    </w:p>
    <w:p>
      <w:pPr>
        <w:pageBreakBefore w:val="0"/>
        <w:widowControl w:val="0"/>
        <w:shd w:val="clear"/>
        <w:kinsoku/>
        <w:wordWrap/>
        <w:overflowPunct/>
        <w:topLinePunct w:val="0"/>
        <w:autoSpaceDE/>
        <w:autoSpaceDN/>
        <w:bidi w:val="0"/>
        <w:adjustRightInd/>
        <w:snapToGri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（十二）</w:t>
      </w:r>
      <w:r>
        <w:rPr>
          <w:rFonts w:hint="eastAsia" w:ascii="仿宋_GB2312" w:hAnsi="仿宋_GB2312" w:eastAsia="仿宋_GB2312" w:cs="仿宋_GB2312"/>
          <w:color w:val="auto"/>
          <w:sz w:val="32"/>
          <w:szCs w:val="32"/>
          <w:highlight w:val="none"/>
        </w:rPr>
        <w:t>推动全市自然资源领域科技发展和对外合作。制定并实施全市自然资源领域科技创新发展和人才培养规划、计划。组织实施重大科技专项及创新能力建设，推进自然资源信息化和信息资料的公共服务。组织开展全市自然资源系统对外交流合作。</w:t>
      </w:r>
    </w:p>
    <w:p>
      <w:pPr>
        <w:pageBreakBefore w:val="0"/>
        <w:widowControl w:val="0"/>
        <w:shd w:val="clear"/>
        <w:kinsoku/>
        <w:wordWrap/>
        <w:overflowPunct/>
        <w:topLinePunct w:val="0"/>
        <w:autoSpaceDE/>
        <w:autoSpaceDN/>
        <w:bidi w:val="0"/>
        <w:adjustRightInd/>
        <w:snapToGri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十三</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配合国家对县区政府落实党中央、国务院关于自然资源和国土空间规划的重大方针政策、决策部署及法律法规执行情况进行督察。按照市委、市政府安排，组织实施自然资源督查相关工作。查处全市自然资源开发利用、国土空间规划等领域重大违法案件。指导县区有关行政执法工作。</w:t>
      </w:r>
    </w:p>
    <w:p>
      <w:pPr>
        <w:pageBreakBefore w:val="0"/>
        <w:widowControl w:val="0"/>
        <w:shd w:val="clear"/>
        <w:kinsoku/>
        <w:wordWrap/>
        <w:overflowPunct/>
        <w:topLinePunct w:val="0"/>
        <w:autoSpaceDE/>
        <w:autoSpaceDN/>
        <w:bidi w:val="0"/>
        <w:adjustRightInd/>
        <w:snapToGri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十四</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负责职责范围内的安全生产和职业健康、生态环境保护、审批服务便民化等工作。</w:t>
      </w:r>
    </w:p>
    <w:p>
      <w:pPr>
        <w:pageBreakBefore w:val="0"/>
        <w:widowControl w:val="0"/>
        <w:shd w:val="clear"/>
        <w:kinsoku/>
        <w:wordWrap/>
        <w:overflowPunct/>
        <w:topLinePunct w:val="0"/>
        <w:autoSpaceDE/>
        <w:autoSpaceDN/>
        <w:bidi w:val="0"/>
        <w:adjustRightInd/>
        <w:snapToGri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十五</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负责测绘地理信息管理。负责基础测绘和测绘行业管理。监督管理全市测绘地理信息安全和市场秩序。负责地理信息公共服务管理和测量标志保护。</w:t>
      </w:r>
    </w:p>
    <w:p>
      <w:pPr>
        <w:pageBreakBefore w:val="0"/>
        <w:widowControl w:val="0"/>
        <w:shd w:val="clear"/>
        <w:kinsoku/>
        <w:wordWrap/>
        <w:overflowPunct/>
        <w:topLinePunct w:val="0"/>
        <w:autoSpaceDE/>
        <w:autoSpaceDN/>
        <w:bidi w:val="0"/>
        <w:adjustRightInd/>
        <w:snapToGri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十六</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统一领导和管理广元市林业局（简称林业局）。</w:t>
      </w:r>
    </w:p>
    <w:p>
      <w:pPr>
        <w:pageBreakBefore w:val="0"/>
        <w:widowControl w:val="0"/>
        <w:shd w:val="clear"/>
        <w:kinsoku/>
        <w:wordWrap/>
        <w:overflowPunct/>
        <w:topLinePunct w:val="0"/>
        <w:autoSpaceDE/>
        <w:autoSpaceDN/>
        <w:bidi w:val="0"/>
        <w:adjustRightInd/>
        <w:snapToGri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十七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完成市委、市政府交办的其他任务。</w:t>
      </w:r>
    </w:p>
    <w:p>
      <w:pPr>
        <w:pageBreakBefore w:val="0"/>
        <w:widowControl w:val="0"/>
        <w:shd w:val="clear"/>
        <w:kinsoku/>
        <w:wordWrap/>
        <w:overflowPunct/>
        <w:topLinePunct w:val="0"/>
        <w:autoSpaceDE/>
        <w:autoSpaceDN/>
        <w:bidi w:val="0"/>
        <w:adjustRightInd/>
        <w:snapToGri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十八）职能转变。落实关于统一行使全民所有自然资源所有者职责，统一行使所有者国土空间用途管制和生态保护修复职责的要求发挥国土空间规划的管控作用，为保护和合理开发利用自然资源提供科学指引。进一步加强自然资源的保护和合理开发利用，建立健全源头保护和全过程修复治理相结合的工作机制，实现整体保护、系统修复、综合治理。创新激励约束并举的制度措施，推进自然资源节约集约利用。进一步精简下放有关行政审批事项、强化监管力度，充分发挥市场对资源配置的决定性作用更好发挥政府作用，强化自然资源管理规则、标准、制度的约束性作用，推进自然资源确权登记和评估的便民高效。</w:t>
      </w:r>
    </w:p>
    <w:p>
      <w:pPr>
        <w:pageBreakBefore w:val="0"/>
        <w:widowControl w:val="0"/>
        <w:shd w:val="clear"/>
        <w:kinsoku/>
        <w:wordWrap/>
        <w:overflowPunct/>
        <w:topLinePunct w:val="0"/>
        <w:autoSpaceDE/>
        <w:autoSpaceDN/>
        <w:bidi w:val="0"/>
        <w:adjustRightInd/>
        <w:snapToGrid/>
        <w:spacing w:line="576" w:lineRule="exact"/>
        <w:ind w:left="0" w:leftChars="0" w:right="0" w:firstLine="640" w:firstLineChars="200"/>
        <w:jc w:val="both"/>
        <w:textAlignment w:val="auto"/>
        <w:outlineLvl w:val="2"/>
        <w:rPr>
          <w:rFonts w:hint="eastAsia" w:ascii="仿宋_GB2312" w:hAnsi="仿宋_GB2312" w:eastAsia="仿宋_GB2312" w:cs="仿宋_GB2312"/>
          <w:color w:val="auto"/>
          <w:sz w:val="32"/>
          <w:szCs w:val="32"/>
          <w:highlight w:val="none"/>
          <w:lang w:val="en-US" w:eastAsia="zh-CN"/>
        </w:rPr>
      </w:pPr>
      <w:bookmarkStart w:id="26" w:name="_Toc25707"/>
      <w:bookmarkStart w:id="27" w:name="_Toc18564"/>
      <w:r>
        <w:rPr>
          <w:rFonts w:hint="eastAsia" w:ascii="仿宋_GB2312" w:hAnsi="仿宋_GB2312" w:eastAsia="仿宋_GB2312" w:cs="仿宋_GB2312"/>
          <w:color w:val="auto"/>
          <w:sz w:val="32"/>
          <w:szCs w:val="32"/>
          <w:highlight w:val="none"/>
          <w:lang w:val="en-US" w:eastAsia="zh-CN"/>
        </w:rPr>
        <w:t>（十九）在自然灾害防救方面的职责分工。</w:t>
      </w:r>
      <w:bookmarkEnd w:id="26"/>
      <w:bookmarkEnd w:id="27"/>
    </w:p>
    <w:p>
      <w:pPr>
        <w:pStyle w:val="4"/>
        <w:pageBreakBefore w:val="0"/>
        <w:numPr>
          <w:ilvl w:val="0"/>
          <w:numId w:val="0"/>
        </w:numPr>
        <w:kinsoku/>
        <w:wordWrap/>
        <w:overflowPunct/>
        <w:topLinePunct w:val="0"/>
        <w:autoSpaceDE/>
        <w:autoSpaceDN/>
        <w:bidi w:val="0"/>
        <w:adjustRightInd/>
        <w:snapToGrid/>
        <w:spacing w:before="0" w:after="0" w:line="576" w:lineRule="exact"/>
        <w:ind w:left="0" w:right="0" w:firstLine="640" w:firstLineChars="200"/>
        <w:textAlignment w:val="auto"/>
        <w:rPr>
          <w:rFonts w:hint="eastAsia" w:ascii="黑体" w:hAnsi="黑体" w:eastAsia="黑体"/>
          <w:b w:val="0"/>
          <w:color w:val="auto"/>
          <w:highlight w:val="none"/>
          <w:lang w:val="en-US" w:eastAsia="zh-CN"/>
        </w:rPr>
      </w:pPr>
      <w:bookmarkStart w:id="28" w:name="_Toc23886"/>
      <w:bookmarkStart w:id="29" w:name="_Toc3379"/>
      <w:r>
        <w:rPr>
          <w:rFonts w:hint="eastAsia" w:ascii="黑体" w:hAnsi="黑体" w:eastAsia="黑体"/>
          <w:b w:val="0"/>
          <w:color w:val="auto"/>
          <w:highlight w:val="none"/>
          <w:lang w:val="en-US" w:eastAsia="zh-CN"/>
        </w:rPr>
        <w:t>二、机构设置</w:t>
      </w:r>
      <w:bookmarkEnd w:id="28"/>
      <w:bookmarkEnd w:id="29"/>
    </w:p>
    <w:bookmarkEnd w:id="24"/>
    <w:bookmarkEnd w:id="25"/>
    <w:p>
      <w:pPr>
        <w:pageBreakBefore w:val="0"/>
        <w:widowControl/>
        <w:kinsoku/>
        <w:wordWrap/>
        <w:overflowPunct/>
        <w:topLinePunct w:val="0"/>
        <w:autoSpaceDE/>
        <w:autoSpaceDN/>
        <w:bidi w:val="0"/>
        <w:adjustRightInd/>
        <w:snapToGrid/>
        <w:spacing w:line="576" w:lineRule="exact"/>
        <w:ind w:left="0" w:right="0" w:firstLine="640" w:firstLineChars="200"/>
        <w:jc w:val="left"/>
        <w:textAlignment w:val="auto"/>
        <w:rPr>
          <w:rFonts w:ascii="仿宋" w:hAnsi="仿宋" w:eastAsia="仿宋"/>
          <w:color w:val="auto"/>
          <w:kern w:val="0"/>
          <w:sz w:val="32"/>
          <w:szCs w:val="32"/>
          <w:highlight w:val="none"/>
        </w:rPr>
      </w:pPr>
      <w:r>
        <w:rPr>
          <w:rFonts w:hint="eastAsia" w:ascii="仿宋_GB2312" w:hAnsi="仿宋_GB2312" w:eastAsia="仿宋_GB2312" w:cs="仿宋_GB2312"/>
          <w:color w:val="auto"/>
          <w:sz w:val="32"/>
          <w:szCs w:val="32"/>
          <w:highlight w:val="none"/>
          <w:lang w:val="en-US" w:eastAsia="zh-CN"/>
        </w:rPr>
        <w:t>纳入广元市自然资源局</w:t>
      </w:r>
      <w:r>
        <w:rPr>
          <w:rFonts w:hint="default" w:ascii="仿宋_GB2312" w:hAnsi="仿宋_GB2312" w:eastAsia="仿宋_GB2312" w:cs="仿宋_GB2312"/>
          <w:color w:val="auto"/>
          <w:sz w:val="32"/>
          <w:szCs w:val="32"/>
          <w:highlight w:val="none"/>
          <w:lang w:eastAsia="zh-CN"/>
        </w:rPr>
        <w:t>（本级）属于广元市自然资源局部门的二级预算单位，为行政单位。</w:t>
      </w:r>
      <w:r>
        <w:rPr>
          <w:rFonts w:hint="eastAsia" w:ascii="仿宋_GB2312" w:hAnsi="仿宋_GB2312" w:eastAsia="仿宋_GB2312" w:cs="仿宋_GB2312"/>
          <w:color w:val="auto"/>
          <w:sz w:val="32"/>
          <w:szCs w:val="32"/>
          <w:highlight w:val="none"/>
          <w:lang w:val="en-US" w:eastAsia="zh-CN"/>
        </w:rPr>
        <w:t>2024年度单位决算编制范围的预算单位包括：广元市自然资源局（本级）。</w:t>
      </w:r>
      <w:r>
        <w:rPr>
          <w:rFonts w:ascii="仿宋" w:hAnsi="仿宋" w:eastAsia="仿宋"/>
          <w:color w:val="auto"/>
          <w:sz w:val="32"/>
          <w:szCs w:val="32"/>
          <w:highlight w:val="none"/>
        </w:rPr>
        <w:br w:type="page"/>
      </w:r>
    </w:p>
    <w:p>
      <w:pPr>
        <w:pStyle w:val="3"/>
        <w:pageBreakBefore w:val="0"/>
        <w:kinsoku/>
        <w:wordWrap/>
        <w:overflowPunct/>
        <w:topLinePunct w:val="0"/>
        <w:bidi w:val="0"/>
        <w:snapToGrid/>
        <w:spacing w:before="0" w:after="0" w:line="576" w:lineRule="exact"/>
        <w:ind w:left="0" w:right="0"/>
        <w:jc w:val="center"/>
        <w:textAlignment w:val="auto"/>
        <w:rPr>
          <w:rStyle w:val="17"/>
          <w:rFonts w:ascii="黑体" w:hAnsi="黑体" w:eastAsia="黑体"/>
          <w:b w:val="0"/>
          <w:bCs/>
          <w:color w:val="auto"/>
          <w:highlight w:val="none"/>
        </w:rPr>
      </w:pPr>
      <w:bookmarkStart w:id="30" w:name="_Toc15396602"/>
      <w:bookmarkStart w:id="31" w:name="_Toc7283"/>
      <w:bookmarkStart w:id="32" w:name="_Toc15377204"/>
      <w:bookmarkStart w:id="33" w:name="_Toc29617"/>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2024年度</w:t>
      </w:r>
      <w:r>
        <w:rPr>
          <w:rStyle w:val="17"/>
          <w:rFonts w:hint="eastAsia" w:ascii="黑体" w:hAnsi="黑体" w:eastAsia="黑体"/>
          <w:b w:val="0"/>
          <w:bCs/>
          <w:color w:val="auto"/>
          <w:highlight w:val="none"/>
          <w:lang w:eastAsia="zh-CN"/>
        </w:rPr>
        <w:t>单位</w:t>
      </w:r>
      <w:r>
        <w:rPr>
          <w:rStyle w:val="17"/>
          <w:rFonts w:hint="eastAsia" w:ascii="黑体" w:hAnsi="黑体" w:eastAsia="黑体"/>
          <w:b w:val="0"/>
          <w:bCs/>
          <w:color w:val="auto"/>
          <w:highlight w:val="none"/>
        </w:rPr>
        <w:t>决算情况说明</w:t>
      </w:r>
      <w:bookmarkEnd w:id="30"/>
      <w:bookmarkEnd w:id="31"/>
      <w:bookmarkEnd w:id="32"/>
      <w:bookmarkEnd w:id="33"/>
    </w:p>
    <w:p>
      <w:pPr>
        <w:pageBreakBefore w:val="0"/>
        <w:kinsoku/>
        <w:wordWrap/>
        <w:overflowPunct/>
        <w:topLinePunct w:val="0"/>
        <w:bidi w:val="0"/>
        <w:snapToGrid/>
        <w:spacing w:line="576" w:lineRule="exact"/>
        <w:ind w:left="0" w:right="0"/>
        <w:textAlignment w:val="auto"/>
        <w:rPr>
          <w:color w:val="auto"/>
          <w:highlight w:val="none"/>
        </w:rPr>
      </w:pPr>
    </w:p>
    <w:p>
      <w:pPr>
        <w:pStyle w:val="27"/>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right="0" w:rightChars="0" w:firstLine="640" w:firstLineChars="200"/>
        <w:jc w:val="both"/>
        <w:textAlignment w:val="auto"/>
        <w:outlineLvl w:val="1"/>
        <w:rPr>
          <w:rFonts w:hint="eastAsia" w:ascii="黑体" w:hAnsi="黑体" w:eastAsia="黑体"/>
          <w:color w:val="auto"/>
          <w:sz w:val="32"/>
          <w:szCs w:val="32"/>
          <w:highlight w:val="none"/>
          <w:lang w:eastAsia="zh-CN"/>
        </w:rPr>
      </w:pPr>
      <w:bookmarkStart w:id="34" w:name="_Toc15377205"/>
      <w:bookmarkStart w:id="35" w:name="_Toc6582"/>
      <w:bookmarkStart w:id="36" w:name="_Toc15396603"/>
      <w:bookmarkStart w:id="37" w:name="_Toc30662"/>
      <w:r>
        <w:rPr>
          <w:rFonts w:hint="eastAsia" w:ascii="黑体" w:hAnsi="黑体" w:eastAsia="黑体"/>
          <w:color w:val="auto"/>
          <w:sz w:val="32"/>
          <w:szCs w:val="32"/>
          <w:highlight w:val="none"/>
          <w:lang w:eastAsia="zh-CN"/>
        </w:rPr>
        <w:t>一、收入支出决算总体情况说明</w:t>
      </w:r>
      <w:bookmarkEnd w:id="34"/>
      <w:bookmarkEnd w:id="35"/>
      <w:bookmarkEnd w:id="36"/>
      <w:bookmarkEnd w:id="37"/>
    </w:p>
    <w:p>
      <w:pPr>
        <w:keepNext w:val="0"/>
        <w:keepLines w:val="0"/>
        <w:pageBreakBefore w:val="0"/>
        <w:widowControl w:val="0"/>
        <w:shd w:val="clear"/>
        <w:kinsoku/>
        <w:wordWrap/>
        <w:overflowPunct/>
        <w:topLinePunct w:val="0"/>
        <w:bidi w:val="0"/>
        <w:snapToGri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rPr>
        <w:t>年度收、支总计</w:t>
      </w:r>
      <w:r>
        <w:rPr>
          <w:rFonts w:hint="eastAsia" w:ascii="仿宋_GB2312" w:hAnsi="仿宋_GB2312" w:eastAsia="仿宋_GB2312" w:cs="仿宋_GB2312"/>
          <w:color w:val="auto"/>
          <w:sz w:val="32"/>
          <w:szCs w:val="32"/>
          <w:highlight w:val="none"/>
          <w:lang w:val="en-US" w:eastAsia="zh-CN"/>
        </w:rPr>
        <w:t>均为13466.24</w:t>
      </w:r>
      <w:r>
        <w:rPr>
          <w:rFonts w:hint="eastAsia" w:ascii="仿宋_GB2312" w:hAnsi="仿宋_GB2312" w:eastAsia="仿宋_GB2312" w:cs="仿宋_GB2312"/>
          <w:color w:val="auto"/>
          <w:sz w:val="32"/>
          <w:szCs w:val="32"/>
          <w:highlight w:val="none"/>
        </w:rPr>
        <w:t>万元。与20</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rPr>
        <w:t>年相比，收、支总计各</w:t>
      </w:r>
      <w:r>
        <w:rPr>
          <w:rFonts w:hint="eastAsia" w:ascii="仿宋_GB2312" w:hAnsi="仿宋_GB2312" w:eastAsia="仿宋_GB2312" w:cs="仿宋_GB2312"/>
          <w:color w:val="auto"/>
          <w:sz w:val="32"/>
          <w:szCs w:val="32"/>
          <w:highlight w:val="none"/>
          <w:lang w:val="en-US" w:eastAsia="zh-CN"/>
        </w:rPr>
        <w:t>增加3532.19</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val="en-US" w:eastAsia="zh-CN"/>
        </w:rPr>
        <w:t>增长35.56</w:t>
      </w:r>
      <w:r>
        <w:rPr>
          <w:rFonts w:hint="eastAsia" w:ascii="仿宋_GB2312" w:hAnsi="仿宋_GB2312" w:eastAsia="仿宋_GB2312" w:cs="仿宋_GB2312"/>
          <w:color w:val="auto"/>
          <w:sz w:val="32"/>
          <w:szCs w:val="32"/>
          <w:highlight w:val="none"/>
        </w:rPr>
        <w:t>%。主要变动原因</w:t>
      </w:r>
      <w:r>
        <w:rPr>
          <w:rFonts w:hint="eastAsia" w:ascii="仿宋_GB2312" w:hAnsi="仿宋_GB2312" w:eastAsia="仿宋_GB2312" w:cs="仿宋_GB2312"/>
          <w:color w:val="auto"/>
          <w:sz w:val="32"/>
          <w:szCs w:val="32"/>
          <w:highlight w:val="none"/>
          <w:lang w:val="en-US" w:eastAsia="zh-CN"/>
        </w:rPr>
        <w:t>是本年度基金预算拨款增加。</w:t>
      </w:r>
    </w:p>
    <w:p>
      <w:pPr>
        <w:pStyle w:val="6"/>
        <w:rPr>
          <w:rFonts w:hint="eastAsia"/>
          <w:lang w:val="en-US" w:eastAsia="zh-CN"/>
        </w:rPr>
      </w:pPr>
      <w:r>
        <w:drawing>
          <wp:inline distT="0" distB="0" distL="114300" distR="114300">
            <wp:extent cx="5321300" cy="2743200"/>
            <wp:effectExtent l="4445" t="4445" r="8255" b="14605"/>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keepNext w:val="0"/>
        <w:keepLines w:val="0"/>
        <w:pageBreakBefore w:val="0"/>
        <w:widowControl w:val="0"/>
        <w:kinsoku/>
        <w:wordWrap/>
        <w:overflowPunct/>
        <w:topLinePunct w:val="0"/>
        <w:bidi w:val="0"/>
        <w:snapToGrid/>
        <w:spacing w:line="576" w:lineRule="exact"/>
        <w:ind w:left="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（图1：收、支决算总计变动情况图）（柱状图）</w:t>
      </w:r>
    </w:p>
    <w:p>
      <w:pPr>
        <w:pStyle w:val="27"/>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right="0" w:rightChars="0" w:firstLine="640" w:firstLineChars="200"/>
        <w:jc w:val="both"/>
        <w:textAlignment w:val="auto"/>
        <w:outlineLvl w:val="1"/>
        <w:rPr>
          <w:rFonts w:hint="eastAsia" w:ascii="黑体" w:hAnsi="黑体" w:eastAsia="黑体"/>
          <w:color w:val="auto"/>
          <w:sz w:val="32"/>
          <w:szCs w:val="32"/>
          <w:highlight w:val="none"/>
          <w:lang w:eastAsia="zh-CN"/>
        </w:rPr>
      </w:pPr>
      <w:bookmarkStart w:id="38" w:name="_Toc15396604"/>
      <w:bookmarkStart w:id="39" w:name="_Toc15377206"/>
      <w:bookmarkStart w:id="40" w:name="_Toc26330"/>
      <w:bookmarkStart w:id="41" w:name="_Toc25471"/>
      <w:r>
        <w:rPr>
          <w:rFonts w:hint="eastAsia" w:ascii="黑体" w:hAnsi="黑体" w:eastAsia="黑体"/>
          <w:color w:val="auto"/>
          <w:sz w:val="32"/>
          <w:szCs w:val="32"/>
          <w:highlight w:val="none"/>
          <w:lang w:eastAsia="zh-CN"/>
        </w:rPr>
        <w:t>二、收入决算情况说明</w:t>
      </w:r>
      <w:bookmarkEnd w:id="38"/>
      <w:bookmarkEnd w:id="39"/>
      <w:bookmarkEnd w:id="40"/>
      <w:bookmarkEnd w:id="41"/>
    </w:p>
    <w:p>
      <w:pPr>
        <w:keepNext w:val="0"/>
        <w:keepLines w:val="0"/>
        <w:pageBreakBefore w:val="0"/>
        <w:widowControl w:val="0"/>
        <w:shd w:val="clear"/>
        <w:kinsoku/>
        <w:wordWrap/>
        <w:overflowPunct/>
        <w:topLinePunct w:val="0"/>
        <w:bidi w:val="0"/>
        <w:snapToGri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rPr>
        <w:t>年本年收入合计</w:t>
      </w:r>
      <w:r>
        <w:rPr>
          <w:rFonts w:hint="eastAsia" w:ascii="仿宋_GB2312" w:hAnsi="仿宋_GB2312" w:eastAsia="仿宋_GB2312" w:cs="仿宋_GB2312"/>
          <w:color w:val="auto"/>
          <w:sz w:val="32"/>
          <w:szCs w:val="32"/>
          <w:highlight w:val="none"/>
          <w:lang w:val="en-US" w:eastAsia="zh-CN"/>
        </w:rPr>
        <w:t>13466.24</w:t>
      </w:r>
      <w:r>
        <w:rPr>
          <w:rFonts w:hint="eastAsia" w:ascii="仿宋_GB2312" w:hAnsi="仿宋_GB2312" w:eastAsia="仿宋_GB2312" w:cs="仿宋_GB2312"/>
          <w:color w:val="auto"/>
          <w:sz w:val="32"/>
          <w:szCs w:val="32"/>
          <w:highlight w:val="none"/>
        </w:rPr>
        <w:t>万元，其中：一般公共预算财政拨款收入</w:t>
      </w:r>
      <w:r>
        <w:rPr>
          <w:rFonts w:hint="eastAsia" w:ascii="仿宋_GB2312" w:hAnsi="仿宋_GB2312" w:eastAsia="仿宋_GB2312" w:cs="仿宋_GB2312"/>
          <w:color w:val="auto"/>
          <w:sz w:val="32"/>
          <w:szCs w:val="32"/>
          <w:highlight w:val="none"/>
          <w:lang w:val="en-US" w:eastAsia="zh-CN"/>
        </w:rPr>
        <w:t>2338.43</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17.37</w:t>
      </w:r>
      <w:r>
        <w:rPr>
          <w:rFonts w:hint="eastAsia" w:ascii="仿宋_GB2312" w:hAnsi="仿宋_GB2312" w:eastAsia="仿宋_GB2312" w:cs="仿宋_GB2312"/>
          <w:color w:val="auto"/>
          <w:sz w:val="32"/>
          <w:szCs w:val="32"/>
          <w:highlight w:val="none"/>
        </w:rPr>
        <w:t>%；政府性基金预算财政拨款收入</w:t>
      </w:r>
      <w:r>
        <w:rPr>
          <w:rFonts w:hint="eastAsia" w:ascii="仿宋_GB2312" w:hAnsi="仿宋_GB2312" w:eastAsia="仿宋_GB2312" w:cs="仿宋_GB2312"/>
          <w:color w:val="auto"/>
          <w:sz w:val="32"/>
          <w:szCs w:val="32"/>
          <w:highlight w:val="none"/>
          <w:lang w:val="en-US" w:eastAsia="zh-CN"/>
        </w:rPr>
        <w:t>11127.8</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82.63</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shd w:val="clear"/>
        <w:kinsoku/>
        <w:wordWrap/>
        <w:overflowPunct/>
        <w:topLinePunct w:val="0"/>
        <w:autoSpaceDE/>
        <w:autoSpaceDN/>
        <w:bidi w:val="0"/>
        <w:adjustRightInd/>
        <w:snapToGrid/>
        <w:spacing w:line="240" w:lineRule="auto"/>
        <w:ind w:left="0" w:leftChars="0" w:right="0" w:firstLine="420" w:firstLineChars="200"/>
        <w:jc w:val="both"/>
        <w:textAlignment w:val="auto"/>
      </w:pPr>
      <w:r>
        <w:drawing>
          <wp:inline distT="0" distB="0" distL="114300" distR="114300">
            <wp:extent cx="4828540" cy="2743200"/>
            <wp:effectExtent l="4445" t="4445" r="5715" b="14605"/>
            <wp:docPr id="4" name="图表 1" descr="7b0a202020202263686172745265734964223a20223230343736303937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keepNext w:val="0"/>
        <w:keepLines w:val="0"/>
        <w:pageBreakBefore w:val="0"/>
        <w:widowControl w:val="0"/>
        <w:shd w:val="clear"/>
        <w:kinsoku/>
        <w:wordWrap/>
        <w:overflowPunct/>
        <w:topLinePunct w:val="0"/>
        <w:bidi w:val="0"/>
        <w:snapToGri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（图2：收入决算结构图）（饼状图）</w:t>
      </w:r>
    </w:p>
    <w:p>
      <w:pPr>
        <w:pStyle w:val="27"/>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right="0" w:rightChars="0" w:firstLine="640" w:firstLineChars="200"/>
        <w:jc w:val="both"/>
        <w:textAlignment w:val="auto"/>
        <w:outlineLvl w:val="1"/>
        <w:rPr>
          <w:rFonts w:hint="eastAsia" w:ascii="黑体" w:hAnsi="黑体" w:eastAsia="黑体"/>
          <w:color w:val="auto"/>
          <w:sz w:val="32"/>
          <w:szCs w:val="32"/>
          <w:highlight w:val="none"/>
          <w:lang w:eastAsia="zh-CN"/>
        </w:rPr>
      </w:pPr>
      <w:bookmarkStart w:id="42" w:name="_Toc15377207"/>
      <w:bookmarkStart w:id="43" w:name="_Toc25204"/>
      <w:bookmarkStart w:id="44" w:name="_Toc15396605"/>
      <w:bookmarkStart w:id="45" w:name="_Toc7878"/>
      <w:r>
        <w:rPr>
          <w:rFonts w:hint="eastAsia" w:ascii="黑体" w:hAnsi="黑体" w:eastAsia="黑体"/>
          <w:color w:val="auto"/>
          <w:sz w:val="32"/>
          <w:szCs w:val="32"/>
          <w:highlight w:val="none"/>
          <w:lang w:eastAsia="zh-CN"/>
        </w:rPr>
        <w:t>三、支出决算情况说明</w:t>
      </w:r>
      <w:bookmarkEnd w:id="42"/>
      <w:bookmarkEnd w:id="43"/>
      <w:bookmarkEnd w:id="44"/>
      <w:bookmarkEnd w:id="45"/>
    </w:p>
    <w:p>
      <w:pPr>
        <w:keepNext w:val="0"/>
        <w:keepLines w:val="0"/>
        <w:pageBreakBefore w:val="0"/>
        <w:widowControl w:val="0"/>
        <w:shd w:val="clear"/>
        <w:kinsoku/>
        <w:wordWrap/>
        <w:overflowPunct/>
        <w:topLinePunct w:val="0"/>
        <w:bidi w:val="0"/>
        <w:snapToGri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rPr>
        <w:t>年本年支出合计</w:t>
      </w:r>
      <w:r>
        <w:rPr>
          <w:rFonts w:hint="eastAsia" w:ascii="仿宋_GB2312" w:hAnsi="仿宋_GB2312" w:eastAsia="仿宋_GB2312" w:cs="仿宋_GB2312"/>
          <w:color w:val="auto"/>
          <w:sz w:val="32"/>
          <w:szCs w:val="32"/>
          <w:highlight w:val="none"/>
          <w:lang w:val="en-US" w:eastAsia="zh-CN"/>
        </w:rPr>
        <w:t>13466.24</w:t>
      </w:r>
      <w:r>
        <w:rPr>
          <w:rFonts w:hint="eastAsia" w:ascii="仿宋_GB2312" w:hAnsi="仿宋_GB2312" w:eastAsia="仿宋_GB2312" w:cs="仿宋_GB2312"/>
          <w:color w:val="auto"/>
          <w:sz w:val="32"/>
          <w:szCs w:val="32"/>
          <w:highlight w:val="none"/>
        </w:rPr>
        <w:t>万元，其中：基本支出</w:t>
      </w:r>
      <w:r>
        <w:rPr>
          <w:rFonts w:hint="eastAsia" w:ascii="仿宋_GB2312" w:hAnsi="仿宋_GB2312" w:eastAsia="仿宋_GB2312" w:cs="仿宋_GB2312"/>
          <w:color w:val="auto"/>
          <w:sz w:val="32"/>
          <w:szCs w:val="32"/>
          <w:highlight w:val="none"/>
          <w:lang w:val="en-US" w:eastAsia="zh-CN"/>
        </w:rPr>
        <w:t>1742.07</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12.93</w:t>
      </w:r>
      <w:r>
        <w:rPr>
          <w:rFonts w:hint="eastAsia" w:ascii="仿宋_GB2312" w:hAnsi="仿宋_GB2312" w:eastAsia="仿宋_GB2312" w:cs="仿宋_GB2312"/>
          <w:color w:val="auto"/>
          <w:sz w:val="32"/>
          <w:szCs w:val="32"/>
          <w:highlight w:val="none"/>
        </w:rPr>
        <w:t>%；项目支出</w:t>
      </w:r>
      <w:r>
        <w:rPr>
          <w:rFonts w:hint="eastAsia" w:ascii="仿宋_GB2312" w:hAnsi="仿宋_GB2312" w:eastAsia="仿宋_GB2312" w:cs="仿宋_GB2312"/>
          <w:color w:val="auto"/>
          <w:sz w:val="32"/>
          <w:szCs w:val="32"/>
          <w:highlight w:val="none"/>
          <w:lang w:val="en-US" w:eastAsia="zh-CN"/>
        </w:rPr>
        <w:t>11724.17</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87.06</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p>
    <w:p>
      <w:pPr>
        <w:pStyle w:val="6"/>
        <w:rPr>
          <w:rFonts w:hint="eastAsia"/>
        </w:rPr>
      </w:pPr>
      <w:r>
        <w:drawing>
          <wp:inline distT="0" distB="0" distL="114300" distR="114300">
            <wp:extent cx="4828540" cy="2743200"/>
            <wp:effectExtent l="4445" t="4445" r="5715" b="14605"/>
            <wp:docPr id="5" name="图表 3" descr="7b0a202020202263686172745265734964223a20223230343736303937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outlineLvl w:val="9"/>
        <w:rPr>
          <w:rFonts w:ascii="仿宋" w:hAnsi="仿宋" w:eastAsia="仿宋"/>
          <w:b/>
          <w:color w:val="auto"/>
          <w:sz w:val="32"/>
          <w:szCs w:val="32"/>
          <w:highlight w:val="none"/>
        </w:rPr>
      </w:pPr>
    </w:p>
    <w:p>
      <w:pPr>
        <w:keepNext w:val="0"/>
        <w:keepLines w:val="0"/>
        <w:pageBreakBefore w:val="0"/>
        <w:widowControl w:val="0"/>
        <w:shd w:val="clear"/>
        <w:kinsoku/>
        <w:wordWrap/>
        <w:overflowPunct/>
        <w:topLinePunct w:val="0"/>
        <w:bidi w:val="0"/>
        <w:snapToGri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（图3：支出决算结构图）（饼状图）</w:t>
      </w:r>
    </w:p>
    <w:p>
      <w:pPr>
        <w:pStyle w:val="27"/>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right="0" w:rightChars="0" w:firstLine="640" w:firstLineChars="200"/>
        <w:jc w:val="both"/>
        <w:textAlignment w:val="auto"/>
        <w:outlineLvl w:val="1"/>
        <w:rPr>
          <w:rFonts w:hint="eastAsia" w:ascii="黑体" w:hAnsi="黑体" w:eastAsia="黑体"/>
          <w:color w:val="auto"/>
          <w:sz w:val="32"/>
          <w:szCs w:val="32"/>
          <w:highlight w:val="none"/>
          <w:lang w:eastAsia="zh-CN"/>
        </w:rPr>
      </w:pPr>
      <w:bookmarkStart w:id="46" w:name="_Toc15396606"/>
      <w:bookmarkStart w:id="47" w:name="_Toc20295"/>
      <w:bookmarkStart w:id="48" w:name="_Toc15377208"/>
      <w:bookmarkStart w:id="49" w:name="_Toc16935"/>
      <w:r>
        <w:rPr>
          <w:rFonts w:hint="eastAsia" w:ascii="黑体" w:hAnsi="黑体" w:eastAsia="黑体"/>
          <w:color w:val="auto"/>
          <w:sz w:val="32"/>
          <w:szCs w:val="32"/>
          <w:highlight w:val="none"/>
          <w:lang w:eastAsia="zh-CN"/>
        </w:rPr>
        <w:t>四、财政拨款收入支出决算总体情况说明</w:t>
      </w:r>
      <w:bookmarkEnd w:id="46"/>
      <w:bookmarkEnd w:id="47"/>
      <w:bookmarkEnd w:id="48"/>
      <w:bookmarkEnd w:id="49"/>
    </w:p>
    <w:p>
      <w:pPr>
        <w:keepNext w:val="0"/>
        <w:keepLines w:val="0"/>
        <w:pageBreakBefore w:val="0"/>
        <w:widowControl w:val="0"/>
        <w:shd w:val="clear"/>
        <w:kinsoku/>
        <w:wordWrap/>
        <w:overflowPunct/>
        <w:topLinePunct w:val="0"/>
        <w:bidi w:val="0"/>
        <w:snapToGri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rPr>
        <w:t>年财政拨款收、支总计</w:t>
      </w:r>
      <w:r>
        <w:rPr>
          <w:rFonts w:hint="eastAsia" w:ascii="仿宋_GB2312" w:hAnsi="仿宋_GB2312" w:eastAsia="仿宋_GB2312" w:cs="仿宋_GB2312"/>
          <w:color w:val="auto"/>
          <w:sz w:val="32"/>
          <w:szCs w:val="32"/>
          <w:highlight w:val="none"/>
          <w:lang w:val="en-US" w:eastAsia="zh-CN"/>
        </w:rPr>
        <w:t>均为13466.24</w:t>
      </w:r>
      <w:r>
        <w:rPr>
          <w:rFonts w:hint="eastAsia" w:ascii="仿宋_GB2312" w:hAnsi="仿宋_GB2312" w:eastAsia="仿宋_GB2312" w:cs="仿宋_GB2312"/>
          <w:color w:val="auto"/>
          <w:sz w:val="32"/>
          <w:szCs w:val="32"/>
          <w:highlight w:val="none"/>
        </w:rPr>
        <w:t>万元。与20</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rPr>
        <w:t>年相比，财政拨款收、支总计</w:t>
      </w:r>
      <w:r>
        <w:rPr>
          <w:rFonts w:hint="eastAsia" w:ascii="仿宋_GB2312" w:hAnsi="仿宋_GB2312" w:eastAsia="仿宋_GB2312" w:cs="仿宋_GB2312"/>
          <w:color w:val="auto"/>
          <w:sz w:val="32"/>
          <w:szCs w:val="32"/>
          <w:highlight w:val="none"/>
          <w:lang w:val="en-US" w:eastAsia="zh-CN"/>
        </w:rPr>
        <w:t>增加3532.19</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val="en-US" w:eastAsia="zh-CN"/>
        </w:rPr>
        <w:t>增长35.36</w:t>
      </w:r>
      <w:r>
        <w:rPr>
          <w:rFonts w:hint="eastAsia" w:ascii="仿宋_GB2312" w:hAnsi="仿宋_GB2312" w:eastAsia="仿宋_GB2312" w:cs="仿宋_GB2312"/>
          <w:color w:val="auto"/>
          <w:sz w:val="32"/>
          <w:szCs w:val="32"/>
          <w:highlight w:val="none"/>
        </w:rPr>
        <w:t>%。主要变动原因是</w:t>
      </w:r>
      <w:r>
        <w:rPr>
          <w:rFonts w:hint="eastAsia" w:ascii="仿宋_GB2312" w:hAnsi="仿宋_GB2312" w:eastAsia="仿宋_GB2312" w:cs="仿宋_GB2312"/>
          <w:color w:val="auto"/>
          <w:sz w:val="32"/>
          <w:szCs w:val="32"/>
          <w:highlight w:val="none"/>
          <w:lang w:val="en-US" w:eastAsia="zh-CN"/>
        </w:rPr>
        <w:t>本年度基金预算拨款增加。</w:t>
      </w:r>
    </w:p>
    <w:p>
      <w:pPr>
        <w:pStyle w:val="6"/>
        <w:rPr>
          <w:rFonts w:hint="default"/>
          <w:lang w:val="en-US" w:eastAsia="zh-CN"/>
        </w:rPr>
      </w:pPr>
      <w:r>
        <w:drawing>
          <wp:inline distT="0" distB="0" distL="114300" distR="114300">
            <wp:extent cx="4828540" cy="2743200"/>
            <wp:effectExtent l="4445" t="4445" r="5715" b="14605"/>
            <wp:docPr id="7"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keepNext w:val="0"/>
        <w:keepLines w:val="0"/>
        <w:pageBreakBefore w:val="0"/>
        <w:widowControl w:val="0"/>
        <w:kinsoku/>
        <w:wordWrap/>
        <w:overflowPunct/>
        <w:topLinePunct w:val="0"/>
        <w:bidi w:val="0"/>
        <w:snapToGrid/>
        <w:spacing w:line="576" w:lineRule="exact"/>
        <w:ind w:left="0" w:right="0" w:firstLine="640" w:firstLineChars="200"/>
        <w:jc w:val="both"/>
        <w:textAlignment w:val="auto"/>
        <w:rPr>
          <w:rFonts w:ascii="仿宋" w:hAnsi="仿宋" w:eastAsia="仿宋"/>
          <w:b/>
          <w:color w:val="auto"/>
          <w:sz w:val="32"/>
          <w:szCs w:val="32"/>
          <w:highlight w:val="none"/>
        </w:rPr>
      </w:pPr>
      <w:r>
        <w:rPr>
          <w:rFonts w:hint="eastAsia" w:ascii="仿宋" w:hAnsi="仿宋" w:eastAsia="仿宋"/>
          <w:color w:val="auto"/>
          <w:sz w:val="32"/>
          <w:szCs w:val="32"/>
          <w:highlight w:val="none"/>
        </w:rPr>
        <w:t>（图4：财政拨款收、支决算总计变动情况）（柱状图）</w:t>
      </w:r>
    </w:p>
    <w:p>
      <w:pPr>
        <w:keepNext w:val="0"/>
        <w:keepLines w:val="0"/>
        <w:pageBreakBefore w:val="0"/>
        <w:widowControl w:val="0"/>
        <w:kinsoku/>
        <w:wordWrap/>
        <w:overflowPunct/>
        <w:topLinePunct w:val="0"/>
        <w:bidi w:val="0"/>
        <w:snapToGrid/>
        <w:spacing w:line="576" w:lineRule="exact"/>
        <w:ind w:left="0" w:right="0" w:firstLine="640" w:firstLineChars="200"/>
        <w:jc w:val="both"/>
        <w:textAlignment w:val="auto"/>
        <w:outlineLvl w:val="1"/>
        <w:rPr>
          <w:rStyle w:val="18"/>
          <w:rFonts w:ascii="黑体" w:hAnsi="黑体" w:eastAsia="黑体"/>
          <w:b w:val="0"/>
          <w:color w:val="auto"/>
          <w:highlight w:val="none"/>
        </w:rPr>
      </w:pPr>
      <w:bookmarkStart w:id="50" w:name="_Toc26216"/>
      <w:bookmarkStart w:id="51" w:name="_Toc15377209"/>
      <w:bookmarkStart w:id="52" w:name="_Toc31785"/>
      <w:bookmarkStart w:id="53" w:name="_Toc15106"/>
      <w:bookmarkStart w:id="54" w:name="_Toc15396607"/>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18"/>
          <w:rFonts w:hint="eastAsia" w:ascii="黑体" w:hAnsi="黑体" w:eastAsia="黑体"/>
          <w:b w:val="0"/>
          <w:color w:val="auto"/>
          <w:highlight w:val="none"/>
        </w:rPr>
        <w:t>般公共预算财政拨款支出决算情况说明</w:t>
      </w:r>
      <w:bookmarkEnd w:id="50"/>
      <w:bookmarkEnd w:id="51"/>
      <w:bookmarkEnd w:id="52"/>
      <w:bookmarkEnd w:id="53"/>
      <w:bookmarkEnd w:id="54"/>
    </w:p>
    <w:p>
      <w:pPr>
        <w:keepNext w:val="0"/>
        <w:keepLines w:val="0"/>
        <w:pageBreakBefore w:val="0"/>
        <w:widowControl w:val="0"/>
        <w:kinsoku/>
        <w:wordWrap/>
        <w:overflowPunct/>
        <w:topLinePunct w:val="0"/>
        <w:bidi w:val="0"/>
        <w:snapToGrid/>
        <w:spacing w:line="576" w:lineRule="exact"/>
        <w:ind w:left="0" w:right="0" w:firstLine="642" w:firstLineChars="200"/>
        <w:jc w:val="both"/>
        <w:textAlignment w:val="auto"/>
        <w:outlineLvl w:val="2"/>
        <w:rPr>
          <w:rFonts w:ascii="仿宋" w:hAnsi="仿宋" w:eastAsia="仿宋"/>
          <w:b/>
          <w:color w:val="auto"/>
          <w:sz w:val="32"/>
          <w:szCs w:val="32"/>
          <w:highlight w:val="none"/>
        </w:rPr>
      </w:pPr>
      <w:bookmarkStart w:id="55" w:name="_Toc18976"/>
      <w:bookmarkStart w:id="56" w:name="_Toc21666"/>
      <w:bookmarkStart w:id="57" w:name="_Toc15377210"/>
      <w:r>
        <w:rPr>
          <w:rFonts w:hint="eastAsia" w:ascii="仿宋" w:hAnsi="仿宋" w:eastAsia="仿宋"/>
          <w:b/>
          <w:color w:val="auto"/>
          <w:sz w:val="32"/>
          <w:szCs w:val="32"/>
          <w:highlight w:val="none"/>
        </w:rPr>
        <w:t>（一）一般公共预算财政拨款支出决算总体情况</w:t>
      </w:r>
      <w:bookmarkEnd w:id="55"/>
      <w:bookmarkEnd w:id="56"/>
      <w:bookmarkEnd w:id="57"/>
    </w:p>
    <w:p>
      <w:pPr>
        <w:keepNext w:val="0"/>
        <w:keepLines w:val="0"/>
        <w:pageBreakBefore w:val="0"/>
        <w:widowControl w:val="0"/>
        <w:shd w:val="clear"/>
        <w:kinsoku/>
        <w:wordWrap/>
        <w:overflowPunct/>
        <w:topLinePunct w:val="0"/>
        <w:bidi w:val="0"/>
        <w:snapToGrid/>
        <w:spacing w:line="576" w:lineRule="exact"/>
        <w:ind w:left="0" w:leftChars="0" w:right="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rPr>
        <w:t>年一般公共预算财政拨款支出</w:t>
      </w:r>
      <w:r>
        <w:rPr>
          <w:rFonts w:hint="eastAsia" w:ascii="仿宋_GB2312" w:hAnsi="仿宋_GB2312" w:eastAsia="仿宋_GB2312" w:cs="仿宋_GB2312"/>
          <w:color w:val="auto"/>
          <w:sz w:val="32"/>
          <w:szCs w:val="32"/>
          <w:highlight w:val="none"/>
          <w:lang w:val="en-US" w:eastAsia="zh-CN"/>
        </w:rPr>
        <w:t>2338.43</w:t>
      </w:r>
      <w:r>
        <w:rPr>
          <w:rFonts w:hint="eastAsia" w:ascii="仿宋_GB2312" w:hAnsi="仿宋_GB2312" w:eastAsia="仿宋_GB2312" w:cs="仿宋_GB2312"/>
          <w:color w:val="auto"/>
          <w:sz w:val="32"/>
          <w:szCs w:val="32"/>
          <w:highlight w:val="none"/>
        </w:rPr>
        <w:t>万元，占本年支出合计的</w:t>
      </w:r>
      <w:r>
        <w:rPr>
          <w:rFonts w:hint="eastAsia" w:ascii="仿宋_GB2312" w:hAnsi="仿宋_GB2312" w:eastAsia="仿宋_GB2312" w:cs="仿宋_GB2312"/>
          <w:color w:val="auto"/>
          <w:sz w:val="32"/>
          <w:szCs w:val="32"/>
          <w:highlight w:val="none"/>
          <w:lang w:val="en-US" w:eastAsia="zh-CN"/>
        </w:rPr>
        <w:t>17.36</w:t>
      </w:r>
      <w:r>
        <w:rPr>
          <w:rFonts w:hint="eastAsia" w:ascii="仿宋_GB2312" w:hAnsi="仿宋_GB2312" w:eastAsia="仿宋_GB2312" w:cs="仿宋_GB2312"/>
          <w:color w:val="auto"/>
          <w:sz w:val="32"/>
          <w:szCs w:val="32"/>
          <w:highlight w:val="none"/>
        </w:rPr>
        <w:t>%。与20</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rPr>
        <w:t>年相比，一般公共预算财政拨款</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rPr>
        <w:t>增</w:t>
      </w:r>
      <w:r>
        <w:rPr>
          <w:rFonts w:hint="eastAsia" w:ascii="仿宋_GB2312" w:hAnsi="仿宋_GB2312" w:eastAsia="仿宋_GB2312" w:cs="仿宋_GB2312"/>
          <w:color w:val="auto"/>
          <w:sz w:val="32"/>
          <w:szCs w:val="32"/>
          <w:highlight w:val="none"/>
          <w:lang w:val="en-US" w:eastAsia="zh-CN"/>
        </w:rPr>
        <w:t>加126.44</w:t>
      </w:r>
      <w:r>
        <w:rPr>
          <w:rFonts w:hint="eastAsia" w:ascii="仿宋_GB2312" w:hAnsi="仿宋_GB2312" w:eastAsia="仿宋_GB2312" w:cs="仿宋_GB2312"/>
          <w:color w:val="auto"/>
          <w:sz w:val="32"/>
          <w:szCs w:val="32"/>
          <w:highlight w:val="none"/>
        </w:rPr>
        <w:t>万元，增长</w:t>
      </w:r>
      <w:r>
        <w:rPr>
          <w:rFonts w:hint="eastAsia" w:ascii="仿宋_GB2312" w:hAnsi="仿宋_GB2312" w:eastAsia="仿宋_GB2312" w:cs="仿宋_GB2312"/>
          <w:color w:val="auto"/>
          <w:sz w:val="32"/>
          <w:szCs w:val="32"/>
          <w:highlight w:val="none"/>
          <w:lang w:val="en-US" w:eastAsia="zh-CN"/>
        </w:rPr>
        <w:t>5.7</w:t>
      </w:r>
      <w:r>
        <w:rPr>
          <w:rFonts w:hint="eastAsia" w:ascii="仿宋_GB2312" w:hAnsi="仿宋_GB2312" w:eastAsia="仿宋_GB2312" w:cs="仿宋_GB2312"/>
          <w:color w:val="auto"/>
          <w:sz w:val="32"/>
          <w:szCs w:val="32"/>
          <w:highlight w:val="none"/>
        </w:rPr>
        <w:t>%。主要变动原因</w:t>
      </w:r>
      <w:r>
        <w:rPr>
          <w:rFonts w:hint="eastAsia" w:ascii="仿宋_GB2312" w:hAnsi="仿宋_GB2312" w:eastAsia="仿宋_GB2312" w:cs="仿宋_GB2312"/>
          <w:color w:val="auto"/>
          <w:sz w:val="32"/>
          <w:szCs w:val="32"/>
          <w:highlight w:val="none"/>
          <w:lang w:val="en-US" w:eastAsia="zh-CN"/>
        </w:rPr>
        <w:t>2024年度一般公共项目款增加。</w:t>
      </w:r>
    </w:p>
    <w:p>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ascii="仿宋" w:hAnsi="仿宋" w:eastAsia="仿宋"/>
          <w:color w:val="auto"/>
          <w:sz w:val="32"/>
          <w:szCs w:val="32"/>
          <w:highlight w:val="none"/>
        </w:rPr>
      </w:pPr>
      <w:r>
        <w:drawing>
          <wp:inline distT="0" distB="0" distL="114300" distR="114300">
            <wp:extent cx="4828540" cy="2743200"/>
            <wp:effectExtent l="4445" t="4445" r="5715" b="14605"/>
            <wp:docPr id="8"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keepNext w:val="0"/>
        <w:keepLines w:val="0"/>
        <w:pageBreakBefore w:val="0"/>
        <w:widowControl w:val="0"/>
        <w:kinsoku/>
        <w:wordWrap/>
        <w:overflowPunct/>
        <w:topLinePunct w:val="0"/>
        <w:bidi w:val="0"/>
        <w:snapToGrid/>
        <w:spacing w:line="576" w:lineRule="exact"/>
        <w:ind w:left="0" w:right="0" w:firstLine="640" w:firstLineChars="200"/>
        <w:jc w:val="both"/>
        <w:textAlignment w:val="auto"/>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（图5：一般公共预算财政拨款支出决算变动情况）（柱状图）</w:t>
      </w:r>
    </w:p>
    <w:p>
      <w:pPr>
        <w:keepNext w:val="0"/>
        <w:keepLines w:val="0"/>
        <w:pageBreakBefore w:val="0"/>
        <w:widowControl w:val="0"/>
        <w:kinsoku/>
        <w:wordWrap/>
        <w:overflowPunct/>
        <w:topLinePunct w:val="0"/>
        <w:bidi w:val="0"/>
        <w:snapToGrid/>
        <w:spacing w:line="576" w:lineRule="exact"/>
        <w:ind w:left="0" w:right="0" w:firstLine="642" w:firstLineChars="200"/>
        <w:jc w:val="both"/>
        <w:textAlignment w:val="auto"/>
        <w:outlineLvl w:val="2"/>
        <w:rPr>
          <w:rFonts w:ascii="仿宋" w:hAnsi="仿宋" w:eastAsia="仿宋"/>
          <w:b/>
          <w:color w:val="auto"/>
          <w:sz w:val="32"/>
          <w:szCs w:val="32"/>
          <w:highlight w:val="none"/>
        </w:rPr>
      </w:pPr>
      <w:bookmarkStart w:id="58" w:name="_Toc213"/>
      <w:bookmarkStart w:id="59" w:name="_Toc15377211"/>
      <w:bookmarkStart w:id="60" w:name="_Toc5718"/>
      <w:r>
        <w:rPr>
          <w:rFonts w:hint="eastAsia" w:ascii="仿宋" w:hAnsi="仿宋" w:eastAsia="仿宋"/>
          <w:b/>
          <w:color w:val="auto"/>
          <w:sz w:val="32"/>
          <w:szCs w:val="32"/>
          <w:highlight w:val="none"/>
        </w:rPr>
        <w:t>（二）一般公共预算财政拨款支出决算结构情况</w:t>
      </w:r>
      <w:bookmarkEnd w:id="58"/>
      <w:bookmarkEnd w:id="59"/>
      <w:bookmarkEnd w:id="60"/>
    </w:p>
    <w:p>
      <w:pPr>
        <w:keepNext w:val="0"/>
        <w:keepLines w:val="0"/>
        <w:pageBreakBefore w:val="0"/>
        <w:widowControl w:val="0"/>
        <w:kinsoku/>
        <w:wordWrap/>
        <w:overflowPunct/>
        <w:topLinePunct w:val="0"/>
        <w:bidi w:val="0"/>
        <w:snapToGrid/>
        <w:spacing w:line="576" w:lineRule="exact"/>
        <w:ind w:left="0" w:right="0" w:firstLine="64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rPr>
        <w:t>年一般公共预算财政拨款支出</w:t>
      </w:r>
      <w:r>
        <w:rPr>
          <w:rFonts w:hint="eastAsia" w:ascii="仿宋_GB2312" w:hAnsi="仿宋_GB2312" w:eastAsia="仿宋_GB2312" w:cs="仿宋_GB2312"/>
          <w:color w:val="auto"/>
          <w:sz w:val="32"/>
          <w:szCs w:val="32"/>
          <w:highlight w:val="none"/>
          <w:lang w:val="en-US" w:eastAsia="zh-CN"/>
        </w:rPr>
        <w:t>2338.43</w:t>
      </w:r>
      <w:r>
        <w:rPr>
          <w:rFonts w:hint="eastAsia" w:ascii="仿宋_GB2312" w:hAnsi="仿宋_GB2312" w:eastAsia="仿宋_GB2312" w:cs="仿宋_GB2312"/>
          <w:color w:val="auto"/>
          <w:sz w:val="32"/>
          <w:szCs w:val="32"/>
          <w:highlight w:val="none"/>
        </w:rPr>
        <w:t>万元，主要用于以下方面</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color w:val="auto"/>
          <w:sz w:val="32"/>
          <w:szCs w:val="32"/>
          <w:highlight w:val="none"/>
        </w:rPr>
        <w:t>社会保障和就业</w:t>
      </w:r>
      <w:r>
        <w:rPr>
          <w:rFonts w:hint="eastAsia" w:ascii="仿宋_GB2312" w:hAnsi="仿宋_GB2312" w:eastAsia="仿宋_GB2312" w:cs="仿宋_GB2312"/>
          <w:b/>
          <w:bCs/>
          <w:color w:val="auto"/>
          <w:sz w:val="32"/>
          <w:szCs w:val="32"/>
          <w:highlight w:val="none"/>
        </w:rPr>
        <w:t>支出</w:t>
      </w:r>
      <w:r>
        <w:rPr>
          <w:rFonts w:hint="eastAsia" w:ascii="仿宋_GB2312" w:hAnsi="仿宋_GB2312" w:eastAsia="仿宋_GB2312" w:cs="仿宋_GB2312"/>
          <w:b/>
          <w:bCs/>
          <w:color w:val="auto"/>
          <w:sz w:val="32"/>
          <w:szCs w:val="32"/>
          <w:highlight w:val="none"/>
          <w:lang w:val="en-US" w:eastAsia="zh-CN"/>
        </w:rPr>
        <w:t>386.83</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16.54</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b/>
          <w:bCs/>
          <w:color w:val="auto"/>
          <w:sz w:val="32"/>
          <w:szCs w:val="32"/>
          <w:highlight w:val="none"/>
        </w:rPr>
        <w:t>卫生健康支出</w:t>
      </w:r>
      <w:r>
        <w:rPr>
          <w:rFonts w:hint="eastAsia" w:ascii="仿宋_GB2312" w:hAnsi="仿宋_GB2312" w:eastAsia="仿宋_GB2312" w:cs="仿宋_GB2312"/>
          <w:b/>
          <w:bCs/>
          <w:color w:val="auto"/>
          <w:sz w:val="32"/>
          <w:szCs w:val="32"/>
          <w:highlight w:val="none"/>
          <w:lang w:val="en-US" w:eastAsia="zh-CN"/>
        </w:rPr>
        <w:t>43.71</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1.87</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b/>
          <w:bCs/>
          <w:color w:val="auto"/>
          <w:sz w:val="32"/>
          <w:szCs w:val="32"/>
          <w:highlight w:val="none"/>
          <w:lang w:val="en-US" w:eastAsia="zh-CN"/>
        </w:rPr>
        <w:t>节能环保支出8.24</w:t>
      </w:r>
      <w:r>
        <w:rPr>
          <w:rFonts w:hint="eastAsia" w:ascii="仿宋_GB2312" w:hAnsi="仿宋_GB2312" w:eastAsia="仿宋_GB2312" w:cs="仿宋_GB2312"/>
          <w:color w:val="auto"/>
          <w:sz w:val="32"/>
          <w:szCs w:val="32"/>
          <w:highlight w:val="none"/>
          <w:lang w:val="en-US" w:eastAsia="zh-CN"/>
        </w:rPr>
        <w:t>万元，占0.35%；</w:t>
      </w:r>
      <w:r>
        <w:rPr>
          <w:rFonts w:hint="eastAsia" w:ascii="仿宋_GB2312" w:hAnsi="仿宋_GB2312" w:eastAsia="仿宋_GB2312" w:cs="仿宋_GB2312"/>
          <w:b/>
          <w:color w:val="auto"/>
          <w:sz w:val="32"/>
          <w:szCs w:val="32"/>
          <w:highlight w:val="none"/>
          <w:lang w:val="en-US" w:eastAsia="zh-CN"/>
        </w:rPr>
        <w:t>自</w:t>
      </w:r>
      <w:r>
        <w:rPr>
          <w:rFonts w:hint="eastAsia" w:ascii="仿宋_GB2312" w:hAnsi="仿宋_GB2312" w:eastAsia="仿宋_GB2312" w:cs="仿宋_GB2312"/>
          <w:b/>
          <w:bCs/>
          <w:color w:val="auto"/>
          <w:sz w:val="32"/>
          <w:szCs w:val="32"/>
          <w:highlight w:val="none"/>
          <w:lang w:val="en-US" w:eastAsia="zh-CN"/>
        </w:rPr>
        <w:t>然资源海洋气象等支出1774.49</w:t>
      </w:r>
      <w:r>
        <w:rPr>
          <w:rFonts w:hint="eastAsia" w:ascii="仿宋_GB2312" w:hAnsi="仿宋_GB2312" w:eastAsia="仿宋_GB2312" w:cs="仿宋_GB2312"/>
          <w:color w:val="auto"/>
          <w:sz w:val="32"/>
          <w:szCs w:val="32"/>
          <w:highlight w:val="none"/>
          <w:lang w:val="en-US" w:eastAsia="zh-CN"/>
        </w:rPr>
        <w:t>万元，占75.88%；</w:t>
      </w:r>
      <w:r>
        <w:rPr>
          <w:rFonts w:hint="eastAsia" w:ascii="仿宋_GB2312" w:hAnsi="仿宋_GB2312" w:eastAsia="仿宋_GB2312" w:cs="仿宋_GB2312"/>
          <w:b/>
          <w:bCs/>
          <w:color w:val="auto"/>
          <w:sz w:val="32"/>
          <w:szCs w:val="32"/>
          <w:highlight w:val="none"/>
        </w:rPr>
        <w:t>住房保障支出</w:t>
      </w:r>
      <w:r>
        <w:rPr>
          <w:rFonts w:hint="eastAsia" w:ascii="仿宋_GB2312" w:hAnsi="仿宋_GB2312" w:eastAsia="仿宋_GB2312" w:cs="仿宋_GB2312"/>
          <w:b/>
          <w:bCs/>
          <w:color w:val="auto"/>
          <w:sz w:val="32"/>
          <w:szCs w:val="32"/>
          <w:highlight w:val="none"/>
          <w:lang w:val="en-US" w:eastAsia="zh-CN"/>
        </w:rPr>
        <w:t>125.17</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5.4</w:t>
      </w:r>
      <w:r>
        <w:rPr>
          <w:rFonts w:hint="eastAsia" w:ascii="仿宋_GB2312" w:hAnsi="仿宋_GB2312" w:eastAsia="仿宋_GB2312" w:cs="仿宋_GB2312"/>
          <w:color w:val="auto"/>
          <w:sz w:val="32"/>
          <w:szCs w:val="32"/>
          <w:highlight w:val="none"/>
        </w:rPr>
        <w:t>%。</w:t>
      </w:r>
    </w:p>
    <w:p>
      <w:pPr>
        <w:pStyle w:val="6"/>
        <w:rPr>
          <w:rFonts w:hint="eastAsia"/>
        </w:rPr>
      </w:pPr>
      <w:r>
        <w:drawing>
          <wp:inline distT="0" distB="0" distL="114300" distR="114300">
            <wp:extent cx="4828540" cy="2743200"/>
            <wp:effectExtent l="4445" t="4445" r="5715" b="14605"/>
            <wp:docPr id="12" name="图表 11" descr="7b0a202020202263686172745265734964223a20223230343736303937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eastAsia" w:ascii="仿宋_GB2312" w:hAnsi="仿宋_GB2312" w:eastAsia="仿宋_GB2312" w:cs="仿宋_GB2312"/>
          <w:color w:val="auto"/>
          <w:sz w:val="32"/>
          <w:szCs w:val="32"/>
          <w:highlight w:val="none"/>
        </w:rPr>
      </w:pPr>
    </w:p>
    <w:p>
      <w:pPr>
        <w:keepNext w:val="0"/>
        <w:keepLines w:val="0"/>
        <w:pageBreakBefore w:val="0"/>
        <w:widowControl w:val="0"/>
        <w:kinsoku/>
        <w:wordWrap/>
        <w:overflowPunct/>
        <w:topLinePunct w:val="0"/>
        <w:bidi w:val="0"/>
        <w:snapToGrid/>
        <w:spacing w:line="576" w:lineRule="exact"/>
        <w:ind w:left="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（图6：一般公共预算财政拨款支出决算结构）（饼状图）</w:t>
      </w:r>
    </w:p>
    <w:p>
      <w:pPr>
        <w:keepNext w:val="0"/>
        <w:keepLines w:val="0"/>
        <w:pageBreakBefore w:val="0"/>
        <w:widowControl w:val="0"/>
        <w:kinsoku/>
        <w:wordWrap/>
        <w:overflowPunct/>
        <w:topLinePunct w:val="0"/>
        <w:bidi w:val="0"/>
        <w:snapToGrid/>
        <w:spacing w:line="576" w:lineRule="exact"/>
        <w:ind w:left="0" w:right="0" w:firstLine="642" w:firstLineChars="200"/>
        <w:jc w:val="both"/>
        <w:textAlignment w:val="auto"/>
        <w:outlineLvl w:val="2"/>
        <w:rPr>
          <w:rFonts w:hint="eastAsia" w:ascii="楷体_GB2312" w:hAnsi="楷体_GB2312" w:eastAsia="楷体_GB2312" w:cs="楷体_GB2312"/>
          <w:b/>
          <w:bCs w:val="0"/>
          <w:color w:val="auto"/>
          <w:sz w:val="32"/>
          <w:szCs w:val="32"/>
          <w:highlight w:val="none"/>
        </w:rPr>
      </w:pPr>
      <w:bookmarkStart w:id="61" w:name="_Toc15377212"/>
      <w:bookmarkStart w:id="62" w:name="_Toc9416"/>
      <w:bookmarkStart w:id="63" w:name="_Toc13204"/>
      <w:r>
        <w:rPr>
          <w:rFonts w:hint="eastAsia" w:ascii="楷体_GB2312" w:hAnsi="楷体_GB2312" w:eastAsia="楷体_GB2312" w:cs="楷体_GB2312"/>
          <w:b/>
          <w:bCs w:val="0"/>
          <w:color w:val="auto"/>
          <w:sz w:val="32"/>
          <w:szCs w:val="32"/>
          <w:highlight w:val="none"/>
        </w:rPr>
        <w:t>（三）一般公共预算财政拨款支出决算具体情况</w:t>
      </w:r>
      <w:bookmarkEnd w:id="61"/>
      <w:bookmarkEnd w:id="62"/>
      <w:bookmarkEnd w:id="63"/>
    </w:p>
    <w:p>
      <w:pPr>
        <w:keepNext w:val="0"/>
        <w:keepLines w:val="0"/>
        <w:pageBreakBefore w:val="0"/>
        <w:widowControl w:val="0"/>
        <w:kinsoku/>
        <w:wordWrap/>
        <w:overflowPunct/>
        <w:topLinePunct w:val="0"/>
        <w:bidi w:val="0"/>
        <w:snapToGrid/>
        <w:spacing w:line="576" w:lineRule="exact"/>
        <w:ind w:left="0" w:right="0" w:firstLine="642" w:firstLineChars="200"/>
        <w:jc w:val="both"/>
        <w:textAlignment w:val="auto"/>
        <w:outlineLvl w:val="1"/>
        <w:rPr>
          <w:rStyle w:val="15"/>
          <w:rFonts w:hint="eastAsia" w:ascii="仿宋_GB2312" w:hAnsi="仿宋_GB2312" w:eastAsia="仿宋_GB2312" w:cs="仿宋_GB2312"/>
          <w:bCs/>
          <w:color w:val="auto"/>
          <w:sz w:val="32"/>
          <w:szCs w:val="32"/>
          <w:highlight w:val="none"/>
        </w:rPr>
      </w:pPr>
      <w:bookmarkStart w:id="64" w:name="_Toc15378460"/>
      <w:bookmarkStart w:id="65" w:name="_Toc10671"/>
      <w:bookmarkStart w:id="66" w:name="_Toc15377213"/>
      <w:bookmarkStart w:id="67" w:name="_Toc6700"/>
      <w:bookmarkStart w:id="68" w:name="_Toc15377444"/>
      <w:bookmarkStart w:id="69" w:name="_Toc22459"/>
      <w:r>
        <w:rPr>
          <w:rFonts w:hint="eastAsia" w:ascii="仿宋_GB2312" w:hAnsi="仿宋_GB2312" w:eastAsia="仿宋_GB2312" w:cs="仿宋_GB2312"/>
          <w:b/>
          <w:color w:val="auto"/>
          <w:sz w:val="32"/>
          <w:szCs w:val="32"/>
          <w:highlight w:val="none"/>
        </w:rPr>
        <w:t>20</w:t>
      </w:r>
      <w:r>
        <w:rPr>
          <w:rFonts w:hint="eastAsia" w:ascii="仿宋_GB2312" w:hAnsi="仿宋_GB2312" w:eastAsia="仿宋_GB2312" w:cs="仿宋_GB2312"/>
          <w:b/>
          <w:color w:val="auto"/>
          <w:sz w:val="32"/>
          <w:szCs w:val="32"/>
          <w:highlight w:val="none"/>
          <w:lang w:val="en-US" w:eastAsia="zh-CN"/>
        </w:rPr>
        <w:t>24</w:t>
      </w:r>
      <w:r>
        <w:rPr>
          <w:rFonts w:hint="eastAsia" w:ascii="仿宋_GB2312" w:hAnsi="仿宋_GB2312" w:eastAsia="仿宋_GB2312" w:cs="仿宋_GB2312"/>
          <w:b/>
          <w:color w:val="auto"/>
          <w:sz w:val="32"/>
          <w:szCs w:val="32"/>
          <w:highlight w:val="none"/>
        </w:rPr>
        <w:t>年</w:t>
      </w:r>
      <w:r>
        <w:rPr>
          <w:rFonts w:hint="eastAsia" w:ascii="仿宋_GB2312" w:hAnsi="仿宋_GB2312" w:eastAsia="仿宋_GB2312" w:cs="仿宋_GB2312"/>
          <w:b/>
          <w:color w:val="auto"/>
          <w:sz w:val="32"/>
          <w:szCs w:val="32"/>
          <w:highlight w:val="none"/>
          <w:lang w:eastAsia="zh-CN"/>
        </w:rPr>
        <w:t>一</w:t>
      </w:r>
      <w:r>
        <w:rPr>
          <w:rFonts w:hint="eastAsia" w:ascii="仿宋_GB2312" w:hAnsi="仿宋_GB2312" w:eastAsia="仿宋_GB2312" w:cs="仿宋_GB2312"/>
          <w:b/>
          <w:color w:val="auto"/>
          <w:sz w:val="32"/>
          <w:szCs w:val="32"/>
          <w:highlight w:val="none"/>
        </w:rPr>
        <w:t>般公共预算支出决算数为</w:t>
      </w:r>
      <w:r>
        <w:rPr>
          <w:rFonts w:hint="eastAsia" w:ascii="仿宋_GB2312" w:hAnsi="仿宋_GB2312" w:eastAsia="仿宋_GB2312" w:cs="仿宋_GB2312"/>
          <w:b/>
          <w:color w:val="auto"/>
          <w:sz w:val="32"/>
          <w:szCs w:val="32"/>
          <w:highlight w:val="none"/>
          <w:lang w:val="en-US" w:eastAsia="zh-CN"/>
        </w:rPr>
        <w:t>2338.43万元</w:t>
      </w:r>
      <w:r>
        <w:rPr>
          <w:rFonts w:hint="eastAsia" w:ascii="仿宋_GB2312" w:hAnsi="仿宋_GB2312" w:eastAsia="仿宋_GB2312" w:cs="仿宋_GB2312"/>
          <w:color w:val="auto"/>
          <w:sz w:val="32"/>
          <w:szCs w:val="32"/>
          <w:highlight w:val="none"/>
        </w:rPr>
        <w:t>，</w:t>
      </w:r>
      <w:r>
        <w:rPr>
          <w:rStyle w:val="15"/>
          <w:rFonts w:hint="eastAsia" w:ascii="仿宋_GB2312" w:hAnsi="仿宋_GB2312" w:eastAsia="仿宋_GB2312" w:cs="仿宋_GB2312"/>
          <w:bCs/>
          <w:color w:val="auto"/>
          <w:sz w:val="32"/>
          <w:szCs w:val="32"/>
          <w:highlight w:val="none"/>
        </w:rPr>
        <w:t>完成预算</w:t>
      </w:r>
      <w:r>
        <w:rPr>
          <w:rStyle w:val="15"/>
          <w:rFonts w:hint="eastAsia" w:ascii="仿宋_GB2312" w:hAnsi="仿宋_GB2312" w:eastAsia="仿宋_GB2312" w:cs="仿宋_GB2312"/>
          <w:bCs/>
          <w:color w:val="auto"/>
          <w:sz w:val="32"/>
          <w:szCs w:val="32"/>
          <w:highlight w:val="none"/>
          <w:lang w:val="en-US" w:eastAsia="zh-CN"/>
        </w:rPr>
        <w:t>100</w:t>
      </w:r>
      <w:r>
        <w:rPr>
          <w:rStyle w:val="15"/>
          <w:rFonts w:hint="eastAsia" w:ascii="仿宋_GB2312" w:hAnsi="仿宋_GB2312" w:eastAsia="仿宋_GB2312" w:cs="仿宋_GB2312"/>
          <w:bCs/>
          <w:color w:val="auto"/>
          <w:sz w:val="32"/>
          <w:szCs w:val="32"/>
          <w:highlight w:val="none"/>
        </w:rPr>
        <w:t>%。其中：</w:t>
      </w:r>
      <w:bookmarkEnd w:id="64"/>
      <w:bookmarkEnd w:id="65"/>
      <w:bookmarkEnd w:id="66"/>
      <w:bookmarkEnd w:id="67"/>
      <w:bookmarkEnd w:id="68"/>
      <w:bookmarkEnd w:id="69"/>
    </w:p>
    <w:p>
      <w:pPr>
        <w:keepNext w:val="0"/>
        <w:keepLines w:val="0"/>
        <w:pageBreakBefore w:val="0"/>
        <w:widowControl w:val="0"/>
        <w:numPr>
          <w:ilvl w:val="0"/>
          <w:numId w:val="1"/>
        </w:numPr>
        <w:shd w:val="clear"/>
        <w:kinsoku/>
        <w:wordWrap/>
        <w:overflowPunct/>
        <w:topLinePunct w:val="0"/>
        <w:bidi w:val="0"/>
        <w:snapToGrid/>
        <w:spacing w:line="576" w:lineRule="exact"/>
        <w:ind w:left="0" w:leftChars="0" w:right="0" w:firstLine="642" w:firstLineChars="200"/>
        <w:jc w:val="both"/>
        <w:textAlignment w:val="auto"/>
        <w:rPr>
          <w:rFonts w:hint="eastAsia" w:ascii="仿宋_GB2312" w:hAnsi="仿宋_GB2312" w:eastAsia="仿宋_GB2312" w:cs="仿宋_GB2312"/>
          <w:b/>
          <w:color w:val="auto"/>
          <w:sz w:val="32"/>
          <w:szCs w:val="32"/>
          <w:highlight w:val="none"/>
          <w:lang w:eastAsia="zh-CN"/>
        </w:rPr>
      </w:pPr>
      <w:r>
        <w:rPr>
          <w:rStyle w:val="15"/>
          <w:rFonts w:hint="eastAsia" w:ascii="仿宋_GB2312" w:hAnsi="仿宋_GB2312" w:eastAsia="仿宋_GB2312" w:cs="仿宋_GB2312"/>
          <w:bCs/>
          <w:color w:val="auto"/>
          <w:sz w:val="32"/>
          <w:szCs w:val="32"/>
          <w:highlight w:val="none"/>
          <w:lang w:val="en-US" w:eastAsia="zh-CN"/>
        </w:rPr>
        <w:t>社会保障和就业支出</w:t>
      </w:r>
      <w:r>
        <w:rPr>
          <w:rStyle w:val="15"/>
          <w:rFonts w:hint="eastAsia" w:ascii="仿宋_GB2312" w:hAnsi="仿宋_GB2312" w:eastAsia="仿宋_GB2312" w:cs="仿宋_GB2312"/>
          <w:bCs/>
          <w:color w:val="auto"/>
          <w:sz w:val="32"/>
          <w:szCs w:val="32"/>
          <w:highlight w:val="none"/>
        </w:rPr>
        <w:t>（类）</w:t>
      </w:r>
      <w:r>
        <w:rPr>
          <w:rStyle w:val="15"/>
          <w:rFonts w:hint="eastAsia" w:ascii="仿宋_GB2312" w:hAnsi="仿宋_GB2312" w:eastAsia="仿宋_GB2312" w:cs="仿宋_GB2312"/>
          <w:bCs/>
          <w:color w:val="auto"/>
          <w:sz w:val="32"/>
          <w:szCs w:val="32"/>
          <w:highlight w:val="none"/>
          <w:lang w:val="en-US" w:eastAsia="zh-CN"/>
        </w:rPr>
        <w:t>人力资源和社会保障管理事务</w:t>
      </w:r>
      <w:r>
        <w:rPr>
          <w:rStyle w:val="15"/>
          <w:rFonts w:hint="eastAsia" w:ascii="仿宋_GB2312" w:hAnsi="仿宋_GB2312" w:eastAsia="仿宋_GB2312" w:cs="仿宋_GB2312"/>
          <w:bCs/>
          <w:color w:val="auto"/>
          <w:sz w:val="32"/>
          <w:szCs w:val="32"/>
          <w:highlight w:val="none"/>
        </w:rPr>
        <w:t>（款）</w:t>
      </w:r>
      <w:r>
        <w:rPr>
          <w:rStyle w:val="15"/>
          <w:rFonts w:hint="eastAsia" w:ascii="仿宋_GB2312" w:hAnsi="仿宋_GB2312" w:eastAsia="仿宋_GB2312" w:cs="仿宋_GB2312"/>
          <w:bCs/>
          <w:color w:val="auto"/>
          <w:sz w:val="32"/>
          <w:szCs w:val="32"/>
          <w:highlight w:val="none"/>
          <w:lang w:val="en-US" w:eastAsia="zh-CN"/>
        </w:rPr>
        <w:t>引进人才费用</w:t>
      </w:r>
      <w:r>
        <w:rPr>
          <w:rStyle w:val="15"/>
          <w:rFonts w:hint="eastAsia" w:ascii="仿宋_GB2312" w:hAnsi="仿宋_GB2312" w:eastAsia="仿宋_GB2312" w:cs="仿宋_GB2312"/>
          <w:bCs/>
          <w:color w:val="auto"/>
          <w:sz w:val="32"/>
          <w:szCs w:val="32"/>
          <w:highlight w:val="none"/>
        </w:rPr>
        <w:t>（项）</w:t>
      </w:r>
      <w:r>
        <w:rPr>
          <w:rStyle w:val="15"/>
          <w:rFonts w:hint="eastAsia" w:ascii="仿宋_GB2312" w:hAnsi="仿宋_GB2312" w:eastAsia="仿宋_GB2312" w:cs="仿宋_GB2312"/>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103.6</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w:t>
      </w:r>
      <w:r>
        <w:rPr>
          <w:rStyle w:val="15"/>
          <w:rFonts w:hint="eastAsia" w:ascii="仿宋_GB2312" w:hAnsi="仿宋_GB2312" w:eastAsia="仿宋_GB2312" w:cs="仿宋_GB2312"/>
          <w:b w:val="0"/>
          <w:bCs/>
          <w:color w:val="auto"/>
          <w:sz w:val="32"/>
          <w:szCs w:val="32"/>
          <w:highlight w:val="none"/>
          <w:lang w:eastAsia="zh-CN"/>
        </w:rPr>
        <w:t>。</w:t>
      </w:r>
    </w:p>
    <w:p>
      <w:pPr>
        <w:keepNext w:val="0"/>
        <w:keepLines w:val="0"/>
        <w:pageBreakBefore w:val="0"/>
        <w:widowControl w:val="0"/>
        <w:numPr>
          <w:ilvl w:val="0"/>
          <w:numId w:val="1"/>
        </w:numPr>
        <w:shd w:val="clear"/>
        <w:kinsoku/>
        <w:wordWrap/>
        <w:overflowPunct/>
        <w:topLinePunct w:val="0"/>
        <w:bidi w:val="0"/>
        <w:snapToGrid/>
        <w:spacing w:line="576" w:lineRule="exact"/>
        <w:ind w:left="0" w:leftChars="0" w:right="0" w:firstLine="642" w:firstLineChars="200"/>
        <w:jc w:val="both"/>
        <w:textAlignment w:val="auto"/>
        <w:rPr>
          <w:rFonts w:hint="eastAsia" w:ascii="仿宋_GB2312" w:hAnsi="仿宋_GB2312" w:eastAsia="仿宋_GB2312" w:cs="仿宋_GB2312"/>
          <w:b/>
          <w:color w:val="auto"/>
          <w:sz w:val="32"/>
          <w:szCs w:val="32"/>
          <w:highlight w:val="none"/>
        </w:rPr>
      </w:pPr>
      <w:r>
        <w:rPr>
          <w:rStyle w:val="15"/>
          <w:rFonts w:hint="eastAsia" w:ascii="仿宋_GB2312" w:hAnsi="仿宋_GB2312" w:eastAsia="仿宋_GB2312" w:cs="仿宋_GB2312"/>
          <w:bCs/>
          <w:color w:val="auto"/>
          <w:sz w:val="32"/>
          <w:szCs w:val="32"/>
          <w:highlight w:val="none"/>
          <w:lang w:val="en-US" w:eastAsia="zh-CN"/>
        </w:rPr>
        <w:t>社会保障和就业支出</w:t>
      </w:r>
      <w:r>
        <w:rPr>
          <w:rStyle w:val="15"/>
          <w:rFonts w:hint="eastAsia" w:ascii="仿宋_GB2312" w:hAnsi="仿宋_GB2312" w:eastAsia="仿宋_GB2312" w:cs="仿宋_GB2312"/>
          <w:bCs/>
          <w:color w:val="auto"/>
          <w:sz w:val="32"/>
          <w:szCs w:val="32"/>
          <w:highlight w:val="none"/>
        </w:rPr>
        <w:t>（类）</w:t>
      </w:r>
      <w:r>
        <w:rPr>
          <w:rStyle w:val="15"/>
          <w:rFonts w:hint="eastAsia" w:ascii="仿宋_GB2312" w:hAnsi="仿宋_GB2312" w:eastAsia="仿宋_GB2312" w:cs="仿宋_GB2312"/>
          <w:bCs/>
          <w:color w:val="auto"/>
          <w:sz w:val="32"/>
          <w:szCs w:val="32"/>
          <w:highlight w:val="none"/>
          <w:lang w:val="en-US" w:eastAsia="zh-CN"/>
        </w:rPr>
        <w:t>行政事业单位养老支出</w:t>
      </w:r>
      <w:r>
        <w:rPr>
          <w:rStyle w:val="15"/>
          <w:rFonts w:hint="eastAsia" w:ascii="仿宋_GB2312" w:hAnsi="仿宋_GB2312" w:eastAsia="仿宋_GB2312" w:cs="仿宋_GB2312"/>
          <w:bCs/>
          <w:color w:val="auto"/>
          <w:sz w:val="32"/>
          <w:szCs w:val="32"/>
          <w:highlight w:val="none"/>
        </w:rPr>
        <w:t>（款）</w:t>
      </w:r>
      <w:r>
        <w:rPr>
          <w:rStyle w:val="15"/>
          <w:rFonts w:hint="eastAsia" w:ascii="仿宋_GB2312" w:hAnsi="仿宋_GB2312" w:eastAsia="仿宋_GB2312" w:cs="仿宋_GB2312"/>
          <w:bCs/>
          <w:color w:val="auto"/>
          <w:sz w:val="32"/>
          <w:szCs w:val="32"/>
          <w:highlight w:val="none"/>
          <w:lang w:val="en-US" w:eastAsia="zh-CN"/>
        </w:rPr>
        <w:t>行政单位离退休</w:t>
      </w:r>
      <w:r>
        <w:rPr>
          <w:rStyle w:val="15"/>
          <w:rFonts w:hint="eastAsia" w:ascii="仿宋_GB2312" w:hAnsi="仿宋_GB2312" w:eastAsia="仿宋_GB2312" w:cs="仿宋_GB2312"/>
          <w:bCs/>
          <w:color w:val="auto"/>
          <w:sz w:val="32"/>
          <w:szCs w:val="32"/>
          <w:highlight w:val="none"/>
        </w:rPr>
        <w:t>（项）</w:t>
      </w:r>
      <w:r>
        <w:rPr>
          <w:rStyle w:val="15"/>
          <w:rFonts w:hint="eastAsia" w:ascii="仿宋_GB2312" w:hAnsi="仿宋_GB2312" w:eastAsia="仿宋_GB2312" w:cs="仿宋_GB2312"/>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85.62</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w:t>
      </w:r>
      <w:r>
        <w:rPr>
          <w:rStyle w:val="15"/>
          <w:rFonts w:hint="eastAsia" w:ascii="仿宋_GB2312" w:hAnsi="仿宋_GB2312" w:eastAsia="仿宋_GB2312" w:cs="仿宋_GB2312"/>
          <w:b w:val="0"/>
          <w:bCs/>
          <w:color w:val="auto"/>
          <w:sz w:val="32"/>
          <w:szCs w:val="32"/>
          <w:highlight w:val="none"/>
          <w:lang w:eastAsia="zh-CN"/>
        </w:rPr>
        <w:t>。</w:t>
      </w:r>
    </w:p>
    <w:p>
      <w:pPr>
        <w:keepNext w:val="0"/>
        <w:keepLines w:val="0"/>
        <w:pageBreakBefore w:val="0"/>
        <w:widowControl w:val="0"/>
        <w:numPr>
          <w:ilvl w:val="0"/>
          <w:numId w:val="1"/>
        </w:numPr>
        <w:shd w:val="clear"/>
        <w:kinsoku/>
        <w:wordWrap/>
        <w:overflowPunct/>
        <w:topLinePunct w:val="0"/>
        <w:bidi w:val="0"/>
        <w:snapToGrid/>
        <w:spacing w:line="576" w:lineRule="exact"/>
        <w:ind w:left="0" w:leftChars="0" w:right="0" w:firstLine="642" w:firstLineChars="200"/>
        <w:jc w:val="both"/>
        <w:textAlignment w:val="auto"/>
        <w:rPr>
          <w:rFonts w:hint="eastAsia" w:ascii="仿宋_GB2312" w:hAnsi="仿宋_GB2312" w:eastAsia="仿宋_GB2312" w:cs="仿宋_GB2312"/>
          <w:b/>
          <w:color w:val="auto"/>
          <w:sz w:val="32"/>
          <w:szCs w:val="32"/>
          <w:highlight w:val="none"/>
        </w:rPr>
      </w:pPr>
      <w:r>
        <w:rPr>
          <w:rStyle w:val="15"/>
          <w:rFonts w:hint="eastAsia" w:ascii="仿宋_GB2312" w:hAnsi="仿宋_GB2312" w:eastAsia="仿宋_GB2312" w:cs="仿宋_GB2312"/>
          <w:bCs/>
          <w:color w:val="auto"/>
          <w:sz w:val="32"/>
          <w:szCs w:val="32"/>
          <w:highlight w:val="none"/>
          <w:lang w:val="en-US" w:eastAsia="zh-CN"/>
        </w:rPr>
        <w:t>社会保障和就业支出</w:t>
      </w:r>
      <w:r>
        <w:rPr>
          <w:rStyle w:val="15"/>
          <w:rFonts w:hint="eastAsia" w:ascii="仿宋_GB2312" w:hAnsi="仿宋_GB2312" w:eastAsia="仿宋_GB2312" w:cs="仿宋_GB2312"/>
          <w:bCs/>
          <w:color w:val="auto"/>
          <w:sz w:val="32"/>
          <w:szCs w:val="32"/>
          <w:highlight w:val="none"/>
        </w:rPr>
        <w:t>（类）</w:t>
      </w:r>
      <w:r>
        <w:rPr>
          <w:rStyle w:val="15"/>
          <w:rFonts w:hint="eastAsia" w:ascii="仿宋_GB2312" w:hAnsi="仿宋_GB2312" w:eastAsia="仿宋_GB2312" w:cs="仿宋_GB2312"/>
          <w:bCs/>
          <w:color w:val="auto"/>
          <w:sz w:val="32"/>
          <w:szCs w:val="32"/>
          <w:highlight w:val="none"/>
          <w:lang w:val="en-US" w:eastAsia="zh-CN"/>
        </w:rPr>
        <w:t>行政事业单位养老支出</w:t>
      </w:r>
      <w:r>
        <w:rPr>
          <w:rStyle w:val="15"/>
          <w:rFonts w:hint="eastAsia" w:ascii="仿宋_GB2312" w:hAnsi="仿宋_GB2312" w:eastAsia="仿宋_GB2312" w:cs="仿宋_GB2312"/>
          <w:bCs/>
          <w:color w:val="auto"/>
          <w:sz w:val="32"/>
          <w:szCs w:val="32"/>
          <w:highlight w:val="none"/>
        </w:rPr>
        <w:t>（款）</w:t>
      </w:r>
      <w:r>
        <w:rPr>
          <w:rStyle w:val="15"/>
          <w:rFonts w:hint="eastAsia" w:ascii="仿宋_GB2312" w:hAnsi="仿宋_GB2312" w:eastAsia="仿宋_GB2312" w:cs="仿宋_GB2312"/>
          <w:bCs/>
          <w:color w:val="auto"/>
          <w:sz w:val="32"/>
          <w:szCs w:val="32"/>
          <w:highlight w:val="none"/>
          <w:lang w:val="en-US" w:eastAsia="zh-CN"/>
        </w:rPr>
        <w:t>机关事业单位基本养老保险支出</w:t>
      </w:r>
      <w:r>
        <w:rPr>
          <w:rStyle w:val="15"/>
          <w:rFonts w:hint="eastAsia" w:ascii="仿宋_GB2312" w:hAnsi="仿宋_GB2312" w:eastAsia="仿宋_GB2312" w:cs="仿宋_GB2312"/>
          <w:bCs/>
          <w:color w:val="auto"/>
          <w:sz w:val="32"/>
          <w:szCs w:val="32"/>
          <w:highlight w:val="none"/>
        </w:rPr>
        <w:t>（项）</w:t>
      </w:r>
      <w:r>
        <w:rPr>
          <w:rStyle w:val="15"/>
          <w:rFonts w:hint="eastAsia" w:ascii="仿宋_GB2312" w:hAnsi="仿宋_GB2312" w:eastAsia="仿宋_GB2312" w:cs="仿宋_GB2312"/>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124.46</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w:t>
      </w:r>
      <w:r>
        <w:rPr>
          <w:rStyle w:val="15"/>
          <w:rFonts w:hint="eastAsia" w:ascii="仿宋_GB2312" w:hAnsi="仿宋_GB2312" w:eastAsia="仿宋_GB2312" w:cs="仿宋_GB2312"/>
          <w:b w:val="0"/>
          <w:bCs/>
          <w:color w:val="auto"/>
          <w:sz w:val="32"/>
          <w:szCs w:val="32"/>
          <w:highlight w:val="none"/>
          <w:lang w:eastAsia="zh-CN"/>
        </w:rPr>
        <w:t>。</w:t>
      </w:r>
    </w:p>
    <w:p>
      <w:pPr>
        <w:keepNext w:val="0"/>
        <w:keepLines w:val="0"/>
        <w:pageBreakBefore w:val="0"/>
        <w:widowControl w:val="0"/>
        <w:numPr>
          <w:ilvl w:val="0"/>
          <w:numId w:val="1"/>
        </w:numPr>
        <w:shd w:val="clear"/>
        <w:kinsoku/>
        <w:wordWrap/>
        <w:overflowPunct/>
        <w:topLinePunct w:val="0"/>
        <w:bidi w:val="0"/>
        <w:snapToGrid/>
        <w:spacing w:line="576" w:lineRule="exact"/>
        <w:ind w:left="0" w:leftChars="0" w:right="0" w:firstLine="642" w:firstLineChars="200"/>
        <w:jc w:val="both"/>
        <w:textAlignment w:val="auto"/>
        <w:rPr>
          <w:rStyle w:val="15"/>
          <w:rFonts w:hint="default" w:ascii="仿宋" w:hAnsi="仿宋" w:eastAsia="仿宋" w:cstheme="minorBidi"/>
          <w:bCs/>
          <w:color w:val="auto"/>
          <w:sz w:val="32"/>
          <w:szCs w:val="32"/>
          <w:highlight w:val="none"/>
          <w:lang w:val="en-US" w:eastAsia="zh-CN"/>
        </w:rPr>
      </w:pPr>
      <w:r>
        <w:rPr>
          <w:rStyle w:val="15"/>
          <w:rFonts w:hint="eastAsia" w:ascii="仿宋_GB2312" w:hAnsi="仿宋_GB2312" w:eastAsia="仿宋_GB2312" w:cs="仿宋_GB2312"/>
          <w:bCs/>
          <w:color w:val="auto"/>
          <w:sz w:val="32"/>
          <w:szCs w:val="32"/>
          <w:highlight w:val="none"/>
          <w:lang w:val="en-US" w:eastAsia="zh-CN"/>
        </w:rPr>
        <w:t>社会保障和就业支出</w:t>
      </w:r>
      <w:r>
        <w:rPr>
          <w:rStyle w:val="15"/>
          <w:rFonts w:hint="eastAsia" w:ascii="仿宋_GB2312" w:hAnsi="仿宋_GB2312" w:eastAsia="仿宋_GB2312" w:cs="仿宋_GB2312"/>
          <w:bCs/>
          <w:color w:val="auto"/>
          <w:sz w:val="32"/>
          <w:szCs w:val="32"/>
          <w:highlight w:val="none"/>
        </w:rPr>
        <w:t>（类）</w:t>
      </w:r>
      <w:r>
        <w:rPr>
          <w:rStyle w:val="15"/>
          <w:rFonts w:hint="eastAsia" w:ascii="仿宋_GB2312" w:hAnsi="仿宋_GB2312" w:eastAsia="仿宋_GB2312" w:cs="仿宋_GB2312"/>
          <w:bCs/>
          <w:color w:val="auto"/>
          <w:sz w:val="32"/>
          <w:szCs w:val="32"/>
          <w:highlight w:val="none"/>
          <w:lang w:val="en-US" w:eastAsia="zh-CN"/>
        </w:rPr>
        <w:t>行政事业单位养老支出</w:t>
      </w:r>
      <w:r>
        <w:rPr>
          <w:rStyle w:val="15"/>
          <w:rFonts w:hint="eastAsia" w:ascii="仿宋_GB2312" w:hAnsi="仿宋_GB2312" w:eastAsia="仿宋_GB2312" w:cs="仿宋_GB2312"/>
          <w:bCs/>
          <w:color w:val="auto"/>
          <w:sz w:val="32"/>
          <w:szCs w:val="32"/>
          <w:highlight w:val="none"/>
        </w:rPr>
        <w:t>（款）</w:t>
      </w:r>
      <w:r>
        <w:rPr>
          <w:rStyle w:val="15"/>
          <w:rFonts w:hint="eastAsia" w:ascii="仿宋_GB2312" w:hAnsi="仿宋_GB2312" w:eastAsia="仿宋_GB2312" w:cs="仿宋_GB2312"/>
          <w:bCs/>
          <w:color w:val="auto"/>
          <w:sz w:val="32"/>
          <w:szCs w:val="32"/>
          <w:highlight w:val="none"/>
          <w:lang w:val="en-US" w:eastAsia="zh-CN"/>
        </w:rPr>
        <w:t>机关事业单位职业年金缴费支出</w:t>
      </w:r>
      <w:r>
        <w:rPr>
          <w:rStyle w:val="15"/>
          <w:rFonts w:hint="eastAsia" w:ascii="仿宋_GB2312" w:hAnsi="仿宋_GB2312" w:eastAsia="仿宋_GB2312" w:cs="仿宋_GB2312"/>
          <w:bCs/>
          <w:color w:val="auto"/>
          <w:sz w:val="32"/>
          <w:szCs w:val="32"/>
          <w:highlight w:val="none"/>
        </w:rPr>
        <w:t>（项）</w:t>
      </w:r>
      <w:r>
        <w:rPr>
          <w:rStyle w:val="15"/>
          <w:rFonts w:hint="eastAsia" w:ascii="仿宋_GB2312" w:hAnsi="仿宋_GB2312" w:eastAsia="仿宋_GB2312" w:cs="仿宋_GB2312"/>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48.72</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w:t>
      </w:r>
      <w:r>
        <w:rPr>
          <w:rStyle w:val="15"/>
          <w:rFonts w:hint="eastAsia" w:ascii="仿宋_GB2312" w:hAnsi="仿宋_GB2312" w:eastAsia="仿宋_GB2312" w:cs="仿宋_GB2312"/>
          <w:b w:val="0"/>
          <w:bCs/>
          <w:color w:val="auto"/>
          <w:sz w:val="32"/>
          <w:szCs w:val="32"/>
          <w:highlight w:val="none"/>
          <w:lang w:eastAsia="zh-CN"/>
        </w:rPr>
        <w:t>。</w:t>
      </w:r>
    </w:p>
    <w:p>
      <w:pPr>
        <w:keepNext w:val="0"/>
        <w:keepLines w:val="0"/>
        <w:pageBreakBefore w:val="0"/>
        <w:widowControl w:val="0"/>
        <w:numPr>
          <w:ilvl w:val="0"/>
          <w:numId w:val="1"/>
        </w:numPr>
        <w:shd w:val="clear"/>
        <w:kinsoku/>
        <w:wordWrap/>
        <w:overflowPunct/>
        <w:topLinePunct w:val="0"/>
        <w:bidi w:val="0"/>
        <w:snapToGrid/>
        <w:spacing w:line="576" w:lineRule="exact"/>
        <w:ind w:left="0" w:leftChars="0" w:right="0" w:firstLine="642" w:firstLineChars="200"/>
        <w:jc w:val="both"/>
        <w:textAlignment w:val="auto"/>
        <w:rPr>
          <w:rFonts w:hint="eastAsia" w:ascii="仿宋_GB2312" w:hAnsi="仿宋_GB2312" w:eastAsia="仿宋_GB2312" w:cs="仿宋_GB2312"/>
          <w:b/>
          <w:color w:val="auto"/>
          <w:sz w:val="32"/>
          <w:szCs w:val="32"/>
          <w:highlight w:val="none"/>
        </w:rPr>
      </w:pPr>
      <w:r>
        <w:rPr>
          <w:rStyle w:val="15"/>
          <w:rFonts w:hint="eastAsia" w:ascii="仿宋" w:hAnsi="仿宋" w:eastAsia="仿宋" w:cstheme="minorBidi"/>
          <w:bCs/>
          <w:color w:val="auto"/>
          <w:sz w:val="32"/>
          <w:szCs w:val="32"/>
          <w:highlight w:val="none"/>
          <w:lang w:val="en-US" w:eastAsia="zh-CN"/>
        </w:rPr>
        <w:t>社会保障和就业支出（类）抚恤（款）死亡抚恤（项）：支出决算为24.43万元，完成预算100%。</w:t>
      </w:r>
    </w:p>
    <w:p>
      <w:pPr>
        <w:keepNext w:val="0"/>
        <w:keepLines w:val="0"/>
        <w:pageBreakBefore w:val="0"/>
        <w:widowControl w:val="0"/>
        <w:numPr>
          <w:ilvl w:val="0"/>
          <w:numId w:val="1"/>
        </w:numPr>
        <w:shd w:val="clear"/>
        <w:kinsoku/>
        <w:wordWrap/>
        <w:overflowPunct/>
        <w:topLinePunct w:val="0"/>
        <w:bidi w:val="0"/>
        <w:snapToGrid/>
        <w:spacing w:line="576" w:lineRule="exact"/>
        <w:ind w:left="0" w:leftChars="0" w:right="0" w:firstLine="642" w:firstLineChars="200"/>
        <w:jc w:val="both"/>
        <w:textAlignment w:val="auto"/>
        <w:rPr>
          <w:rStyle w:val="15"/>
          <w:rFonts w:hint="eastAsia" w:ascii="仿宋_GB2312" w:hAnsi="仿宋_GB2312" w:eastAsia="仿宋_GB2312" w:cs="仿宋_GB2312"/>
          <w:b w:val="0"/>
          <w:bCs/>
          <w:color w:val="auto"/>
          <w:sz w:val="32"/>
          <w:szCs w:val="32"/>
          <w:highlight w:val="none"/>
          <w:lang w:eastAsia="zh-CN"/>
        </w:rPr>
      </w:pPr>
      <w:r>
        <w:rPr>
          <w:rStyle w:val="15"/>
          <w:rFonts w:hint="eastAsia" w:ascii="仿宋_GB2312" w:hAnsi="仿宋_GB2312" w:eastAsia="仿宋_GB2312" w:cs="仿宋_GB2312"/>
          <w:bCs/>
          <w:color w:val="auto"/>
          <w:sz w:val="32"/>
          <w:szCs w:val="32"/>
          <w:highlight w:val="none"/>
          <w:lang w:val="en-US" w:eastAsia="zh-CN"/>
        </w:rPr>
        <w:t>卫生健康支出</w:t>
      </w:r>
      <w:r>
        <w:rPr>
          <w:rStyle w:val="15"/>
          <w:rFonts w:hint="eastAsia" w:ascii="仿宋_GB2312" w:hAnsi="仿宋_GB2312" w:eastAsia="仿宋_GB2312" w:cs="仿宋_GB2312"/>
          <w:bCs/>
          <w:color w:val="auto"/>
          <w:sz w:val="32"/>
          <w:szCs w:val="32"/>
          <w:highlight w:val="none"/>
        </w:rPr>
        <w:t>（类）</w:t>
      </w:r>
      <w:r>
        <w:rPr>
          <w:rStyle w:val="15"/>
          <w:rFonts w:hint="eastAsia" w:ascii="仿宋_GB2312" w:hAnsi="仿宋_GB2312" w:eastAsia="仿宋_GB2312" w:cs="仿宋_GB2312"/>
          <w:bCs/>
          <w:color w:val="auto"/>
          <w:sz w:val="32"/>
          <w:szCs w:val="32"/>
          <w:highlight w:val="none"/>
          <w:lang w:val="en-US" w:eastAsia="zh-CN"/>
        </w:rPr>
        <w:t>行政事业单位医疗</w:t>
      </w:r>
      <w:r>
        <w:rPr>
          <w:rStyle w:val="15"/>
          <w:rFonts w:hint="eastAsia" w:ascii="仿宋_GB2312" w:hAnsi="仿宋_GB2312" w:eastAsia="仿宋_GB2312" w:cs="仿宋_GB2312"/>
          <w:bCs/>
          <w:color w:val="auto"/>
          <w:sz w:val="32"/>
          <w:szCs w:val="32"/>
          <w:highlight w:val="none"/>
        </w:rPr>
        <w:t>（款）</w:t>
      </w:r>
      <w:r>
        <w:rPr>
          <w:rStyle w:val="15"/>
          <w:rFonts w:hint="eastAsia" w:ascii="仿宋_GB2312" w:hAnsi="仿宋_GB2312" w:eastAsia="仿宋_GB2312" w:cs="仿宋_GB2312"/>
          <w:bCs/>
          <w:color w:val="auto"/>
          <w:sz w:val="32"/>
          <w:szCs w:val="32"/>
          <w:highlight w:val="none"/>
          <w:lang w:val="en-US" w:eastAsia="zh-CN"/>
        </w:rPr>
        <w:t>行政单位医疗</w:t>
      </w:r>
      <w:r>
        <w:rPr>
          <w:rStyle w:val="15"/>
          <w:rFonts w:hint="eastAsia" w:ascii="仿宋_GB2312" w:hAnsi="仿宋_GB2312" w:eastAsia="仿宋_GB2312" w:cs="仿宋_GB2312"/>
          <w:bCs/>
          <w:color w:val="auto"/>
          <w:sz w:val="32"/>
          <w:szCs w:val="32"/>
          <w:highlight w:val="none"/>
        </w:rPr>
        <w:t>（项）</w:t>
      </w:r>
      <w:r>
        <w:rPr>
          <w:rStyle w:val="15"/>
          <w:rFonts w:hint="eastAsia" w:ascii="仿宋_GB2312" w:hAnsi="仿宋_GB2312" w:eastAsia="仿宋_GB2312" w:cs="仿宋_GB2312"/>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42.54</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w:t>
      </w:r>
      <w:r>
        <w:rPr>
          <w:rStyle w:val="15"/>
          <w:rFonts w:hint="eastAsia" w:ascii="仿宋_GB2312" w:hAnsi="仿宋_GB2312" w:eastAsia="仿宋_GB2312" w:cs="仿宋_GB2312"/>
          <w:b w:val="0"/>
          <w:bCs/>
          <w:color w:val="auto"/>
          <w:sz w:val="32"/>
          <w:szCs w:val="32"/>
          <w:highlight w:val="none"/>
          <w:lang w:eastAsia="zh-CN"/>
        </w:rPr>
        <w:t>。</w:t>
      </w:r>
    </w:p>
    <w:p>
      <w:pPr>
        <w:keepNext w:val="0"/>
        <w:keepLines w:val="0"/>
        <w:pageBreakBefore w:val="0"/>
        <w:widowControl w:val="0"/>
        <w:numPr>
          <w:ilvl w:val="0"/>
          <w:numId w:val="1"/>
        </w:numPr>
        <w:shd w:val="clear"/>
        <w:kinsoku/>
        <w:wordWrap/>
        <w:overflowPunct/>
        <w:topLinePunct w:val="0"/>
        <w:bidi w:val="0"/>
        <w:snapToGrid/>
        <w:spacing w:line="576" w:lineRule="exact"/>
        <w:ind w:left="0" w:leftChars="0" w:right="0" w:firstLine="642" w:firstLineChars="200"/>
        <w:jc w:val="both"/>
        <w:textAlignment w:val="auto"/>
        <w:rPr>
          <w:rStyle w:val="15"/>
          <w:rFonts w:hint="eastAsia" w:ascii="仿宋_GB2312" w:hAnsi="仿宋_GB2312" w:eastAsia="仿宋_GB2312" w:cs="仿宋_GB2312"/>
          <w:b w:val="0"/>
          <w:bCs/>
          <w:color w:val="auto"/>
          <w:sz w:val="32"/>
          <w:szCs w:val="32"/>
          <w:highlight w:val="none"/>
          <w:lang w:eastAsia="zh-CN"/>
        </w:rPr>
      </w:pPr>
      <w:r>
        <w:rPr>
          <w:rStyle w:val="15"/>
          <w:rFonts w:hint="eastAsia" w:ascii="仿宋" w:hAnsi="仿宋" w:eastAsia="仿宋"/>
          <w:bCs/>
          <w:color w:val="auto"/>
          <w:sz w:val="32"/>
          <w:szCs w:val="32"/>
          <w:highlight w:val="none"/>
          <w:lang w:val="en-US" w:eastAsia="zh-CN"/>
        </w:rPr>
        <w:t>卫生健康支出</w:t>
      </w:r>
      <w:r>
        <w:rPr>
          <w:rStyle w:val="15"/>
          <w:rFonts w:hint="eastAsia" w:ascii="仿宋" w:hAnsi="仿宋" w:eastAsia="仿宋"/>
          <w:bCs/>
          <w:color w:val="auto"/>
          <w:sz w:val="32"/>
          <w:szCs w:val="32"/>
          <w:highlight w:val="none"/>
        </w:rPr>
        <w:t>（类）</w:t>
      </w:r>
      <w:r>
        <w:rPr>
          <w:rStyle w:val="15"/>
          <w:rFonts w:hint="eastAsia" w:ascii="仿宋" w:hAnsi="仿宋" w:eastAsia="仿宋"/>
          <w:bCs/>
          <w:color w:val="auto"/>
          <w:sz w:val="32"/>
          <w:szCs w:val="32"/>
          <w:highlight w:val="none"/>
          <w:lang w:val="en-US" w:eastAsia="zh-CN"/>
        </w:rPr>
        <w:t>行政事业单位医疗</w:t>
      </w:r>
      <w:r>
        <w:rPr>
          <w:rStyle w:val="15"/>
          <w:rFonts w:hint="eastAsia" w:ascii="仿宋" w:hAnsi="仿宋" w:eastAsia="仿宋"/>
          <w:bCs/>
          <w:color w:val="auto"/>
          <w:sz w:val="32"/>
          <w:szCs w:val="32"/>
          <w:highlight w:val="none"/>
        </w:rPr>
        <w:t>（款）</w:t>
      </w:r>
      <w:r>
        <w:rPr>
          <w:rStyle w:val="15"/>
          <w:rFonts w:hint="eastAsia" w:ascii="仿宋" w:hAnsi="仿宋" w:eastAsia="仿宋"/>
          <w:bCs/>
          <w:color w:val="auto"/>
          <w:sz w:val="32"/>
          <w:szCs w:val="32"/>
          <w:highlight w:val="none"/>
          <w:lang w:val="en-US" w:eastAsia="zh-CN"/>
        </w:rPr>
        <w:t>其他行政事业单位医疗支出</w:t>
      </w:r>
      <w:r>
        <w:rPr>
          <w:rStyle w:val="15"/>
          <w:rFonts w:hint="eastAsia" w:ascii="仿宋" w:hAnsi="仿宋" w:eastAsia="仿宋"/>
          <w:bCs/>
          <w:color w:val="auto"/>
          <w:sz w:val="32"/>
          <w:szCs w:val="32"/>
          <w:highlight w:val="none"/>
        </w:rPr>
        <w:t>（项）</w:t>
      </w:r>
      <w:r>
        <w:rPr>
          <w:rStyle w:val="15"/>
          <w:rFonts w:hint="eastAsia" w:ascii="仿宋" w:hAnsi="仿宋" w:eastAsia="仿宋"/>
          <w:bCs/>
          <w:color w:val="auto"/>
          <w:sz w:val="32"/>
          <w:szCs w:val="32"/>
          <w:highlight w:val="none"/>
          <w:lang w:eastAsia="zh-CN"/>
        </w:rPr>
        <w:t>：</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1.17</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lang w:eastAsia="zh-CN"/>
        </w:rPr>
        <w:t>。</w:t>
      </w:r>
    </w:p>
    <w:p>
      <w:pPr>
        <w:keepNext w:val="0"/>
        <w:keepLines w:val="0"/>
        <w:pageBreakBefore w:val="0"/>
        <w:widowControl w:val="0"/>
        <w:numPr>
          <w:ilvl w:val="0"/>
          <w:numId w:val="1"/>
        </w:numPr>
        <w:shd w:val="clear"/>
        <w:kinsoku/>
        <w:wordWrap/>
        <w:overflowPunct/>
        <w:topLinePunct w:val="0"/>
        <w:bidi w:val="0"/>
        <w:snapToGrid/>
        <w:spacing w:line="576" w:lineRule="exact"/>
        <w:ind w:left="0" w:leftChars="0" w:right="0" w:firstLine="642" w:firstLineChars="200"/>
        <w:jc w:val="both"/>
        <w:textAlignment w:val="auto"/>
        <w:rPr>
          <w:rStyle w:val="15"/>
          <w:rFonts w:hint="eastAsia" w:ascii="仿宋_GB2312" w:hAnsi="仿宋_GB2312" w:eastAsia="仿宋_GB2312" w:cs="仿宋_GB2312"/>
          <w:b w:val="0"/>
          <w:bCs/>
          <w:color w:val="auto"/>
          <w:sz w:val="32"/>
          <w:szCs w:val="32"/>
          <w:highlight w:val="none"/>
          <w:lang w:eastAsia="zh-CN"/>
        </w:rPr>
      </w:pPr>
      <w:r>
        <w:rPr>
          <w:rStyle w:val="15"/>
          <w:rFonts w:hint="eastAsia" w:ascii="仿宋_GB2312" w:hAnsi="仿宋_GB2312" w:eastAsia="仿宋_GB2312" w:cs="仿宋_GB2312"/>
          <w:bCs/>
          <w:color w:val="auto"/>
          <w:sz w:val="32"/>
          <w:szCs w:val="32"/>
          <w:highlight w:val="none"/>
          <w:lang w:val="en-US" w:eastAsia="zh-CN"/>
        </w:rPr>
        <w:t>节能环保支出</w:t>
      </w:r>
      <w:r>
        <w:rPr>
          <w:rStyle w:val="15"/>
          <w:rFonts w:hint="eastAsia" w:ascii="仿宋_GB2312" w:hAnsi="仿宋_GB2312" w:eastAsia="仿宋_GB2312" w:cs="仿宋_GB2312"/>
          <w:bCs/>
          <w:color w:val="auto"/>
          <w:sz w:val="32"/>
          <w:szCs w:val="32"/>
          <w:highlight w:val="none"/>
        </w:rPr>
        <w:t>（类）</w:t>
      </w:r>
      <w:r>
        <w:rPr>
          <w:rStyle w:val="15"/>
          <w:rFonts w:hint="eastAsia" w:ascii="仿宋_GB2312" w:hAnsi="仿宋_GB2312" w:eastAsia="仿宋_GB2312" w:cs="仿宋_GB2312"/>
          <w:bCs/>
          <w:color w:val="auto"/>
          <w:sz w:val="32"/>
          <w:szCs w:val="32"/>
          <w:highlight w:val="none"/>
          <w:lang w:val="en-US" w:eastAsia="zh-CN"/>
        </w:rPr>
        <w:t>自然生态保护</w:t>
      </w:r>
      <w:r>
        <w:rPr>
          <w:rStyle w:val="15"/>
          <w:rFonts w:hint="eastAsia" w:ascii="仿宋_GB2312" w:hAnsi="仿宋_GB2312" w:eastAsia="仿宋_GB2312" w:cs="仿宋_GB2312"/>
          <w:bCs/>
          <w:color w:val="auto"/>
          <w:sz w:val="32"/>
          <w:szCs w:val="32"/>
          <w:highlight w:val="none"/>
        </w:rPr>
        <w:t>（款）</w:t>
      </w:r>
      <w:r>
        <w:rPr>
          <w:rStyle w:val="15"/>
          <w:rFonts w:hint="eastAsia" w:ascii="仿宋_GB2312" w:hAnsi="仿宋_GB2312" w:eastAsia="仿宋_GB2312" w:cs="仿宋_GB2312"/>
          <w:bCs/>
          <w:color w:val="auto"/>
          <w:sz w:val="32"/>
          <w:szCs w:val="32"/>
          <w:highlight w:val="none"/>
          <w:lang w:val="en-US" w:eastAsia="zh-CN"/>
        </w:rPr>
        <w:t>生态保护</w:t>
      </w:r>
      <w:r>
        <w:rPr>
          <w:rStyle w:val="15"/>
          <w:rFonts w:hint="eastAsia" w:ascii="仿宋_GB2312" w:hAnsi="仿宋_GB2312" w:eastAsia="仿宋_GB2312" w:cs="仿宋_GB2312"/>
          <w:bCs/>
          <w:color w:val="auto"/>
          <w:sz w:val="32"/>
          <w:szCs w:val="32"/>
          <w:highlight w:val="none"/>
        </w:rPr>
        <w:t>（项）</w:t>
      </w:r>
      <w:r>
        <w:rPr>
          <w:rStyle w:val="15"/>
          <w:rFonts w:hint="eastAsia" w:ascii="仿宋_GB2312" w:hAnsi="仿宋_GB2312" w:eastAsia="仿宋_GB2312" w:cs="仿宋_GB2312"/>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8.24</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w:t>
      </w:r>
      <w:r>
        <w:rPr>
          <w:rStyle w:val="15"/>
          <w:rFonts w:hint="eastAsia" w:ascii="仿宋_GB2312" w:hAnsi="仿宋_GB2312" w:eastAsia="仿宋_GB2312" w:cs="仿宋_GB2312"/>
          <w:b w:val="0"/>
          <w:bCs/>
          <w:color w:val="auto"/>
          <w:sz w:val="32"/>
          <w:szCs w:val="32"/>
          <w:highlight w:val="none"/>
          <w:lang w:eastAsia="zh-CN"/>
        </w:rPr>
        <w:t>。</w:t>
      </w:r>
    </w:p>
    <w:p>
      <w:pPr>
        <w:keepNext w:val="0"/>
        <w:keepLines w:val="0"/>
        <w:pageBreakBefore w:val="0"/>
        <w:widowControl w:val="0"/>
        <w:numPr>
          <w:ilvl w:val="0"/>
          <w:numId w:val="1"/>
        </w:numPr>
        <w:shd w:val="clear"/>
        <w:kinsoku/>
        <w:wordWrap/>
        <w:overflowPunct/>
        <w:topLinePunct w:val="0"/>
        <w:bidi w:val="0"/>
        <w:snapToGrid/>
        <w:spacing w:line="576" w:lineRule="exact"/>
        <w:ind w:left="0" w:leftChars="0" w:right="0" w:firstLine="642" w:firstLineChars="200"/>
        <w:jc w:val="both"/>
        <w:textAlignment w:val="auto"/>
        <w:rPr>
          <w:rStyle w:val="15"/>
          <w:rFonts w:hint="eastAsia" w:ascii="仿宋_GB2312" w:hAnsi="仿宋_GB2312" w:eastAsia="仿宋_GB2312" w:cs="仿宋_GB2312"/>
          <w:b w:val="0"/>
          <w:bCs/>
          <w:color w:val="auto"/>
          <w:sz w:val="32"/>
          <w:szCs w:val="32"/>
          <w:highlight w:val="none"/>
          <w:lang w:eastAsia="zh-CN"/>
        </w:rPr>
      </w:pPr>
      <w:r>
        <w:rPr>
          <w:rStyle w:val="15"/>
          <w:rFonts w:hint="eastAsia" w:ascii="仿宋_GB2312" w:hAnsi="仿宋_GB2312" w:eastAsia="仿宋_GB2312" w:cs="仿宋_GB2312"/>
          <w:bCs/>
          <w:color w:val="auto"/>
          <w:sz w:val="32"/>
          <w:szCs w:val="32"/>
          <w:highlight w:val="none"/>
          <w:lang w:val="en-US" w:eastAsia="zh-CN"/>
        </w:rPr>
        <w:t>自然资源海洋气象等支出</w:t>
      </w:r>
      <w:r>
        <w:rPr>
          <w:rStyle w:val="15"/>
          <w:rFonts w:hint="eastAsia" w:ascii="仿宋_GB2312" w:hAnsi="仿宋_GB2312" w:eastAsia="仿宋_GB2312" w:cs="仿宋_GB2312"/>
          <w:bCs/>
          <w:color w:val="auto"/>
          <w:sz w:val="32"/>
          <w:szCs w:val="32"/>
          <w:highlight w:val="none"/>
        </w:rPr>
        <w:t>（类）</w:t>
      </w:r>
      <w:r>
        <w:rPr>
          <w:rStyle w:val="15"/>
          <w:rFonts w:hint="eastAsia" w:ascii="仿宋_GB2312" w:hAnsi="仿宋_GB2312" w:eastAsia="仿宋_GB2312" w:cs="仿宋_GB2312"/>
          <w:bCs/>
          <w:color w:val="auto"/>
          <w:sz w:val="32"/>
          <w:szCs w:val="32"/>
          <w:highlight w:val="none"/>
          <w:lang w:val="en-US" w:eastAsia="zh-CN"/>
        </w:rPr>
        <w:t>自然资源事务</w:t>
      </w:r>
      <w:r>
        <w:rPr>
          <w:rStyle w:val="15"/>
          <w:rFonts w:hint="eastAsia" w:ascii="仿宋_GB2312" w:hAnsi="仿宋_GB2312" w:eastAsia="仿宋_GB2312" w:cs="仿宋_GB2312"/>
          <w:bCs/>
          <w:color w:val="auto"/>
          <w:sz w:val="32"/>
          <w:szCs w:val="32"/>
          <w:highlight w:val="none"/>
        </w:rPr>
        <w:t>（款）</w:t>
      </w:r>
      <w:r>
        <w:rPr>
          <w:rStyle w:val="15"/>
          <w:rFonts w:hint="eastAsia" w:ascii="仿宋_GB2312" w:hAnsi="仿宋_GB2312" w:eastAsia="仿宋_GB2312" w:cs="仿宋_GB2312"/>
          <w:bCs/>
          <w:color w:val="auto"/>
          <w:sz w:val="32"/>
          <w:szCs w:val="32"/>
          <w:highlight w:val="none"/>
          <w:lang w:val="en-US" w:eastAsia="zh-CN"/>
        </w:rPr>
        <w:t>行政运行</w:t>
      </w:r>
      <w:r>
        <w:rPr>
          <w:rStyle w:val="15"/>
          <w:rFonts w:hint="eastAsia" w:ascii="仿宋_GB2312" w:hAnsi="仿宋_GB2312" w:eastAsia="仿宋_GB2312" w:cs="仿宋_GB2312"/>
          <w:bCs/>
          <w:color w:val="auto"/>
          <w:sz w:val="32"/>
          <w:szCs w:val="32"/>
          <w:highlight w:val="none"/>
        </w:rPr>
        <w:t>（项）</w:t>
      </w:r>
      <w:r>
        <w:rPr>
          <w:rStyle w:val="15"/>
          <w:rFonts w:hint="eastAsia" w:ascii="仿宋_GB2312" w:hAnsi="仿宋_GB2312" w:eastAsia="仿宋_GB2312" w:cs="仿宋_GB2312"/>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1186.36</w:t>
      </w:r>
      <w:r>
        <w:rPr>
          <w:rStyle w:val="15"/>
          <w:rFonts w:hint="eastAsia" w:ascii="仿宋_GB2312" w:hAnsi="仿宋_GB2312" w:eastAsia="仿宋_GB2312" w:cs="仿宋_GB2312"/>
          <w:b w:val="0"/>
          <w:bCs/>
          <w:color w:val="auto"/>
          <w:sz w:val="32"/>
          <w:szCs w:val="32"/>
          <w:highlight w:val="none"/>
        </w:rPr>
        <w:t>万元，</w:t>
      </w:r>
      <w:r>
        <w:rPr>
          <w:rStyle w:val="15"/>
          <w:rFonts w:hint="eastAsia" w:ascii="仿宋_GB2312" w:hAnsi="仿宋_GB2312" w:eastAsia="仿宋_GB2312" w:cs="仿宋_GB2312"/>
          <w:b w:val="0"/>
          <w:bCs/>
          <w:color w:val="auto"/>
          <w:sz w:val="32"/>
          <w:szCs w:val="32"/>
          <w:highlight w:val="none"/>
          <w:lang w:val="en-US" w:eastAsia="zh-CN"/>
        </w:rPr>
        <w:t>与预算基本持平</w:t>
      </w:r>
      <w:r>
        <w:rPr>
          <w:rStyle w:val="15"/>
          <w:rFonts w:hint="eastAsia" w:ascii="仿宋_GB2312" w:hAnsi="仿宋_GB2312" w:eastAsia="仿宋_GB2312" w:cs="仿宋_GB2312"/>
          <w:b w:val="0"/>
          <w:bCs/>
          <w:color w:val="auto"/>
          <w:sz w:val="32"/>
          <w:szCs w:val="32"/>
          <w:highlight w:val="none"/>
          <w:lang w:eastAsia="zh-CN"/>
        </w:rPr>
        <w:t>。</w:t>
      </w:r>
    </w:p>
    <w:p>
      <w:pPr>
        <w:keepNext w:val="0"/>
        <w:keepLines w:val="0"/>
        <w:pageBreakBefore w:val="0"/>
        <w:widowControl w:val="0"/>
        <w:numPr>
          <w:ilvl w:val="0"/>
          <w:numId w:val="1"/>
        </w:numPr>
        <w:shd w:val="clear"/>
        <w:kinsoku/>
        <w:wordWrap/>
        <w:overflowPunct/>
        <w:topLinePunct w:val="0"/>
        <w:bidi w:val="0"/>
        <w:snapToGrid/>
        <w:spacing w:line="576" w:lineRule="exact"/>
        <w:ind w:left="0" w:leftChars="0" w:right="0" w:firstLine="642" w:firstLineChars="200"/>
        <w:jc w:val="both"/>
        <w:textAlignment w:val="auto"/>
        <w:rPr>
          <w:rStyle w:val="15"/>
          <w:rFonts w:hint="eastAsia" w:ascii="仿宋_GB2312" w:hAnsi="仿宋_GB2312" w:eastAsia="仿宋_GB2312" w:cs="仿宋_GB2312"/>
          <w:b w:val="0"/>
          <w:bCs/>
          <w:color w:val="auto"/>
          <w:sz w:val="32"/>
          <w:szCs w:val="32"/>
          <w:highlight w:val="none"/>
          <w:lang w:eastAsia="zh-CN"/>
        </w:rPr>
      </w:pPr>
      <w:r>
        <w:rPr>
          <w:rStyle w:val="15"/>
          <w:rFonts w:hint="eastAsia" w:ascii="仿宋_GB2312" w:hAnsi="仿宋_GB2312" w:eastAsia="仿宋_GB2312" w:cs="仿宋_GB2312"/>
          <w:bCs/>
          <w:color w:val="auto"/>
          <w:sz w:val="32"/>
          <w:szCs w:val="32"/>
          <w:highlight w:val="none"/>
          <w:lang w:val="en-US" w:eastAsia="zh-CN"/>
        </w:rPr>
        <w:t>自然资源海洋气象等支出</w:t>
      </w:r>
      <w:r>
        <w:rPr>
          <w:rStyle w:val="15"/>
          <w:rFonts w:hint="eastAsia" w:ascii="仿宋_GB2312" w:hAnsi="仿宋_GB2312" w:eastAsia="仿宋_GB2312" w:cs="仿宋_GB2312"/>
          <w:bCs/>
          <w:color w:val="auto"/>
          <w:sz w:val="32"/>
          <w:szCs w:val="32"/>
          <w:highlight w:val="none"/>
        </w:rPr>
        <w:t>（类）</w:t>
      </w:r>
      <w:r>
        <w:rPr>
          <w:rStyle w:val="15"/>
          <w:rFonts w:hint="eastAsia" w:ascii="仿宋_GB2312" w:hAnsi="仿宋_GB2312" w:eastAsia="仿宋_GB2312" w:cs="仿宋_GB2312"/>
          <w:bCs/>
          <w:color w:val="auto"/>
          <w:sz w:val="32"/>
          <w:szCs w:val="32"/>
          <w:highlight w:val="none"/>
          <w:lang w:val="en-US" w:eastAsia="zh-CN"/>
        </w:rPr>
        <w:t>自然资源事务</w:t>
      </w:r>
      <w:r>
        <w:rPr>
          <w:rStyle w:val="15"/>
          <w:rFonts w:hint="eastAsia" w:ascii="仿宋_GB2312" w:hAnsi="仿宋_GB2312" w:eastAsia="仿宋_GB2312" w:cs="仿宋_GB2312"/>
          <w:bCs/>
          <w:color w:val="auto"/>
          <w:sz w:val="32"/>
          <w:szCs w:val="32"/>
          <w:highlight w:val="none"/>
        </w:rPr>
        <w:t>（款）</w:t>
      </w:r>
      <w:r>
        <w:rPr>
          <w:rStyle w:val="15"/>
          <w:rFonts w:hint="eastAsia" w:ascii="仿宋_GB2312" w:hAnsi="仿宋_GB2312" w:eastAsia="仿宋_GB2312" w:cs="仿宋_GB2312"/>
          <w:bCs/>
          <w:color w:val="auto"/>
          <w:sz w:val="32"/>
          <w:szCs w:val="32"/>
          <w:highlight w:val="none"/>
          <w:lang w:val="en-US" w:eastAsia="zh-CN"/>
        </w:rPr>
        <w:t>一般行政管理事务</w:t>
      </w:r>
      <w:r>
        <w:rPr>
          <w:rStyle w:val="15"/>
          <w:rFonts w:hint="eastAsia" w:ascii="仿宋_GB2312" w:hAnsi="仿宋_GB2312" w:eastAsia="仿宋_GB2312" w:cs="仿宋_GB2312"/>
          <w:bCs/>
          <w:color w:val="auto"/>
          <w:sz w:val="32"/>
          <w:szCs w:val="32"/>
          <w:highlight w:val="none"/>
        </w:rPr>
        <w:t>（项）</w:t>
      </w:r>
      <w:r>
        <w:rPr>
          <w:rStyle w:val="15"/>
          <w:rFonts w:hint="eastAsia" w:ascii="仿宋_GB2312" w:hAnsi="仿宋_GB2312" w:eastAsia="仿宋_GB2312" w:cs="仿宋_GB2312"/>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20</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w:t>
      </w:r>
      <w:r>
        <w:rPr>
          <w:rStyle w:val="15"/>
          <w:rFonts w:hint="eastAsia" w:ascii="仿宋_GB2312" w:hAnsi="仿宋_GB2312" w:eastAsia="仿宋_GB2312" w:cs="仿宋_GB2312"/>
          <w:b w:val="0"/>
          <w:bCs/>
          <w:color w:val="auto"/>
          <w:sz w:val="32"/>
          <w:szCs w:val="32"/>
          <w:highlight w:val="none"/>
          <w:lang w:eastAsia="zh-CN"/>
        </w:rPr>
        <w:t>。</w:t>
      </w:r>
    </w:p>
    <w:p>
      <w:pPr>
        <w:keepNext w:val="0"/>
        <w:keepLines w:val="0"/>
        <w:pageBreakBefore w:val="0"/>
        <w:widowControl w:val="0"/>
        <w:numPr>
          <w:ilvl w:val="0"/>
          <w:numId w:val="1"/>
        </w:numPr>
        <w:shd w:val="clear"/>
        <w:kinsoku/>
        <w:wordWrap/>
        <w:overflowPunct/>
        <w:topLinePunct w:val="0"/>
        <w:bidi w:val="0"/>
        <w:snapToGrid/>
        <w:spacing w:line="576" w:lineRule="exact"/>
        <w:ind w:left="0" w:leftChars="0" w:right="0" w:firstLine="642" w:firstLineChars="200"/>
        <w:jc w:val="both"/>
        <w:textAlignment w:val="auto"/>
        <w:rPr>
          <w:rStyle w:val="15"/>
          <w:rFonts w:hint="eastAsia" w:ascii="仿宋_GB2312" w:hAnsi="仿宋_GB2312" w:eastAsia="仿宋_GB2312" w:cs="仿宋_GB2312"/>
          <w:b w:val="0"/>
          <w:bCs/>
          <w:color w:val="auto"/>
          <w:sz w:val="32"/>
          <w:szCs w:val="32"/>
          <w:highlight w:val="none"/>
          <w:lang w:eastAsia="zh-CN"/>
        </w:rPr>
      </w:pPr>
      <w:r>
        <w:rPr>
          <w:rStyle w:val="15"/>
          <w:rFonts w:hint="eastAsia" w:ascii="仿宋_GB2312" w:hAnsi="仿宋_GB2312" w:eastAsia="仿宋_GB2312" w:cs="仿宋_GB2312"/>
          <w:bCs/>
          <w:color w:val="auto"/>
          <w:sz w:val="32"/>
          <w:szCs w:val="32"/>
          <w:highlight w:val="none"/>
          <w:lang w:val="en-US" w:eastAsia="zh-CN"/>
        </w:rPr>
        <w:t>自然资源海洋气象等支出</w:t>
      </w:r>
      <w:r>
        <w:rPr>
          <w:rStyle w:val="15"/>
          <w:rFonts w:hint="eastAsia" w:ascii="仿宋_GB2312" w:hAnsi="仿宋_GB2312" w:eastAsia="仿宋_GB2312" w:cs="仿宋_GB2312"/>
          <w:bCs/>
          <w:color w:val="auto"/>
          <w:sz w:val="32"/>
          <w:szCs w:val="32"/>
          <w:highlight w:val="none"/>
        </w:rPr>
        <w:t>（类）</w:t>
      </w:r>
      <w:r>
        <w:rPr>
          <w:rStyle w:val="15"/>
          <w:rFonts w:hint="eastAsia" w:ascii="仿宋_GB2312" w:hAnsi="仿宋_GB2312" w:eastAsia="仿宋_GB2312" w:cs="仿宋_GB2312"/>
          <w:bCs/>
          <w:color w:val="auto"/>
          <w:sz w:val="32"/>
          <w:szCs w:val="32"/>
          <w:highlight w:val="none"/>
          <w:lang w:val="en-US" w:eastAsia="zh-CN"/>
        </w:rPr>
        <w:t>自然资源事务</w:t>
      </w:r>
      <w:r>
        <w:rPr>
          <w:rStyle w:val="15"/>
          <w:rFonts w:hint="eastAsia" w:ascii="仿宋_GB2312" w:hAnsi="仿宋_GB2312" w:eastAsia="仿宋_GB2312" w:cs="仿宋_GB2312"/>
          <w:bCs/>
          <w:color w:val="auto"/>
          <w:sz w:val="32"/>
          <w:szCs w:val="32"/>
          <w:highlight w:val="none"/>
        </w:rPr>
        <w:t>（款）</w:t>
      </w:r>
      <w:r>
        <w:rPr>
          <w:rStyle w:val="15"/>
          <w:rFonts w:hint="eastAsia" w:ascii="仿宋_GB2312" w:hAnsi="仿宋_GB2312" w:eastAsia="仿宋_GB2312" w:cs="仿宋_GB2312"/>
          <w:bCs/>
          <w:color w:val="auto"/>
          <w:sz w:val="32"/>
          <w:szCs w:val="32"/>
          <w:highlight w:val="none"/>
          <w:lang w:val="en-US" w:eastAsia="zh-CN"/>
        </w:rPr>
        <w:t>自然资源利用与保护</w:t>
      </w:r>
      <w:r>
        <w:rPr>
          <w:rStyle w:val="15"/>
          <w:rFonts w:hint="eastAsia" w:ascii="仿宋_GB2312" w:hAnsi="仿宋_GB2312" w:eastAsia="仿宋_GB2312" w:cs="仿宋_GB2312"/>
          <w:bCs/>
          <w:color w:val="auto"/>
          <w:sz w:val="32"/>
          <w:szCs w:val="32"/>
          <w:highlight w:val="none"/>
        </w:rPr>
        <w:t>（项）</w:t>
      </w:r>
      <w:r>
        <w:rPr>
          <w:rStyle w:val="15"/>
          <w:rFonts w:hint="eastAsia" w:ascii="仿宋_GB2312" w:hAnsi="仿宋_GB2312" w:eastAsia="仿宋_GB2312" w:cs="仿宋_GB2312"/>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239.97</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w:t>
      </w:r>
      <w:r>
        <w:rPr>
          <w:rStyle w:val="15"/>
          <w:rFonts w:hint="eastAsia" w:ascii="仿宋_GB2312" w:hAnsi="仿宋_GB2312" w:eastAsia="仿宋_GB2312" w:cs="仿宋_GB2312"/>
          <w:b w:val="0"/>
          <w:bCs/>
          <w:color w:val="auto"/>
          <w:sz w:val="32"/>
          <w:szCs w:val="32"/>
          <w:highlight w:val="none"/>
          <w:lang w:eastAsia="zh-CN"/>
        </w:rPr>
        <w:t>。</w:t>
      </w:r>
    </w:p>
    <w:p>
      <w:pPr>
        <w:keepNext w:val="0"/>
        <w:keepLines w:val="0"/>
        <w:pageBreakBefore w:val="0"/>
        <w:widowControl w:val="0"/>
        <w:numPr>
          <w:ilvl w:val="0"/>
          <w:numId w:val="1"/>
        </w:numPr>
        <w:shd w:val="clear"/>
        <w:kinsoku/>
        <w:wordWrap/>
        <w:overflowPunct/>
        <w:topLinePunct w:val="0"/>
        <w:bidi w:val="0"/>
        <w:snapToGrid/>
        <w:spacing w:line="576" w:lineRule="exact"/>
        <w:ind w:left="0" w:leftChars="0" w:right="0" w:firstLine="642" w:firstLineChars="200"/>
        <w:jc w:val="both"/>
        <w:textAlignment w:val="auto"/>
        <w:rPr>
          <w:rStyle w:val="15"/>
          <w:rFonts w:hint="eastAsia" w:ascii="仿宋_GB2312" w:hAnsi="仿宋_GB2312" w:eastAsia="仿宋_GB2312" w:cs="仿宋_GB2312"/>
          <w:b w:val="0"/>
          <w:bCs/>
          <w:color w:val="auto"/>
          <w:sz w:val="32"/>
          <w:szCs w:val="32"/>
          <w:highlight w:val="none"/>
          <w:lang w:eastAsia="zh-CN"/>
        </w:rPr>
      </w:pPr>
      <w:r>
        <w:rPr>
          <w:rStyle w:val="15"/>
          <w:rFonts w:hint="eastAsia" w:ascii="仿宋_GB2312" w:hAnsi="仿宋_GB2312" w:eastAsia="仿宋_GB2312" w:cs="仿宋_GB2312"/>
          <w:bCs/>
          <w:color w:val="auto"/>
          <w:sz w:val="32"/>
          <w:szCs w:val="32"/>
          <w:highlight w:val="none"/>
          <w:lang w:val="en-US" w:eastAsia="zh-CN"/>
        </w:rPr>
        <w:t>自然资源海洋气象等支出</w:t>
      </w:r>
      <w:r>
        <w:rPr>
          <w:rStyle w:val="15"/>
          <w:rFonts w:hint="eastAsia" w:ascii="仿宋_GB2312" w:hAnsi="仿宋_GB2312" w:eastAsia="仿宋_GB2312" w:cs="仿宋_GB2312"/>
          <w:bCs/>
          <w:color w:val="auto"/>
          <w:sz w:val="32"/>
          <w:szCs w:val="32"/>
          <w:highlight w:val="none"/>
        </w:rPr>
        <w:t>（类）</w:t>
      </w:r>
      <w:r>
        <w:rPr>
          <w:rStyle w:val="15"/>
          <w:rFonts w:hint="eastAsia" w:ascii="仿宋_GB2312" w:hAnsi="仿宋_GB2312" w:eastAsia="仿宋_GB2312" w:cs="仿宋_GB2312"/>
          <w:bCs/>
          <w:color w:val="auto"/>
          <w:sz w:val="32"/>
          <w:szCs w:val="32"/>
          <w:highlight w:val="none"/>
          <w:lang w:val="en-US" w:eastAsia="zh-CN"/>
        </w:rPr>
        <w:t>自然资源事务</w:t>
      </w:r>
      <w:r>
        <w:rPr>
          <w:rStyle w:val="15"/>
          <w:rFonts w:hint="eastAsia" w:ascii="仿宋_GB2312" w:hAnsi="仿宋_GB2312" w:eastAsia="仿宋_GB2312" w:cs="仿宋_GB2312"/>
          <w:bCs/>
          <w:color w:val="auto"/>
          <w:sz w:val="32"/>
          <w:szCs w:val="32"/>
          <w:highlight w:val="none"/>
        </w:rPr>
        <w:t>（款）</w:t>
      </w:r>
      <w:r>
        <w:rPr>
          <w:rStyle w:val="15"/>
          <w:rFonts w:hint="eastAsia" w:ascii="仿宋_GB2312" w:hAnsi="仿宋_GB2312" w:eastAsia="仿宋_GB2312" w:cs="仿宋_GB2312"/>
          <w:bCs/>
          <w:color w:val="auto"/>
          <w:sz w:val="32"/>
          <w:szCs w:val="32"/>
          <w:highlight w:val="none"/>
          <w:lang w:val="en-US" w:eastAsia="zh-CN"/>
        </w:rPr>
        <w:t>自然资源行业业务管理</w:t>
      </w:r>
      <w:r>
        <w:rPr>
          <w:rStyle w:val="15"/>
          <w:rFonts w:hint="eastAsia" w:ascii="仿宋_GB2312" w:hAnsi="仿宋_GB2312" w:eastAsia="仿宋_GB2312" w:cs="仿宋_GB2312"/>
          <w:bCs/>
          <w:color w:val="auto"/>
          <w:sz w:val="32"/>
          <w:szCs w:val="32"/>
          <w:highlight w:val="none"/>
        </w:rPr>
        <w:t>（项）</w:t>
      </w:r>
      <w:r>
        <w:rPr>
          <w:rStyle w:val="15"/>
          <w:rFonts w:hint="eastAsia" w:ascii="仿宋_GB2312" w:hAnsi="仿宋_GB2312" w:eastAsia="仿宋_GB2312" w:cs="仿宋_GB2312"/>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14.98</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w:t>
      </w:r>
      <w:r>
        <w:rPr>
          <w:rStyle w:val="15"/>
          <w:rFonts w:hint="eastAsia" w:ascii="仿宋_GB2312" w:hAnsi="仿宋_GB2312" w:eastAsia="仿宋_GB2312" w:cs="仿宋_GB2312"/>
          <w:b w:val="0"/>
          <w:bCs/>
          <w:color w:val="auto"/>
          <w:sz w:val="32"/>
          <w:szCs w:val="32"/>
          <w:highlight w:val="none"/>
          <w:lang w:eastAsia="zh-CN"/>
        </w:rPr>
        <w:t>。</w:t>
      </w:r>
    </w:p>
    <w:p>
      <w:pPr>
        <w:keepNext w:val="0"/>
        <w:keepLines w:val="0"/>
        <w:pageBreakBefore w:val="0"/>
        <w:widowControl w:val="0"/>
        <w:numPr>
          <w:ilvl w:val="0"/>
          <w:numId w:val="1"/>
        </w:numPr>
        <w:shd w:val="clear"/>
        <w:kinsoku/>
        <w:wordWrap/>
        <w:overflowPunct/>
        <w:topLinePunct w:val="0"/>
        <w:bidi w:val="0"/>
        <w:snapToGrid/>
        <w:spacing w:line="576" w:lineRule="exact"/>
        <w:ind w:left="0" w:leftChars="0" w:right="0" w:firstLine="642" w:firstLineChars="200"/>
        <w:jc w:val="both"/>
        <w:textAlignment w:val="auto"/>
        <w:rPr>
          <w:rStyle w:val="15"/>
          <w:rFonts w:hint="eastAsia" w:ascii="仿宋_GB2312" w:hAnsi="仿宋_GB2312" w:eastAsia="仿宋_GB2312" w:cs="仿宋_GB2312"/>
          <w:b w:val="0"/>
          <w:bCs/>
          <w:color w:val="auto"/>
          <w:sz w:val="32"/>
          <w:szCs w:val="32"/>
          <w:highlight w:val="none"/>
          <w:lang w:eastAsia="zh-CN"/>
        </w:rPr>
      </w:pPr>
      <w:r>
        <w:rPr>
          <w:rStyle w:val="15"/>
          <w:rFonts w:hint="eastAsia" w:ascii="仿宋_GB2312" w:hAnsi="仿宋_GB2312" w:eastAsia="仿宋_GB2312" w:cs="仿宋_GB2312"/>
          <w:bCs/>
          <w:color w:val="auto"/>
          <w:sz w:val="32"/>
          <w:szCs w:val="32"/>
          <w:highlight w:val="none"/>
          <w:lang w:val="en-US" w:eastAsia="zh-CN"/>
        </w:rPr>
        <w:t>自然资源海洋气象等支出</w:t>
      </w:r>
      <w:r>
        <w:rPr>
          <w:rStyle w:val="15"/>
          <w:rFonts w:hint="eastAsia" w:ascii="仿宋_GB2312" w:hAnsi="仿宋_GB2312" w:eastAsia="仿宋_GB2312" w:cs="仿宋_GB2312"/>
          <w:bCs/>
          <w:color w:val="auto"/>
          <w:sz w:val="32"/>
          <w:szCs w:val="32"/>
          <w:highlight w:val="none"/>
        </w:rPr>
        <w:t>（类）</w:t>
      </w:r>
      <w:r>
        <w:rPr>
          <w:rStyle w:val="15"/>
          <w:rFonts w:hint="eastAsia" w:ascii="仿宋_GB2312" w:hAnsi="仿宋_GB2312" w:eastAsia="仿宋_GB2312" w:cs="仿宋_GB2312"/>
          <w:bCs/>
          <w:color w:val="auto"/>
          <w:sz w:val="32"/>
          <w:szCs w:val="32"/>
          <w:highlight w:val="none"/>
          <w:lang w:val="en-US" w:eastAsia="zh-CN"/>
        </w:rPr>
        <w:t>自然资源事务</w:t>
      </w:r>
      <w:r>
        <w:rPr>
          <w:rStyle w:val="15"/>
          <w:rFonts w:hint="eastAsia" w:ascii="仿宋_GB2312" w:hAnsi="仿宋_GB2312" w:eastAsia="仿宋_GB2312" w:cs="仿宋_GB2312"/>
          <w:bCs/>
          <w:color w:val="auto"/>
          <w:sz w:val="32"/>
          <w:szCs w:val="32"/>
          <w:highlight w:val="none"/>
        </w:rPr>
        <w:t>（款）</w:t>
      </w:r>
      <w:r>
        <w:rPr>
          <w:rStyle w:val="15"/>
          <w:rFonts w:hint="eastAsia" w:ascii="仿宋_GB2312" w:hAnsi="仿宋_GB2312" w:eastAsia="仿宋_GB2312" w:cs="仿宋_GB2312"/>
          <w:bCs/>
          <w:color w:val="auto"/>
          <w:sz w:val="32"/>
          <w:szCs w:val="32"/>
          <w:highlight w:val="none"/>
          <w:lang w:val="en-US" w:eastAsia="zh-CN"/>
        </w:rPr>
        <w:t>自然资源调查与确权登记</w:t>
      </w:r>
      <w:r>
        <w:rPr>
          <w:rStyle w:val="15"/>
          <w:rFonts w:hint="eastAsia" w:ascii="仿宋_GB2312" w:hAnsi="仿宋_GB2312" w:eastAsia="仿宋_GB2312" w:cs="仿宋_GB2312"/>
          <w:bCs/>
          <w:color w:val="auto"/>
          <w:sz w:val="32"/>
          <w:szCs w:val="32"/>
          <w:highlight w:val="none"/>
        </w:rPr>
        <w:t>（项）</w:t>
      </w:r>
      <w:r>
        <w:rPr>
          <w:rStyle w:val="15"/>
          <w:rFonts w:hint="eastAsia" w:ascii="仿宋_GB2312" w:hAnsi="仿宋_GB2312" w:eastAsia="仿宋_GB2312" w:cs="仿宋_GB2312"/>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28.82</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w:t>
      </w:r>
      <w:r>
        <w:rPr>
          <w:rStyle w:val="15"/>
          <w:rFonts w:hint="eastAsia" w:ascii="仿宋_GB2312" w:hAnsi="仿宋_GB2312" w:eastAsia="仿宋_GB2312" w:cs="仿宋_GB2312"/>
          <w:b w:val="0"/>
          <w:bCs/>
          <w:color w:val="auto"/>
          <w:sz w:val="32"/>
          <w:szCs w:val="32"/>
          <w:highlight w:val="none"/>
          <w:lang w:eastAsia="zh-CN"/>
        </w:rPr>
        <w:t>。</w:t>
      </w:r>
    </w:p>
    <w:p>
      <w:pPr>
        <w:keepNext w:val="0"/>
        <w:keepLines w:val="0"/>
        <w:pageBreakBefore w:val="0"/>
        <w:widowControl w:val="0"/>
        <w:numPr>
          <w:ilvl w:val="0"/>
          <w:numId w:val="1"/>
        </w:numPr>
        <w:shd w:val="clear"/>
        <w:kinsoku/>
        <w:wordWrap/>
        <w:overflowPunct/>
        <w:topLinePunct w:val="0"/>
        <w:bidi w:val="0"/>
        <w:snapToGrid/>
        <w:spacing w:line="576" w:lineRule="exact"/>
        <w:ind w:left="0" w:leftChars="0" w:right="0" w:firstLine="642" w:firstLineChars="200"/>
        <w:jc w:val="both"/>
        <w:textAlignment w:val="auto"/>
        <w:rPr>
          <w:rStyle w:val="15"/>
          <w:rFonts w:hint="eastAsia" w:ascii="仿宋_GB2312" w:hAnsi="仿宋_GB2312" w:eastAsia="仿宋_GB2312" w:cs="仿宋_GB2312"/>
          <w:b w:val="0"/>
          <w:bCs/>
          <w:color w:val="auto"/>
          <w:sz w:val="32"/>
          <w:szCs w:val="32"/>
          <w:highlight w:val="none"/>
          <w:lang w:eastAsia="zh-CN"/>
        </w:rPr>
      </w:pPr>
      <w:r>
        <w:rPr>
          <w:rStyle w:val="15"/>
          <w:rFonts w:hint="eastAsia" w:ascii="仿宋_GB2312" w:hAnsi="仿宋_GB2312" w:eastAsia="仿宋_GB2312" w:cs="仿宋_GB2312"/>
          <w:bCs/>
          <w:color w:val="auto"/>
          <w:sz w:val="32"/>
          <w:szCs w:val="32"/>
          <w:highlight w:val="none"/>
          <w:lang w:val="en-US" w:eastAsia="zh-CN"/>
        </w:rPr>
        <w:t>自然资源海洋气象等支出</w:t>
      </w:r>
      <w:r>
        <w:rPr>
          <w:rStyle w:val="15"/>
          <w:rFonts w:hint="eastAsia" w:ascii="仿宋_GB2312" w:hAnsi="仿宋_GB2312" w:eastAsia="仿宋_GB2312" w:cs="仿宋_GB2312"/>
          <w:bCs/>
          <w:color w:val="auto"/>
          <w:sz w:val="32"/>
          <w:szCs w:val="32"/>
          <w:highlight w:val="none"/>
        </w:rPr>
        <w:t>（类）</w:t>
      </w:r>
      <w:r>
        <w:rPr>
          <w:rStyle w:val="15"/>
          <w:rFonts w:hint="eastAsia" w:ascii="仿宋_GB2312" w:hAnsi="仿宋_GB2312" w:eastAsia="仿宋_GB2312" w:cs="仿宋_GB2312"/>
          <w:bCs/>
          <w:color w:val="auto"/>
          <w:sz w:val="32"/>
          <w:szCs w:val="32"/>
          <w:highlight w:val="none"/>
          <w:lang w:val="en-US" w:eastAsia="zh-CN"/>
        </w:rPr>
        <w:t>自然资源事务</w:t>
      </w:r>
      <w:r>
        <w:rPr>
          <w:rStyle w:val="15"/>
          <w:rFonts w:hint="eastAsia" w:ascii="仿宋_GB2312" w:hAnsi="仿宋_GB2312" w:eastAsia="仿宋_GB2312" w:cs="仿宋_GB2312"/>
          <w:bCs/>
          <w:color w:val="auto"/>
          <w:sz w:val="32"/>
          <w:szCs w:val="32"/>
          <w:highlight w:val="none"/>
        </w:rPr>
        <w:t>（款）</w:t>
      </w:r>
      <w:r>
        <w:rPr>
          <w:rStyle w:val="15"/>
          <w:rFonts w:hint="eastAsia" w:ascii="仿宋_GB2312" w:hAnsi="仿宋_GB2312" w:eastAsia="仿宋_GB2312" w:cs="仿宋_GB2312"/>
          <w:bCs/>
          <w:color w:val="auto"/>
          <w:sz w:val="32"/>
          <w:szCs w:val="32"/>
          <w:highlight w:val="none"/>
          <w:lang w:val="en-US" w:eastAsia="zh-CN"/>
        </w:rPr>
        <w:t>地质勘察与矿产资源管理</w:t>
      </w:r>
      <w:r>
        <w:rPr>
          <w:rStyle w:val="15"/>
          <w:rFonts w:hint="eastAsia" w:ascii="仿宋_GB2312" w:hAnsi="仿宋_GB2312" w:eastAsia="仿宋_GB2312" w:cs="仿宋_GB2312"/>
          <w:bCs/>
          <w:color w:val="auto"/>
          <w:sz w:val="32"/>
          <w:szCs w:val="32"/>
          <w:highlight w:val="none"/>
        </w:rPr>
        <w:t>（项）</w:t>
      </w:r>
      <w:r>
        <w:rPr>
          <w:rStyle w:val="15"/>
          <w:rFonts w:hint="eastAsia" w:ascii="仿宋_GB2312" w:hAnsi="仿宋_GB2312" w:eastAsia="仿宋_GB2312" w:cs="仿宋_GB2312"/>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15</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w:t>
      </w:r>
      <w:r>
        <w:rPr>
          <w:rStyle w:val="15"/>
          <w:rFonts w:hint="eastAsia" w:ascii="仿宋_GB2312" w:hAnsi="仿宋_GB2312" w:eastAsia="仿宋_GB2312" w:cs="仿宋_GB2312"/>
          <w:b w:val="0"/>
          <w:bCs/>
          <w:color w:val="auto"/>
          <w:sz w:val="32"/>
          <w:szCs w:val="32"/>
          <w:highlight w:val="none"/>
          <w:lang w:eastAsia="zh-CN"/>
        </w:rPr>
        <w:t>。</w:t>
      </w:r>
    </w:p>
    <w:p>
      <w:pPr>
        <w:keepNext w:val="0"/>
        <w:keepLines w:val="0"/>
        <w:pageBreakBefore w:val="0"/>
        <w:widowControl w:val="0"/>
        <w:numPr>
          <w:ilvl w:val="0"/>
          <w:numId w:val="1"/>
        </w:numPr>
        <w:shd w:val="clear"/>
        <w:tabs>
          <w:tab w:val="right" w:pos="8306"/>
        </w:tabs>
        <w:kinsoku/>
        <w:wordWrap/>
        <w:overflowPunct/>
        <w:topLinePunct w:val="0"/>
        <w:bidi w:val="0"/>
        <w:snapToGrid/>
        <w:spacing w:line="576" w:lineRule="exact"/>
        <w:ind w:left="0" w:leftChars="0" w:right="0" w:firstLine="642" w:firstLineChars="200"/>
        <w:jc w:val="both"/>
        <w:textAlignment w:val="auto"/>
        <w:outlineLvl w:val="1"/>
        <w:rPr>
          <w:rStyle w:val="15"/>
          <w:rFonts w:hint="eastAsia" w:ascii="仿宋_GB2312" w:hAnsi="仿宋_GB2312" w:eastAsia="仿宋_GB2312" w:cs="仿宋_GB2312"/>
          <w:b w:val="0"/>
          <w:bCs/>
          <w:color w:val="auto"/>
          <w:sz w:val="32"/>
          <w:szCs w:val="32"/>
          <w:highlight w:val="none"/>
          <w:lang w:eastAsia="zh-CN"/>
        </w:rPr>
      </w:pPr>
      <w:bookmarkStart w:id="70" w:name="_Toc14391"/>
      <w:bookmarkStart w:id="71" w:name="_Toc1905"/>
      <w:bookmarkStart w:id="72" w:name="_Toc22825"/>
      <w:bookmarkStart w:id="73" w:name="_Toc9101"/>
      <w:r>
        <w:rPr>
          <w:rStyle w:val="15"/>
          <w:rFonts w:hint="eastAsia" w:ascii="仿宋_GB2312" w:hAnsi="仿宋_GB2312" w:eastAsia="仿宋_GB2312" w:cs="仿宋_GB2312"/>
          <w:bCs/>
          <w:color w:val="auto"/>
          <w:sz w:val="32"/>
          <w:szCs w:val="32"/>
          <w:highlight w:val="none"/>
          <w:lang w:val="en-US" w:eastAsia="zh-CN"/>
        </w:rPr>
        <w:t>自然资源海洋气象等支出</w:t>
      </w:r>
      <w:r>
        <w:rPr>
          <w:rStyle w:val="15"/>
          <w:rFonts w:hint="eastAsia" w:ascii="仿宋_GB2312" w:hAnsi="仿宋_GB2312" w:eastAsia="仿宋_GB2312" w:cs="仿宋_GB2312"/>
          <w:bCs/>
          <w:color w:val="auto"/>
          <w:sz w:val="32"/>
          <w:szCs w:val="32"/>
          <w:highlight w:val="none"/>
        </w:rPr>
        <w:t>（类）</w:t>
      </w:r>
      <w:r>
        <w:rPr>
          <w:rStyle w:val="15"/>
          <w:rFonts w:hint="eastAsia" w:ascii="仿宋_GB2312" w:hAnsi="仿宋_GB2312" w:eastAsia="仿宋_GB2312" w:cs="仿宋_GB2312"/>
          <w:bCs/>
          <w:color w:val="auto"/>
          <w:sz w:val="32"/>
          <w:szCs w:val="32"/>
          <w:highlight w:val="none"/>
          <w:lang w:val="en-US" w:eastAsia="zh-CN"/>
        </w:rPr>
        <w:t>自然资源事务</w:t>
      </w:r>
      <w:r>
        <w:rPr>
          <w:rStyle w:val="15"/>
          <w:rFonts w:hint="eastAsia" w:ascii="仿宋_GB2312" w:hAnsi="仿宋_GB2312" w:eastAsia="仿宋_GB2312" w:cs="仿宋_GB2312"/>
          <w:bCs/>
          <w:color w:val="auto"/>
          <w:sz w:val="32"/>
          <w:szCs w:val="32"/>
          <w:highlight w:val="none"/>
        </w:rPr>
        <w:t>（款</w:t>
      </w:r>
      <w:r>
        <w:rPr>
          <w:rStyle w:val="15"/>
          <w:rFonts w:hint="eastAsia" w:ascii="仿宋_GB2312" w:hAnsi="仿宋_GB2312" w:eastAsia="仿宋_GB2312" w:cs="仿宋_GB2312"/>
          <w:bCs/>
          <w:color w:val="auto"/>
          <w:sz w:val="32"/>
          <w:szCs w:val="32"/>
          <w:highlight w:val="none"/>
          <w:lang w:eastAsia="zh-CN"/>
        </w:rPr>
        <w:t>）</w:t>
      </w:r>
      <w:r>
        <w:rPr>
          <w:rStyle w:val="15"/>
          <w:rFonts w:hint="eastAsia" w:ascii="仿宋_GB2312" w:hAnsi="仿宋_GB2312" w:eastAsia="仿宋_GB2312" w:cs="仿宋_GB2312"/>
          <w:bCs/>
          <w:color w:val="auto"/>
          <w:sz w:val="32"/>
          <w:szCs w:val="32"/>
          <w:highlight w:val="none"/>
          <w:lang w:val="en-US" w:eastAsia="zh-CN"/>
        </w:rPr>
        <w:t>其他自然资源事务支出</w:t>
      </w:r>
      <w:r>
        <w:rPr>
          <w:rStyle w:val="15"/>
          <w:rFonts w:hint="eastAsia" w:ascii="仿宋_GB2312" w:hAnsi="仿宋_GB2312" w:eastAsia="仿宋_GB2312" w:cs="仿宋_GB2312"/>
          <w:bCs/>
          <w:color w:val="auto"/>
          <w:sz w:val="32"/>
          <w:szCs w:val="32"/>
          <w:highlight w:val="none"/>
        </w:rPr>
        <w:t>（项）</w:t>
      </w:r>
      <w:r>
        <w:rPr>
          <w:rStyle w:val="15"/>
          <w:rFonts w:hint="eastAsia" w:ascii="仿宋_GB2312" w:hAnsi="仿宋_GB2312" w:eastAsia="仿宋_GB2312" w:cs="仿宋_GB2312"/>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269.36</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w:t>
      </w:r>
      <w:r>
        <w:rPr>
          <w:rStyle w:val="15"/>
          <w:rFonts w:hint="eastAsia" w:ascii="仿宋_GB2312" w:hAnsi="仿宋_GB2312" w:eastAsia="仿宋_GB2312" w:cs="仿宋_GB2312"/>
          <w:b w:val="0"/>
          <w:bCs/>
          <w:color w:val="auto"/>
          <w:sz w:val="32"/>
          <w:szCs w:val="32"/>
          <w:highlight w:val="none"/>
          <w:lang w:eastAsia="zh-CN"/>
        </w:rPr>
        <w:t>。</w:t>
      </w:r>
      <w:bookmarkEnd w:id="70"/>
      <w:bookmarkEnd w:id="71"/>
      <w:bookmarkEnd w:id="72"/>
      <w:bookmarkEnd w:id="73"/>
    </w:p>
    <w:p>
      <w:pPr>
        <w:keepNext w:val="0"/>
        <w:keepLines w:val="0"/>
        <w:pageBreakBefore w:val="0"/>
        <w:widowControl w:val="0"/>
        <w:numPr>
          <w:ilvl w:val="0"/>
          <w:numId w:val="1"/>
        </w:numPr>
        <w:shd w:val="clear"/>
        <w:tabs>
          <w:tab w:val="right" w:pos="8306"/>
        </w:tabs>
        <w:kinsoku/>
        <w:wordWrap/>
        <w:overflowPunct/>
        <w:topLinePunct w:val="0"/>
        <w:bidi w:val="0"/>
        <w:snapToGrid/>
        <w:spacing w:line="576" w:lineRule="exact"/>
        <w:ind w:left="0" w:leftChars="0" w:right="0" w:firstLine="642" w:firstLineChars="200"/>
        <w:jc w:val="both"/>
        <w:textAlignment w:val="auto"/>
        <w:outlineLvl w:val="1"/>
        <w:rPr>
          <w:rStyle w:val="15"/>
          <w:rFonts w:hint="eastAsia" w:ascii="仿宋_GB2312" w:hAnsi="仿宋_GB2312" w:eastAsia="仿宋_GB2312" w:cs="仿宋_GB2312"/>
          <w:b w:val="0"/>
          <w:bCs/>
          <w:color w:val="auto"/>
          <w:sz w:val="32"/>
          <w:szCs w:val="32"/>
          <w:highlight w:val="none"/>
          <w:lang w:eastAsia="zh-CN"/>
        </w:rPr>
      </w:pPr>
      <w:bookmarkStart w:id="74" w:name="_Toc10117"/>
      <w:bookmarkStart w:id="75" w:name="_Toc1550"/>
      <w:bookmarkStart w:id="76" w:name="_Toc4181"/>
      <w:bookmarkStart w:id="77" w:name="_Toc25086"/>
      <w:r>
        <w:rPr>
          <w:rStyle w:val="15"/>
          <w:rFonts w:hint="eastAsia" w:ascii="仿宋_GB2312" w:hAnsi="仿宋_GB2312" w:eastAsia="仿宋_GB2312" w:cs="仿宋_GB2312"/>
          <w:bCs/>
          <w:color w:val="auto"/>
          <w:sz w:val="32"/>
          <w:szCs w:val="32"/>
          <w:highlight w:val="none"/>
          <w:lang w:val="en-US" w:eastAsia="zh-CN"/>
        </w:rPr>
        <w:t>住房保障支出</w:t>
      </w:r>
      <w:r>
        <w:rPr>
          <w:rStyle w:val="15"/>
          <w:rFonts w:hint="eastAsia" w:ascii="仿宋_GB2312" w:hAnsi="仿宋_GB2312" w:eastAsia="仿宋_GB2312" w:cs="仿宋_GB2312"/>
          <w:bCs/>
          <w:color w:val="auto"/>
          <w:sz w:val="32"/>
          <w:szCs w:val="32"/>
          <w:highlight w:val="none"/>
        </w:rPr>
        <w:t>（类）</w:t>
      </w:r>
      <w:r>
        <w:rPr>
          <w:rStyle w:val="15"/>
          <w:rFonts w:hint="eastAsia" w:ascii="仿宋_GB2312" w:hAnsi="仿宋_GB2312" w:eastAsia="仿宋_GB2312" w:cs="仿宋_GB2312"/>
          <w:bCs/>
          <w:color w:val="auto"/>
          <w:sz w:val="32"/>
          <w:szCs w:val="32"/>
          <w:highlight w:val="none"/>
          <w:lang w:val="en-US" w:eastAsia="zh-CN"/>
        </w:rPr>
        <w:t>住房改革支出</w:t>
      </w:r>
      <w:r>
        <w:rPr>
          <w:rStyle w:val="15"/>
          <w:rFonts w:hint="eastAsia" w:ascii="仿宋_GB2312" w:hAnsi="仿宋_GB2312" w:eastAsia="仿宋_GB2312" w:cs="仿宋_GB2312"/>
          <w:bCs/>
          <w:color w:val="auto"/>
          <w:sz w:val="32"/>
          <w:szCs w:val="32"/>
          <w:highlight w:val="none"/>
        </w:rPr>
        <w:t>（款</w:t>
      </w:r>
      <w:r>
        <w:rPr>
          <w:rStyle w:val="15"/>
          <w:rFonts w:hint="eastAsia" w:ascii="仿宋_GB2312" w:hAnsi="仿宋_GB2312" w:eastAsia="仿宋_GB2312" w:cs="仿宋_GB2312"/>
          <w:bCs/>
          <w:color w:val="auto"/>
          <w:sz w:val="32"/>
          <w:szCs w:val="32"/>
          <w:highlight w:val="none"/>
          <w:lang w:eastAsia="zh-CN"/>
        </w:rPr>
        <w:t>）</w:t>
      </w:r>
      <w:r>
        <w:rPr>
          <w:rStyle w:val="15"/>
          <w:rFonts w:hint="eastAsia" w:ascii="仿宋_GB2312" w:hAnsi="仿宋_GB2312" w:eastAsia="仿宋_GB2312" w:cs="仿宋_GB2312"/>
          <w:bCs/>
          <w:color w:val="auto"/>
          <w:sz w:val="32"/>
          <w:szCs w:val="32"/>
          <w:highlight w:val="none"/>
          <w:lang w:val="en-US" w:eastAsia="zh-CN"/>
        </w:rPr>
        <w:t>住房公积金</w:t>
      </w:r>
      <w:r>
        <w:rPr>
          <w:rStyle w:val="15"/>
          <w:rFonts w:hint="eastAsia" w:ascii="仿宋_GB2312" w:hAnsi="仿宋_GB2312" w:eastAsia="仿宋_GB2312" w:cs="仿宋_GB2312"/>
          <w:bCs/>
          <w:color w:val="auto"/>
          <w:sz w:val="32"/>
          <w:szCs w:val="32"/>
          <w:highlight w:val="none"/>
        </w:rPr>
        <w:t>（项）</w:t>
      </w:r>
      <w:r>
        <w:rPr>
          <w:rStyle w:val="15"/>
          <w:rFonts w:hint="eastAsia" w:ascii="仿宋_GB2312" w:hAnsi="仿宋_GB2312" w:eastAsia="仿宋_GB2312" w:cs="仿宋_GB2312"/>
          <w:bCs/>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支出决算为</w:t>
      </w:r>
      <w:r>
        <w:rPr>
          <w:rStyle w:val="15"/>
          <w:rFonts w:hint="eastAsia" w:ascii="仿宋_GB2312" w:hAnsi="仿宋_GB2312" w:eastAsia="仿宋_GB2312" w:cs="仿宋_GB2312"/>
          <w:b w:val="0"/>
          <w:bCs/>
          <w:color w:val="auto"/>
          <w:sz w:val="32"/>
          <w:szCs w:val="32"/>
          <w:highlight w:val="none"/>
          <w:lang w:val="en-US" w:eastAsia="zh-CN"/>
        </w:rPr>
        <w:t>125.17</w:t>
      </w:r>
      <w:r>
        <w:rPr>
          <w:rStyle w:val="15"/>
          <w:rFonts w:hint="eastAsia" w:ascii="仿宋_GB2312" w:hAnsi="仿宋_GB2312" w:eastAsia="仿宋_GB2312" w:cs="仿宋_GB2312"/>
          <w:b w:val="0"/>
          <w:bCs/>
          <w:color w:val="auto"/>
          <w:sz w:val="32"/>
          <w:szCs w:val="32"/>
          <w:highlight w:val="none"/>
        </w:rPr>
        <w:t>万元，完成预算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w:t>
      </w:r>
      <w:r>
        <w:rPr>
          <w:rStyle w:val="15"/>
          <w:rFonts w:hint="eastAsia" w:ascii="仿宋_GB2312" w:hAnsi="仿宋_GB2312" w:eastAsia="仿宋_GB2312" w:cs="仿宋_GB2312"/>
          <w:b w:val="0"/>
          <w:bCs/>
          <w:color w:val="auto"/>
          <w:sz w:val="32"/>
          <w:szCs w:val="32"/>
          <w:highlight w:val="none"/>
          <w:lang w:eastAsia="zh-CN"/>
        </w:rPr>
        <w:t>。</w:t>
      </w:r>
      <w:bookmarkEnd w:id="74"/>
      <w:bookmarkEnd w:id="75"/>
      <w:bookmarkEnd w:id="76"/>
      <w:bookmarkEnd w:id="77"/>
    </w:p>
    <w:p>
      <w:pPr>
        <w:keepNext w:val="0"/>
        <w:keepLines w:val="0"/>
        <w:pageBreakBefore w:val="0"/>
        <w:widowControl w:val="0"/>
        <w:tabs>
          <w:tab w:val="right" w:pos="8306"/>
        </w:tabs>
        <w:kinsoku/>
        <w:wordWrap/>
        <w:overflowPunct/>
        <w:topLinePunct w:val="0"/>
        <w:bidi w:val="0"/>
        <w:snapToGrid/>
        <w:spacing w:line="576" w:lineRule="exact"/>
        <w:ind w:left="0" w:right="0" w:firstLine="640"/>
        <w:jc w:val="both"/>
        <w:textAlignment w:val="auto"/>
        <w:outlineLvl w:val="1"/>
        <w:rPr>
          <w:rStyle w:val="18"/>
          <w:color w:val="auto"/>
          <w:highlight w:val="none"/>
        </w:rPr>
      </w:pPr>
      <w:bookmarkStart w:id="78" w:name="_Toc11779"/>
      <w:bookmarkStart w:id="79" w:name="_Toc15396608"/>
      <w:bookmarkStart w:id="80" w:name="_Toc15377214"/>
      <w:bookmarkStart w:id="81" w:name="_Toc716"/>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18"/>
          <w:rFonts w:hint="eastAsia" w:ascii="黑体" w:hAnsi="黑体" w:eastAsia="黑体"/>
          <w:b w:val="0"/>
          <w:color w:val="auto"/>
          <w:highlight w:val="none"/>
        </w:rPr>
        <w:t>般公共预算财政拨款基本支出决算情况说明</w:t>
      </w:r>
      <w:bookmarkEnd w:id="78"/>
      <w:bookmarkEnd w:id="79"/>
      <w:bookmarkEnd w:id="80"/>
      <w:bookmarkEnd w:id="81"/>
      <w:r>
        <w:rPr>
          <w:rStyle w:val="18"/>
          <w:rFonts w:ascii="黑体" w:hAnsi="黑体" w:eastAsia="黑体"/>
          <w:b w:val="0"/>
          <w:color w:val="auto"/>
          <w:highlight w:val="none"/>
        </w:rPr>
        <w:tab/>
      </w:r>
    </w:p>
    <w:p>
      <w:pPr>
        <w:keepNext w:val="0"/>
        <w:keepLines w:val="0"/>
        <w:pageBreakBefore w:val="0"/>
        <w:widowControl w:val="0"/>
        <w:shd w:val="clear"/>
        <w:kinsoku/>
        <w:wordWrap/>
        <w:overflowPunct/>
        <w:topLinePunct w:val="0"/>
        <w:bidi w:val="0"/>
        <w:snapToGri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rPr>
        <w:t>年一般公共预算财政拨款基本支出</w:t>
      </w:r>
      <w:r>
        <w:rPr>
          <w:rFonts w:hint="eastAsia" w:ascii="仿宋_GB2312" w:hAnsi="仿宋_GB2312" w:eastAsia="仿宋_GB2312" w:cs="仿宋_GB2312"/>
          <w:color w:val="auto"/>
          <w:sz w:val="32"/>
          <w:szCs w:val="32"/>
          <w:highlight w:val="none"/>
          <w:lang w:val="en-US" w:eastAsia="zh-CN"/>
        </w:rPr>
        <w:t>1742.07</w:t>
      </w:r>
      <w:r>
        <w:rPr>
          <w:rFonts w:hint="eastAsia" w:ascii="仿宋_GB2312" w:hAnsi="仿宋_GB2312" w:eastAsia="仿宋_GB2312" w:cs="仿宋_GB2312"/>
          <w:color w:val="auto"/>
          <w:sz w:val="32"/>
          <w:szCs w:val="32"/>
          <w:highlight w:val="none"/>
        </w:rPr>
        <w:t>万元，其中：</w:t>
      </w:r>
    </w:p>
    <w:p>
      <w:pPr>
        <w:keepNext w:val="0"/>
        <w:keepLines w:val="0"/>
        <w:pageBreakBefore w:val="0"/>
        <w:widowControl w:val="0"/>
        <w:shd w:val="clear"/>
        <w:kinsoku/>
        <w:wordWrap/>
        <w:overflowPunct/>
        <w:topLinePunct w:val="0"/>
        <w:bidi w:val="0"/>
        <w:snapToGri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人员经费</w:t>
      </w:r>
      <w:r>
        <w:rPr>
          <w:rFonts w:hint="eastAsia" w:ascii="仿宋_GB2312" w:hAnsi="仿宋_GB2312" w:eastAsia="仿宋_GB2312" w:cs="仿宋_GB2312"/>
          <w:color w:val="auto"/>
          <w:sz w:val="32"/>
          <w:szCs w:val="32"/>
          <w:highlight w:val="none"/>
          <w:lang w:val="en-US" w:eastAsia="zh-CN"/>
        </w:rPr>
        <w:t>1527.79</w:t>
      </w:r>
      <w:r>
        <w:rPr>
          <w:rFonts w:hint="eastAsia" w:ascii="仿宋_GB2312" w:hAnsi="仿宋_GB2312" w:eastAsia="仿宋_GB2312" w:cs="仿宋_GB2312"/>
          <w:color w:val="auto"/>
          <w:sz w:val="32"/>
          <w:szCs w:val="32"/>
          <w:highlight w:val="none"/>
        </w:rPr>
        <w:t>万元，主要包括：基本工资、津贴补贴、奖金、机关事业单位基本养老保险缴费、职业年金缴费、</w:t>
      </w:r>
      <w:r>
        <w:rPr>
          <w:rFonts w:hint="eastAsia" w:ascii="仿宋_GB2312" w:hAnsi="仿宋_GB2312" w:eastAsia="仿宋_GB2312" w:cs="仿宋_GB2312"/>
          <w:color w:val="auto"/>
          <w:sz w:val="32"/>
          <w:szCs w:val="32"/>
          <w:highlight w:val="none"/>
          <w:lang w:val="en-US" w:eastAsia="zh-CN"/>
        </w:rPr>
        <w:t>职工基本医疗保险缴费、其他社会保障缴费、</w:t>
      </w:r>
      <w:r>
        <w:rPr>
          <w:rFonts w:hint="eastAsia" w:ascii="仿宋_GB2312" w:hAnsi="仿宋_GB2312" w:eastAsia="仿宋_GB2312" w:cs="仿宋_GB2312"/>
          <w:color w:val="auto"/>
          <w:sz w:val="32"/>
          <w:szCs w:val="32"/>
          <w:highlight w:val="none"/>
        </w:rPr>
        <w:t>住房公积金</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抚恤金、</w:t>
      </w:r>
      <w:r>
        <w:rPr>
          <w:rFonts w:hint="eastAsia" w:ascii="仿宋_GB2312" w:hAnsi="仿宋_GB2312" w:eastAsia="仿宋_GB2312" w:cs="仿宋_GB2312"/>
          <w:color w:val="auto"/>
          <w:sz w:val="32"/>
          <w:szCs w:val="32"/>
          <w:highlight w:val="none"/>
        </w:rPr>
        <w:t>生活补助</w:t>
      </w:r>
      <w:r>
        <w:rPr>
          <w:rFonts w:hint="eastAsia" w:ascii="仿宋_GB2312" w:hAnsi="仿宋_GB2312" w:eastAsia="仿宋_GB2312" w:cs="仿宋_GB2312"/>
          <w:color w:val="auto"/>
          <w:sz w:val="32"/>
          <w:szCs w:val="32"/>
          <w:highlight w:val="none"/>
          <w:lang w:val="en-US" w:eastAsia="zh-CN"/>
        </w:rPr>
        <w:t>、其他对个人和家庭的补助</w:t>
      </w:r>
      <w:r>
        <w:rPr>
          <w:rFonts w:hint="eastAsia" w:ascii="仿宋_GB2312" w:hAnsi="仿宋_GB2312" w:eastAsia="仿宋_GB2312" w:cs="仿宋_GB2312"/>
          <w:color w:val="auto"/>
          <w:sz w:val="32"/>
          <w:szCs w:val="32"/>
          <w:highlight w:val="none"/>
        </w:rPr>
        <w:t>。</w:t>
      </w:r>
    </w:p>
    <w:p>
      <w:pPr>
        <w:keepNext w:val="0"/>
        <w:keepLines w:val="0"/>
        <w:pageBreakBefore w:val="0"/>
        <w:widowControl w:val="0"/>
        <w:shd w:val="clear"/>
        <w:kinsoku/>
        <w:wordWrap/>
        <w:overflowPunct/>
        <w:topLinePunct w:val="0"/>
        <w:bidi w:val="0"/>
        <w:snapToGri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公用经费</w:t>
      </w:r>
      <w:r>
        <w:rPr>
          <w:rFonts w:hint="eastAsia" w:ascii="仿宋_GB2312" w:hAnsi="仿宋_GB2312" w:eastAsia="仿宋_GB2312" w:cs="仿宋_GB2312"/>
          <w:color w:val="auto"/>
          <w:sz w:val="32"/>
          <w:szCs w:val="32"/>
          <w:highlight w:val="none"/>
          <w:lang w:val="en-US" w:eastAsia="zh-CN"/>
        </w:rPr>
        <w:t>214.28</w:t>
      </w:r>
      <w:r>
        <w:rPr>
          <w:rFonts w:hint="eastAsia" w:ascii="仿宋_GB2312" w:hAnsi="仿宋_GB2312" w:eastAsia="仿宋_GB2312" w:cs="仿宋_GB2312"/>
          <w:color w:val="auto"/>
          <w:sz w:val="32"/>
          <w:szCs w:val="32"/>
          <w:highlight w:val="none"/>
        </w:rPr>
        <w:t>万元，主要包括：办公费、印刷费、水费、电费、邮电费、物业管理费、差旅费、维修（护）费、会议费、培训费、公务接待费、劳务费、工会经费、福利费、公务用车运行维护费、其他交通费</w:t>
      </w:r>
      <w:r>
        <w:rPr>
          <w:rFonts w:hint="eastAsia" w:ascii="仿宋_GB2312" w:hAnsi="仿宋_GB2312" w:eastAsia="仿宋_GB2312" w:cs="仿宋_GB2312"/>
          <w:color w:val="auto"/>
          <w:sz w:val="32"/>
          <w:szCs w:val="32"/>
          <w:highlight w:val="none"/>
          <w:lang w:val="en-US" w:eastAsia="zh-CN"/>
        </w:rPr>
        <w:t>用</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税金及附加费用、</w:t>
      </w:r>
      <w:r>
        <w:rPr>
          <w:rFonts w:hint="eastAsia" w:ascii="仿宋_GB2312" w:hAnsi="仿宋_GB2312" w:eastAsia="仿宋_GB2312" w:cs="仿宋_GB2312"/>
          <w:color w:val="auto"/>
          <w:sz w:val="32"/>
          <w:szCs w:val="32"/>
          <w:highlight w:val="none"/>
        </w:rPr>
        <w:t>其他商品和服务支出、办公设备购置</w:t>
      </w:r>
      <w:r>
        <w:rPr>
          <w:rFonts w:hint="eastAsia" w:ascii="仿宋_GB2312" w:hAnsi="仿宋_GB2312" w:eastAsia="仿宋_GB2312" w:cs="仿宋_GB2312"/>
          <w:color w:val="auto"/>
          <w:sz w:val="32"/>
          <w:szCs w:val="32"/>
          <w:highlight w:val="none"/>
          <w:lang w:eastAsia="zh-CN"/>
        </w:rPr>
        <w:t>、专用设备购置</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bidi w:val="0"/>
        <w:snapToGrid/>
        <w:spacing w:line="576" w:lineRule="exact"/>
        <w:ind w:left="0" w:right="0" w:firstLine="640"/>
        <w:jc w:val="both"/>
        <w:textAlignment w:val="auto"/>
        <w:outlineLvl w:val="1"/>
        <w:rPr>
          <w:rStyle w:val="18"/>
          <w:rFonts w:ascii="黑体" w:hAnsi="黑体" w:eastAsia="黑体"/>
          <w:b w:val="0"/>
          <w:color w:val="auto"/>
          <w:highlight w:val="none"/>
        </w:rPr>
      </w:pPr>
      <w:bookmarkStart w:id="82" w:name="_Toc4979"/>
      <w:bookmarkStart w:id="83" w:name="_Toc3924"/>
      <w:bookmarkStart w:id="84" w:name="_Toc15396609"/>
      <w:bookmarkStart w:id="85" w:name="_Toc15377215"/>
      <w:r>
        <w:rPr>
          <w:rFonts w:hint="eastAsia" w:ascii="黑体" w:eastAsia="黑体"/>
          <w:color w:val="auto"/>
          <w:sz w:val="32"/>
          <w:szCs w:val="32"/>
          <w:highlight w:val="none"/>
        </w:rPr>
        <w:t>七、</w:t>
      </w:r>
      <w:r>
        <w:rPr>
          <w:rStyle w:val="18"/>
          <w:rFonts w:hint="eastAsia" w:ascii="黑体" w:hAnsi="黑体" w:eastAsia="黑体"/>
          <w:b w:val="0"/>
          <w:color w:val="auto"/>
          <w:highlight w:val="none"/>
        </w:rPr>
        <w:t>财政拨款</w:t>
      </w:r>
      <w:r>
        <w:rPr>
          <w:rStyle w:val="18"/>
          <w:rFonts w:hint="eastAsia" w:ascii="黑体" w:hAnsi="黑体" w:eastAsia="黑体"/>
          <w:color w:val="auto"/>
          <w:highlight w:val="none"/>
        </w:rPr>
        <w:t>“</w:t>
      </w:r>
      <w:r>
        <w:rPr>
          <w:rStyle w:val="18"/>
          <w:rFonts w:hint="eastAsia" w:ascii="黑体" w:hAnsi="黑体" w:eastAsia="黑体"/>
          <w:b w:val="0"/>
          <w:color w:val="auto"/>
          <w:highlight w:val="none"/>
        </w:rPr>
        <w:t>三公”经费支出决算情况说明</w:t>
      </w:r>
      <w:bookmarkEnd w:id="82"/>
      <w:bookmarkEnd w:id="83"/>
      <w:bookmarkEnd w:id="84"/>
      <w:bookmarkEnd w:id="85"/>
    </w:p>
    <w:p>
      <w:pPr>
        <w:keepNext w:val="0"/>
        <w:keepLines w:val="0"/>
        <w:pageBreakBefore w:val="0"/>
        <w:widowControl w:val="0"/>
        <w:kinsoku/>
        <w:wordWrap/>
        <w:overflowPunct/>
        <w:topLinePunct w:val="0"/>
        <w:bidi w:val="0"/>
        <w:snapToGrid/>
        <w:spacing w:line="576" w:lineRule="exact"/>
        <w:ind w:left="0" w:right="0" w:firstLine="640"/>
        <w:jc w:val="both"/>
        <w:textAlignment w:val="auto"/>
        <w:outlineLvl w:val="2"/>
        <w:rPr>
          <w:rFonts w:ascii="仿宋" w:hAnsi="仿宋" w:eastAsia="仿宋"/>
          <w:b/>
          <w:color w:val="auto"/>
          <w:sz w:val="32"/>
          <w:szCs w:val="32"/>
          <w:highlight w:val="none"/>
        </w:rPr>
      </w:pPr>
      <w:bookmarkStart w:id="86" w:name="_Toc15377216"/>
      <w:bookmarkStart w:id="87" w:name="_Toc16798"/>
      <w:bookmarkStart w:id="88" w:name="_Toc18687"/>
      <w:r>
        <w:rPr>
          <w:rFonts w:hint="eastAsia" w:ascii="仿宋" w:hAnsi="仿宋" w:eastAsia="仿宋"/>
          <w:b/>
          <w:color w:val="auto"/>
          <w:sz w:val="32"/>
          <w:szCs w:val="32"/>
          <w:highlight w:val="none"/>
        </w:rPr>
        <w:t>（一）“三公”经费财政拨款支出决算总体情况说明</w:t>
      </w:r>
      <w:bookmarkEnd w:id="86"/>
      <w:bookmarkEnd w:id="87"/>
      <w:bookmarkEnd w:id="88"/>
    </w:p>
    <w:p>
      <w:pPr>
        <w:keepNext w:val="0"/>
        <w:keepLines w:val="0"/>
        <w:pageBreakBefore w:val="0"/>
        <w:widowControl w:val="0"/>
        <w:shd w:val="clear"/>
        <w:kinsoku/>
        <w:wordWrap/>
        <w:overflowPunct/>
        <w:topLinePunct w:val="0"/>
        <w:bidi w:val="0"/>
        <w:snapToGrid/>
        <w:spacing w:line="576" w:lineRule="exact"/>
        <w:ind w:left="0" w:leftChars="0" w:right="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rPr>
        <w:t>年“三公”经费财政拨款支出决算为</w:t>
      </w:r>
      <w:r>
        <w:rPr>
          <w:rFonts w:hint="eastAsia" w:ascii="仿宋_GB2312" w:hAnsi="仿宋_GB2312" w:eastAsia="仿宋_GB2312" w:cs="仿宋_GB2312"/>
          <w:color w:val="auto"/>
          <w:sz w:val="32"/>
          <w:szCs w:val="32"/>
          <w:highlight w:val="none"/>
          <w:lang w:val="en-US" w:eastAsia="zh-CN"/>
        </w:rPr>
        <w:t>14.21</w:t>
      </w:r>
      <w:r>
        <w:rPr>
          <w:rFonts w:hint="eastAsia" w:ascii="仿宋_GB2312" w:hAnsi="仿宋_GB2312" w:eastAsia="仿宋_GB2312" w:cs="仿宋_GB2312"/>
          <w:color w:val="auto"/>
          <w:sz w:val="32"/>
          <w:szCs w:val="32"/>
          <w:highlight w:val="none"/>
        </w:rPr>
        <w:t>万元，完成预算</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较上年</w:t>
      </w:r>
      <w:r>
        <w:rPr>
          <w:rFonts w:hint="eastAsia" w:ascii="仿宋_GB2312" w:hAnsi="仿宋_GB2312" w:eastAsia="仿宋_GB2312" w:cs="仿宋_GB2312"/>
          <w:color w:val="auto"/>
          <w:sz w:val="32"/>
          <w:szCs w:val="32"/>
          <w:highlight w:val="none"/>
          <w:lang w:val="en-US" w:eastAsia="zh-CN"/>
        </w:rPr>
        <w:t>减少1.29万元，下降8.32%。决算数与预算数持平。</w:t>
      </w:r>
    </w:p>
    <w:p>
      <w:pPr>
        <w:keepNext w:val="0"/>
        <w:keepLines w:val="0"/>
        <w:pageBreakBefore w:val="0"/>
        <w:widowControl w:val="0"/>
        <w:kinsoku/>
        <w:wordWrap/>
        <w:overflowPunct/>
        <w:topLinePunct w:val="0"/>
        <w:bidi w:val="0"/>
        <w:snapToGrid/>
        <w:spacing w:line="576" w:lineRule="exact"/>
        <w:ind w:left="0" w:right="0" w:firstLine="640"/>
        <w:jc w:val="both"/>
        <w:textAlignment w:val="auto"/>
        <w:outlineLvl w:val="2"/>
        <w:rPr>
          <w:rFonts w:ascii="仿宋" w:hAnsi="仿宋" w:eastAsia="仿宋"/>
          <w:b/>
          <w:color w:val="auto"/>
          <w:sz w:val="32"/>
          <w:szCs w:val="32"/>
          <w:highlight w:val="none"/>
        </w:rPr>
      </w:pPr>
      <w:bookmarkStart w:id="89" w:name="_Toc15377217"/>
      <w:bookmarkStart w:id="90" w:name="_Toc7445"/>
      <w:bookmarkStart w:id="91" w:name="_Toc22653"/>
      <w:r>
        <w:rPr>
          <w:rFonts w:hint="eastAsia" w:ascii="仿宋" w:hAnsi="仿宋" w:eastAsia="仿宋"/>
          <w:b/>
          <w:color w:val="auto"/>
          <w:sz w:val="32"/>
          <w:szCs w:val="32"/>
          <w:highlight w:val="none"/>
        </w:rPr>
        <w:t>（二）“三公”经费财政拨款支出决算具体情况说明</w:t>
      </w:r>
      <w:bookmarkEnd w:id="89"/>
      <w:bookmarkEnd w:id="90"/>
      <w:bookmarkEnd w:id="91"/>
    </w:p>
    <w:p>
      <w:pPr>
        <w:keepNext w:val="0"/>
        <w:keepLines w:val="0"/>
        <w:pageBreakBefore w:val="0"/>
        <w:widowControl w:val="0"/>
        <w:shd w:val="clear"/>
        <w:kinsoku/>
        <w:wordWrap/>
        <w:overflowPunct/>
        <w:topLinePunct w:val="0"/>
        <w:bidi w:val="0"/>
        <w:snapToGrid/>
        <w:spacing w:line="576" w:lineRule="exact"/>
        <w:ind w:left="0" w:leftChars="0" w:right="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rPr>
        <w:t>年“三公”经费财政拨款支出决算中，因公出国（境）费支出决算</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%；公务用车购置及运行维护费支出决算</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70.37</w:t>
      </w:r>
      <w:r>
        <w:rPr>
          <w:rFonts w:hint="eastAsia" w:ascii="仿宋_GB2312" w:hAnsi="仿宋_GB2312" w:eastAsia="仿宋_GB2312" w:cs="仿宋_GB2312"/>
          <w:color w:val="auto"/>
          <w:sz w:val="32"/>
          <w:szCs w:val="32"/>
          <w:highlight w:val="none"/>
        </w:rPr>
        <w:t>%；公务接待费支出决算</w:t>
      </w:r>
      <w:r>
        <w:rPr>
          <w:rFonts w:hint="eastAsia" w:ascii="仿宋_GB2312" w:hAnsi="仿宋_GB2312" w:eastAsia="仿宋_GB2312" w:cs="仿宋_GB2312"/>
          <w:color w:val="auto"/>
          <w:sz w:val="32"/>
          <w:szCs w:val="32"/>
          <w:highlight w:val="none"/>
          <w:lang w:val="en-US" w:eastAsia="zh-CN"/>
        </w:rPr>
        <w:t>4.21</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29.63</w:t>
      </w:r>
      <w:r>
        <w:rPr>
          <w:rFonts w:hint="eastAsia" w:ascii="仿宋_GB2312" w:hAnsi="仿宋_GB2312" w:eastAsia="仿宋_GB2312" w:cs="仿宋_GB2312"/>
          <w:color w:val="auto"/>
          <w:sz w:val="32"/>
          <w:szCs w:val="32"/>
          <w:highlight w:val="none"/>
        </w:rPr>
        <w:t>%。具体情况如下：</w:t>
      </w:r>
    </w:p>
    <w:p>
      <w:pPr>
        <w:pStyle w:val="6"/>
        <w:rPr>
          <w:rFonts w:hint="eastAsia"/>
        </w:rPr>
      </w:pPr>
      <w:r>
        <w:drawing>
          <wp:inline distT="0" distB="0" distL="114300" distR="114300">
            <wp:extent cx="4828540" cy="2743200"/>
            <wp:effectExtent l="4445" t="4445" r="5715" b="14605"/>
            <wp:docPr id="13" name="图表 12" descr="7b0a202020202263686172745265734964223a20223230343736303937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keepNext w:val="0"/>
        <w:keepLines w:val="0"/>
        <w:pageBreakBefore w:val="0"/>
        <w:widowControl w:val="0"/>
        <w:kinsoku/>
        <w:wordWrap/>
        <w:overflowPunct/>
        <w:topLinePunct w:val="0"/>
        <w:bidi w:val="0"/>
        <w:snapToGrid/>
        <w:spacing w:line="576" w:lineRule="exact"/>
        <w:ind w:left="0" w:right="0" w:firstLine="640"/>
        <w:jc w:val="both"/>
        <w:textAlignment w:val="auto"/>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（图7：“三公”经费财政拨款支出结构）（饼状图）</w:t>
      </w:r>
    </w:p>
    <w:p>
      <w:pPr>
        <w:keepNext w:val="0"/>
        <w:keepLines w:val="0"/>
        <w:pageBreakBefore w:val="0"/>
        <w:widowControl w:val="0"/>
        <w:kinsoku/>
        <w:wordWrap/>
        <w:overflowPunct/>
        <w:topLinePunct w:val="0"/>
        <w:bidi w:val="0"/>
        <w:snapToGrid/>
        <w:spacing w:line="576" w:lineRule="exact"/>
        <w:ind w:left="0" w:right="0" w:firstLine="64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color w:val="auto"/>
          <w:sz w:val="32"/>
          <w:szCs w:val="32"/>
          <w:highlight w:val="none"/>
          <w:lang w:val="en-US" w:eastAsia="zh-CN"/>
        </w:rPr>
        <w:t>1.</w:t>
      </w:r>
      <w:r>
        <w:rPr>
          <w:rFonts w:hint="eastAsia" w:ascii="仿宋_GB2312" w:hAnsi="仿宋_GB2312" w:eastAsia="仿宋_GB2312" w:cs="仿宋_GB2312"/>
          <w:b/>
          <w:color w:val="auto"/>
          <w:sz w:val="32"/>
          <w:szCs w:val="32"/>
          <w:highlight w:val="none"/>
        </w:rPr>
        <w:t>因公出国（境）经费支出</w:t>
      </w:r>
      <w:r>
        <w:rPr>
          <w:rFonts w:hint="eastAsia" w:ascii="仿宋_GB2312" w:hAnsi="仿宋_GB2312" w:eastAsia="仿宋_GB2312" w:cs="仿宋_GB2312"/>
          <w:b/>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年初未安排预算。因公出国（境）支出决算较202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年无变化。</w:t>
      </w:r>
    </w:p>
    <w:p>
      <w:pPr>
        <w:keepNext w:val="0"/>
        <w:keepLines w:val="0"/>
        <w:pageBreakBefore w:val="0"/>
        <w:widowControl w:val="0"/>
        <w:kinsoku/>
        <w:wordWrap/>
        <w:overflowPunct/>
        <w:topLinePunct w:val="0"/>
        <w:bidi w:val="0"/>
        <w:snapToGrid/>
        <w:spacing w:line="576" w:lineRule="exact"/>
        <w:ind w:left="0" w:right="0" w:firstLine="640"/>
        <w:jc w:val="both"/>
        <w:textAlignment w:val="auto"/>
        <w:rPr>
          <w:rFonts w:hint="eastAsia" w:ascii="仿宋_GB2312" w:hAnsi="仿宋_GB2312" w:eastAsia="仿宋_GB2312" w:cs="仿宋_GB2312"/>
          <w:b/>
          <w:color w:val="auto"/>
          <w:sz w:val="32"/>
          <w:szCs w:val="32"/>
          <w:highlight w:val="none"/>
          <w:lang w:val="en-US" w:eastAsia="zh-CN"/>
        </w:rPr>
      </w:pPr>
      <w:r>
        <w:rPr>
          <w:rFonts w:hint="eastAsia" w:ascii="仿宋_GB2312" w:hAnsi="仿宋_GB2312" w:eastAsia="仿宋_GB2312" w:cs="仿宋_GB2312"/>
          <w:b/>
          <w:color w:val="auto"/>
          <w:sz w:val="32"/>
          <w:szCs w:val="32"/>
          <w:highlight w:val="none"/>
        </w:rPr>
        <w:t>2.公务用车购置及运行维护费支出</w:t>
      </w:r>
      <w:r>
        <w:rPr>
          <w:rFonts w:hint="eastAsia" w:ascii="仿宋_GB2312" w:hAnsi="仿宋_GB2312" w:eastAsia="仿宋_GB2312" w:cs="仿宋_GB2312"/>
          <w:b/>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Style w:val="15"/>
          <w:rFonts w:hint="eastAsia" w:ascii="仿宋_GB2312" w:hAnsi="仿宋_GB2312" w:eastAsia="仿宋_GB2312" w:cs="仿宋_GB2312"/>
          <w:b w:val="0"/>
          <w:bCs/>
          <w:color w:val="auto"/>
          <w:sz w:val="32"/>
          <w:szCs w:val="32"/>
          <w:highlight w:val="none"/>
        </w:rPr>
        <w:t>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color w:val="auto"/>
          <w:sz w:val="32"/>
          <w:szCs w:val="32"/>
          <w:highlight w:val="none"/>
        </w:rPr>
        <w:t>公务用车购置及运行维护费支出决算</w:t>
      </w:r>
      <w:r>
        <w:rPr>
          <w:rFonts w:hint="eastAsia" w:ascii="仿宋_GB2312" w:hAnsi="仿宋_GB2312" w:eastAsia="仿宋_GB2312" w:cs="仿宋_GB2312"/>
          <w:color w:val="auto"/>
          <w:sz w:val="32"/>
          <w:szCs w:val="32"/>
          <w:highlight w:val="none"/>
          <w:lang w:val="en-US" w:eastAsia="zh-CN"/>
        </w:rPr>
        <w:t>较</w:t>
      </w: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持平。</w:t>
      </w:r>
    </w:p>
    <w:p>
      <w:pPr>
        <w:keepNext w:val="0"/>
        <w:keepLines w:val="0"/>
        <w:pageBreakBefore w:val="0"/>
        <w:widowControl w:val="0"/>
        <w:kinsoku/>
        <w:wordWrap/>
        <w:overflowPunct/>
        <w:topLinePunct w:val="0"/>
        <w:bidi w:val="0"/>
        <w:snapToGrid/>
        <w:spacing w:line="576" w:lineRule="exact"/>
        <w:ind w:left="0" w:right="0" w:firstLine="640" w:firstLineChars="200"/>
        <w:jc w:val="both"/>
        <w:textAlignment w:val="auto"/>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rPr>
        <w:t>其中：</w:t>
      </w:r>
      <w:r>
        <w:rPr>
          <w:rFonts w:hint="eastAsia" w:ascii="仿宋_GB2312" w:hAnsi="仿宋_GB2312" w:eastAsia="仿宋_GB2312" w:cs="仿宋_GB2312"/>
          <w:b/>
          <w:color w:val="auto"/>
          <w:sz w:val="32"/>
          <w:szCs w:val="32"/>
          <w:highlight w:val="none"/>
        </w:rPr>
        <w:t>公务用车购置支出</w:t>
      </w:r>
      <w:r>
        <w:rPr>
          <w:rFonts w:hint="eastAsia" w:ascii="仿宋_GB2312" w:hAnsi="仿宋_GB2312" w:eastAsia="仿宋_GB2312" w:cs="仿宋_GB2312"/>
          <w:b/>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，全年未购置公务用车</w:t>
      </w:r>
      <w:r>
        <w:rPr>
          <w:rFonts w:hint="eastAsia" w:ascii="仿宋_GB2312" w:hAnsi="仿宋_GB2312" w:eastAsia="仿宋_GB2312" w:cs="仿宋_GB2312"/>
          <w:color w:val="auto"/>
          <w:sz w:val="32"/>
          <w:szCs w:val="32"/>
          <w:highlight w:val="none"/>
        </w:rPr>
        <w:t>。截至20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rPr>
        <w:t>年12月底，单位共有公务用车</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辆，其中：越野车</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辆。</w:t>
      </w:r>
    </w:p>
    <w:p>
      <w:pPr>
        <w:keepNext w:val="0"/>
        <w:keepLines w:val="0"/>
        <w:pageBreakBefore w:val="0"/>
        <w:widowControl w:val="0"/>
        <w:kinsoku/>
        <w:wordWrap/>
        <w:overflowPunct/>
        <w:topLinePunct w:val="0"/>
        <w:bidi w:val="0"/>
        <w:snapToGrid/>
        <w:spacing w:line="576" w:lineRule="exact"/>
        <w:ind w:left="0" w:leftChars="0" w:right="0" w:firstLine="642"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公务用车运行维护费支出</w:t>
      </w:r>
      <w:r>
        <w:rPr>
          <w:rFonts w:hint="eastAsia" w:ascii="仿宋_GB2312" w:hAnsi="仿宋_GB2312" w:eastAsia="仿宋_GB2312" w:cs="仿宋_GB2312"/>
          <w:b/>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完成预算的100%。</w:t>
      </w:r>
      <w:r>
        <w:rPr>
          <w:rFonts w:hint="eastAsia" w:ascii="仿宋_GB2312" w:hAnsi="仿宋_GB2312" w:eastAsia="仿宋_GB2312" w:cs="仿宋_GB2312"/>
          <w:color w:val="auto"/>
          <w:sz w:val="32"/>
          <w:szCs w:val="32"/>
          <w:highlight w:val="none"/>
        </w:rPr>
        <w:t>主要用于</w:t>
      </w:r>
      <w:r>
        <w:rPr>
          <w:rFonts w:hint="eastAsia" w:ascii="仿宋_GB2312" w:hAnsi="仿宋_GB2312" w:eastAsia="仿宋_GB2312" w:cs="仿宋_GB2312"/>
          <w:color w:val="000000"/>
          <w:sz w:val="32"/>
          <w:szCs w:val="32"/>
        </w:rPr>
        <w:t>开展自然资源管理工作、</w:t>
      </w:r>
      <w:r>
        <w:rPr>
          <w:rFonts w:hint="eastAsia" w:ascii="仿宋_GB2312" w:hAnsi="仿宋_GB2312" w:eastAsia="仿宋_GB2312" w:cs="仿宋_GB2312"/>
          <w:color w:val="000000"/>
          <w:sz w:val="32"/>
          <w:szCs w:val="32"/>
          <w:lang w:val="en-US" w:eastAsia="zh-CN"/>
        </w:rPr>
        <w:t>地质灾害防治、耕地保护、矿业权管理、地籍测绘、土地整理、乡村振兴</w:t>
      </w:r>
      <w:r>
        <w:rPr>
          <w:rFonts w:hint="eastAsia" w:ascii="仿宋_GB2312" w:hAnsi="仿宋_GB2312" w:eastAsia="仿宋_GB2312" w:cs="仿宋_GB2312"/>
          <w:color w:val="000000"/>
          <w:sz w:val="32"/>
          <w:szCs w:val="32"/>
        </w:rPr>
        <w:t>、下乡帮扶等所需的公务用车燃料费、维修费、过路过桥费、保险费等支出。</w:t>
      </w:r>
    </w:p>
    <w:p>
      <w:pPr>
        <w:keepNext w:val="0"/>
        <w:keepLines w:val="0"/>
        <w:pageBreakBefore w:val="0"/>
        <w:widowControl w:val="0"/>
        <w:shd w:val="clear"/>
        <w:kinsoku/>
        <w:wordWrap/>
        <w:overflowPunct/>
        <w:topLinePunct w:val="0"/>
        <w:bidi w:val="0"/>
        <w:snapToGrid/>
        <w:spacing w:line="576" w:lineRule="exact"/>
        <w:ind w:left="0" w:leftChars="0" w:right="0" w:firstLine="642"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color w:val="auto"/>
          <w:sz w:val="32"/>
          <w:szCs w:val="32"/>
          <w:highlight w:val="none"/>
          <w:lang w:val="en-US" w:eastAsia="zh-CN"/>
        </w:rPr>
        <w:t>3</w:t>
      </w:r>
      <w:r>
        <w:rPr>
          <w:rFonts w:hint="eastAsia" w:ascii="仿宋_GB2312" w:hAnsi="仿宋_GB2312" w:eastAsia="仿宋_GB2312" w:cs="仿宋_GB2312"/>
          <w:b/>
          <w:color w:val="auto"/>
          <w:sz w:val="32"/>
          <w:szCs w:val="32"/>
          <w:highlight w:val="none"/>
        </w:rPr>
        <w:t>.公务接待费支出</w:t>
      </w:r>
      <w:r>
        <w:rPr>
          <w:rFonts w:hint="eastAsia" w:ascii="仿宋_GB2312" w:hAnsi="仿宋_GB2312" w:eastAsia="仿宋_GB2312" w:cs="仿宋_GB2312"/>
          <w:b/>
          <w:color w:val="auto"/>
          <w:sz w:val="32"/>
          <w:szCs w:val="32"/>
          <w:highlight w:val="none"/>
          <w:lang w:val="en-US" w:eastAsia="zh-CN"/>
        </w:rPr>
        <w:t>4.21</w:t>
      </w:r>
      <w:r>
        <w:rPr>
          <w:rFonts w:hint="eastAsia" w:ascii="仿宋_GB2312" w:hAnsi="仿宋_GB2312" w:eastAsia="仿宋_GB2312" w:cs="仿宋_GB2312"/>
          <w:color w:val="auto"/>
          <w:sz w:val="32"/>
          <w:szCs w:val="32"/>
          <w:highlight w:val="none"/>
        </w:rPr>
        <w:t>万元，</w:t>
      </w:r>
      <w:r>
        <w:rPr>
          <w:rStyle w:val="15"/>
          <w:rFonts w:hint="eastAsia" w:ascii="仿宋_GB2312" w:hAnsi="仿宋_GB2312" w:eastAsia="仿宋_GB2312" w:cs="仿宋_GB2312"/>
          <w:b w:val="0"/>
          <w:bCs/>
          <w:color w:val="auto"/>
          <w:sz w:val="32"/>
          <w:szCs w:val="32"/>
          <w:highlight w:val="none"/>
        </w:rPr>
        <w:t>完成预算</w:t>
      </w:r>
      <w:r>
        <w:rPr>
          <w:rStyle w:val="15"/>
          <w:rFonts w:hint="eastAsia" w:ascii="仿宋_GB2312" w:hAnsi="仿宋_GB2312" w:eastAsia="仿宋_GB2312" w:cs="仿宋_GB2312"/>
          <w:b w:val="0"/>
          <w:bCs/>
          <w:color w:val="auto"/>
          <w:sz w:val="32"/>
          <w:szCs w:val="32"/>
          <w:highlight w:val="none"/>
          <w:lang w:val="en-US" w:eastAsia="zh-CN"/>
        </w:rPr>
        <w:t>100</w:t>
      </w:r>
      <w:r>
        <w:rPr>
          <w:rStyle w:val="15"/>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color w:val="auto"/>
          <w:sz w:val="32"/>
          <w:szCs w:val="32"/>
          <w:highlight w:val="none"/>
        </w:rPr>
        <w:t>公务接待费支出决算</w:t>
      </w:r>
      <w:r>
        <w:rPr>
          <w:rFonts w:hint="eastAsia" w:ascii="仿宋_GB2312" w:hAnsi="仿宋_GB2312" w:eastAsia="仿宋_GB2312" w:cs="仿宋_GB2312"/>
          <w:color w:val="auto"/>
          <w:sz w:val="32"/>
          <w:szCs w:val="32"/>
          <w:highlight w:val="none"/>
          <w:lang w:val="en-US" w:eastAsia="zh-CN"/>
        </w:rPr>
        <w:t>较</w:t>
      </w: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减少1.29万元，减少的主要原因是本年度部、省级督促检查公务接待减少，厉行节约。</w:t>
      </w:r>
    </w:p>
    <w:p>
      <w:pPr>
        <w:keepNext w:val="0"/>
        <w:keepLines w:val="0"/>
        <w:pageBreakBefore w:val="0"/>
        <w:widowControl w:val="0"/>
        <w:shd w:val="clear"/>
        <w:kinsoku/>
        <w:wordWrap/>
        <w:overflowPunct/>
        <w:topLinePunct w:val="0"/>
        <w:bidi w:val="0"/>
        <w:snapToGrid/>
        <w:spacing w:line="576" w:lineRule="exact"/>
        <w:ind w:left="0" w:leftChars="0" w:right="0" w:firstLine="642"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color w:val="auto"/>
          <w:sz w:val="32"/>
          <w:szCs w:val="32"/>
          <w:highlight w:val="none"/>
        </w:rPr>
        <w:t>国内公务接待支出</w:t>
      </w:r>
      <w:r>
        <w:rPr>
          <w:rFonts w:hint="eastAsia" w:ascii="仿宋_GB2312" w:hAnsi="仿宋_GB2312" w:eastAsia="仿宋_GB2312" w:cs="仿宋_GB2312"/>
          <w:b/>
          <w:color w:val="auto"/>
          <w:sz w:val="32"/>
          <w:szCs w:val="32"/>
          <w:highlight w:val="none"/>
          <w:lang w:val="en-US" w:eastAsia="zh-CN"/>
        </w:rPr>
        <w:t>4.21</w:t>
      </w:r>
      <w:r>
        <w:rPr>
          <w:rFonts w:hint="eastAsia" w:ascii="仿宋_GB2312" w:hAnsi="仿宋_GB2312" w:eastAsia="仿宋_GB2312" w:cs="仿宋_GB2312"/>
          <w:color w:val="auto"/>
          <w:sz w:val="32"/>
          <w:szCs w:val="32"/>
          <w:highlight w:val="none"/>
        </w:rPr>
        <w:t>万元，主要用于省自然资源厅、上级部门及其他市州的各类检查、督查、调研和县区自然资源局来我局交流汇报等执行公务、开展业务活动开支的用餐费等。国内公务接待</w:t>
      </w:r>
      <w:r>
        <w:rPr>
          <w:rFonts w:hint="eastAsia" w:ascii="仿宋_GB2312" w:hAnsi="仿宋_GB2312" w:eastAsia="仿宋_GB2312" w:cs="仿宋_GB2312"/>
          <w:color w:val="auto"/>
          <w:sz w:val="32"/>
          <w:szCs w:val="32"/>
          <w:highlight w:val="none"/>
          <w:lang w:val="en-US" w:eastAsia="zh-CN"/>
        </w:rPr>
        <w:t>45</w:t>
      </w:r>
      <w:r>
        <w:rPr>
          <w:rFonts w:hint="eastAsia" w:ascii="仿宋_GB2312" w:hAnsi="仿宋_GB2312" w:eastAsia="仿宋_GB2312" w:cs="仿宋_GB2312"/>
          <w:color w:val="auto"/>
          <w:sz w:val="32"/>
          <w:szCs w:val="32"/>
          <w:highlight w:val="none"/>
        </w:rPr>
        <w:t>批次，</w:t>
      </w:r>
      <w:r>
        <w:rPr>
          <w:rFonts w:hint="eastAsia" w:ascii="仿宋_GB2312" w:hAnsi="仿宋_GB2312" w:eastAsia="仿宋_GB2312" w:cs="仿宋_GB2312"/>
          <w:color w:val="auto"/>
          <w:sz w:val="32"/>
          <w:szCs w:val="32"/>
          <w:highlight w:val="none"/>
          <w:lang w:val="en-US" w:eastAsia="zh-CN"/>
        </w:rPr>
        <w:t>421</w:t>
      </w:r>
      <w:r>
        <w:rPr>
          <w:rFonts w:hint="eastAsia" w:ascii="仿宋_GB2312" w:hAnsi="仿宋_GB2312" w:eastAsia="仿宋_GB2312" w:cs="仿宋_GB2312"/>
          <w:color w:val="auto"/>
          <w:sz w:val="32"/>
          <w:szCs w:val="32"/>
          <w:highlight w:val="none"/>
        </w:rPr>
        <w:t>人次（不包括陪同人员），共计支出</w:t>
      </w:r>
      <w:r>
        <w:rPr>
          <w:rFonts w:hint="eastAsia" w:ascii="仿宋_GB2312" w:hAnsi="仿宋_GB2312" w:eastAsia="仿宋_GB2312" w:cs="仿宋_GB2312"/>
          <w:color w:val="auto"/>
          <w:sz w:val="32"/>
          <w:szCs w:val="32"/>
          <w:highlight w:val="none"/>
          <w:lang w:val="en-US" w:eastAsia="zh-CN"/>
        </w:rPr>
        <w:t>4.21</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eastAsia="仿宋_GB2312"/>
          <w:color w:val="auto"/>
          <w:sz w:val="32"/>
          <w:szCs w:val="32"/>
          <w:highlight w:val="none"/>
        </w:rPr>
        <w:t>具体内容包括：</w:t>
      </w:r>
      <w:r>
        <w:rPr>
          <w:rFonts w:hint="eastAsia" w:ascii="仿宋_GB2312" w:eastAsia="仿宋_GB2312"/>
          <w:color w:val="auto"/>
          <w:sz w:val="32"/>
          <w:szCs w:val="32"/>
          <w:highlight w:val="none"/>
          <w:lang w:val="en-US" w:eastAsia="zh-CN"/>
        </w:rPr>
        <w:t>接待自然资源部、自然资源厅、德阳局一行来广管督导、考察“田长制”工作0.5万元；省国土空间生态修复及地灾防治工作0.51万元；省督导组一下来广例行督察工作0.12万元；省厅、省国土整治中心一下来广督导占补平衡及自然资源调查监测工作0.31万元；省地质调查研究院一行签订战略合作、省国土整治中心督导土地整治工作、广安局来人考察自然资源调查监测0.33万元；自然资源部四川基础信息测绘中心来广开展地籍三维工作建设调研、省厅一行督导耕地保护和粮食安全党政同责考核、省自然资源确权登记局关于调研确权登记工作、地市州来广考察0.84万元；省地质研究院来广座谈交流工作0.27万元；省国土空间规划院一行来广调研0.27万元；省厅宣教中心一行来广调研汛前地质灾害防治、厅矿报处一行实地检查水安全问题、自然资源部咨询研究院调研矿产资源市场化教育情况0.74万元；成都督察局一行来广例行督察卫片执法0.32万元。</w:t>
      </w:r>
    </w:p>
    <w:p>
      <w:pPr>
        <w:keepNext w:val="0"/>
        <w:keepLines w:val="0"/>
        <w:pageBreakBefore w:val="0"/>
        <w:widowControl w:val="0"/>
        <w:kinsoku/>
        <w:wordWrap/>
        <w:overflowPunct/>
        <w:topLinePunct w:val="0"/>
        <w:bidi w:val="0"/>
        <w:snapToGrid/>
        <w:spacing w:line="576" w:lineRule="exact"/>
        <w:ind w:left="0" w:right="0" w:firstLine="642"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外事接待支出</w:t>
      </w:r>
      <w:r>
        <w:rPr>
          <w:rFonts w:hint="eastAsia" w:ascii="仿宋_GB2312" w:hAnsi="仿宋_GB2312" w:eastAsia="仿宋_GB2312" w:cs="仿宋_GB2312"/>
          <w:b/>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topLinePunct w:val="0"/>
        <w:bidi w:val="0"/>
        <w:snapToGrid/>
        <w:spacing w:line="576" w:lineRule="exact"/>
        <w:ind w:left="0" w:right="0" w:firstLine="640"/>
        <w:jc w:val="both"/>
        <w:textAlignment w:val="auto"/>
        <w:outlineLvl w:val="1"/>
        <w:rPr>
          <w:rStyle w:val="18"/>
          <w:rFonts w:ascii="黑体" w:hAnsi="黑体" w:eastAsia="黑体"/>
          <w:color w:val="auto"/>
          <w:highlight w:val="none"/>
        </w:rPr>
      </w:pPr>
      <w:bookmarkStart w:id="92" w:name="_Toc4030"/>
      <w:bookmarkStart w:id="93" w:name="_Toc7450"/>
      <w:bookmarkStart w:id="94" w:name="_Toc15396610"/>
      <w:bookmarkStart w:id="95" w:name="_Toc15377218"/>
      <w:r>
        <w:rPr>
          <w:rFonts w:hint="eastAsia" w:ascii="黑体" w:eastAsia="黑体"/>
          <w:color w:val="auto"/>
          <w:sz w:val="32"/>
          <w:szCs w:val="32"/>
          <w:highlight w:val="none"/>
        </w:rPr>
        <w:t>八、</w:t>
      </w:r>
      <w:r>
        <w:rPr>
          <w:rStyle w:val="18"/>
          <w:rFonts w:hint="eastAsia" w:ascii="黑体" w:hAnsi="黑体" w:eastAsia="黑体"/>
          <w:b w:val="0"/>
          <w:color w:val="auto"/>
          <w:highlight w:val="none"/>
        </w:rPr>
        <w:t>政府性基金预算支出决算情况说明</w:t>
      </w:r>
      <w:bookmarkEnd w:id="92"/>
      <w:bookmarkEnd w:id="93"/>
      <w:bookmarkEnd w:id="94"/>
      <w:bookmarkEnd w:id="95"/>
    </w:p>
    <w:p>
      <w:pPr>
        <w:keepNext w:val="0"/>
        <w:keepLines w:val="0"/>
        <w:pageBreakBefore w:val="0"/>
        <w:widowControl w:val="0"/>
        <w:kinsoku/>
        <w:wordWrap/>
        <w:overflowPunct/>
        <w:topLinePunct w:val="0"/>
        <w:bidi w:val="0"/>
        <w:snapToGrid/>
        <w:spacing w:line="576" w:lineRule="exact"/>
        <w:ind w:left="0" w:right="0" w:firstLine="640"/>
        <w:jc w:val="both"/>
        <w:textAlignment w:val="auto"/>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24</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11127.8</w:t>
      </w:r>
      <w:r>
        <w:rPr>
          <w:rFonts w:hint="eastAsia" w:ascii="仿宋_GB2312" w:eastAsia="仿宋_GB2312"/>
          <w:color w:val="auto"/>
          <w:sz w:val="32"/>
          <w:szCs w:val="32"/>
          <w:highlight w:val="none"/>
        </w:rPr>
        <w:t>万元。</w:t>
      </w:r>
    </w:p>
    <w:p>
      <w:pPr>
        <w:keepNext w:val="0"/>
        <w:keepLines w:val="0"/>
        <w:pageBreakBefore w:val="0"/>
        <w:widowControl w:val="0"/>
        <w:numPr>
          <w:ilvl w:val="0"/>
          <w:numId w:val="2"/>
        </w:numPr>
        <w:kinsoku/>
        <w:wordWrap/>
        <w:overflowPunct/>
        <w:topLinePunct w:val="0"/>
        <w:bidi w:val="0"/>
        <w:snapToGrid/>
        <w:spacing w:line="576" w:lineRule="exact"/>
        <w:ind w:left="0" w:right="0" w:firstLine="640"/>
        <w:jc w:val="both"/>
        <w:textAlignment w:val="auto"/>
        <w:outlineLvl w:val="1"/>
        <w:rPr>
          <w:rStyle w:val="18"/>
          <w:rFonts w:ascii="黑体" w:hAnsi="黑体" w:eastAsia="黑体"/>
          <w:b w:val="0"/>
          <w:color w:val="auto"/>
          <w:highlight w:val="none"/>
        </w:rPr>
      </w:pPr>
      <w:bookmarkStart w:id="96" w:name="_Toc15377219"/>
      <w:bookmarkStart w:id="97" w:name="_Toc18370"/>
      <w:bookmarkStart w:id="98" w:name="_Toc15396611"/>
      <w:bookmarkStart w:id="99" w:name="_Toc21616"/>
      <w:r>
        <w:rPr>
          <w:rStyle w:val="18"/>
          <w:rFonts w:hint="eastAsia" w:ascii="黑体" w:hAnsi="黑体" w:eastAsia="黑体"/>
          <w:b w:val="0"/>
          <w:color w:val="auto"/>
          <w:highlight w:val="none"/>
        </w:rPr>
        <w:t>国有资本经营预算支出决算情况说明</w:t>
      </w:r>
      <w:bookmarkEnd w:id="96"/>
      <w:bookmarkEnd w:id="97"/>
      <w:bookmarkEnd w:id="98"/>
      <w:bookmarkEnd w:id="99"/>
    </w:p>
    <w:p>
      <w:pPr>
        <w:keepNext w:val="0"/>
        <w:keepLines w:val="0"/>
        <w:pageBreakBefore w:val="0"/>
        <w:widowControl w:val="0"/>
        <w:kinsoku/>
        <w:wordWrap/>
        <w:overflowPunct/>
        <w:topLinePunct w:val="0"/>
        <w:bidi w:val="0"/>
        <w:snapToGrid/>
        <w:spacing w:line="576" w:lineRule="exact"/>
        <w:ind w:left="0" w:right="0" w:firstLine="640"/>
        <w:jc w:val="both"/>
        <w:textAlignment w:val="auto"/>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keepNext w:val="0"/>
        <w:keepLines w:val="0"/>
        <w:pageBreakBefore w:val="0"/>
        <w:widowControl w:val="0"/>
        <w:numPr>
          <w:ilvl w:val="0"/>
          <w:numId w:val="2"/>
        </w:numPr>
        <w:kinsoku/>
        <w:wordWrap/>
        <w:overflowPunct/>
        <w:topLinePunct w:val="0"/>
        <w:bidi w:val="0"/>
        <w:snapToGrid/>
        <w:spacing w:line="576" w:lineRule="exact"/>
        <w:ind w:left="0" w:right="0" w:firstLine="640"/>
        <w:jc w:val="both"/>
        <w:textAlignment w:val="auto"/>
        <w:outlineLvl w:val="1"/>
        <w:rPr>
          <w:rStyle w:val="18"/>
          <w:rFonts w:hint="eastAsia" w:ascii="黑体" w:hAnsi="黑体" w:eastAsia="黑体"/>
          <w:b w:val="0"/>
          <w:color w:val="auto"/>
          <w:highlight w:val="none"/>
        </w:rPr>
      </w:pPr>
      <w:bookmarkStart w:id="100" w:name="_Toc15377221"/>
      <w:bookmarkStart w:id="101" w:name="_Toc13315"/>
      <w:bookmarkStart w:id="102" w:name="_Toc16803"/>
      <w:bookmarkStart w:id="103" w:name="_Toc15396612"/>
      <w:r>
        <w:rPr>
          <w:rStyle w:val="18"/>
          <w:rFonts w:hint="eastAsia" w:ascii="黑体" w:hAnsi="黑体" w:eastAsia="黑体"/>
          <w:b w:val="0"/>
          <w:color w:val="auto"/>
          <w:highlight w:val="none"/>
        </w:rPr>
        <w:t>其他重要事项的情况说明</w:t>
      </w:r>
      <w:bookmarkEnd w:id="100"/>
      <w:bookmarkEnd w:id="101"/>
      <w:bookmarkEnd w:id="102"/>
      <w:bookmarkEnd w:id="103"/>
    </w:p>
    <w:p>
      <w:pPr>
        <w:keepNext w:val="0"/>
        <w:keepLines w:val="0"/>
        <w:pageBreakBefore w:val="0"/>
        <w:widowControl w:val="0"/>
        <w:kinsoku/>
        <w:wordWrap/>
        <w:overflowPunct/>
        <w:topLinePunct w:val="0"/>
        <w:bidi w:val="0"/>
        <w:snapToGrid/>
        <w:spacing w:line="576" w:lineRule="exact"/>
        <w:ind w:left="0" w:right="0" w:firstLine="642" w:firstLineChars="200"/>
        <w:jc w:val="both"/>
        <w:textAlignment w:val="auto"/>
        <w:outlineLvl w:val="2"/>
        <w:rPr>
          <w:rFonts w:ascii="仿宋" w:hAnsi="仿宋" w:eastAsia="仿宋"/>
          <w:color w:val="auto"/>
          <w:sz w:val="32"/>
          <w:szCs w:val="32"/>
          <w:highlight w:val="none"/>
        </w:rPr>
      </w:pPr>
      <w:bookmarkStart w:id="104" w:name="_Toc16706"/>
      <w:bookmarkStart w:id="105" w:name="_Toc15377222"/>
      <w:bookmarkStart w:id="106" w:name="_Toc24072"/>
      <w:r>
        <w:rPr>
          <w:rFonts w:hint="eastAsia" w:ascii="仿宋" w:hAnsi="仿宋" w:eastAsia="仿宋"/>
          <w:b/>
          <w:color w:val="auto"/>
          <w:sz w:val="32"/>
          <w:szCs w:val="32"/>
          <w:highlight w:val="none"/>
        </w:rPr>
        <w:t>（一）机关运行经费支出情况</w:t>
      </w:r>
      <w:bookmarkEnd w:id="104"/>
      <w:bookmarkEnd w:id="105"/>
      <w:bookmarkEnd w:id="106"/>
    </w:p>
    <w:p>
      <w:pPr>
        <w:keepNext w:val="0"/>
        <w:keepLines w:val="0"/>
        <w:pageBreakBefore w:val="0"/>
        <w:widowControl w:val="0"/>
        <w:shd w:val="clear"/>
        <w:kinsoku/>
        <w:wordWrap/>
        <w:overflowPunct/>
        <w:topLinePunct w:val="0"/>
        <w:bidi w:val="0"/>
        <w:snapToGrid/>
        <w:spacing w:line="576" w:lineRule="exact"/>
        <w:ind w:left="0" w:leftChars="0" w:right="0" w:firstLine="640" w:firstLineChars="200"/>
        <w:jc w:val="both"/>
        <w:textAlignment w:val="auto"/>
        <w:rPr>
          <w:rFonts w:hint="default" w:ascii="仿宋_GB2312" w:eastAsia="仿宋_GB2312"/>
          <w:color w:val="auto"/>
          <w:sz w:val="32"/>
          <w:szCs w:val="32"/>
          <w:highlight w:val="none"/>
          <w:lang w:val="en-US" w:eastAsia="zh-CN"/>
        </w:rPr>
      </w:pPr>
      <w:bookmarkStart w:id="107" w:name="_Toc15377223"/>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24</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广元市自然资源局</w:t>
      </w:r>
      <w:r>
        <w:rPr>
          <w:rFonts w:hint="eastAsia" w:ascii="仿宋_GB2312" w:eastAsia="仿宋_GB2312"/>
          <w:color w:val="auto"/>
          <w:sz w:val="32"/>
          <w:szCs w:val="32"/>
          <w:highlight w:val="none"/>
        </w:rPr>
        <w:t>机关运行经费支出</w:t>
      </w:r>
      <w:r>
        <w:rPr>
          <w:rFonts w:hint="eastAsia" w:ascii="仿宋_GB2312" w:eastAsia="仿宋_GB2312"/>
          <w:color w:val="auto"/>
          <w:sz w:val="32"/>
          <w:szCs w:val="32"/>
          <w:highlight w:val="none"/>
          <w:lang w:val="en-US" w:eastAsia="zh-CN"/>
        </w:rPr>
        <w:t>214.27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较</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增加0.23万元，增长0.1%，主要原因是机关运行成本高导致运行经费略微上涨。</w:t>
      </w:r>
    </w:p>
    <w:p>
      <w:pPr>
        <w:keepNext w:val="0"/>
        <w:keepLines w:val="0"/>
        <w:pageBreakBefore w:val="0"/>
        <w:widowControl w:val="0"/>
        <w:kinsoku/>
        <w:wordWrap/>
        <w:overflowPunct/>
        <w:topLinePunct w:val="0"/>
        <w:autoSpaceDE w:val="0"/>
        <w:autoSpaceDN w:val="0"/>
        <w:bidi w:val="0"/>
        <w:adjustRightInd w:val="0"/>
        <w:snapToGrid/>
        <w:spacing w:line="576" w:lineRule="exact"/>
        <w:ind w:left="0" w:right="0" w:firstLine="642" w:firstLineChars="200"/>
        <w:jc w:val="both"/>
        <w:textAlignment w:val="auto"/>
        <w:outlineLvl w:val="2"/>
        <w:rPr>
          <w:rFonts w:ascii="仿宋" w:hAnsi="仿宋" w:eastAsia="仿宋"/>
          <w:b/>
          <w:color w:val="auto"/>
          <w:sz w:val="32"/>
          <w:szCs w:val="32"/>
          <w:highlight w:val="none"/>
        </w:rPr>
      </w:pPr>
      <w:bookmarkStart w:id="108" w:name="_Toc1619"/>
      <w:bookmarkStart w:id="109" w:name="_Toc14034"/>
      <w:r>
        <w:rPr>
          <w:rFonts w:hint="eastAsia" w:ascii="仿宋" w:hAnsi="仿宋" w:eastAsia="仿宋"/>
          <w:b/>
          <w:color w:val="auto"/>
          <w:sz w:val="32"/>
          <w:szCs w:val="32"/>
          <w:highlight w:val="none"/>
        </w:rPr>
        <w:t>（二）政府采购支出情况</w:t>
      </w:r>
      <w:bookmarkEnd w:id="107"/>
      <w:bookmarkEnd w:id="108"/>
      <w:bookmarkEnd w:id="109"/>
    </w:p>
    <w:p>
      <w:pPr>
        <w:keepNext w:val="0"/>
        <w:keepLines w:val="0"/>
        <w:pageBreakBefore w:val="0"/>
        <w:widowControl w:val="0"/>
        <w:shd w:val="clear"/>
        <w:kinsoku/>
        <w:wordWrap/>
        <w:overflowPunct/>
        <w:topLinePunct w:val="0"/>
        <w:bidi w:val="0"/>
        <w:snapToGrid/>
        <w:spacing w:line="576" w:lineRule="exact"/>
        <w:ind w:left="0" w:leftChars="0" w:right="0" w:firstLine="640" w:firstLineChars="200"/>
        <w:jc w:val="both"/>
        <w:textAlignment w:val="auto"/>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24</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广元市自然资源局</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542.12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其中：政府采购货物支出1.54万元、政府采购服务支出540.58万元。政府采购货物主要采购办公电脑、空调、打印机等办公设备用于日常办公，政府采购货物主要用于矿产资源调查、广元市卫片自主监测项目、广元市市本级自然资源技术辅助性服务等项目技术服务费</w:t>
      </w:r>
      <w:r>
        <w:rPr>
          <w:rFonts w:hint="eastAsia" w:ascii="仿宋_GB2312" w:eastAsia="仿宋_GB2312"/>
          <w:color w:val="auto"/>
          <w:sz w:val="32"/>
          <w:szCs w:val="32"/>
          <w:highlight w:val="none"/>
        </w:rPr>
        <w:t>。授予中小企业合同金额</w:t>
      </w:r>
      <w:r>
        <w:rPr>
          <w:rFonts w:hint="eastAsia" w:ascii="仿宋_GB2312" w:eastAsia="仿宋_GB2312"/>
          <w:color w:val="auto"/>
          <w:sz w:val="32"/>
          <w:szCs w:val="32"/>
          <w:highlight w:val="none"/>
          <w:lang w:val="en-US" w:eastAsia="zh-CN"/>
        </w:rPr>
        <w:t>542.12</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100</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，其中：授予小微企业合同金额</w:t>
      </w:r>
      <w:r>
        <w:rPr>
          <w:rFonts w:hint="eastAsia" w:ascii="仿宋_GB2312" w:eastAsia="仿宋_GB2312"/>
          <w:color w:val="auto"/>
          <w:sz w:val="32"/>
          <w:szCs w:val="32"/>
          <w:highlight w:val="none"/>
          <w:lang w:val="en-US" w:eastAsia="zh-CN"/>
        </w:rPr>
        <w:t>542.12</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100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pPr>
        <w:keepNext w:val="0"/>
        <w:keepLines w:val="0"/>
        <w:pageBreakBefore w:val="0"/>
        <w:widowControl w:val="0"/>
        <w:shd w:val="clear"/>
        <w:kinsoku/>
        <w:wordWrap/>
        <w:overflowPunct/>
        <w:topLinePunct w:val="0"/>
        <w:bidi w:val="0"/>
        <w:snapToGrid/>
        <w:spacing w:line="576" w:lineRule="exact"/>
        <w:ind w:left="0" w:leftChars="0" w:right="0" w:firstLine="640" w:firstLineChars="200"/>
        <w:jc w:val="both"/>
        <w:textAlignment w:val="auto"/>
        <w:rPr>
          <w:rFonts w:hint="default"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val="0"/>
        <w:autoSpaceDN w:val="0"/>
        <w:bidi w:val="0"/>
        <w:adjustRightInd w:val="0"/>
        <w:snapToGrid/>
        <w:spacing w:line="576" w:lineRule="exact"/>
        <w:ind w:left="0" w:right="0" w:firstLine="642" w:firstLineChars="200"/>
        <w:jc w:val="both"/>
        <w:textAlignment w:val="auto"/>
        <w:outlineLvl w:val="2"/>
        <w:rPr>
          <w:rFonts w:ascii="仿宋" w:hAnsi="仿宋" w:eastAsia="仿宋"/>
          <w:b/>
          <w:color w:val="auto"/>
          <w:sz w:val="32"/>
          <w:szCs w:val="32"/>
          <w:highlight w:val="none"/>
        </w:rPr>
      </w:pPr>
      <w:bookmarkStart w:id="110" w:name="_Toc7716"/>
      <w:bookmarkStart w:id="111" w:name="_Toc23213"/>
      <w:bookmarkStart w:id="112" w:name="_Toc15377224"/>
      <w:r>
        <w:rPr>
          <w:rFonts w:hint="eastAsia" w:ascii="仿宋" w:hAnsi="仿宋" w:eastAsia="仿宋"/>
          <w:b/>
          <w:color w:val="auto"/>
          <w:sz w:val="32"/>
          <w:szCs w:val="32"/>
          <w:highlight w:val="none"/>
        </w:rPr>
        <w:t>（三）国有资产占有使用情况</w:t>
      </w:r>
      <w:bookmarkEnd w:id="110"/>
      <w:bookmarkEnd w:id="111"/>
      <w:bookmarkEnd w:id="112"/>
    </w:p>
    <w:p>
      <w:pPr>
        <w:keepNext w:val="0"/>
        <w:keepLines w:val="0"/>
        <w:pageBreakBefore w:val="0"/>
        <w:widowControl w:val="0"/>
        <w:shd w:val="clear"/>
        <w:kinsoku/>
        <w:wordWrap/>
        <w:overflowPunct/>
        <w:topLinePunct w:val="0"/>
        <w:bidi w:val="0"/>
        <w:snapToGrid/>
        <w:spacing w:line="576" w:lineRule="exact"/>
        <w:ind w:left="0" w:leftChars="0" w:right="0"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24</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val="en-US" w:eastAsia="zh-CN"/>
        </w:rPr>
        <w:t>广元市自然资源局</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辆，其中：其他用车</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其他用车主要是用于</w:t>
      </w:r>
      <w:r>
        <w:rPr>
          <w:rFonts w:hint="eastAsia" w:ascii="仿宋_GB2312" w:eastAsia="仿宋_GB2312"/>
          <w:color w:val="auto"/>
          <w:sz w:val="32"/>
          <w:szCs w:val="32"/>
          <w:highlight w:val="none"/>
          <w:lang w:val="en-US" w:eastAsia="zh-CN"/>
        </w:rPr>
        <w:t>一般公务、业务用车。</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keepNext w:val="0"/>
        <w:keepLines w:val="0"/>
        <w:pageBreakBefore w:val="0"/>
        <w:widowControl w:val="0"/>
        <w:kinsoku/>
        <w:wordWrap/>
        <w:overflowPunct/>
        <w:topLinePunct w:val="0"/>
        <w:autoSpaceDE w:val="0"/>
        <w:autoSpaceDN w:val="0"/>
        <w:bidi w:val="0"/>
        <w:adjustRightInd w:val="0"/>
        <w:snapToGrid/>
        <w:spacing w:line="576" w:lineRule="exact"/>
        <w:ind w:left="0" w:right="0" w:firstLine="642" w:firstLineChars="200"/>
        <w:jc w:val="both"/>
        <w:textAlignment w:val="auto"/>
        <w:outlineLvl w:val="2"/>
        <w:rPr>
          <w:rFonts w:hint="eastAsia" w:ascii="仿宋" w:hAnsi="仿宋" w:eastAsia="仿宋"/>
          <w:b/>
          <w:color w:val="auto"/>
          <w:sz w:val="32"/>
          <w:szCs w:val="32"/>
          <w:highlight w:val="none"/>
          <w:lang w:eastAsia="zh-CN"/>
        </w:rPr>
      </w:pPr>
      <w:bookmarkStart w:id="113" w:name="_Toc393"/>
      <w:bookmarkStart w:id="114" w:name="_Toc3115"/>
      <w:r>
        <w:rPr>
          <w:rFonts w:hint="eastAsia" w:ascii="仿宋" w:hAnsi="仿宋" w:eastAsia="仿宋"/>
          <w:b/>
          <w:color w:val="auto"/>
          <w:sz w:val="32"/>
          <w:szCs w:val="32"/>
          <w:highlight w:val="none"/>
        </w:rPr>
        <w:t>（四）预算绩效管理情况</w:t>
      </w:r>
      <w:bookmarkEnd w:id="113"/>
      <w:bookmarkEnd w:id="114"/>
    </w:p>
    <w:p>
      <w:pPr>
        <w:keepNext w:val="0"/>
        <w:keepLines w:val="0"/>
        <w:pageBreakBefore w:val="0"/>
        <w:widowControl w:val="0"/>
        <w:shd w:val="clear"/>
        <w:kinsoku/>
        <w:wordWrap/>
        <w:overflowPunct/>
        <w:topLinePunct w:val="0"/>
        <w:bidi w:val="0"/>
        <w:snapToGrid/>
        <w:spacing w:line="576" w:lineRule="exact"/>
        <w:ind w:left="0" w:leftChars="0" w:right="0" w:firstLine="640" w:firstLineChars="200"/>
        <w:jc w:val="both"/>
        <w:textAlignment w:val="auto"/>
        <w:rPr>
          <w:rFonts w:hint="eastAsia" w:ascii="仿宋_GB2312" w:eastAsia="仿宋_GB2312"/>
          <w:color w:val="auto"/>
          <w:sz w:val="32"/>
          <w:szCs w:val="32"/>
          <w:highlight w:val="none"/>
        </w:rPr>
      </w:pPr>
    </w:p>
    <w:p>
      <w:pPr>
        <w:spacing w:line="600" w:lineRule="exact"/>
        <w:ind w:firstLine="640" w:firstLineChars="200"/>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eastAsia="zh-CN"/>
        </w:rPr>
        <w:t>根据预算绩效管理要求，本单位在</w:t>
      </w:r>
      <w:r>
        <w:rPr>
          <w:rFonts w:hint="eastAsia" w:ascii="仿宋_GB2312" w:hAnsi="Times New Roman" w:eastAsia="仿宋_GB2312" w:cs="Times New Roman"/>
          <w:color w:val="auto"/>
          <w:sz w:val="32"/>
          <w:szCs w:val="32"/>
          <w:highlight w:val="none"/>
          <w:lang w:val="en-US" w:eastAsia="zh-CN"/>
        </w:rPr>
        <w:t>202</w:t>
      </w:r>
      <w:r>
        <w:rPr>
          <w:rFonts w:hint="default" w:ascii="仿宋_GB2312" w:hAnsi="Times New Roman" w:eastAsia="仿宋_GB2312" w:cs="Times New Roman"/>
          <w:color w:val="auto"/>
          <w:sz w:val="32"/>
          <w:szCs w:val="32"/>
          <w:highlight w:val="none"/>
          <w:lang w:val="en" w:eastAsia="zh-CN"/>
        </w:rPr>
        <w:t>4</w:t>
      </w:r>
      <w:r>
        <w:rPr>
          <w:rFonts w:hint="eastAsia" w:ascii="仿宋_GB2312" w:hAnsi="Times New Roman" w:eastAsia="仿宋_GB2312" w:cs="Times New Roman"/>
          <w:color w:val="auto"/>
          <w:sz w:val="32"/>
          <w:szCs w:val="32"/>
          <w:highlight w:val="none"/>
          <w:lang w:val="en-US" w:eastAsia="zh-CN"/>
        </w:rPr>
        <w:t>年度</w:t>
      </w:r>
      <w:r>
        <w:rPr>
          <w:rFonts w:hint="eastAsia" w:ascii="仿宋_GB2312" w:hAnsi="Times New Roman" w:eastAsia="仿宋_GB2312" w:cs="Times New Roman"/>
          <w:color w:val="auto"/>
          <w:sz w:val="32"/>
          <w:szCs w:val="32"/>
          <w:highlight w:val="none"/>
          <w:lang w:eastAsia="zh-CN"/>
        </w:rPr>
        <w:t>预算编制阶段，组织对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广元市卫片自主监测项目”</w:t>
      </w:r>
      <w:r>
        <w:rPr>
          <w:rFonts w:hint="eastAsia" w:ascii="仿宋_GB2312" w:hAnsi="Times New Roman" w:eastAsia="仿宋_GB2312" w:cs="Times New Roman"/>
          <w:color w:val="auto"/>
          <w:sz w:val="32"/>
          <w:szCs w:val="32"/>
          <w:highlight w:val="none"/>
          <w:lang w:eastAsia="zh-CN"/>
        </w:rPr>
        <w:t>项目等</w:t>
      </w:r>
      <w:r>
        <w:rPr>
          <w:rFonts w:hint="eastAsia" w:ascii="仿宋_GB2312" w:hAnsi="Times New Roman" w:eastAsia="仿宋_GB2312" w:cs="Times New Roman"/>
          <w:color w:val="auto"/>
          <w:sz w:val="32"/>
          <w:szCs w:val="32"/>
          <w:highlight w:val="none"/>
          <w:lang w:val="en-US" w:eastAsia="zh-CN"/>
        </w:rPr>
        <w:t>17个项目</w:t>
      </w:r>
      <w:r>
        <w:rPr>
          <w:rFonts w:hint="eastAsia" w:ascii="仿宋_GB2312" w:hAnsi="Times New Roman" w:eastAsia="仿宋_GB2312" w:cs="Times New Roman"/>
          <w:color w:val="auto"/>
          <w:sz w:val="32"/>
          <w:szCs w:val="32"/>
          <w:highlight w:val="none"/>
          <w:lang w:eastAsia="zh-CN"/>
        </w:rPr>
        <w:t>开展了预算事前绩效评估，对</w:t>
      </w:r>
      <w:r>
        <w:rPr>
          <w:rFonts w:hint="eastAsia" w:ascii="仿宋_GB2312" w:hAnsi="Times New Roman" w:eastAsia="仿宋_GB2312" w:cs="Times New Roman"/>
          <w:color w:val="auto"/>
          <w:sz w:val="32"/>
          <w:szCs w:val="32"/>
          <w:highlight w:val="none"/>
          <w:lang w:val="en-US" w:eastAsia="zh-CN"/>
        </w:rPr>
        <w:t>48</w:t>
      </w:r>
      <w:r>
        <w:rPr>
          <w:rFonts w:hint="eastAsia" w:ascii="仿宋_GB2312" w:hAnsi="Times New Roman" w:eastAsia="仿宋_GB2312" w:cs="Times New Roman"/>
          <w:color w:val="auto"/>
          <w:sz w:val="32"/>
          <w:szCs w:val="32"/>
          <w:highlight w:val="none"/>
          <w:lang w:eastAsia="zh-CN"/>
        </w:rPr>
        <w:t>个项目编制了绩效目标，预算执行过程中，选取</w:t>
      </w:r>
      <w:r>
        <w:rPr>
          <w:rFonts w:hint="eastAsia" w:ascii="仿宋_GB2312" w:hAnsi="Times New Roman" w:eastAsia="仿宋_GB2312" w:cs="Times New Roman"/>
          <w:color w:val="auto"/>
          <w:sz w:val="32"/>
          <w:szCs w:val="32"/>
          <w:highlight w:val="none"/>
          <w:lang w:val="en-US" w:eastAsia="zh-CN"/>
        </w:rPr>
        <w:t>48</w:t>
      </w:r>
      <w:r>
        <w:rPr>
          <w:rFonts w:hint="eastAsia" w:ascii="仿宋_GB2312" w:hAnsi="Times New Roman" w:eastAsia="仿宋_GB2312" w:cs="Times New Roman"/>
          <w:color w:val="auto"/>
          <w:sz w:val="32"/>
          <w:szCs w:val="32"/>
          <w:highlight w:val="none"/>
          <w:lang w:eastAsia="zh-CN"/>
        </w:rPr>
        <w:t>个项目开展绩效监控，组织对</w:t>
      </w:r>
      <w:r>
        <w:rPr>
          <w:rFonts w:hint="eastAsia" w:ascii="仿宋_GB2312" w:hAnsi="Times New Roman" w:eastAsia="仿宋_GB2312" w:cs="Times New Roman"/>
          <w:color w:val="auto"/>
          <w:sz w:val="32"/>
          <w:szCs w:val="32"/>
          <w:highlight w:val="none"/>
          <w:lang w:val="en-US" w:eastAsia="zh-CN"/>
        </w:rPr>
        <w:t>48个项目开展绩效自评，绩效自评表详见第四部分附件。</w:t>
      </w:r>
    </w:p>
    <w:p>
      <w:pPr>
        <w:pStyle w:val="26"/>
        <w:keepNext w:val="0"/>
        <w:keepLines w:val="0"/>
        <w:pageBreakBefore w:val="0"/>
        <w:widowControl w:val="0"/>
        <w:shd w:val="clear"/>
        <w:kinsoku/>
        <w:wordWrap/>
        <w:overflowPunct/>
        <w:topLinePunct w:val="0"/>
        <w:bidi w:val="0"/>
        <w:snapToGrid/>
        <w:spacing w:line="576" w:lineRule="exact"/>
        <w:ind w:right="0"/>
        <w:jc w:val="center"/>
        <w:textAlignment w:val="auto"/>
        <w:outlineLvl w:val="0"/>
        <w:rPr>
          <w:rStyle w:val="17"/>
          <w:rFonts w:hint="eastAsia" w:ascii="黑体" w:hAnsi="黑体" w:eastAsia="黑体"/>
          <w:b w:val="0"/>
          <w:color w:val="auto"/>
          <w:highlight w:val="none"/>
        </w:rPr>
      </w:pPr>
      <w:r>
        <w:rPr>
          <w:rFonts w:ascii="仿宋_GB2312" w:eastAsia="仿宋_GB2312"/>
          <w:b/>
          <w:color w:val="auto"/>
          <w:sz w:val="32"/>
          <w:szCs w:val="32"/>
          <w:highlight w:val="none"/>
        </w:rPr>
        <w:br w:type="page"/>
      </w:r>
      <w:bookmarkStart w:id="115" w:name="_Toc15396613"/>
      <w:bookmarkStart w:id="116" w:name="_Toc24691"/>
      <w:bookmarkStart w:id="117" w:name="_Toc8591"/>
      <w:bookmarkStart w:id="118" w:name="_Toc15377225"/>
      <w:r>
        <w:rPr>
          <w:rFonts w:hint="eastAsia" w:ascii="黑体" w:hAnsi="黑体" w:eastAsia="黑体"/>
          <w:color w:val="auto"/>
          <w:sz w:val="44"/>
          <w:szCs w:val="44"/>
          <w:highlight w:val="none"/>
          <w:lang w:eastAsia="zh-CN"/>
        </w:rPr>
        <w:t>第三部分</w:t>
      </w:r>
      <w:r>
        <w:rPr>
          <w:rFonts w:hint="eastAsia" w:ascii="黑体" w:hAnsi="黑体" w:eastAsia="黑体"/>
          <w:color w:val="auto"/>
          <w:sz w:val="44"/>
          <w:szCs w:val="44"/>
          <w:highlight w:val="none"/>
        </w:rPr>
        <w:t>名</w:t>
      </w:r>
      <w:r>
        <w:rPr>
          <w:rStyle w:val="17"/>
          <w:rFonts w:hint="eastAsia" w:ascii="黑体" w:hAnsi="黑体" w:eastAsia="黑体"/>
          <w:b w:val="0"/>
          <w:color w:val="auto"/>
          <w:highlight w:val="none"/>
        </w:rPr>
        <w:t>词解释</w:t>
      </w:r>
      <w:bookmarkEnd w:id="115"/>
      <w:bookmarkEnd w:id="116"/>
      <w:bookmarkEnd w:id="117"/>
      <w:bookmarkEnd w:id="118"/>
    </w:p>
    <w:p>
      <w:pPr>
        <w:pStyle w:val="26"/>
        <w:keepNext w:val="0"/>
        <w:keepLines w:val="0"/>
        <w:pageBreakBefore w:val="0"/>
        <w:widowControl w:val="0"/>
        <w:shd w:val="clear"/>
        <w:kinsoku/>
        <w:wordWrap/>
        <w:overflowPunct/>
        <w:topLinePunct w:val="0"/>
        <w:bidi w:val="0"/>
        <w:snapToGrid/>
        <w:spacing w:line="576" w:lineRule="exact"/>
        <w:ind w:right="0"/>
        <w:jc w:val="center"/>
        <w:textAlignment w:val="auto"/>
        <w:rPr>
          <w:rStyle w:val="17"/>
          <w:rFonts w:hint="eastAsia" w:ascii="黑体" w:hAnsi="黑体" w:eastAsia="黑体"/>
          <w:b w:val="0"/>
          <w:color w:val="auto"/>
          <w:highlight w:val="none"/>
          <w:lang w:eastAsia="zh-CN"/>
        </w:rPr>
      </w:pPr>
    </w:p>
    <w:p>
      <w:pPr>
        <w:pageBreakBefore w:val="0"/>
        <w:widowControl/>
        <w:kinsoku/>
        <w:wordWrap/>
        <w:overflowPunct/>
        <w:topLinePunct w:val="0"/>
        <w:bidi w:val="0"/>
        <w:snapToGrid/>
        <w:spacing w:line="576" w:lineRule="exact"/>
        <w:ind w:left="0" w:right="0"/>
        <w:jc w:val="left"/>
        <w:textAlignment w:val="auto"/>
        <w:rPr>
          <w:rStyle w:val="17"/>
          <w:rFonts w:ascii="黑体" w:hAnsi="黑体" w:eastAsia="黑体"/>
          <w:b w:val="0"/>
          <w:color w:val="auto"/>
          <w:highlight w:val="none"/>
        </w:rPr>
      </w:pPr>
    </w:p>
    <w:p>
      <w:pPr>
        <w:pageBreakBefore w:val="0"/>
        <w:kinsoku/>
        <w:wordWrap/>
        <w:overflowPunct/>
        <w:topLinePunct w:val="0"/>
        <w:bidi w:val="0"/>
        <w:snapToGrid/>
        <w:spacing w:line="576" w:lineRule="exact"/>
        <w:ind w:left="0" w:right="0"/>
        <w:jc w:val="left"/>
        <w:textAlignment w:val="auto"/>
        <w:rPr>
          <w:rFonts w:ascii="宋体"/>
          <w:b/>
          <w:color w:val="auto"/>
          <w:sz w:val="44"/>
          <w:szCs w:val="44"/>
          <w:highlight w:val="none"/>
        </w:rPr>
      </w:pPr>
    </w:p>
    <w:p>
      <w:pPr>
        <w:pStyle w:val="26"/>
        <w:keepNext w:val="0"/>
        <w:keepLines w:val="0"/>
        <w:pageBreakBefore w:val="0"/>
        <w:widowControl w:val="0"/>
        <w:numPr>
          <w:ilvl w:val="0"/>
          <w:numId w:val="3"/>
        </w:numPr>
        <w:shd w:val="clear"/>
        <w:kinsoku/>
        <w:wordWrap/>
        <w:overflowPunct/>
        <w:topLinePunct w:val="0"/>
        <w:bidi w:val="0"/>
        <w:snapToGrid/>
        <w:spacing w:line="576" w:lineRule="exact"/>
        <w:ind w:left="20" w:leftChars="0" w:right="0" w:firstLine="400" w:firstLine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财政拨款收入：指单位从同级财政部门取得的财政预算资金。</w:t>
      </w:r>
    </w:p>
    <w:p>
      <w:pPr>
        <w:pStyle w:val="26"/>
        <w:keepNext w:val="0"/>
        <w:keepLines w:val="0"/>
        <w:pageBreakBefore w:val="0"/>
        <w:widowControl w:val="0"/>
        <w:numPr>
          <w:ilvl w:val="0"/>
          <w:numId w:val="3"/>
        </w:numPr>
        <w:shd w:val="clear"/>
        <w:kinsoku/>
        <w:wordWrap/>
        <w:overflowPunct/>
        <w:topLinePunct w:val="0"/>
        <w:bidi w:val="0"/>
        <w:snapToGrid/>
        <w:spacing w:line="576" w:lineRule="exact"/>
        <w:ind w:left="20" w:leftChars="0" w:right="0" w:firstLine="400" w:firstLineChars="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社会保障和就业</w:t>
      </w:r>
      <w:r>
        <w:rPr>
          <w:rFonts w:hint="eastAsia" w:ascii="仿宋_GB2312" w:hAnsi="仿宋_GB2312" w:eastAsia="仿宋_GB2312" w:cs="仿宋_GB2312"/>
          <w:color w:val="auto"/>
          <w:sz w:val="32"/>
          <w:szCs w:val="32"/>
          <w:highlight w:val="none"/>
          <w:lang w:val="en-US" w:eastAsia="zh-CN"/>
        </w:rPr>
        <w:t>支出</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val="en-US" w:eastAsia="zh-CN"/>
        </w:rPr>
        <w:t>人力资源和社会保障管理事务</w:t>
      </w:r>
      <w:r>
        <w:rPr>
          <w:rFonts w:hint="eastAsia" w:ascii="仿宋_GB2312" w:hAnsi="仿宋_GB2312" w:eastAsia="仿宋_GB2312" w:cs="仿宋_GB2312"/>
          <w:color w:val="auto"/>
          <w:sz w:val="32"/>
          <w:szCs w:val="32"/>
          <w:highlight w:val="none"/>
        </w:rPr>
        <w:t>（款）</w:t>
      </w:r>
      <w:r>
        <w:rPr>
          <w:rFonts w:hint="eastAsia" w:ascii="仿宋_GB2312" w:hAnsi="仿宋_GB2312" w:eastAsia="仿宋_GB2312" w:cs="仿宋_GB2312"/>
          <w:color w:val="auto"/>
          <w:sz w:val="32"/>
          <w:szCs w:val="32"/>
          <w:highlight w:val="none"/>
          <w:lang w:val="en-US" w:eastAsia="zh-CN"/>
        </w:rPr>
        <w:t>引进人才费用</w:t>
      </w:r>
      <w:r>
        <w:rPr>
          <w:rFonts w:hint="eastAsia" w:ascii="仿宋_GB2312" w:hAnsi="仿宋_GB2312" w:eastAsia="仿宋_GB2312" w:cs="仿宋_GB2312"/>
          <w:color w:val="auto"/>
          <w:sz w:val="32"/>
          <w:szCs w:val="32"/>
          <w:highlight w:val="none"/>
        </w:rPr>
        <w:t>（项）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指引进人才的安家补助和生活补助。</w:t>
      </w:r>
    </w:p>
    <w:p>
      <w:pPr>
        <w:pStyle w:val="26"/>
        <w:keepNext w:val="0"/>
        <w:keepLines w:val="0"/>
        <w:pageBreakBefore w:val="0"/>
        <w:widowControl w:val="0"/>
        <w:numPr>
          <w:ilvl w:val="0"/>
          <w:numId w:val="3"/>
        </w:numPr>
        <w:shd w:val="clear"/>
        <w:kinsoku/>
        <w:wordWrap/>
        <w:overflowPunct/>
        <w:topLinePunct w:val="0"/>
        <w:bidi w:val="0"/>
        <w:snapToGrid/>
        <w:spacing w:line="576" w:lineRule="exact"/>
        <w:ind w:left="20" w:leftChars="0" w:right="0" w:firstLine="400" w:firstLine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社会保障和就业</w:t>
      </w:r>
      <w:r>
        <w:rPr>
          <w:rFonts w:hint="eastAsia" w:ascii="仿宋_GB2312" w:hAnsi="仿宋_GB2312" w:eastAsia="仿宋_GB2312" w:cs="仿宋_GB2312"/>
          <w:color w:val="auto"/>
          <w:sz w:val="32"/>
          <w:szCs w:val="32"/>
          <w:highlight w:val="none"/>
          <w:lang w:val="en-US" w:eastAsia="zh-CN"/>
        </w:rPr>
        <w:t>支出</w:t>
      </w:r>
      <w:r>
        <w:rPr>
          <w:rFonts w:hint="eastAsia" w:ascii="仿宋_GB2312" w:hAnsi="仿宋_GB2312" w:eastAsia="仿宋_GB2312" w:cs="仿宋_GB2312"/>
          <w:color w:val="auto"/>
          <w:sz w:val="32"/>
          <w:szCs w:val="32"/>
          <w:highlight w:val="none"/>
        </w:rPr>
        <w:t>（类）行政事业单位</w:t>
      </w:r>
      <w:r>
        <w:rPr>
          <w:rFonts w:hint="eastAsia" w:ascii="仿宋_GB2312" w:hAnsi="仿宋_GB2312" w:eastAsia="仿宋_GB2312" w:cs="仿宋_GB2312"/>
          <w:color w:val="auto"/>
          <w:sz w:val="32"/>
          <w:szCs w:val="32"/>
          <w:highlight w:val="none"/>
          <w:lang w:val="en-US" w:eastAsia="zh-CN"/>
        </w:rPr>
        <w:t>养老支出</w:t>
      </w:r>
      <w:r>
        <w:rPr>
          <w:rFonts w:hint="eastAsia" w:ascii="仿宋_GB2312" w:hAnsi="仿宋_GB2312" w:eastAsia="仿宋_GB2312" w:cs="仿宋_GB2312"/>
          <w:color w:val="auto"/>
          <w:sz w:val="32"/>
          <w:szCs w:val="32"/>
          <w:highlight w:val="none"/>
        </w:rPr>
        <w:t>（款）</w:t>
      </w:r>
      <w:r>
        <w:rPr>
          <w:rFonts w:hint="eastAsia" w:ascii="仿宋_GB2312" w:hAnsi="仿宋_GB2312" w:eastAsia="仿宋_GB2312" w:cs="仿宋_GB2312"/>
          <w:color w:val="auto"/>
          <w:sz w:val="32"/>
          <w:szCs w:val="32"/>
          <w:highlight w:val="none"/>
          <w:lang w:val="en-US" w:eastAsia="zh-CN"/>
        </w:rPr>
        <w:t>行政单位离退休</w:t>
      </w:r>
      <w:r>
        <w:rPr>
          <w:rFonts w:hint="eastAsia" w:ascii="仿宋_GB2312" w:hAnsi="仿宋_GB2312" w:eastAsia="仿宋_GB2312" w:cs="仿宋_GB2312"/>
          <w:color w:val="auto"/>
          <w:sz w:val="32"/>
          <w:szCs w:val="32"/>
          <w:highlight w:val="none"/>
        </w:rPr>
        <w:t>（项）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指</w:t>
      </w:r>
      <w:r>
        <w:rPr>
          <w:rFonts w:hint="eastAsia" w:ascii="仿宋_GB2312" w:hAnsi="仿宋_GB2312" w:eastAsia="仿宋_GB2312" w:cs="仿宋_GB2312"/>
          <w:color w:val="auto"/>
          <w:sz w:val="32"/>
          <w:szCs w:val="32"/>
          <w:highlight w:val="none"/>
          <w:lang w:val="en-US" w:eastAsia="zh-CN"/>
        </w:rPr>
        <w:t>行政事业单位退休职工生活补助</w:t>
      </w:r>
      <w:r>
        <w:rPr>
          <w:rFonts w:hint="eastAsia" w:ascii="仿宋_GB2312" w:hAnsi="仿宋_GB2312" w:eastAsia="仿宋_GB2312" w:cs="仿宋_GB2312"/>
          <w:color w:val="auto"/>
          <w:sz w:val="32"/>
          <w:szCs w:val="32"/>
          <w:highlight w:val="none"/>
        </w:rPr>
        <w:t>。</w:t>
      </w:r>
    </w:p>
    <w:p>
      <w:pPr>
        <w:pStyle w:val="26"/>
        <w:keepNext w:val="0"/>
        <w:keepLines w:val="0"/>
        <w:pageBreakBefore w:val="0"/>
        <w:widowControl w:val="0"/>
        <w:numPr>
          <w:ilvl w:val="0"/>
          <w:numId w:val="3"/>
        </w:numPr>
        <w:shd w:val="clear"/>
        <w:kinsoku/>
        <w:wordWrap/>
        <w:overflowPunct/>
        <w:topLinePunct w:val="0"/>
        <w:bidi w:val="0"/>
        <w:snapToGrid/>
        <w:spacing w:line="576" w:lineRule="exact"/>
        <w:ind w:left="20" w:leftChars="0" w:right="0" w:firstLine="400" w:firstLineChars="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社会保障和就业</w:t>
      </w:r>
      <w:r>
        <w:rPr>
          <w:rFonts w:hint="eastAsia" w:ascii="仿宋_GB2312" w:hAnsi="仿宋_GB2312" w:eastAsia="仿宋_GB2312" w:cs="仿宋_GB2312"/>
          <w:color w:val="auto"/>
          <w:sz w:val="32"/>
          <w:szCs w:val="32"/>
          <w:highlight w:val="none"/>
          <w:lang w:val="en-US" w:eastAsia="zh-CN"/>
        </w:rPr>
        <w:t>支出</w:t>
      </w:r>
      <w:r>
        <w:rPr>
          <w:rFonts w:hint="eastAsia" w:ascii="仿宋_GB2312" w:hAnsi="仿宋_GB2312" w:eastAsia="仿宋_GB2312" w:cs="仿宋_GB2312"/>
          <w:color w:val="auto"/>
          <w:sz w:val="32"/>
          <w:szCs w:val="32"/>
          <w:highlight w:val="none"/>
        </w:rPr>
        <w:t>（类）行政事业单位</w:t>
      </w:r>
      <w:r>
        <w:rPr>
          <w:rFonts w:hint="eastAsia" w:ascii="仿宋_GB2312" w:hAnsi="仿宋_GB2312" w:eastAsia="仿宋_GB2312" w:cs="仿宋_GB2312"/>
          <w:color w:val="auto"/>
          <w:sz w:val="32"/>
          <w:szCs w:val="32"/>
          <w:highlight w:val="none"/>
          <w:lang w:val="en-US" w:eastAsia="zh-CN"/>
        </w:rPr>
        <w:t>养老支出</w:t>
      </w:r>
      <w:r>
        <w:rPr>
          <w:rFonts w:hint="eastAsia" w:ascii="仿宋_GB2312" w:hAnsi="仿宋_GB2312" w:eastAsia="仿宋_GB2312" w:cs="仿宋_GB2312"/>
          <w:color w:val="auto"/>
          <w:sz w:val="32"/>
          <w:szCs w:val="32"/>
          <w:highlight w:val="none"/>
        </w:rPr>
        <w:t>（款）</w:t>
      </w:r>
      <w:r>
        <w:rPr>
          <w:rFonts w:hint="eastAsia" w:ascii="仿宋_GB2312" w:hAnsi="仿宋_GB2312" w:eastAsia="仿宋_GB2312" w:cs="仿宋_GB2312"/>
          <w:color w:val="auto"/>
          <w:sz w:val="32"/>
          <w:szCs w:val="32"/>
          <w:highlight w:val="none"/>
          <w:lang w:val="en-US" w:eastAsia="zh-CN"/>
        </w:rPr>
        <w:t>机关事业单位基本养老保险缴费支出</w:t>
      </w:r>
      <w:r>
        <w:rPr>
          <w:rFonts w:hint="eastAsia" w:ascii="仿宋_GB2312" w:hAnsi="仿宋_GB2312" w:eastAsia="仿宋_GB2312" w:cs="仿宋_GB2312"/>
          <w:color w:val="auto"/>
          <w:sz w:val="32"/>
          <w:szCs w:val="32"/>
          <w:highlight w:val="none"/>
        </w:rPr>
        <w:t>（项）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指机关事业单位实施养老保险制度由单位缴纳的基本养老保险费支出</w:t>
      </w:r>
      <w:r>
        <w:rPr>
          <w:rFonts w:hint="eastAsia" w:ascii="仿宋_GB2312" w:hAnsi="仿宋_GB2312" w:eastAsia="仿宋_GB2312" w:cs="仿宋_GB2312"/>
          <w:color w:val="auto"/>
          <w:sz w:val="32"/>
          <w:szCs w:val="32"/>
          <w:highlight w:val="none"/>
          <w:lang w:eastAsia="zh-CN"/>
        </w:rPr>
        <w:t>。</w:t>
      </w:r>
    </w:p>
    <w:p>
      <w:pPr>
        <w:pStyle w:val="26"/>
        <w:keepNext w:val="0"/>
        <w:keepLines w:val="0"/>
        <w:pageBreakBefore w:val="0"/>
        <w:widowControl w:val="0"/>
        <w:numPr>
          <w:ilvl w:val="0"/>
          <w:numId w:val="3"/>
        </w:numPr>
        <w:shd w:val="clear"/>
        <w:kinsoku/>
        <w:wordWrap/>
        <w:overflowPunct/>
        <w:topLinePunct w:val="0"/>
        <w:bidi w:val="0"/>
        <w:snapToGrid/>
        <w:spacing w:line="576" w:lineRule="exact"/>
        <w:ind w:left="20" w:leftChars="0" w:right="0" w:firstLine="400" w:firstLine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社会保障和就业</w:t>
      </w:r>
      <w:r>
        <w:rPr>
          <w:rFonts w:hint="eastAsia" w:ascii="仿宋_GB2312" w:hAnsi="仿宋_GB2312" w:eastAsia="仿宋_GB2312" w:cs="仿宋_GB2312"/>
          <w:color w:val="auto"/>
          <w:sz w:val="32"/>
          <w:szCs w:val="32"/>
          <w:highlight w:val="none"/>
          <w:lang w:val="en-US" w:eastAsia="zh-CN"/>
        </w:rPr>
        <w:t>支出</w:t>
      </w:r>
      <w:r>
        <w:rPr>
          <w:rFonts w:hint="eastAsia" w:ascii="仿宋_GB2312" w:hAnsi="仿宋_GB2312" w:eastAsia="仿宋_GB2312" w:cs="仿宋_GB2312"/>
          <w:color w:val="auto"/>
          <w:sz w:val="32"/>
          <w:szCs w:val="32"/>
          <w:highlight w:val="none"/>
        </w:rPr>
        <w:t>（类）行政事业单位</w:t>
      </w:r>
      <w:r>
        <w:rPr>
          <w:rFonts w:hint="eastAsia" w:ascii="仿宋_GB2312" w:hAnsi="仿宋_GB2312" w:eastAsia="仿宋_GB2312" w:cs="仿宋_GB2312"/>
          <w:color w:val="auto"/>
          <w:sz w:val="32"/>
          <w:szCs w:val="32"/>
          <w:highlight w:val="none"/>
          <w:lang w:val="en-US" w:eastAsia="zh-CN"/>
        </w:rPr>
        <w:t>养老支出</w:t>
      </w:r>
      <w:r>
        <w:rPr>
          <w:rFonts w:hint="eastAsia" w:ascii="仿宋_GB2312" w:hAnsi="仿宋_GB2312" w:eastAsia="仿宋_GB2312" w:cs="仿宋_GB2312"/>
          <w:color w:val="auto"/>
          <w:sz w:val="32"/>
          <w:szCs w:val="32"/>
          <w:highlight w:val="none"/>
        </w:rPr>
        <w:t>（款）机关事业单位职业年金缴费支出（项）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指机关事业单位实施养老保险制度由单位实际缴纳的职业年金支出。</w:t>
      </w:r>
    </w:p>
    <w:p>
      <w:pPr>
        <w:pStyle w:val="26"/>
        <w:keepNext w:val="0"/>
        <w:keepLines w:val="0"/>
        <w:pageBreakBefore w:val="0"/>
        <w:widowControl w:val="0"/>
        <w:numPr>
          <w:ilvl w:val="0"/>
          <w:numId w:val="3"/>
        </w:numPr>
        <w:shd w:val="clear"/>
        <w:kinsoku/>
        <w:wordWrap/>
        <w:overflowPunct/>
        <w:topLinePunct w:val="0"/>
        <w:bidi w:val="0"/>
        <w:snapToGrid/>
        <w:spacing w:line="576" w:lineRule="exact"/>
        <w:ind w:left="20" w:leftChars="0" w:right="0" w:firstLine="400" w:firstLine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社会保障和就业支出（类）抚恤（款）死亡抚恤（项）：退休人员的丧葬费和抚恤金。</w:t>
      </w:r>
    </w:p>
    <w:p>
      <w:pPr>
        <w:pStyle w:val="26"/>
        <w:keepNext w:val="0"/>
        <w:keepLines w:val="0"/>
        <w:pageBreakBefore w:val="0"/>
        <w:widowControl w:val="0"/>
        <w:numPr>
          <w:ilvl w:val="0"/>
          <w:numId w:val="3"/>
        </w:numPr>
        <w:shd w:val="clear"/>
        <w:kinsoku/>
        <w:wordWrap/>
        <w:overflowPunct/>
        <w:topLinePunct w:val="0"/>
        <w:bidi w:val="0"/>
        <w:snapToGrid/>
        <w:spacing w:line="576" w:lineRule="exact"/>
        <w:ind w:left="20" w:leftChars="0" w:right="0" w:firstLine="400" w:firstLine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卫生健康</w:t>
      </w:r>
      <w:r>
        <w:rPr>
          <w:rFonts w:hint="eastAsia" w:ascii="仿宋_GB2312" w:hAnsi="仿宋_GB2312" w:eastAsia="仿宋_GB2312" w:cs="仿宋_GB2312"/>
          <w:color w:val="auto"/>
          <w:sz w:val="32"/>
          <w:szCs w:val="32"/>
          <w:highlight w:val="none"/>
          <w:lang w:val="en-US" w:eastAsia="zh-CN"/>
        </w:rPr>
        <w:t>支出</w:t>
      </w:r>
      <w:r>
        <w:rPr>
          <w:rFonts w:hint="eastAsia" w:ascii="仿宋_GB2312" w:hAnsi="仿宋_GB2312" w:eastAsia="仿宋_GB2312" w:cs="仿宋_GB2312"/>
          <w:color w:val="auto"/>
          <w:sz w:val="32"/>
          <w:szCs w:val="32"/>
          <w:highlight w:val="none"/>
        </w:rPr>
        <w:t>（类）行政事业单位医疗（款）行政单位医疗（项）：指</w:t>
      </w:r>
      <w:r>
        <w:rPr>
          <w:rFonts w:hint="eastAsia" w:ascii="仿宋_GB2312" w:hAnsi="仿宋_GB2312" w:eastAsia="仿宋_GB2312" w:cs="仿宋_GB2312"/>
          <w:color w:val="auto"/>
          <w:sz w:val="32"/>
          <w:szCs w:val="32"/>
          <w:highlight w:val="none"/>
          <w:lang w:val="en-US" w:eastAsia="zh-CN"/>
        </w:rPr>
        <w:t>财政部门安排的行政单位（包括实行公务员管理的事业单位）基本医疗保险缴费经费。</w:t>
      </w:r>
    </w:p>
    <w:p>
      <w:pPr>
        <w:pStyle w:val="26"/>
        <w:keepNext w:val="0"/>
        <w:keepLines w:val="0"/>
        <w:pageBreakBefore w:val="0"/>
        <w:widowControl w:val="0"/>
        <w:numPr>
          <w:ilvl w:val="0"/>
          <w:numId w:val="3"/>
        </w:numPr>
        <w:shd w:val="clear"/>
        <w:kinsoku/>
        <w:wordWrap/>
        <w:overflowPunct/>
        <w:topLinePunct w:val="0"/>
        <w:bidi w:val="0"/>
        <w:snapToGrid/>
        <w:spacing w:line="576" w:lineRule="exact"/>
        <w:ind w:left="20" w:leftChars="0" w:right="0" w:firstLine="400" w:firstLine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卫生健康支出（类）行政事业单位医疗（款）其他行政事业单位医疗支出（项）：指财政部门安排的行政事业单位的工伤保险支出。</w:t>
      </w:r>
    </w:p>
    <w:p>
      <w:pPr>
        <w:pStyle w:val="26"/>
        <w:keepNext w:val="0"/>
        <w:keepLines w:val="0"/>
        <w:pageBreakBefore w:val="0"/>
        <w:widowControl w:val="0"/>
        <w:numPr>
          <w:ilvl w:val="0"/>
          <w:numId w:val="3"/>
        </w:numPr>
        <w:shd w:val="clear"/>
        <w:kinsoku/>
        <w:wordWrap/>
        <w:overflowPunct/>
        <w:topLinePunct w:val="0"/>
        <w:bidi w:val="0"/>
        <w:snapToGrid/>
        <w:spacing w:line="576" w:lineRule="exact"/>
        <w:ind w:left="20" w:leftChars="0" w:right="0" w:firstLine="400" w:firstLine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节能环保支出（类）自然生态保护（款）生态保护（项）：指用于生态功能区、生态示范区等生态修复支出。</w:t>
      </w:r>
    </w:p>
    <w:p>
      <w:pPr>
        <w:pStyle w:val="26"/>
        <w:keepNext w:val="0"/>
        <w:keepLines w:val="0"/>
        <w:pageBreakBefore w:val="0"/>
        <w:widowControl w:val="0"/>
        <w:numPr>
          <w:ilvl w:val="0"/>
          <w:numId w:val="3"/>
        </w:numPr>
        <w:shd w:val="clear"/>
        <w:kinsoku/>
        <w:wordWrap/>
        <w:overflowPunct/>
        <w:topLinePunct w:val="0"/>
        <w:bidi w:val="0"/>
        <w:snapToGrid/>
        <w:spacing w:line="576" w:lineRule="exact"/>
        <w:ind w:left="20" w:leftChars="0" w:right="0" w:firstLine="400" w:firstLineChars="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城区社区</w:t>
      </w:r>
      <w:r>
        <w:rPr>
          <w:rFonts w:hint="eastAsia" w:ascii="仿宋_GB2312" w:hAnsi="仿宋_GB2312" w:eastAsia="仿宋_GB2312" w:cs="仿宋_GB2312"/>
          <w:color w:val="auto"/>
          <w:sz w:val="32"/>
          <w:szCs w:val="32"/>
          <w:highlight w:val="none"/>
          <w:lang w:val="en-US" w:eastAsia="zh-CN"/>
        </w:rPr>
        <w:t>支出</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val="en-US" w:eastAsia="zh-CN"/>
        </w:rPr>
        <w:t>国有土地使用权出让收入安排的支出</w:t>
      </w:r>
      <w:r>
        <w:rPr>
          <w:rFonts w:hint="eastAsia" w:ascii="仿宋_GB2312" w:hAnsi="仿宋_GB2312" w:eastAsia="仿宋_GB2312" w:cs="仿宋_GB2312"/>
          <w:color w:val="auto"/>
          <w:sz w:val="32"/>
          <w:szCs w:val="32"/>
          <w:highlight w:val="none"/>
        </w:rPr>
        <w:t>（款）</w:t>
      </w:r>
      <w:r>
        <w:rPr>
          <w:rFonts w:hint="eastAsia" w:ascii="仿宋_GB2312" w:hAnsi="仿宋_GB2312" w:eastAsia="仿宋_GB2312" w:cs="仿宋_GB2312"/>
          <w:color w:val="auto"/>
          <w:sz w:val="32"/>
          <w:szCs w:val="32"/>
          <w:highlight w:val="none"/>
          <w:lang w:val="en-US" w:eastAsia="zh-CN"/>
        </w:rPr>
        <w:t>征地和拆迁补偿</w:t>
      </w:r>
      <w:r>
        <w:rPr>
          <w:rFonts w:hint="eastAsia" w:ascii="仿宋_GB2312" w:hAnsi="仿宋_GB2312" w:eastAsia="仿宋_GB2312" w:cs="仿宋_GB2312"/>
          <w:color w:val="auto"/>
          <w:sz w:val="32"/>
          <w:szCs w:val="32"/>
          <w:highlight w:val="none"/>
        </w:rPr>
        <w:t>支出（项）：</w:t>
      </w:r>
      <w:r>
        <w:rPr>
          <w:rFonts w:hint="eastAsia" w:ascii="仿宋_GB2312" w:hAnsi="仿宋_GB2312" w:eastAsia="仿宋_GB2312" w:cs="仿宋_GB2312"/>
          <w:color w:val="auto"/>
          <w:sz w:val="32"/>
          <w:szCs w:val="32"/>
          <w:highlight w:val="none"/>
          <w:lang w:val="en-US" w:eastAsia="zh-CN"/>
        </w:rPr>
        <w:t>指地方政府在征地和收购土地过程中支付的土地补偿费、安置补助费、地上附着物和青苗补偿费、拆迁补偿费支出。</w:t>
      </w:r>
    </w:p>
    <w:p>
      <w:pPr>
        <w:pStyle w:val="26"/>
        <w:keepNext w:val="0"/>
        <w:keepLines w:val="0"/>
        <w:pageBreakBefore w:val="0"/>
        <w:widowControl w:val="0"/>
        <w:numPr>
          <w:ilvl w:val="0"/>
          <w:numId w:val="3"/>
        </w:numPr>
        <w:shd w:val="clear"/>
        <w:kinsoku/>
        <w:wordWrap/>
        <w:overflowPunct/>
        <w:topLinePunct w:val="0"/>
        <w:bidi w:val="0"/>
        <w:snapToGrid/>
        <w:spacing w:line="576" w:lineRule="exact"/>
        <w:ind w:left="20" w:leftChars="0" w:right="0" w:firstLine="400" w:firstLine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城区社区</w:t>
      </w:r>
      <w:r>
        <w:rPr>
          <w:rFonts w:hint="eastAsia" w:ascii="仿宋_GB2312" w:hAnsi="仿宋_GB2312" w:eastAsia="仿宋_GB2312" w:cs="仿宋_GB2312"/>
          <w:color w:val="auto"/>
          <w:sz w:val="32"/>
          <w:szCs w:val="32"/>
          <w:highlight w:val="none"/>
          <w:lang w:val="en-US" w:eastAsia="zh-CN"/>
        </w:rPr>
        <w:t>支出</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val="en-US" w:eastAsia="zh-CN"/>
        </w:rPr>
        <w:t>国有土地使用权出让收入安排的支出</w:t>
      </w:r>
      <w:r>
        <w:rPr>
          <w:rFonts w:hint="eastAsia" w:ascii="仿宋_GB2312" w:hAnsi="仿宋_GB2312" w:eastAsia="仿宋_GB2312" w:cs="仿宋_GB2312"/>
          <w:color w:val="auto"/>
          <w:sz w:val="32"/>
          <w:szCs w:val="32"/>
          <w:highlight w:val="none"/>
        </w:rPr>
        <w:t>（款）</w:t>
      </w:r>
      <w:r>
        <w:rPr>
          <w:rFonts w:hint="eastAsia" w:ascii="仿宋_GB2312" w:hAnsi="仿宋_GB2312" w:eastAsia="仿宋_GB2312" w:cs="仿宋_GB2312"/>
          <w:color w:val="auto"/>
          <w:sz w:val="32"/>
          <w:szCs w:val="32"/>
          <w:highlight w:val="none"/>
          <w:lang w:val="en-US" w:eastAsia="zh-CN"/>
        </w:rPr>
        <w:t>补助被征地农民支出</w:t>
      </w:r>
      <w:r>
        <w:rPr>
          <w:rFonts w:hint="eastAsia" w:ascii="仿宋_GB2312" w:hAnsi="仿宋_GB2312" w:eastAsia="仿宋_GB2312" w:cs="仿宋_GB2312"/>
          <w:color w:val="auto"/>
          <w:sz w:val="32"/>
          <w:szCs w:val="32"/>
          <w:highlight w:val="none"/>
        </w:rPr>
        <w:t>（项）：</w:t>
      </w:r>
      <w:r>
        <w:rPr>
          <w:rFonts w:hint="eastAsia" w:ascii="仿宋_GB2312" w:hAnsi="仿宋_GB2312" w:eastAsia="仿宋_GB2312" w:cs="仿宋_GB2312"/>
          <w:color w:val="auto"/>
          <w:sz w:val="32"/>
          <w:szCs w:val="32"/>
          <w:highlight w:val="none"/>
          <w:lang w:val="en-US" w:eastAsia="zh-CN"/>
        </w:rPr>
        <w:t>指用于被征土地农民的社保资金支出。</w:t>
      </w:r>
    </w:p>
    <w:p>
      <w:pPr>
        <w:pStyle w:val="26"/>
        <w:keepNext w:val="0"/>
        <w:keepLines w:val="0"/>
        <w:pageBreakBefore w:val="0"/>
        <w:widowControl w:val="0"/>
        <w:numPr>
          <w:ilvl w:val="0"/>
          <w:numId w:val="3"/>
        </w:numPr>
        <w:shd w:val="clear"/>
        <w:kinsoku/>
        <w:wordWrap/>
        <w:overflowPunct/>
        <w:topLinePunct w:val="0"/>
        <w:bidi w:val="0"/>
        <w:snapToGrid/>
        <w:spacing w:line="576" w:lineRule="exact"/>
        <w:ind w:left="20" w:leftChars="0" w:right="0" w:firstLine="400" w:firstLine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城区社区</w:t>
      </w:r>
      <w:r>
        <w:rPr>
          <w:rFonts w:hint="eastAsia" w:ascii="仿宋_GB2312" w:hAnsi="仿宋_GB2312" w:eastAsia="仿宋_GB2312" w:cs="仿宋_GB2312"/>
          <w:color w:val="auto"/>
          <w:sz w:val="32"/>
          <w:szCs w:val="32"/>
          <w:highlight w:val="none"/>
          <w:lang w:val="en-US" w:eastAsia="zh-CN"/>
        </w:rPr>
        <w:t>支出</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val="en-US" w:eastAsia="zh-CN"/>
        </w:rPr>
        <w:t>国有土地使用权出让收入安排的支出</w:t>
      </w:r>
      <w:r>
        <w:rPr>
          <w:rFonts w:hint="eastAsia" w:ascii="仿宋_GB2312" w:hAnsi="仿宋_GB2312" w:eastAsia="仿宋_GB2312" w:cs="仿宋_GB2312"/>
          <w:color w:val="auto"/>
          <w:sz w:val="32"/>
          <w:szCs w:val="32"/>
          <w:highlight w:val="none"/>
        </w:rPr>
        <w:t>（款）</w:t>
      </w:r>
      <w:r>
        <w:rPr>
          <w:rFonts w:hint="eastAsia" w:ascii="仿宋_GB2312" w:hAnsi="仿宋_GB2312" w:eastAsia="仿宋_GB2312" w:cs="仿宋_GB2312"/>
          <w:color w:val="auto"/>
          <w:sz w:val="32"/>
          <w:szCs w:val="32"/>
          <w:highlight w:val="none"/>
          <w:lang w:val="en-US" w:eastAsia="zh-CN"/>
        </w:rPr>
        <w:t>土地出让业务支出</w:t>
      </w:r>
      <w:r>
        <w:rPr>
          <w:rFonts w:hint="eastAsia" w:ascii="仿宋_GB2312" w:hAnsi="仿宋_GB2312" w:eastAsia="仿宋_GB2312" w:cs="仿宋_GB2312"/>
          <w:color w:val="auto"/>
          <w:sz w:val="32"/>
          <w:szCs w:val="32"/>
          <w:highlight w:val="none"/>
        </w:rPr>
        <w:t>（项）：</w:t>
      </w:r>
      <w:r>
        <w:rPr>
          <w:rFonts w:hint="eastAsia" w:ascii="仿宋_GB2312" w:hAnsi="仿宋_GB2312" w:eastAsia="仿宋_GB2312" w:cs="仿宋_GB2312"/>
          <w:color w:val="auto"/>
          <w:sz w:val="32"/>
          <w:szCs w:val="32"/>
          <w:highlight w:val="none"/>
          <w:lang w:val="en-US" w:eastAsia="zh-CN"/>
        </w:rPr>
        <w:t>指用于土地出让过程中的有关支出。</w:t>
      </w:r>
    </w:p>
    <w:p>
      <w:pPr>
        <w:pStyle w:val="26"/>
        <w:keepNext w:val="0"/>
        <w:keepLines w:val="0"/>
        <w:pageBreakBefore w:val="0"/>
        <w:widowControl w:val="0"/>
        <w:numPr>
          <w:ilvl w:val="0"/>
          <w:numId w:val="3"/>
        </w:numPr>
        <w:shd w:val="clear"/>
        <w:kinsoku/>
        <w:wordWrap/>
        <w:overflowPunct/>
        <w:topLinePunct w:val="0"/>
        <w:bidi w:val="0"/>
        <w:snapToGrid/>
        <w:spacing w:line="576" w:lineRule="exact"/>
        <w:ind w:left="20" w:leftChars="0" w:right="0" w:firstLine="400" w:firstLineChars="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城区社区</w:t>
      </w:r>
      <w:r>
        <w:rPr>
          <w:rFonts w:hint="eastAsia" w:ascii="仿宋_GB2312" w:hAnsi="仿宋_GB2312" w:eastAsia="仿宋_GB2312" w:cs="仿宋_GB2312"/>
          <w:color w:val="auto"/>
          <w:sz w:val="32"/>
          <w:szCs w:val="32"/>
          <w:highlight w:val="none"/>
          <w:lang w:val="en-US" w:eastAsia="zh-CN"/>
        </w:rPr>
        <w:t>支出</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val="en-US" w:eastAsia="zh-CN"/>
        </w:rPr>
        <w:t>国有土地使用权出让收入安排的支出</w:t>
      </w:r>
      <w:r>
        <w:rPr>
          <w:rFonts w:hint="eastAsia" w:ascii="仿宋_GB2312" w:hAnsi="仿宋_GB2312" w:eastAsia="仿宋_GB2312" w:cs="仿宋_GB2312"/>
          <w:color w:val="auto"/>
          <w:sz w:val="32"/>
          <w:szCs w:val="32"/>
          <w:highlight w:val="none"/>
        </w:rPr>
        <w:t>（款）</w:t>
      </w:r>
      <w:r>
        <w:rPr>
          <w:rFonts w:hint="eastAsia" w:ascii="仿宋_GB2312" w:hAnsi="仿宋_GB2312" w:eastAsia="仿宋_GB2312" w:cs="仿宋_GB2312"/>
          <w:color w:val="auto"/>
          <w:sz w:val="32"/>
          <w:szCs w:val="32"/>
          <w:highlight w:val="none"/>
          <w:lang w:val="en-US" w:eastAsia="zh-CN"/>
        </w:rPr>
        <w:t>其他国有土地使用权出让收入安排的支出</w:t>
      </w:r>
      <w:r>
        <w:rPr>
          <w:rFonts w:hint="eastAsia" w:ascii="仿宋_GB2312" w:hAnsi="仿宋_GB2312" w:eastAsia="仿宋_GB2312" w:cs="仿宋_GB2312"/>
          <w:color w:val="auto"/>
          <w:sz w:val="32"/>
          <w:szCs w:val="32"/>
          <w:highlight w:val="none"/>
        </w:rPr>
        <w:t>（项）：</w:t>
      </w:r>
      <w:r>
        <w:rPr>
          <w:rFonts w:hint="eastAsia" w:ascii="仿宋_GB2312" w:hAnsi="仿宋_GB2312" w:eastAsia="仿宋_GB2312" w:cs="仿宋_GB2312"/>
          <w:color w:val="auto"/>
          <w:sz w:val="32"/>
          <w:szCs w:val="32"/>
          <w:highlight w:val="none"/>
          <w:lang w:val="en-US" w:eastAsia="zh-CN"/>
        </w:rPr>
        <w:t>指土地出让收入用于其他方面的支出</w:t>
      </w:r>
      <w:r>
        <w:rPr>
          <w:rFonts w:hint="eastAsia" w:ascii="仿宋_GB2312" w:hAnsi="仿宋_GB2312" w:eastAsia="仿宋_GB2312" w:cs="仿宋_GB2312"/>
          <w:color w:val="auto"/>
          <w:sz w:val="32"/>
          <w:szCs w:val="32"/>
          <w:highlight w:val="none"/>
        </w:rPr>
        <w:t>。</w:t>
      </w:r>
    </w:p>
    <w:p>
      <w:pPr>
        <w:pStyle w:val="26"/>
        <w:keepNext w:val="0"/>
        <w:keepLines w:val="0"/>
        <w:pageBreakBefore w:val="0"/>
        <w:widowControl w:val="0"/>
        <w:numPr>
          <w:ilvl w:val="0"/>
          <w:numId w:val="3"/>
        </w:numPr>
        <w:shd w:val="clear"/>
        <w:kinsoku/>
        <w:wordWrap/>
        <w:overflowPunct/>
        <w:topLinePunct w:val="0"/>
        <w:bidi w:val="0"/>
        <w:snapToGrid/>
        <w:spacing w:line="576" w:lineRule="exact"/>
        <w:ind w:left="20" w:leftChars="0" w:right="0" w:firstLine="400" w:firstLine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自然资源海洋气象等（类）自然资源事务（款）行政运行（项）：指局</w:t>
      </w:r>
      <w:r>
        <w:rPr>
          <w:rFonts w:hint="eastAsia" w:ascii="仿宋_GB2312" w:hAnsi="仿宋_GB2312" w:eastAsia="仿宋_GB2312" w:cs="仿宋_GB2312"/>
          <w:color w:val="auto"/>
          <w:sz w:val="32"/>
          <w:szCs w:val="32"/>
          <w:highlight w:val="none"/>
          <w:lang w:val="en-US" w:eastAsia="zh-CN"/>
        </w:rPr>
        <w:t>机关及局属参公管理的事业单位</w:t>
      </w:r>
      <w:r>
        <w:rPr>
          <w:rFonts w:hint="eastAsia" w:ascii="仿宋_GB2312" w:hAnsi="仿宋_GB2312" w:eastAsia="仿宋_GB2312" w:cs="仿宋_GB2312"/>
          <w:color w:val="auto"/>
          <w:sz w:val="32"/>
          <w:szCs w:val="32"/>
          <w:highlight w:val="none"/>
        </w:rPr>
        <w:t>用于保障机构正常运行、开展日常工作的基本支出。</w:t>
      </w:r>
    </w:p>
    <w:p>
      <w:pPr>
        <w:pStyle w:val="26"/>
        <w:keepNext w:val="0"/>
        <w:keepLines w:val="0"/>
        <w:pageBreakBefore w:val="0"/>
        <w:widowControl w:val="0"/>
        <w:numPr>
          <w:ilvl w:val="0"/>
          <w:numId w:val="3"/>
        </w:numPr>
        <w:shd w:val="clear"/>
        <w:kinsoku/>
        <w:wordWrap/>
        <w:overflowPunct/>
        <w:topLinePunct w:val="0"/>
        <w:bidi w:val="0"/>
        <w:snapToGrid/>
        <w:spacing w:line="576" w:lineRule="exact"/>
        <w:ind w:left="20" w:leftChars="0" w:right="0" w:firstLine="400" w:firstLine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自然资源海洋气象等（类）自然资源事务（款</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一般行政管理事务行（项）：指</w:t>
      </w:r>
      <w:r>
        <w:rPr>
          <w:rFonts w:hint="eastAsia" w:ascii="仿宋_GB2312" w:hAnsi="仿宋_GB2312" w:eastAsia="仿宋_GB2312" w:cs="仿宋_GB2312"/>
          <w:color w:val="auto"/>
          <w:sz w:val="32"/>
          <w:szCs w:val="32"/>
          <w:highlight w:val="none"/>
          <w:lang w:val="en-US" w:eastAsia="zh-CN"/>
        </w:rPr>
        <w:t>行政单位（包括实行公务员管理的事业单位）未单独设置项级科目的其他项目</w:t>
      </w:r>
      <w:r>
        <w:rPr>
          <w:rFonts w:hint="eastAsia" w:ascii="仿宋_GB2312" w:hAnsi="仿宋_GB2312" w:eastAsia="仿宋_GB2312" w:cs="仿宋_GB2312"/>
          <w:color w:val="auto"/>
          <w:sz w:val="32"/>
          <w:szCs w:val="32"/>
          <w:highlight w:val="none"/>
        </w:rPr>
        <w:t>支出。</w:t>
      </w:r>
    </w:p>
    <w:p>
      <w:pPr>
        <w:pStyle w:val="26"/>
        <w:keepNext w:val="0"/>
        <w:keepLines w:val="0"/>
        <w:pageBreakBefore w:val="0"/>
        <w:widowControl w:val="0"/>
        <w:numPr>
          <w:ilvl w:val="0"/>
          <w:numId w:val="3"/>
        </w:numPr>
        <w:shd w:val="clear"/>
        <w:kinsoku/>
        <w:wordWrap/>
        <w:overflowPunct/>
        <w:topLinePunct w:val="0"/>
        <w:bidi w:val="0"/>
        <w:snapToGrid/>
        <w:spacing w:line="576" w:lineRule="exact"/>
        <w:ind w:left="20" w:leftChars="0" w:right="0" w:firstLine="400" w:firstLineChars="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自然资源海洋气象等（类）自然资源事务（款</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自然资源利用与保护</w:t>
      </w:r>
      <w:r>
        <w:rPr>
          <w:rFonts w:hint="eastAsia" w:ascii="仿宋_GB2312" w:hAnsi="仿宋_GB2312" w:eastAsia="仿宋_GB2312" w:cs="仿宋_GB2312"/>
          <w:color w:val="auto"/>
          <w:sz w:val="32"/>
          <w:szCs w:val="32"/>
          <w:highlight w:val="none"/>
        </w:rPr>
        <w:t>（项）：</w:t>
      </w:r>
      <w:r>
        <w:rPr>
          <w:rFonts w:hint="eastAsia" w:ascii="仿宋_GB2312" w:hAnsi="仿宋_GB2312" w:eastAsia="仿宋_GB2312" w:cs="仿宋_GB2312"/>
          <w:color w:val="auto"/>
          <w:sz w:val="32"/>
          <w:szCs w:val="32"/>
          <w:highlight w:val="none"/>
          <w:lang w:val="en-US" w:eastAsia="zh-CN"/>
        </w:rPr>
        <w:t>指用于自然资源有偿使用与合理开发利用，国土空间生态修复，国土整治，耕地保护等方面的支出。</w:t>
      </w:r>
    </w:p>
    <w:p>
      <w:pPr>
        <w:pStyle w:val="26"/>
        <w:keepNext w:val="0"/>
        <w:keepLines w:val="0"/>
        <w:pageBreakBefore w:val="0"/>
        <w:widowControl w:val="0"/>
        <w:numPr>
          <w:ilvl w:val="0"/>
          <w:numId w:val="3"/>
        </w:numPr>
        <w:shd w:val="clear"/>
        <w:kinsoku/>
        <w:wordWrap/>
        <w:overflowPunct/>
        <w:topLinePunct w:val="0"/>
        <w:bidi w:val="0"/>
        <w:snapToGrid/>
        <w:spacing w:line="576" w:lineRule="exact"/>
        <w:ind w:left="20" w:leftChars="0" w:right="0" w:firstLine="400" w:firstLineChars="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自然资源海洋气象等支出（类）自然资源事务（款）</w:t>
      </w:r>
      <w:r>
        <w:rPr>
          <w:rFonts w:hint="eastAsia" w:ascii="仿宋_GB2312" w:hAnsi="仿宋_GB2312" w:eastAsia="仿宋_GB2312" w:cs="仿宋_GB2312"/>
          <w:color w:val="auto"/>
          <w:sz w:val="32"/>
          <w:szCs w:val="32"/>
          <w:highlight w:val="none"/>
          <w:lang w:val="en-US" w:eastAsia="zh-CN"/>
        </w:rPr>
        <w:t>自然资源行业业务管理</w:t>
      </w:r>
      <w:r>
        <w:rPr>
          <w:rFonts w:hint="eastAsia" w:ascii="仿宋_GB2312" w:hAnsi="仿宋_GB2312" w:eastAsia="仿宋_GB2312" w:cs="仿宋_GB2312"/>
          <w:color w:val="auto"/>
          <w:sz w:val="32"/>
          <w:szCs w:val="32"/>
          <w:highlight w:val="none"/>
        </w:rPr>
        <w:t>（项）：指</w:t>
      </w:r>
      <w:r>
        <w:rPr>
          <w:rFonts w:hint="eastAsia" w:ascii="仿宋_GB2312" w:hAnsi="仿宋_GB2312" w:eastAsia="仿宋_GB2312" w:cs="仿宋_GB2312"/>
          <w:color w:val="auto"/>
          <w:sz w:val="32"/>
          <w:szCs w:val="32"/>
          <w:highlight w:val="none"/>
          <w:lang w:val="en-US" w:eastAsia="zh-CN"/>
        </w:rPr>
        <w:t>用于自然资源行业业务管理经费，包括政策法规、审计监督、队伍建设等方面的支出。</w:t>
      </w:r>
    </w:p>
    <w:p>
      <w:pPr>
        <w:pStyle w:val="26"/>
        <w:keepNext w:val="0"/>
        <w:keepLines w:val="0"/>
        <w:pageBreakBefore w:val="0"/>
        <w:widowControl w:val="0"/>
        <w:numPr>
          <w:ilvl w:val="0"/>
          <w:numId w:val="3"/>
        </w:numPr>
        <w:shd w:val="clear"/>
        <w:kinsoku/>
        <w:wordWrap/>
        <w:overflowPunct/>
        <w:topLinePunct w:val="0"/>
        <w:bidi w:val="0"/>
        <w:snapToGrid/>
        <w:spacing w:line="576" w:lineRule="exact"/>
        <w:ind w:left="20" w:leftChars="0" w:right="0" w:firstLine="400" w:firstLineChars="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自然资源海洋气象等支出（类）自然资源事务（款）</w:t>
      </w:r>
      <w:r>
        <w:rPr>
          <w:rFonts w:hint="eastAsia" w:ascii="仿宋_GB2312" w:hAnsi="仿宋_GB2312" w:eastAsia="仿宋_GB2312" w:cs="仿宋_GB2312"/>
          <w:color w:val="auto"/>
          <w:sz w:val="32"/>
          <w:szCs w:val="32"/>
          <w:highlight w:val="none"/>
          <w:lang w:val="en-US" w:eastAsia="zh-CN"/>
        </w:rPr>
        <w:t>自然资源调查与确权登记</w:t>
      </w:r>
      <w:r>
        <w:rPr>
          <w:rFonts w:hint="eastAsia" w:ascii="仿宋_GB2312" w:hAnsi="仿宋_GB2312" w:eastAsia="仿宋_GB2312" w:cs="仿宋_GB2312"/>
          <w:color w:val="auto"/>
          <w:sz w:val="32"/>
          <w:szCs w:val="32"/>
          <w:highlight w:val="none"/>
        </w:rPr>
        <w:t>（项）：指</w:t>
      </w:r>
      <w:r>
        <w:rPr>
          <w:rFonts w:hint="eastAsia" w:ascii="仿宋_GB2312" w:hAnsi="仿宋_GB2312" w:eastAsia="仿宋_GB2312" w:cs="仿宋_GB2312"/>
          <w:color w:val="auto"/>
          <w:sz w:val="32"/>
          <w:szCs w:val="32"/>
          <w:highlight w:val="none"/>
          <w:lang w:val="en-US" w:eastAsia="zh-CN"/>
        </w:rPr>
        <w:t>自然资源部门用于自然资源调查监测评价，自然资源统一确权登记等方面的支出。</w:t>
      </w:r>
    </w:p>
    <w:p>
      <w:pPr>
        <w:pStyle w:val="26"/>
        <w:keepNext w:val="0"/>
        <w:keepLines w:val="0"/>
        <w:pageBreakBefore w:val="0"/>
        <w:widowControl w:val="0"/>
        <w:numPr>
          <w:ilvl w:val="0"/>
          <w:numId w:val="3"/>
        </w:numPr>
        <w:shd w:val="clear"/>
        <w:kinsoku/>
        <w:wordWrap/>
        <w:overflowPunct/>
        <w:topLinePunct w:val="0"/>
        <w:bidi w:val="0"/>
        <w:snapToGrid/>
        <w:spacing w:line="576" w:lineRule="exact"/>
        <w:ind w:left="20" w:leftChars="0" w:right="0" w:firstLine="400" w:firstLine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自然资源海洋气象等支出（类）自然资源事务（款）地质勘察与矿产资源管理（项）：指矿业权管理、矿产资源合理利用和保护方面的支出。</w:t>
      </w:r>
    </w:p>
    <w:p>
      <w:pPr>
        <w:pStyle w:val="26"/>
        <w:keepNext w:val="0"/>
        <w:keepLines w:val="0"/>
        <w:pageBreakBefore w:val="0"/>
        <w:widowControl w:val="0"/>
        <w:numPr>
          <w:ilvl w:val="0"/>
          <w:numId w:val="3"/>
        </w:numPr>
        <w:shd w:val="clear"/>
        <w:kinsoku/>
        <w:wordWrap/>
        <w:overflowPunct/>
        <w:topLinePunct w:val="0"/>
        <w:bidi w:val="0"/>
        <w:snapToGrid/>
        <w:spacing w:line="576" w:lineRule="exact"/>
        <w:ind w:left="20" w:leftChars="0" w:right="0" w:firstLine="400" w:firstLine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自然资源海洋气象等支出（类）自然资源事务（款）其他自然资源事务（项）：指除</w:t>
      </w:r>
      <w:r>
        <w:rPr>
          <w:rFonts w:hint="eastAsia" w:ascii="仿宋_GB2312" w:hAnsi="仿宋_GB2312" w:eastAsia="仿宋_GB2312" w:cs="仿宋_GB2312"/>
          <w:color w:val="auto"/>
          <w:sz w:val="32"/>
          <w:szCs w:val="32"/>
          <w:highlight w:val="none"/>
          <w:lang w:val="en-US" w:eastAsia="zh-CN"/>
        </w:rPr>
        <w:t>上述项目以外其他用于自然资源海洋气象等方面的支出。</w:t>
      </w:r>
    </w:p>
    <w:p>
      <w:pPr>
        <w:pStyle w:val="26"/>
        <w:keepNext w:val="0"/>
        <w:keepLines w:val="0"/>
        <w:pageBreakBefore w:val="0"/>
        <w:widowControl w:val="0"/>
        <w:numPr>
          <w:ilvl w:val="0"/>
          <w:numId w:val="3"/>
        </w:numPr>
        <w:shd w:val="clear"/>
        <w:kinsoku/>
        <w:wordWrap/>
        <w:overflowPunct/>
        <w:topLinePunct w:val="0"/>
        <w:bidi w:val="0"/>
        <w:snapToGrid/>
        <w:spacing w:line="576" w:lineRule="exact"/>
        <w:ind w:left="20" w:leftChars="0" w:right="0" w:firstLine="400" w:firstLine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住房保障（类）住房改革支出（款）住房公积金（项）：指按行政事业单位按人力资源部和社会保障部、财政部规定的基本工资和津贴补贴以及规定比例为职工缴纳的住房公积金。</w:t>
      </w:r>
    </w:p>
    <w:p>
      <w:pPr>
        <w:keepNext w:val="0"/>
        <w:keepLines w:val="0"/>
        <w:pageBreakBefore w:val="0"/>
        <w:widowControl w:val="0"/>
        <w:numPr>
          <w:ilvl w:val="0"/>
          <w:numId w:val="3"/>
        </w:numPr>
        <w:shd w:val="clear"/>
        <w:kinsoku/>
        <w:wordWrap/>
        <w:overflowPunct/>
        <w:topLinePunct w:val="0"/>
        <w:bidi w:val="0"/>
        <w:snapToGrid/>
        <w:spacing w:line="576" w:lineRule="exact"/>
        <w:ind w:left="20" w:leftChars="0" w:right="0" w:firstLine="400" w:firstLineChars="0"/>
        <w:jc w:val="both"/>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基本支出：指为保障机构正常运转、完成日常工作任务而发生的人员支出和公用支出。</w:t>
      </w:r>
    </w:p>
    <w:p>
      <w:pPr>
        <w:keepNext w:val="0"/>
        <w:keepLines w:val="0"/>
        <w:pageBreakBefore w:val="0"/>
        <w:widowControl w:val="0"/>
        <w:numPr>
          <w:ilvl w:val="0"/>
          <w:numId w:val="3"/>
        </w:numPr>
        <w:shd w:val="clear"/>
        <w:kinsoku/>
        <w:wordWrap/>
        <w:overflowPunct/>
        <w:topLinePunct w:val="0"/>
        <w:bidi w:val="0"/>
        <w:snapToGrid/>
        <w:spacing w:line="576" w:lineRule="exact"/>
        <w:ind w:left="20" w:leftChars="0" w:right="0" w:firstLine="400" w:firstLineChars="0"/>
        <w:jc w:val="both"/>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项目支出：指在基本支出之外为完成特定行政任务和事业发展目标所发生的支出。</w:t>
      </w:r>
    </w:p>
    <w:p>
      <w:pPr>
        <w:pStyle w:val="26"/>
        <w:keepNext w:val="0"/>
        <w:keepLines w:val="0"/>
        <w:pageBreakBefore w:val="0"/>
        <w:widowControl w:val="0"/>
        <w:numPr>
          <w:ilvl w:val="0"/>
          <w:numId w:val="3"/>
        </w:numPr>
        <w:shd w:val="clear"/>
        <w:kinsoku/>
        <w:wordWrap/>
        <w:overflowPunct/>
        <w:topLinePunct w:val="0"/>
        <w:bidi w:val="0"/>
        <w:snapToGrid/>
        <w:spacing w:line="576" w:lineRule="exact"/>
        <w:ind w:left="20" w:leftChars="0" w:right="0" w:firstLine="400" w:firstLineChars="0"/>
        <w:jc w:val="both"/>
        <w:textAlignment w:val="auto"/>
        <w:rPr>
          <w:rFonts w:ascii="仿宋_GB2312" w:eastAsia="仿宋_GB2312"/>
          <w:color w:val="auto"/>
          <w:sz w:val="32"/>
          <w:szCs w:val="32"/>
          <w:highlight w:val="none"/>
        </w:rPr>
      </w:pPr>
      <w:r>
        <w:rPr>
          <w:rFonts w:hint="eastAsia" w:ascii="仿宋_GB2312" w:eastAsia="仿宋_GB2312"/>
          <w:color w:val="auto"/>
          <w:sz w:val="32"/>
          <w:szCs w:val="32"/>
          <w:highlight w:val="none"/>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numPr>
          <w:ilvl w:val="0"/>
          <w:numId w:val="3"/>
        </w:numPr>
        <w:shd w:val="clear"/>
        <w:kinsoku/>
        <w:wordWrap/>
        <w:overflowPunct/>
        <w:topLinePunct w:val="0"/>
        <w:bidi w:val="0"/>
        <w:snapToGrid/>
        <w:spacing w:line="576" w:lineRule="exact"/>
        <w:ind w:left="20" w:leftChars="0" w:right="0" w:firstLine="400" w:firstLineChars="0"/>
        <w:jc w:val="both"/>
        <w:textAlignment w:val="auto"/>
        <w:outlineLvl w:val="0"/>
        <w:rPr>
          <w:rFonts w:hint="eastAsia" w:ascii="仿宋_GB2312" w:eastAsia="仿宋_GB2312"/>
          <w:color w:val="auto"/>
          <w:sz w:val="32"/>
          <w:szCs w:val="32"/>
          <w:highlight w:val="none"/>
          <w:lang w:eastAsia="zh-CN"/>
        </w:rPr>
      </w:pPr>
      <w:bookmarkStart w:id="119" w:name="_Toc31341"/>
      <w:bookmarkStart w:id="120" w:name="_Toc10626"/>
      <w:r>
        <w:rPr>
          <w:rFonts w:hint="eastAsia" w:ascii="仿宋_GB2312" w:eastAsia="仿宋_GB2312"/>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bookmarkEnd w:id="119"/>
      <w:bookmarkEnd w:id="120"/>
    </w:p>
    <w:p>
      <w:pPr>
        <w:pStyle w:val="26"/>
        <w:spacing w:line="560" w:lineRule="exact"/>
        <w:ind w:firstLine="640" w:firstLineChars="200"/>
        <w:rPr>
          <w:rFonts w:ascii="仿宋_GB2312" w:eastAsia="仿宋_GB2312" w:cs="黑体"/>
          <w:color w:val="auto"/>
          <w:sz w:val="32"/>
          <w:szCs w:val="32"/>
          <w:highlight w:val="none"/>
        </w:rPr>
      </w:pPr>
    </w:p>
    <w:p>
      <w:pPr>
        <w:ind w:firstLine="642" w:firstLineChars="200"/>
        <w:rPr>
          <w:rFonts w:ascii="仿宋" w:hAnsi="仿宋" w:eastAsia="仿宋"/>
          <w:b/>
          <w:color w:val="auto"/>
          <w:sz w:val="32"/>
          <w:szCs w:val="32"/>
          <w:highlight w:val="none"/>
        </w:rPr>
      </w:pPr>
    </w:p>
    <w:p>
      <w:pPr>
        <w:spacing w:line="600" w:lineRule="exact"/>
        <w:jc w:val="center"/>
        <w:outlineLvl w:val="0"/>
        <w:rPr>
          <w:rStyle w:val="17"/>
          <w:rFonts w:ascii="黑体" w:hAnsi="黑体" w:eastAsia="黑体"/>
          <w:b w:val="0"/>
          <w:color w:val="auto"/>
          <w:highlight w:val="none"/>
        </w:rPr>
      </w:pPr>
      <w:bookmarkStart w:id="121" w:name="_Toc15377226"/>
      <w:r>
        <w:rPr>
          <w:rFonts w:ascii="宋体"/>
          <w:b/>
          <w:color w:val="auto"/>
          <w:sz w:val="44"/>
          <w:szCs w:val="44"/>
          <w:highlight w:val="none"/>
        </w:rPr>
        <w:br w:type="page"/>
      </w:r>
      <w:bookmarkStart w:id="122" w:name="_Toc15371"/>
      <w:bookmarkStart w:id="123" w:name="_Toc6396"/>
      <w:bookmarkStart w:id="124" w:name="_Toc15396614"/>
      <w:r>
        <w:rPr>
          <w:rFonts w:hint="eastAsia" w:ascii="黑体" w:hAnsi="黑体" w:eastAsia="黑体"/>
          <w:color w:val="auto"/>
          <w:sz w:val="44"/>
          <w:szCs w:val="44"/>
          <w:highlight w:val="none"/>
        </w:rPr>
        <w:t>第</w:t>
      </w:r>
      <w:r>
        <w:rPr>
          <w:rStyle w:val="17"/>
          <w:rFonts w:hint="eastAsia" w:ascii="黑体" w:hAnsi="黑体" w:eastAsia="黑体"/>
          <w:b w:val="0"/>
          <w:color w:val="auto"/>
          <w:highlight w:val="none"/>
        </w:rPr>
        <w:t>四部分 附件</w:t>
      </w:r>
      <w:bookmarkEnd w:id="122"/>
      <w:bookmarkEnd w:id="123"/>
      <w:bookmarkEnd w:id="124"/>
    </w:p>
    <w:p>
      <w:pPr>
        <w:keepNext w:val="0"/>
        <w:keepLines w:val="0"/>
        <w:pageBreakBefore w:val="0"/>
        <w:kinsoku/>
        <w:wordWrap/>
        <w:overflowPunct/>
        <w:topLinePunct w:val="0"/>
        <w:autoSpaceDE/>
        <w:autoSpaceDN/>
        <w:bidi w:val="0"/>
        <w:spacing w:line="572" w:lineRule="exact"/>
        <w:jc w:val="left"/>
        <w:textAlignment w:val="auto"/>
        <w:outlineLvl w:val="9"/>
        <w:rPr>
          <w:rFonts w:ascii="仿宋_GB2312" w:hAnsi="仿宋_GB2312" w:eastAsia="仿宋_GB2312" w:cs="仿宋_GB2312"/>
          <w:color w:val="auto"/>
          <w:sz w:val="32"/>
          <w:szCs w:val="32"/>
          <w:highlight w:val="none"/>
        </w:rPr>
      </w:pPr>
    </w:p>
    <w:p>
      <w:pPr>
        <w:spacing w:line="600" w:lineRule="exact"/>
        <w:jc w:val="center"/>
        <w:outlineLvl w:val="1"/>
        <w:rPr>
          <w:rFonts w:hint="eastAsia" w:ascii="宋体" w:hAnsi="宋体" w:eastAsia="宋体" w:cs="宋体"/>
          <w:color w:val="auto"/>
          <w:kern w:val="0"/>
          <w:sz w:val="32"/>
          <w:szCs w:val="32"/>
          <w:highlight w:val="none"/>
          <w:lang w:val="en-US" w:eastAsia="zh-CN" w:bidi="ar-SA"/>
        </w:rPr>
      </w:pPr>
      <w:bookmarkStart w:id="125" w:name="_Toc11931"/>
      <w:bookmarkStart w:id="126" w:name="_Toc12711"/>
      <w:bookmarkStart w:id="127" w:name="_Toc15619"/>
      <w:bookmarkStart w:id="128" w:name="_Toc15396618"/>
      <w:r>
        <w:rPr>
          <w:rFonts w:hint="eastAsia" w:ascii="宋体" w:hAnsi="宋体" w:eastAsia="宋体" w:cs="宋体"/>
          <w:color w:val="auto"/>
          <w:kern w:val="0"/>
          <w:sz w:val="32"/>
          <w:szCs w:val="32"/>
          <w:highlight w:val="none"/>
          <w:lang w:val="en-US" w:eastAsia="zh-CN" w:bidi="ar-SA"/>
        </w:rPr>
        <w:t>部门预算项目支出绩效自评表（202</w:t>
      </w:r>
      <w:r>
        <w:rPr>
          <w:rFonts w:hint="eastAsia" w:ascii="宋体" w:hAnsi="宋体" w:cs="宋体"/>
          <w:color w:val="auto"/>
          <w:kern w:val="0"/>
          <w:sz w:val="32"/>
          <w:szCs w:val="32"/>
          <w:highlight w:val="none"/>
          <w:lang w:val="en-US" w:eastAsia="zh-CN" w:bidi="ar-SA"/>
        </w:rPr>
        <w:t>4</w:t>
      </w:r>
      <w:r>
        <w:rPr>
          <w:rFonts w:hint="eastAsia" w:ascii="宋体" w:hAnsi="宋体" w:eastAsia="宋体" w:cs="宋体"/>
          <w:color w:val="auto"/>
          <w:kern w:val="0"/>
          <w:sz w:val="32"/>
          <w:szCs w:val="32"/>
          <w:highlight w:val="none"/>
          <w:lang w:val="en-US" w:eastAsia="zh-CN" w:bidi="ar-SA"/>
        </w:rPr>
        <w:t>年度）</w:t>
      </w:r>
      <w:bookmarkEnd w:id="125"/>
      <w:bookmarkEnd w:id="126"/>
      <w:bookmarkEnd w:id="127"/>
    </w:p>
    <w:p>
      <w:pPr>
        <w:spacing w:line="600" w:lineRule="exact"/>
        <w:jc w:val="center"/>
        <w:outlineLvl w:val="1"/>
        <w:rPr>
          <w:rFonts w:hint="eastAsia" w:ascii="宋体" w:hAnsi="宋体" w:eastAsia="宋体" w:cs="宋体"/>
          <w:color w:val="auto"/>
          <w:kern w:val="0"/>
          <w:sz w:val="32"/>
          <w:szCs w:val="32"/>
          <w:highlight w:val="none"/>
          <w:lang w:val="en-US" w:eastAsia="zh-CN" w:bidi="ar-SA"/>
        </w:rPr>
      </w:pPr>
      <w:r>
        <w:rPr>
          <w:rFonts w:hint="eastAsia" w:ascii="黑体" w:hAnsi="黑体" w:eastAsia="黑体"/>
          <w:color w:val="auto"/>
          <w:sz w:val="44"/>
          <w:szCs w:val="44"/>
          <w:highlight w:val="none"/>
          <w:lang w:val="en-US" w:eastAsia="zh-CN"/>
        </w:rPr>
        <w:t xml:space="preserve"> </w:t>
      </w:r>
      <w:r>
        <w:rPr>
          <w:rFonts w:hint="eastAsia" w:ascii="宋体" w:hAnsi="宋体" w:eastAsia="宋体" w:cs="宋体"/>
          <w:color w:val="auto"/>
          <w:kern w:val="0"/>
          <w:sz w:val="32"/>
          <w:szCs w:val="32"/>
          <w:highlight w:val="none"/>
          <w:lang w:val="en-US" w:eastAsia="zh-CN" w:bidi="ar-SA"/>
        </w:rPr>
        <w:t>具体内容见附表</w:t>
      </w:r>
    </w:p>
    <w:p>
      <w:pPr>
        <w:spacing w:line="600" w:lineRule="exact"/>
        <w:jc w:val="center"/>
        <w:outlineLvl w:val="1"/>
        <w:rPr>
          <w:rFonts w:hint="eastAsia" w:ascii="宋体" w:hAnsi="宋体" w:eastAsia="宋体" w:cs="宋体"/>
          <w:color w:val="auto"/>
          <w:kern w:val="0"/>
          <w:sz w:val="32"/>
          <w:szCs w:val="32"/>
          <w:highlight w:val="none"/>
          <w:lang w:val="en-US" w:eastAsia="zh-CN" w:bidi="ar-SA"/>
        </w:rPr>
      </w:pPr>
      <w:bookmarkStart w:id="170" w:name="_GoBack"/>
      <w:bookmarkEnd w:id="170"/>
      <w:r>
        <w:rPr>
          <w:rFonts w:hint="eastAsia" w:ascii="宋体" w:hAnsi="宋体" w:eastAsia="宋体" w:cs="宋体"/>
          <w:color w:val="auto"/>
          <w:kern w:val="0"/>
          <w:sz w:val="32"/>
          <w:szCs w:val="32"/>
          <w:highlight w:val="none"/>
          <w:lang w:val="en-US" w:eastAsia="zh-CN" w:bidi="ar-SA"/>
        </w:rPr>
        <w:br w:type="page"/>
      </w:r>
    </w:p>
    <w:p>
      <w:pPr>
        <w:spacing w:line="600" w:lineRule="exact"/>
        <w:jc w:val="center"/>
        <w:outlineLvl w:val="0"/>
        <w:rPr>
          <w:rFonts w:hint="eastAsia" w:ascii="仿宋" w:hAnsi="仿宋" w:eastAsia="仿宋"/>
          <w:b w:val="0"/>
          <w:color w:val="auto"/>
          <w:highlight w:val="none"/>
        </w:rPr>
      </w:pPr>
      <w:bookmarkStart w:id="129" w:name="_Toc19285"/>
      <w:bookmarkStart w:id="130" w:name="_Toc4045"/>
      <w:r>
        <w:rPr>
          <w:rFonts w:hint="eastAsia" w:ascii="黑体" w:hAnsi="黑体" w:eastAsia="黑体"/>
          <w:color w:val="auto"/>
          <w:sz w:val="44"/>
          <w:szCs w:val="44"/>
          <w:highlight w:val="none"/>
        </w:rPr>
        <w:t>第</w:t>
      </w:r>
      <w:r>
        <w:rPr>
          <w:rStyle w:val="17"/>
          <w:rFonts w:hint="eastAsia" w:ascii="黑体" w:hAnsi="黑体" w:eastAsia="黑体"/>
          <w:b w:val="0"/>
          <w:color w:val="auto"/>
          <w:highlight w:val="none"/>
        </w:rPr>
        <w:t>五部分 附表</w:t>
      </w:r>
      <w:bookmarkEnd w:id="121"/>
      <w:bookmarkEnd w:id="128"/>
      <w:bookmarkEnd w:id="129"/>
      <w:bookmarkEnd w:id="130"/>
      <w:bookmarkStart w:id="131" w:name="_Toc15396619"/>
    </w:p>
    <w:p>
      <w:pPr>
        <w:pStyle w:val="4"/>
        <w:rPr>
          <w:rFonts w:ascii="仿宋" w:hAnsi="仿宋" w:eastAsia="仿宋"/>
          <w:color w:val="auto"/>
          <w:highlight w:val="none"/>
        </w:rPr>
      </w:pPr>
      <w:bookmarkStart w:id="132" w:name="_Toc19257"/>
      <w:bookmarkStart w:id="133" w:name="_Toc31713"/>
      <w:r>
        <w:rPr>
          <w:rFonts w:hint="eastAsia" w:ascii="仿宋" w:hAnsi="仿宋" w:eastAsia="仿宋"/>
          <w:b w:val="0"/>
          <w:color w:val="auto"/>
          <w:highlight w:val="none"/>
        </w:rPr>
        <w:t>一、收</w:t>
      </w:r>
      <w:r>
        <w:rPr>
          <w:rStyle w:val="18"/>
          <w:rFonts w:hint="eastAsia" w:ascii="仿宋" w:hAnsi="仿宋" w:eastAsia="仿宋"/>
          <w:b w:val="0"/>
          <w:bCs w:val="0"/>
          <w:color w:val="auto"/>
          <w:highlight w:val="none"/>
        </w:rPr>
        <w:t>入支出决算总表</w:t>
      </w:r>
      <w:bookmarkEnd w:id="131"/>
      <w:bookmarkEnd w:id="132"/>
      <w:bookmarkEnd w:id="133"/>
    </w:p>
    <w:p>
      <w:pPr>
        <w:pStyle w:val="4"/>
        <w:rPr>
          <w:rFonts w:ascii="仿宋" w:hAnsi="仿宋" w:eastAsia="仿宋"/>
          <w:color w:val="auto"/>
          <w:highlight w:val="none"/>
        </w:rPr>
      </w:pPr>
      <w:bookmarkStart w:id="134" w:name="_Toc27175"/>
      <w:bookmarkStart w:id="135" w:name="_Toc27744"/>
      <w:bookmarkStart w:id="136" w:name="_Toc15396620"/>
      <w:r>
        <w:rPr>
          <w:rFonts w:hint="eastAsia" w:ascii="仿宋" w:hAnsi="仿宋" w:eastAsia="仿宋"/>
          <w:b w:val="0"/>
          <w:color w:val="auto"/>
          <w:highlight w:val="none"/>
        </w:rPr>
        <w:t>二、收</w:t>
      </w:r>
      <w:r>
        <w:rPr>
          <w:rStyle w:val="18"/>
          <w:rFonts w:hint="eastAsia" w:ascii="仿宋" w:hAnsi="仿宋" w:eastAsia="仿宋"/>
          <w:b w:val="0"/>
          <w:bCs w:val="0"/>
          <w:color w:val="auto"/>
          <w:highlight w:val="none"/>
        </w:rPr>
        <w:t>入决算表</w:t>
      </w:r>
      <w:bookmarkEnd w:id="134"/>
      <w:bookmarkEnd w:id="135"/>
      <w:bookmarkEnd w:id="136"/>
    </w:p>
    <w:p>
      <w:pPr>
        <w:pStyle w:val="4"/>
        <w:rPr>
          <w:rFonts w:ascii="仿宋" w:hAnsi="仿宋" w:eastAsia="仿宋"/>
          <w:color w:val="auto"/>
          <w:highlight w:val="none"/>
        </w:rPr>
      </w:pPr>
      <w:bookmarkStart w:id="137" w:name="_Toc32086"/>
      <w:bookmarkStart w:id="138" w:name="_Toc10310"/>
      <w:bookmarkStart w:id="139" w:name="_Toc15396621"/>
      <w:r>
        <w:rPr>
          <w:rStyle w:val="18"/>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18"/>
          <w:rFonts w:hint="eastAsia" w:ascii="仿宋" w:hAnsi="仿宋" w:eastAsia="仿宋"/>
          <w:b w:val="0"/>
          <w:bCs w:val="0"/>
          <w:color w:val="auto"/>
          <w:highlight w:val="none"/>
        </w:rPr>
        <w:t>出决算表</w:t>
      </w:r>
      <w:bookmarkEnd w:id="137"/>
      <w:bookmarkEnd w:id="138"/>
      <w:bookmarkEnd w:id="139"/>
    </w:p>
    <w:p>
      <w:pPr>
        <w:pStyle w:val="4"/>
        <w:rPr>
          <w:rFonts w:ascii="仿宋" w:hAnsi="仿宋" w:eastAsia="仿宋"/>
          <w:b w:val="0"/>
          <w:color w:val="auto"/>
          <w:highlight w:val="none"/>
        </w:rPr>
      </w:pPr>
      <w:bookmarkStart w:id="140" w:name="_Toc24863"/>
      <w:bookmarkStart w:id="141" w:name="_Toc30981"/>
      <w:bookmarkStart w:id="142" w:name="_Toc15396622"/>
      <w:r>
        <w:rPr>
          <w:rStyle w:val="18"/>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18"/>
          <w:rFonts w:hint="eastAsia" w:ascii="仿宋" w:hAnsi="仿宋" w:eastAsia="仿宋"/>
          <w:b w:val="0"/>
          <w:bCs w:val="0"/>
          <w:color w:val="auto"/>
          <w:highlight w:val="none"/>
        </w:rPr>
        <w:t>政拨款收入支出决算总表</w:t>
      </w:r>
      <w:bookmarkEnd w:id="140"/>
      <w:bookmarkEnd w:id="141"/>
      <w:bookmarkEnd w:id="142"/>
    </w:p>
    <w:p>
      <w:pPr>
        <w:pStyle w:val="4"/>
        <w:rPr>
          <w:rStyle w:val="18"/>
          <w:rFonts w:ascii="仿宋" w:hAnsi="仿宋" w:eastAsia="仿宋"/>
          <w:b w:val="0"/>
          <w:bCs w:val="0"/>
          <w:color w:val="auto"/>
          <w:highlight w:val="none"/>
        </w:rPr>
      </w:pPr>
      <w:bookmarkStart w:id="143" w:name="_Toc15396623"/>
      <w:bookmarkStart w:id="144" w:name="_Toc13216"/>
      <w:bookmarkStart w:id="145" w:name="_Toc22003"/>
      <w:r>
        <w:rPr>
          <w:rStyle w:val="18"/>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18"/>
          <w:rFonts w:hint="eastAsia" w:ascii="仿宋" w:hAnsi="仿宋" w:eastAsia="仿宋"/>
          <w:b w:val="0"/>
          <w:bCs w:val="0"/>
          <w:color w:val="auto"/>
          <w:highlight w:val="none"/>
        </w:rPr>
        <w:t>政拨款支出决算明细表</w:t>
      </w:r>
      <w:bookmarkEnd w:id="143"/>
      <w:bookmarkEnd w:id="144"/>
      <w:bookmarkEnd w:id="145"/>
      <w:bookmarkStart w:id="146" w:name="_Toc15396624"/>
    </w:p>
    <w:p>
      <w:pPr>
        <w:pStyle w:val="4"/>
        <w:rPr>
          <w:rFonts w:ascii="仿宋" w:hAnsi="仿宋" w:eastAsia="仿宋"/>
          <w:color w:val="auto"/>
          <w:highlight w:val="none"/>
        </w:rPr>
      </w:pPr>
      <w:bookmarkStart w:id="147" w:name="_Toc21180"/>
      <w:bookmarkStart w:id="148" w:name="_Toc10844"/>
      <w:r>
        <w:rPr>
          <w:rStyle w:val="18"/>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般公共预算财政拨款支出决算表</w:t>
      </w:r>
      <w:bookmarkEnd w:id="146"/>
      <w:bookmarkEnd w:id="147"/>
      <w:bookmarkEnd w:id="148"/>
    </w:p>
    <w:p>
      <w:pPr>
        <w:pStyle w:val="4"/>
        <w:rPr>
          <w:rFonts w:ascii="仿宋" w:hAnsi="仿宋" w:eastAsia="仿宋"/>
          <w:color w:val="auto"/>
          <w:highlight w:val="none"/>
        </w:rPr>
      </w:pPr>
      <w:bookmarkStart w:id="149" w:name="_Toc15396625"/>
      <w:bookmarkStart w:id="150" w:name="_Toc18514"/>
      <w:bookmarkStart w:id="151" w:name="_Toc6689"/>
      <w:r>
        <w:rPr>
          <w:rStyle w:val="18"/>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般公共预算财政拨款支出决算明细表</w:t>
      </w:r>
      <w:bookmarkEnd w:id="149"/>
      <w:bookmarkEnd w:id="150"/>
      <w:bookmarkEnd w:id="151"/>
    </w:p>
    <w:p>
      <w:pPr>
        <w:pStyle w:val="4"/>
        <w:rPr>
          <w:rFonts w:ascii="仿宋" w:hAnsi="仿宋" w:eastAsia="仿宋"/>
          <w:color w:val="auto"/>
          <w:highlight w:val="none"/>
        </w:rPr>
      </w:pPr>
      <w:bookmarkStart w:id="152" w:name="_Toc15396626"/>
      <w:bookmarkStart w:id="153" w:name="_Toc28605"/>
      <w:bookmarkStart w:id="154" w:name="_Toc12998"/>
      <w:r>
        <w:rPr>
          <w:rStyle w:val="18"/>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般公共预算财政拨款基本支出决算表</w:t>
      </w:r>
      <w:bookmarkEnd w:id="152"/>
      <w:bookmarkEnd w:id="153"/>
      <w:bookmarkEnd w:id="154"/>
    </w:p>
    <w:p>
      <w:pPr>
        <w:pStyle w:val="4"/>
        <w:rPr>
          <w:rFonts w:ascii="仿宋" w:hAnsi="仿宋" w:eastAsia="仿宋"/>
          <w:color w:val="auto"/>
          <w:highlight w:val="none"/>
        </w:rPr>
      </w:pPr>
      <w:bookmarkStart w:id="155" w:name="_Toc15396627"/>
      <w:bookmarkStart w:id="156" w:name="_Toc11626"/>
      <w:bookmarkStart w:id="157" w:name="_Toc25644"/>
      <w:r>
        <w:rPr>
          <w:rStyle w:val="18"/>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18"/>
          <w:rFonts w:hint="eastAsia" w:ascii="仿宋" w:hAnsi="仿宋" w:eastAsia="仿宋"/>
          <w:b w:val="0"/>
          <w:bCs w:val="0"/>
          <w:color w:val="auto"/>
          <w:highlight w:val="none"/>
        </w:rPr>
        <w:t>般公共预算财政拨款项目支出决算表</w:t>
      </w:r>
      <w:bookmarkEnd w:id="155"/>
      <w:bookmarkEnd w:id="156"/>
      <w:bookmarkEnd w:id="157"/>
    </w:p>
    <w:p>
      <w:pPr>
        <w:pStyle w:val="4"/>
        <w:rPr>
          <w:rFonts w:ascii="仿宋" w:hAnsi="仿宋" w:eastAsia="仿宋"/>
          <w:color w:val="auto"/>
          <w:highlight w:val="none"/>
        </w:rPr>
      </w:pPr>
      <w:bookmarkStart w:id="158" w:name="_Toc15396628"/>
      <w:bookmarkStart w:id="159" w:name="_Toc22234"/>
      <w:bookmarkStart w:id="160" w:name="_Toc1127"/>
      <w:r>
        <w:rPr>
          <w:rStyle w:val="18"/>
          <w:rFonts w:hint="eastAsia" w:ascii="仿宋" w:hAnsi="仿宋" w:eastAsia="仿宋"/>
          <w:b w:val="0"/>
          <w:bCs w:val="0"/>
          <w:color w:val="auto"/>
          <w:highlight w:val="none"/>
        </w:rPr>
        <w:t>十、</w:t>
      </w:r>
      <w:bookmarkEnd w:id="158"/>
      <w:r>
        <w:rPr>
          <w:rFonts w:hint="eastAsia" w:ascii="仿宋" w:hAnsi="仿宋" w:eastAsia="仿宋"/>
          <w:b w:val="0"/>
          <w:color w:val="auto"/>
          <w:highlight w:val="none"/>
        </w:rPr>
        <w:t>政</w:t>
      </w:r>
      <w:r>
        <w:rPr>
          <w:rStyle w:val="18"/>
          <w:rFonts w:hint="eastAsia" w:ascii="仿宋" w:hAnsi="仿宋" w:eastAsia="仿宋"/>
          <w:b w:val="0"/>
          <w:bCs w:val="0"/>
          <w:color w:val="auto"/>
          <w:highlight w:val="none"/>
        </w:rPr>
        <w:t>府性基金预算财政拨款收入支出决算表</w:t>
      </w:r>
      <w:bookmarkEnd w:id="159"/>
      <w:bookmarkEnd w:id="160"/>
    </w:p>
    <w:p>
      <w:pPr>
        <w:pStyle w:val="4"/>
        <w:rPr>
          <w:rFonts w:ascii="仿宋" w:hAnsi="仿宋" w:eastAsia="仿宋"/>
          <w:color w:val="auto"/>
          <w:highlight w:val="none"/>
        </w:rPr>
      </w:pPr>
      <w:bookmarkStart w:id="161" w:name="_Toc15396629"/>
      <w:bookmarkStart w:id="162" w:name="_Toc8371"/>
      <w:bookmarkStart w:id="163" w:name="_Toc21283"/>
      <w:r>
        <w:rPr>
          <w:rStyle w:val="18"/>
          <w:rFonts w:hint="eastAsia" w:ascii="仿宋" w:hAnsi="仿宋" w:eastAsia="仿宋"/>
          <w:b w:val="0"/>
          <w:bCs w:val="0"/>
          <w:color w:val="auto"/>
          <w:highlight w:val="none"/>
        </w:rPr>
        <w:t>十一、</w:t>
      </w:r>
      <w:bookmarkEnd w:id="161"/>
      <w:r>
        <w:rPr>
          <w:rFonts w:hint="eastAsia" w:ascii="仿宋" w:hAnsi="仿宋" w:eastAsia="仿宋"/>
          <w:b w:val="0"/>
          <w:color w:val="auto"/>
          <w:highlight w:val="none"/>
        </w:rPr>
        <w:t>国</w:t>
      </w:r>
      <w:r>
        <w:rPr>
          <w:rStyle w:val="18"/>
          <w:rFonts w:hint="eastAsia" w:ascii="仿宋" w:hAnsi="仿宋" w:eastAsia="仿宋"/>
          <w:b w:val="0"/>
          <w:bCs w:val="0"/>
          <w:color w:val="auto"/>
          <w:highlight w:val="none"/>
        </w:rPr>
        <w:t>有资本经营预算</w:t>
      </w:r>
      <w:r>
        <w:rPr>
          <w:rStyle w:val="18"/>
          <w:rFonts w:hint="eastAsia" w:ascii="仿宋" w:hAnsi="仿宋" w:eastAsia="仿宋"/>
          <w:b w:val="0"/>
          <w:bCs w:val="0"/>
          <w:color w:val="auto"/>
          <w:highlight w:val="none"/>
          <w:lang w:eastAsia="zh-CN"/>
        </w:rPr>
        <w:t>财政拨款收入</w:t>
      </w:r>
      <w:r>
        <w:rPr>
          <w:rStyle w:val="18"/>
          <w:rFonts w:hint="eastAsia" w:ascii="仿宋" w:hAnsi="仿宋" w:eastAsia="仿宋"/>
          <w:b w:val="0"/>
          <w:bCs w:val="0"/>
          <w:color w:val="auto"/>
          <w:highlight w:val="none"/>
        </w:rPr>
        <w:t>支出决算表</w:t>
      </w:r>
      <w:bookmarkEnd w:id="162"/>
      <w:bookmarkEnd w:id="163"/>
    </w:p>
    <w:p>
      <w:pPr>
        <w:pStyle w:val="4"/>
        <w:rPr>
          <w:rFonts w:ascii="仿宋" w:hAnsi="仿宋" w:eastAsia="仿宋"/>
          <w:color w:val="auto"/>
          <w:highlight w:val="none"/>
        </w:rPr>
      </w:pPr>
      <w:bookmarkStart w:id="164" w:name="_Toc15396630"/>
      <w:bookmarkStart w:id="165" w:name="_Toc12949"/>
      <w:bookmarkStart w:id="166" w:name="_Toc19675"/>
      <w:r>
        <w:rPr>
          <w:rStyle w:val="18"/>
          <w:rFonts w:hint="eastAsia" w:ascii="仿宋" w:hAnsi="仿宋" w:eastAsia="仿宋"/>
          <w:b w:val="0"/>
          <w:bCs w:val="0"/>
          <w:color w:val="auto"/>
          <w:highlight w:val="none"/>
        </w:rPr>
        <w:t>十二、</w:t>
      </w:r>
      <w:bookmarkEnd w:id="164"/>
      <w:r>
        <w:rPr>
          <w:rStyle w:val="18"/>
          <w:rFonts w:hint="eastAsia" w:ascii="仿宋" w:hAnsi="仿宋" w:eastAsia="仿宋"/>
          <w:b w:val="0"/>
          <w:bCs w:val="0"/>
          <w:color w:val="auto"/>
          <w:highlight w:val="none"/>
          <w:lang w:eastAsia="zh-CN"/>
        </w:rPr>
        <w:t>国有资本经营预算财政拨款支出决算表</w:t>
      </w:r>
      <w:bookmarkEnd w:id="165"/>
      <w:bookmarkEnd w:id="166"/>
    </w:p>
    <w:p>
      <w:pPr>
        <w:pStyle w:val="4"/>
        <w:rPr>
          <w:rFonts w:hint="eastAsia" w:eastAsia="仿宋"/>
          <w:color w:val="auto"/>
          <w:highlight w:val="none"/>
          <w:lang w:eastAsia="zh-CN"/>
        </w:rPr>
      </w:pPr>
      <w:bookmarkStart w:id="167" w:name="_Toc15396631"/>
      <w:bookmarkStart w:id="168" w:name="_Toc25467"/>
      <w:bookmarkStart w:id="169" w:name="_Toc22198"/>
      <w:r>
        <w:rPr>
          <w:rStyle w:val="18"/>
          <w:rFonts w:hint="eastAsia" w:ascii="仿宋" w:hAnsi="仿宋" w:eastAsia="仿宋"/>
          <w:b w:val="0"/>
          <w:bCs w:val="0"/>
          <w:color w:val="auto"/>
          <w:highlight w:val="none"/>
        </w:rPr>
        <w:t>十三、</w:t>
      </w:r>
      <w:bookmarkEnd w:id="167"/>
      <w:r>
        <w:rPr>
          <w:rStyle w:val="18"/>
          <w:rFonts w:hint="eastAsia" w:ascii="仿宋" w:hAnsi="仿宋" w:eastAsia="仿宋"/>
          <w:b w:val="0"/>
          <w:bCs w:val="0"/>
          <w:color w:val="auto"/>
          <w:highlight w:val="none"/>
          <w:lang w:eastAsia="zh-CN"/>
        </w:rPr>
        <w:t>财政拨款“三公”经费支出决算表</w:t>
      </w:r>
      <w:bookmarkEnd w:id="168"/>
      <w:bookmarkEnd w:id="169"/>
    </w:p>
    <w:sectPr>
      <w:footerReference r:id="rId5" w:type="first"/>
      <w:footerReference r:id="rId4" w:type="default"/>
      <w:pgSz w:w="11906" w:h="16838"/>
      <w:pgMar w:top="2098" w:right="1474" w:bottom="1984" w:left="1587"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cript"/>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方正小标宋_GBK">
    <w:panose1 w:val="02000000000000000000"/>
    <w:charset w:val="86"/>
    <w:family w:val="script"/>
    <w:pitch w:val="default"/>
    <w:sig w:usb0="00000001" w:usb1="08000000" w:usb2="00000000" w:usb3="00000000" w:csb0="00040000" w:csb1="00000000"/>
  </w:font>
  <w:font w:name="微软雅黑">
    <w:altName w:val="黑体"/>
    <w:panose1 w:val="020B0503020204020204"/>
    <w:charset w:val="86"/>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B8AA9D"/>
    <w:multiLevelType w:val="singleLevel"/>
    <w:tmpl w:val="C9B8AA9D"/>
    <w:lvl w:ilvl="0" w:tentative="0">
      <w:start w:val="1"/>
      <w:numFmt w:val="decimal"/>
      <w:suff w:val="nothing"/>
      <w:lvlText w:val="%1．"/>
      <w:lvlJc w:val="left"/>
      <w:pPr>
        <w:ind w:left="0" w:firstLine="397"/>
      </w:pPr>
      <w:rPr>
        <w:rFonts w:hint="default"/>
      </w:rPr>
    </w:lvl>
  </w:abstractNum>
  <w:abstractNum w:abstractNumId="1">
    <w:nsid w:val="CF652CEC"/>
    <w:multiLevelType w:val="singleLevel"/>
    <w:tmpl w:val="CF652CEC"/>
    <w:lvl w:ilvl="0" w:tentative="0">
      <w:start w:val="9"/>
      <w:numFmt w:val="chineseCounting"/>
      <w:suff w:val="nothing"/>
      <w:lvlText w:val="%1、"/>
      <w:lvlJc w:val="left"/>
      <w:rPr>
        <w:rFonts w:hint="eastAsia"/>
      </w:rPr>
    </w:lvl>
  </w:abstractNum>
  <w:abstractNum w:abstractNumId="2">
    <w:nsid w:val="791FB83A"/>
    <w:multiLevelType w:val="singleLevel"/>
    <w:tmpl w:val="791FB83A"/>
    <w:lvl w:ilvl="0" w:tentative="0">
      <w:start w:val="1"/>
      <w:numFmt w:val="decimal"/>
      <w:suff w:val="nothing"/>
      <w:lvlText w:val="%1．"/>
      <w:lvlJc w:val="left"/>
      <w:pPr>
        <w:ind w:left="20" w:firstLine="4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1ZWZiMGQ3NTg1YmJjMGY1MmZlMmYwNjQ0Nzk3NTM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3F417C"/>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75ECF"/>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56C4"/>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507A"/>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3F2F"/>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70F1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74A"/>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D2227"/>
    <w:rsid w:val="01744DE2"/>
    <w:rsid w:val="018C3FFF"/>
    <w:rsid w:val="01987FE8"/>
    <w:rsid w:val="01F9035B"/>
    <w:rsid w:val="02C8548C"/>
    <w:rsid w:val="03326E3F"/>
    <w:rsid w:val="03CB79CE"/>
    <w:rsid w:val="04274A9E"/>
    <w:rsid w:val="045A4A0B"/>
    <w:rsid w:val="04885F77"/>
    <w:rsid w:val="053A62B5"/>
    <w:rsid w:val="05616943"/>
    <w:rsid w:val="05EA539D"/>
    <w:rsid w:val="068C5C42"/>
    <w:rsid w:val="06EB0BBA"/>
    <w:rsid w:val="072B0FB7"/>
    <w:rsid w:val="073C7CCF"/>
    <w:rsid w:val="0803586F"/>
    <w:rsid w:val="088D0825"/>
    <w:rsid w:val="08962DA7"/>
    <w:rsid w:val="08BF0398"/>
    <w:rsid w:val="08C43471"/>
    <w:rsid w:val="09061CDB"/>
    <w:rsid w:val="09063A89"/>
    <w:rsid w:val="094B7AB9"/>
    <w:rsid w:val="09641BEC"/>
    <w:rsid w:val="09911D12"/>
    <w:rsid w:val="0A0F0B3D"/>
    <w:rsid w:val="0A2032A3"/>
    <w:rsid w:val="0A2564BB"/>
    <w:rsid w:val="0AB1341B"/>
    <w:rsid w:val="0ABD0ABF"/>
    <w:rsid w:val="0AED3855"/>
    <w:rsid w:val="0B8A37D8"/>
    <w:rsid w:val="0BAA1044"/>
    <w:rsid w:val="0C45520B"/>
    <w:rsid w:val="0C562252"/>
    <w:rsid w:val="0C675DD7"/>
    <w:rsid w:val="0C88413E"/>
    <w:rsid w:val="0CCF61BB"/>
    <w:rsid w:val="0D6151BA"/>
    <w:rsid w:val="0E255E7E"/>
    <w:rsid w:val="0F0E18EA"/>
    <w:rsid w:val="10391A85"/>
    <w:rsid w:val="10793A1C"/>
    <w:rsid w:val="10A83678"/>
    <w:rsid w:val="10B4201D"/>
    <w:rsid w:val="10B90F0B"/>
    <w:rsid w:val="10C055FF"/>
    <w:rsid w:val="10DE52EC"/>
    <w:rsid w:val="10F845FF"/>
    <w:rsid w:val="116E48C1"/>
    <w:rsid w:val="118107EC"/>
    <w:rsid w:val="119360D6"/>
    <w:rsid w:val="119521CB"/>
    <w:rsid w:val="11C433B0"/>
    <w:rsid w:val="11DD6519"/>
    <w:rsid w:val="1248530B"/>
    <w:rsid w:val="129A3494"/>
    <w:rsid w:val="12AA7E4D"/>
    <w:rsid w:val="12CA1FCB"/>
    <w:rsid w:val="12EF1A32"/>
    <w:rsid w:val="13AE5449"/>
    <w:rsid w:val="14184FB8"/>
    <w:rsid w:val="14760E30"/>
    <w:rsid w:val="14812B5E"/>
    <w:rsid w:val="151D2C6B"/>
    <w:rsid w:val="15CB25DA"/>
    <w:rsid w:val="16A70FD3"/>
    <w:rsid w:val="16BB723D"/>
    <w:rsid w:val="1709138D"/>
    <w:rsid w:val="179E57D5"/>
    <w:rsid w:val="18015F3F"/>
    <w:rsid w:val="18354985"/>
    <w:rsid w:val="18610CDC"/>
    <w:rsid w:val="18D106B7"/>
    <w:rsid w:val="18D55226"/>
    <w:rsid w:val="19021DAF"/>
    <w:rsid w:val="191D28AF"/>
    <w:rsid w:val="192F37A8"/>
    <w:rsid w:val="1A382DB7"/>
    <w:rsid w:val="1A495ECC"/>
    <w:rsid w:val="1A5B19C7"/>
    <w:rsid w:val="1ACE4623"/>
    <w:rsid w:val="1B0D2599"/>
    <w:rsid w:val="1BE8440E"/>
    <w:rsid w:val="1BEF92A9"/>
    <w:rsid w:val="1BFF0DB9"/>
    <w:rsid w:val="1C220723"/>
    <w:rsid w:val="1D155CEE"/>
    <w:rsid w:val="1D2E158A"/>
    <w:rsid w:val="1DA52AFF"/>
    <w:rsid w:val="1DF7F5B0"/>
    <w:rsid w:val="1E5906A7"/>
    <w:rsid w:val="1E620258"/>
    <w:rsid w:val="1F5F3C6B"/>
    <w:rsid w:val="1FB77D3E"/>
    <w:rsid w:val="209A7797"/>
    <w:rsid w:val="20E80B7A"/>
    <w:rsid w:val="20F57F95"/>
    <w:rsid w:val="219C4B33"/>
    <w:rsid w:val="21A460DD"/>
    <w:rsid w:val="222E26A7"/>
    <w:rsid w:val="226C18DB"/>
    <w:rsid w:val="2303386E"/>
    <w:rsid w:val="236E24FF"/>
    <w:rsid w:val="240371BF"/>
    <w:rsid w:val="246758CC"/>
    <w:rsid w:val="24C02917"/>
    <w:rsid w:val="24DB5972"/>
    <w:rsid w:val="251D1FD7"/>
    <w:rsid w:val="256911D0"/>
    <w:rsid w:val="25711CC6"/>
    <w:rsid w:val="25864F36"/>
    <w:rsid w:val="258C4EBE"/>
    <w:rsid w:val="25C741E6"/>
    <w:rsid w:val="25D845A8"/>
    <w:rsid w:val="25FA62CC"/>
    <w:rsid w:val="26102FB1"/>
    <w:rsid w:val="262A75E9"/>
    <w:rsid w:val="26650482"/>
    <w:rsid w:val="2687315B"/>
    <w:rsid w:val="26993D37"/>
    <w:rsid w:val="272003C5"/>
    <w:rsid w:val="27307261"/>
    <w:rsid w:val="273E043A"/>
    <w:rsid w:val="27842671"/>
    <w:rsid w:val="2805257B"/>
    <w:rsid w:val="28496A3C"/>
    <w:rsid w:val="287423F6"/>
    <w:rsid w:val="28744262"/>
    <w:rsid w:val="28D9041B"/>
    <w:rsid w:val="29272F98"/>
    <w:rsid w:val="298F2C97"/>
    <w:rsid w:val="299E1C1A"/>
    <w:rsid w:val="29FD04D3"/>
    <w:rsid w:val="2A810D6A"/>
    <w:rsid w:val="2ABE7A3E"/>
    <w:rsid w:val="2ADA0E92"/>
    <w:rsid w:val="2B177920"/>
    <w:rsid w:val="2CA234A8"/>
    <w:rsid w:val="2CD5539D"/>
    <w:rsid w:val="2CD8427D"/>
    <w:rsid w:val="2D377E06"/>
    <w:rsid w:val="2D895A58"/>
    <w:rsid w:val="2DA059AB"/>
    <w:rsid w:val="2E17733C"/>
    <w:rsid w:val="2E352597"/>
    <w:rsid w:val="2E690493"/>
    <w:rsid w:val="2E870919"/>
    <w:rsid w:val="2E957B6B"/>
    <w:rsid w:val="2ED20B55"/>
    <w:rsid w:val="2EF765CB"/>
    <w:rsid w:val="2EFA178C"/>
    <w:rsid w:val="2F1E302B"/>
    <w:rsid w:val="2F2B3CDF"/>
    <w:rsid w:val="2F5B4A58"/>
    <w:rsid w:val="2F652408"/>
    <w:rsid w:val="2FB876AD"/>
    <w:rsid w:val="309F63EE"/>
    <w:rsid w:val="30B46D73"/>
    <w:rsid w:val="31137E2C"/>
    <w:rsid w:val="3143321D"/>
    <w:rsid w:val="319F7F4E"/>
    <w:rsid w:val="31A90F01"/>
    <w:rsid w:val="31BD5C8C"/>
    <w:rsid w:val="32DB1401"/>
    <w:rsid w:val="330B7D6A"/>
    <w:rsid w:val="33970421"/>
    <w:rsid w:val="33C30EC5"/>
    <w:rsid w:val="3454129D"/>
    <w:rsid w:val="346A286F"/>
    <w:rsid w:val="355A6D87"/>
    <w:rsid w:val="35A62F6D"/>
    <w:rsid w:val="35FC1BEC"/>
    <w:rsid w:val="3632560E"/>
    <w:rsid w:val="3676199F"/>
    <w:rsid w:val="36794FEB"/>
    <w:rsid w:val="368C2F70"/>
    <w:rsid w:val="370E7E29"/>
    <w:rsid w:val="371A4A2B"/>
    <w:rsid w:val="373736C6"/>
    <w:rsid w:val="373C2DF1"/>
    <w:rsid w:val="378A652E"/>
    <w:rsid w:val="37FC5ED4"/>
    <w:rsid w:val="383D272C"/>
    <w:rsid w:val="38C904AC"/>
    <w:rsid w:val="398C3AFD"/>
    <w:rsid w:val="39AE70AB"/>
    <w:rsid w:val="39C25DBF"/>
    <w:rsid w:val="39EB26A4"/>
    <w:rsid w:val="39F33306"/>
    <w:rsid w:val="3A0472C2"/>
    <w:rsid w:val="3B184A6D"/>
    <w:rsid w:val="3B7E564B"/>
    <w:rsid w:val="3B99794E"/>
    <w:rsid w:val="3BA90120"/>
    <w:rsid w:val="3BC17641"/>
    <w:rsid w:val="3BCC3E0F"/>
    <w:rsid w:val="3C0C0783"/>
    <w:rsid w:val="3C0F0B15"/>
    <w:rsid w:val="3C1A2DCC"/>
    <w:rsid w:val="3C826E9E"/>
    <w:rsid w:val="3C8C6BF4"/>
    <w:rsid w:val="3CFB42FE"/>
    <w:rsid w:val="3CFE7CA4"/>
    <w:rsid w:val="3D15017D"/>
    <w:rsid w:val="3D3201A1"/>
    <w:rsid w:val="3DEC0798"/>
    <w:rsid w:val="3E2B306F"/>
    <w:rsid w:val="3EE83D35"/>
    <w:rsid w:val="3F0A388F"/>
    <w:rsid w:val="3F283A52"/>
    <w:rsid w:val="3F4D763D"/>
    <w:rsid w:val="3F9F3A96"/>
    <w:rsid w:val="3FB96E2D"/>
    <w:rsid w:val="3FE54F91"/>
    <w:rsid w:val="4028691D"/>
    <w:rsid w:val="4037529E"/>
    <w:rsid w:val="41085755"/>
    <w:rsid w:val="41750B26"/>
    <w:rsid w:val="41875415"/>
    <w:rsid w:val="422A064E"/>
    <w:rsid w:val="427F22BD"/>
    <w:rsid w:val="42EB272F"/>
    <w:rsid w:val="4338047F"/>
    <w:rsid w:val="44C44D67"/>
    <w:rsid w:val="44F87A23"/>
    <w:rsid w:val="451C02B6"/>
    <w:rsid w:val="451E56DB"/>
    <w:rsid w:val="453C03C0"/>
    <w:rsid w:val="454113CA"/>
    <w:rsid w:val="458F482B"/>
    <w:rsid w:val="460E12C5"/>
    <w:rsid w:val="465A0995"/>
    <w:rsid w:val="46736A8C"/>
    <w:rsid w:val="46881E0E"/>
    <w:rsid w:val="469B0FAE"/>
    <w:rsid w:val="472E0DDF"/>
    <w:rsid w:val="47F70466"/>
    <w:rsid w:val="4819662E"/>
    <w:rsid w:val="483E26E9"/>
    <w:rsid w:val="48813F19"/>
    <w:rsid w:val="48981C49"/>
    <w:rsid w:val="489B5295"/>
    <w:rsid w:val="48BF60AB"/>
    <w:rsid w:val="49296D45"/>
    <w:rsid w:val="493C27E9"/>
    <w:rsid w:val="493D751D"/>
    <w:rsid w:val="49646C4B"/>
    <w:rsid w:val="496F39ED"/>
    <w:rsid w:val="49B44860"/>
    <w:rsid w:val="49BA174B"/>
    <w:rsid w:val="49D46750"/>
    <w:rsid w:val="49FF41D3"/>
    <w:rsid w:val="4AC00AEC"/>
    <w:rsid w:val="4B3D30C2"/>
    <w:rsid w:val="4BC80E27"/>
    <w:rsid w:val="4BE068DB"/>
    <w:rsid w:val="4BE807F1"/>
    <w:rsid w:val="4BF03B4A"/>
    <w:rsid w:val="4BF6002B"/>
    <w:rsid w:val="4C0D0258"/>
    <w:rsid w:val="4C220E14"/>
    <w:rsid w:val="4C5267A2"/>
    <w:rsid w:val="4C646EA0"/>
    <w:rsid w:val="4CC052CA"/>
    <w:rsid w:val="4D16313C"/>
    <w:rsid w:val="4D33457B"/>
    <w:rsid w:val="4E554123"/>
    <w:rsid w:val="4ECE2238"/>
    <w:rsid w:val="4F2A1BE1"/>
    <w:rsid w:val="4F6173F8"/>
    <w:rsid w:val="4FA669F9"/>
    <w:rsid w:val="4FA709C3"/>
    <w:rsid w:val="50485F25"/>
    <w:rsid w:val="50967EEF"/>
    <w:rsid w:val="5139564B"/>
    <w:rsid w:val="51D44D6E"/>
    <w:rsid w:val="51DB4B86"/>
    <w:rsid w:val="52076CD8"/>
    <w:rsid w:val="5239722A"/>
    <w:rsid w:val="523F4EE3"/>
    <w:rsid w:val="52630BD1"/>
    <w:rsid w:val="52FB705C"/>
    <w:rsid w:val="53A127FC"/>
    <w:rsid w:val="53F44AE0"/>
    <w:rsid w:val="5472206D"/>
    <w:rsid w:val="54743BFD"/>
    <w:rsid w:val="54853303"/>
    <w:rsid w:val="54AD6A7C"/>
    <w:rsid w:val="54B669EE"/>
    <w:rsid w:val="55333C3E"/>
    <w:rsid w:val="55434CEA"/>
    <w:rsid w:val="55D65846"/>
    <w:rsid w:val="56760FF5"/>
    <w:rsid w:val="568B06F7"/>
    <w:rsid w:val="56A812A9"/>
    <w:rsid w:val="56C1236A"/>
    <w:rsid w:val="56C97CB9"/>
    <w:rsid w:val="56DC0F52"/>
    <w:rsid w:val="56E83D9B"/>
    <w:rsid w:val="596F4300"/>
    <w:rsid w:val="5A37500B"/>
    <w:rsid w:val="5A4F67E9"/>
    <w:rsid w:val="5AAE2C06"/>
    <w:rsid w:val="5AD00DCE"/>
    <w:rsid w:val="5B125317"/>
    <w:rsid w:val="5B57504B"/>
    <w:rsid w:val="5B5F7F9D"/>
    <w:rsid w:val="5C1E52F7"/>
    <w:rsid w:val="5C8049B5"/>
    <w:rsid w:val="5C902BB5"/>
    <w:rsid w:val="5CD12B1F"/>
    <w:rsid w:val="5D7E7207"/>
    <w:rsid w:val="5D846348"/>
    <w:rsid w:val="5D9A3915"/>
    <w:rsid w:val="5DDB016E"/>
    <w:rsid w:val="5E387777"/>
    <w:rsid w:val="5E52EE19"/>
    <w:rsid w:val="5EF534F9"/>
    <w:rsid w:val="5F431FB4"/>
    <w:rsid w:val="5F864151"/>
    <w:rsid w:val="5FFF5CB2"/>
    <w:rsid w:val="604A33D1"/>
    <w:rsid w:val="6051650D"/>
    <w:rsid w:val="60DF7A7F"/>
    <w:rsid w:val="6104289A"/>
    <w:rsid w:val="6155777B"/>
    <w:rsid w:val="61AB60F1"/>
    <w:rsid w:val="61C14E84"/>
    <w:rsid w:val="61FA5EE7"/>
    <w:rsid w:val="62127F1E"/>
    <w:rsid w:val="625E6DAC"/>
    <w:rsid w:val="63414F5F"/>
    <w:rsid w:val="638F4A0F"/>
    <w:rsid w:val="63FE0083"/>
    <w:rsid w:val="64186253"/>
    <w:rsid w:val="642301C1"/>
    <w:rsid w:val="6456440F"/>
    <w:rsid w:val="649B244D"/>
    <w:rsid w:val="64CA39A1"/>
    <w:rsid w:val="64E668C8"/>
    <w:rsid w:val="65456D8F"/>
    <w:rsid w:val="6568782F"/>
    <w:rsid w:val="6587477F"/>
    <w:rsid w:val="65BE177E"/>
    <w:rsid w:val="65E10333"/>
    <w:rsid w:val="663F505A"/>
    <w:rsid w:val="670401BF"/>
    <w:rsid w:val="6753700F"/>
    <w:rsid w:val="67B64405"/>
    <w:rsid w:val="684C5785"/>
    <w:rsid w:val="6897117D"/>
    <w:rsid w:val="689F34EE"/>
    <w:rsid w:val="68CA77A4"/>
    <w:rsid w:val="68F216FE"/>
    <w:rsid w:val="69006D22"/>
    <w:rsid w:val="694A2693"/>
    <w:rsid w:val="695A25BD"/>
    <w:rsid w:val="69630ADE"/>
    <w:rsid w:val="6974326C"/>
    <w:rsid w:val="69815ABA"/>
    <w:rsid w:val="69C87021"/>
    <w:rsid w:val="69DB7170"/>
    <w:rsid w:val="6A0D28BD"/>
    <w:rsid w:val="6AC97EF4"/>
    <w:rsid w:val="6AE11288"/>
    <w:rsid w:val="6AEB6614"/>
    <w:rsid w:val="6B8754D9"/>
    <w:rsid w:val="6C3E7AC5"/>
    <w:rsid w:val="6C4A05C8"/>
    <w:rsid w:val="6C4F76B0"/>
    <w:rsid w:val="6C640390"/>
    <w:rsid w:val="6CE27825"/>
    <w:rsid w:val="6D013069"/>
    <w:rsid w:val="6D326B60"/>
    <w:rsid w:val="6D3B1A89"/>
    <w:rsid w:val="6D97577B"/>
    <w:rsid w:val="6E421B8B"/>
    <w:rsid w:val="6E7C32EF"/>
    <w:rsid w:val="6F2A6A6D"/>
    <w:rsid w:val="6F6D0E8A"/>
    <w:rsid w:val="6FAA6B8E"/>
    <w:rsid w:val="70116DD2"/>
    <w:rsid w:val="711D243B"/>
    <w:rsid w:val="71B44B4E"/>
    <w:rsid w:val="71BF4EC2"/>
    <w:rsid w:val="72734D90"/>
    <w:rsid w:val="728F66B3"/>
    <w:rsid w:val="72A46970"/>
    <w:rsid w:val="72CD313F"/>
    <w:rsid w:val="72E90827"/>
    <w:rsid w:val="72F96C19"/>
    <w:rsid w:val="72FD7534"/>
    <w:rsid w:val="73450902"/>
    <w:rsid w:val="73A813FF"/>
    <w:rsid w:val="73D94061"/>
    <w:rsid w:val="7406140F"/>
    <w:rsid w:val="7412278C"/>
    <w:rsid w:val="743401C8"/>
    <w:rsid w:val="747405C4"/>
    <w:rsid w:val="74D6137A"/>
    <w:rsid w:val="74DA14D5"/>
    <w:rsid w:val="75256FF4"/>
    <w:rsid w:val="755C1784"/>
    <w:rsid w:val="75736ACE"/>
    <w:rsid w:val="763D2B25"/>
    <w:rsid w:val="76404C02"/>
    <w:rsid w:val="768216BE"/>
    <w:rsid w:val="76B37BEF"/>
    <w:rsid w:val="76DA32A9"/>
    <w:rsid w:val="773A78A3"/>
    <w:rsid w:val="777367DE"/>
    <w:rsid w:val="7797301C"/>
    <w:rsid w:val="78397270"/>
    <w:rsid w:val="788326F6"/>
    <w:rsid w:val="78917997"/>
    <w:rsid w:val="78CE247C"/>
    <w:rsid w:val="7904082E"/>
    <w:rsid w:val="79E4501F"/>
    <w:rsid w:val="79E7B28D"/>
    <w:rsid w:val="7A340F22"/>
    <w:rsid w:val="7A76A271"/>
    <w:rsid w:val="7A8D641F"/>
    <w:rsid w:val="7B153BB5"/>
    <w:rsid w:val="7B723A7A"/>
    <w:rsid w:val="7B7F1A48"/>
    <w:rsid w:val="7BCF3A79"/>
    <w:rsid w:val="7BE91898"/>
    <w:rsid w:val="7C350F81"/>
    <w:rsid w:val="7C5E5DE2"/>
    <w:rsid w:val="7C625F23"/>
    <w:rsid w:val="7C7A6994"/>
    <w:rsid w:val="7C7E44BF"/>
    <w:rsid w:val="7C994ACA"/>
    <w:rsid w:val="7CE3278B"/>
    <w:rsid w:val="7D356CAF"/>
    <w:rsid w:val="7DBF0B02"/>
    <w:rsid w:val="7E3E61E0"/>
    <w:rsid w:val="7E544B03"/>
    <w:rsid w:val="7E600A3C"/>
    <w:rsid w:val="7EBC3E0F"/>
    <w:rsid w:val="7EE95C34"/>
    <w:rsid w:val="7F173030"/>
    <w:rsid w:val="7F780316"/>
    <w:rsid w:val="7F8D51F6"/>
    <w:rsid w:val="7F9B3138"/>
    <w:rsid w:val="7F9F20EE"/>
    <w:rsid w:val="7FDC4446"/>
    <w:rsid w:val="7FDD34C2"/>
    <w:rsid w:val="7FE17456"/>
    <w:rsid w:val="9E3A10E2"/>
    <w:rsid w:val="B7B22AD8"/>
    <w:rsid w:val="F2E1F9D4"/>
    <w:rsid w:val="F7880819"/>
    <w:rsid w:val="F9FFEB61"/>
    <w:rsid w:val="FBDDA9E7"/>
    <w:rsid w:val="FD6FE8CB"/>
    <w:rsid w:val="FF732A9E"/>
    <w:rsid w:val="FFFD45F9"/>
    <w:rsid w:val="FFFFD0A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9"/>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5"/>
    <w:qFormat/>
    <w:uiPriority w:val="99"/>
    <w:pPr>
      <w:spacing w:beforeLines="30"/>
    </w:pPr>
    <w:rPr>
      <w:rFonts w:ascii="仿宋_GB2312" w:eastAsia="仿宋_GB2312"/>
      <w:kern w:val="0"/>
      <w:sz w:val="30"/>
    </w:rPr>
  </w:style>
  <w:style w:type="paragraph" w:styleId="6">
    <w:name w:val="Normal Indent"/>
    <w:basedOn w:val="1"/>
    <w:next w:val="1"/>
    <w:qFormat/>
    <w:uiPriority w:val="0"/>
    <w:pPr>
      <w:widowControl w:val="0"/>
      <w:ind w:firstLine="420" w:firstLineChars="200"/>
      <w:jc w:val="both"/>
    </w:pPr>
    <w:rPr>
      <w:rFonts w:ascii="Calibri" w:hAnsi="Calibri" w:eastAsia="宋体" w:cs="Times New Roman"/>
      <w:kern w:val="2"/>
      <w:sz w:val="21"/>
      <w:szCs w:val="24"/>
      <w:lang w:val="en-US" w:eastAsia="zh-CN" w:bidi="ar-SA"/>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29"/>
    <w:semiHidden/>
    <w:unhideWhenUsed/>
    <w:qFormat/>
    <w:uiPriority w:val="99"/>
    <w:rPr>
      <w:sz w:val="18"/>
      <w:szCs w:val="18"/>
    </w:rPr>
  </w:style>
  <w:style w:type="paragraph" w:styleId="9">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character" w:styleId="15">
    <w:name w:val="Strong"/>
    <w:basedOn w:val="14"/>
    <w:qFormat/>
    <w:uiPriority w:val="99"/>
    <w:rPr>
      <w:b/>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character" w:customStyle="1" w:styleId="17">
    <w:name w:val="标题 1 Char"/>
    <w:basedOn w:val="14"/>
    <w:link w:val="3"/>
    <w:qFormat/>
    <w:uiPriority w:val="9"/>
    <w:rPr>
      <w:rFonts w:ascii="Times New Roman" w:hAnsi="Times New Roman"/>
      <w:b/>
      <w:bCs/>
      <w:kern w:val="44"/>
      <w:sz w:val="44"/>
      <w:szCs w:val="44"/>
    </w:rPr>
  </w:style>
  <w:style w:type="character" w:customStyle="1" w:styleId="18">
    <w:name w:val="标题 2 Char"/>
    <w:basedOn w:val="14"/>
    <w:link w:val="4"/>
    <w:qFormat/>
    <w:uiPriority w:val="9"/>
    <w:rPr>
      <w:rFonts w:asciiTheme="majorHAnsi" w:hAnsiTheme="majorHAnsi" w:eastAsiaTheme="majorEastAsia" w:cstheme="majorBidi"/>
      <w:b/>
      <w:bCs/>
      <w:kern w:val="2"/>
      <w:sz w:val="32"/>
      <w:szCs w:val="32"/>
    </w:rPr>
  </w:style>
  <w:style w:type="character" w:customStyle="1" w:styleId="19">
    <w:name w:val="标题 3 Char"/>
    <w:basedOn w:val="14"/>
    <w:link w:val="5"/>
    <w:qFormat/>
    <w:uiPriority w:val="9"/>
    <w:rPr>
      <w:rFonts w:ascii="Times New Roman" w:hAnsi="Times New Roman"/>
      <w:b/>
      <w:bCs/>
      <w:kern w:val="2"/>
      <w:sz w:val="32"/>
      <w:szCs w:val="32"/>
    </w:rPr>
  </w:style>
  <w:style w:type="character" w:customStyle="1" w:styleId="20">
    <w:name w:val="Header Char"/>
    <w:basedOn w:val="14"/>
    <w:semiHidden/>
    <w:qFormat/>
    <w:uiPriority w:val="99"/>
    <w:rPr>
      <w:rFonts w:ascii="Times New Roman" w:hAnsi="Times New Roman"/>
      <w:sz w:val="18"/>
      <w:szCs w:val="18"/>
    </w:rPr>
  </w:style>
  <w:style w:type="character" w:customStyle="1" w:styleId="21">
    <w:name w:val="页眉 Char"/>
    <w:link w:val="10"/>
    <w:semiHidden/>
    <w:qFormat/>
    <w:locked/>
    <w:uiPriority w:val="99"/>
    <w:rPr>
      <w:sz w:val="18"/>
    </w:rPr>
  </w:style>
  <w:style w:type="character" w:customStyle="1" w:styleId="22">
    <w:name w:val="Footer Char"/>
    <w:basedOn w:val="14"/>
    <w:semiHidden/>
    <w:qFormat/>
    <w:uiPriority w:val="99"/>
    <w:rPr>
      <w:rFonts w:ascii="Times New Roman" w:hAnsi="Times New Roman"/>
      <w:sz w:val="18"/>
      <w:szCs w:val="18"/>
    </w:rPr>
  </w:style>
  <w:style w:type="character" w:customStyle="1" w:styleId="23">
    <w:name w:val="页脚 Char"/>
    <w:link w:val="9"/>
    <w:qFormat/>
    <w:locked/>
    <w:uiPriority w:val="99"/>
    <w:rPr>
      <w:sz w:val="18"/>
    </w:rPr>
  </w:style>
  <w:style w:type="character" w:customStyle="1" w:styleId="24">
    <w:name w:val="Body Text Char"/>
    <w:basedOn w:val="14"/>
    <w:semiHidden/>
    <w:qFormat/>
    <w:uiPriority w:val="99"/>
    <w:rPr>
      <w:rFonts w:ascii="Times New Roman" w:hAnsi="Times New Roman"/>
      <w:szCs w:val="24"/>
    </w:rPr>
  </w:style>
  <w:style w:type="character" w:customStyle="1" w:styleId="25">
    <w:name w:val="正文文本 Char"/>
    <w:link w:val="2"/>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paragraph" w:customStyle="1" w:styleId="28">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9">
    <w:name w:val="批注框文本 Char"/>
    <w:basedOn w:val="14"/>
    <w:link w:val="8"/>
    <w:semiHidden/>
    <w:qFormat/>
    <w:uiPriority w:val="99"/>
    <w:rPr>
      <w:rFonts w:ascii="Times New Roman" w:hAnsi="Times New Roman"/>
      <w:kern w:val="2"/>
      <w:sz w:val="18"/>
      <w:szCs w:val="18"/>
    </w:rPr>
  </w:style>
  <w:style w:type="paragraph" w:customStyle="1" w:styleId="30">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1">
    <w:name w:val="WPSOffice手动目录 1"/>
    <w:qFormat/>
    <w:uiPriority w:val="0"/>
    <w:pPr>
      <w:ind w:leftChars="0"/>
    </w:pPr>
    <w:rPr>
      <w:rFonts w:asciiTheme="minorHAnsi" w:hAnsiTheme="minorHAnsi" w:eastAsiaTheme="minorEastAsia" w:cstheme="minorBidi"/>
      <w:sz w:val="20"/>
      <w:szCs w:val="20"/>
    </w:rPr>
  </w:style>
  <w:style w:type="paragraph" w:customStyle="1" w:styleId="32">
    <w:name w:val="WPSOffice手动目录 2"/>
    <w:qFormat/>
    <w:uiPriority w:val="0"/>
    <w:pPr>
      <w:ind w:leftChars="200"/>
    </w:pPr>
    <w:rPr>
      <w:rFonts w:asciiTheme="minorHAnsi" w:hAnsiTheme="minorHAnsi" w:eastAsiaTheme="minorEastAsia" w:cstheme="minorBidi"/>
      <w:sz w:val="20"/>
      <w:szCs w:val="20"/>
    </w:rPr>
  </w:style>
  <w:style w:type="paragraph" w:customStyle="1" w:styleId="33">
    <w:name w:val="WPSOffice手动目录 3"/>
    <w:qFormat/>
    <w:uiPriority w:val="0"/>
    <w:pPr>
      <w:ind w:leftChars="40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E:\2025&#24180;\&#36130;&#21153;&#31185;\2024&#24180;&#24230;&#24191;&#20803;&#24066;&#33258;&#28982;&#36164;&#28304;&#23616;&#65288;&#37096;&#38376;&#65289;&#20915;&#31639;&#20844;&#24320;&#32534;&#21046;&#35828;&#26126;%20%20%20&#26609;&#29366;&#22270;&#12289;&#39292;&#29366;&#22270;.xlsx" TargetMode="External"/></Relationships>
</file>

<file path=word/charts/_rels/chart2.xml.rels><?xml version="1.0" encoding="UTF-8" standalone="yes"?>
<Relationships xmlns="http://schemas.openxmlformats.org/package/2006/relationships"><Relationship Id="rId4" Type="http://schemas.microsoft.com/office/2011/relationships/chartColorStyle" Target="colors2.xml"/><Relationship Id="rId3" Type="http://schemas.microsoft.com/office/2011/relationships/chartStyle" Target="style2.xml"/><Relationship Id="rId2" Type="http://schemas.openxmlformats.org/officeDocument/2006/relationships/themeOverride" Target="../theme/themeOverride1.xml"/><Relationship Id="rId1" Type="http://schemas.openxmlformats.org/officeDocument/2006/relationships/oleObject" Target="file:///E:\2025&#24180;\&#36130;&#21153;&#31185;\2024&#24180;&#24230;&#24191;&#20803;&#24066;&#33258;&#28982;&#36164;&#28304;&#23616;&#65288;&#37096;&#38376;&#65289;&#20915;&#31639;&#20844;&#24320;&#32534;&#21046;&#35828;&#26126;%20%20%20&#26609;&#29366;&#22270;&#12289;&#39292;&#29366;&#22270;.xlsx" TargetMode="External"/></Relationships>
</file>

<file path=word/charts/_rels/chart3.xml.rels><?xml version="1.0" encoding="UTF-8" standalone="yes"?>
<Relationships xmlns="http://schemas.openxmlformats.org/package/2006/relationships"><Relationship Id="rId4" Type="http://schemas.microsoft.com/office/2011/relationships/chartColorStyle" Target="colors3.xml"/><Relationship Id="rId3" Type="http://schemas.microsoft.com/office/2011/relationships/chartStyle" Target="style3.xml"/><Relationship Id="rId2" Type="http://schemas.openxmlformats.org/officeDocument/2006/relationships/themeOverride" Target="../theme/themeOverride2.xml"/><Relationship Id="rId1" Type="http://schemas.openxmlformats.org/officeDocument/2006/relationships/oleObject" Target="file:///E:\2025&#24180;\&#36130;&#21153;&#31185;\2024&#24180;&#24230;&#24191;&#20803;&#24066;&#33258;&#28982;&#36164;&#28304;&#23616;&#65288;&#37096;&#38376;&#65289;&#20915;&#31639;&#20844;&#24320;&#32534;&#21046;&#35828;&#26126;%20%20%20&#26609;&#29366;&#22270;&#12289;&#39292;&#29366;&#22270;.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file:///E:\2025&#24180;\&#36130;&#21153;&#31185;\2024&#24180;&#24230;&#24191;&#20803;&#24066;&#33258;&#28982;&#36164;&#28304;&#23616;&#65288;&#37096;&#38376;&#65289;&#20915;&#31639;&#20844;&#24320;&#32534;&#21046;&#35828;&#26126;%20%20%20&#26609;&#29366;&#22270;&#12289;&#39292;&#29366;&#22270;.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E:\2025&#24180;\&#36130;&#21153;&#31185;\2024&#24180;&#24230;&#24191;&#20803;&#24066;&#33258;&#28982;&#36164;&#28304;&#23616;&#65288;&#37096;&#38376;&#65289;&#20915;&#31639;&#20844;&#24320;&#32534;&#21046;&#35828;&#26126;%20%20%20&#26609;&#29366;&#22270;&#12289;&#39292;&#29366;&#22270;.xlsx" TargetMode="External"/></Relationships>
</file>

<file path=word/charts/_rels/chart6.xml.rels><?xml version="1.0" encoding="UTF-8" standalone="yes"?>
<Relationships xmlns="http://schemas.openxmlformats.org/package/2006/relationships"><Relationship Id="rId4" Type="http://schemas.microsoft.com/office/2011/relationships/chartColorStyle" Target="colors5.xml"/><Relationship Id="rId3" Type="http://schemas.microsoft.com/office/2011/relationships/chartStyle" Target="style5.xml"/><Relationship Id="rId2" Type="http://schemas.openxmlformats.org/officeDocument/2006/relationships/themeOverride" Target="../theme/themeOverride4.xml"/><Relationship Id="rId1" Type="http://schemas.openxmlformats.org/officeDocument/2006/relationships/oleObject" Target="file:///E:\2025&#24180;\&#36130;&#21153;&#31185;\2024&#24180;&#24230;&#24191;&#20803;&#24066;&#33258;&#28982;&#36164;&#28304;&#23616;&#65288;&#37096;&#38376;&#65289;&#20915;&#31639;&#20844;&#24320;&#32534;&#21046;&#35828;&#26126;%20%20%20&#26609;&#29366;&#22270;&#12289;&#39292;&#29366;&#22270;.xlsx" TargetMode="External"/></Relationships>
</file>

<file path=word/charts/_rels/chart7.xml.rels><?xml version="1.0" encoding="UTF-8" standalone="yes"?>
<Relationships xmlns="http://schemas.openxmlformats.org/package/2006/relationships"><Relationship Id="rId4" Type="http://schemas.microsoft.com/office/2011/relationships/chartColorStyle" Target="colors4.xml"/><Relationship Id="rId3" Type="http://schemas.microsoft.com/office/2011/relationships/chartStyle" Target="style4.xml"/><Relationship Id="rId2" Type="http://schemas.openxmlformats.org/officeDocument/2006/relationships/themeOverride" Target="../theme/themeOverride3.xml"/><Relationship Id="rId1" Type="http://schemas.openxmlformats.org/officeDocument/2006/relationships/oleObject" Target="file:///E:\2025&#24180;\&#36130;&#21153;&#31185;\2024&#24180;&#24230;&#24191;&#20803;&#24066;&#33258;&#28982;&#36164;&#28304;&#23616;&#65288;&#37096;&#38376;&#65289;&#20915;&#31639;&#20844;&#24320;&#32534;&#21046;&#35828;&#26126;%20%20%20&#26609;&#29366;&#22270;&#12289;&#39292;&#29366;&#2227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收、支决算总计变动情况图（单位：万元）</a:t>
            </a:r>
          </a:p>
        </c:rich>
      </c:tx>
      <c:layout/>
      <c:overlay val="false"/>
      <c:spPr>
        <a:noFill/>
        <a:ln>
          <a:noFill/>
        </a:ln>
        <a:effectLst/>
      </c:spPr>
    </c:title>
    <c:autoTitleDeleted val="false"/>
    <c:plotArea>
      <c:layout/>
      <c:barChart>
        <c:barDir val="col"/>
        <c:grouping val="clustered"/>
        <c:varyColors val="false"/>
        <c:ser>
          <c:idx val="0"/>
          <c:order val="0"/>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'[2024年度广元市自然资源局（部门）决算公开编制说明   柱状图、饼状图.xlsx]Sheet1'!$A$2:$B$2</c:f>
              <c:strCache>
                <c:ptCount val="2"/>
                <c:pt idx="0">
                  <c:v>2023年度收、支总计</c:v>
                </c:pt>
                <c:pt idx="1">
                  <c:v>2024年度收、支总计</c:v>
                </c:pt>
              </c:strCache>
            </c:strRef>
          </c:cat>
          <c:val>
            <c:numRef>
              <c:f>'[2024年度广元市自然资源局（部门）决算公开编制说明   柱状图、饼状图.xlsx]Sheet1'!$A$3:$B$3</c:f>
              <c:numCache>
                <c:formatCode>General</c:formatCode>
                <c:ptCount val="2"/>
                <c:pt idx="0">
                  <c:v>9934.05</c:v>
                </c:pt>
                <c:pt idx="1">
                  <c:v>13466.24</c:v>
                </c:pt>
              </c:numCache>
            </c:numRef>
          </c:val>
        </c:ser>
        <c:dLbls>
          <c:showLegendKey val="false"/>
          <c:showVal val="true"/>
          <c:showCatName val="false"/>
          <c:showSerName val="false"/>
          <c:showPercent val="false"/>
          <c:showBubbleSize val="false"/>
        </c:dLbls>
        <c:gapWidth val="246"/>
        <c:overlap val="-28"/>
        <c:axId val="170006564"/>
        <c:axId val="984520807"/>
      </c:barChart>
      <c:catAx>
        <c:axId val="170006564"/>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84520807"/>
        <c:crosses val="autoZero"/>
        <c:auto val="true"/>
        <c:lblAlgn val="ctr"/>
        <c:lblOffset val="100"/>
        <c:noMultiLvlLbl val="false"/>
      </c:catAx>
      <c:valAx>
        <c:axId val="984520807"/>
        <c:scaling>
          <c:orientation val="minMax"/>
        </c:scaling>
        <c:delete val="false"/>
        <c:axPos val="l"/>
        <c:majorGridlines>
          <c:spPr>
            <a:ln w="9525" cap="flat" cmpd="sng" algn="ctr">
              <a:solidFill>
                <a:schemeClr val="lt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70006564"/>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true" forceAA="false"/>
          <a:lstStyle/>
          <a:p>
            <a:pPr>
              <a:defRPr lang="zh-CN" sz="1400" b="0" i="0" u="none" strike="noStrike" kern="1200" spc="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r>
              <a:t>收入决算结构图</a:t>
            </a:r>
          </a:p>
        </c:rich>
      </c:tx>
      <c:layout/>
      <c:overlay val="false"/>
      <c:spPr>
        <a:noFill/>
        <a:ln>
          <a:noFill/>
        </a:ln>
        <a:effectLst/>
      </c:spPr>
    </c:title>
    <c:autoTitleDeleted val="false"/>
    <c:plotArea>
      <c:layout/>
      <c:pieChart>
        <c:varyColors val="true"/>
        <c:ser>
          <c:idx val="0"/>
          <c:order val="0"/>
          <c:spPr>
            <a:ln w="19050">
              <a:solidFill>
                <a:schemeClr val="bg1"/>
              </a:solidFill>
            </a:ln>
            <a:effectLst>
              <a:outerShdw blurRad="63500" sx="102000" sy="102000" algn="ctr" rotWithShape="0">
                <a:schemeClr val="accent1">
                  <a:lumMod val="75000"/>
                  <a:alpha val="40000"/>
                </a:schemeClr>
              </a:outerShdw>
            </a:effectLst>
          </c:spPr>
          <c:explosion val="0"/>
          <c:dPt>
            <c:idx val="0"/>
            <c:bubble3D val="false"/>
            <c:explosion val="10"/>
            <c:spPr>
              <a:solidFill>
                <a:schemeClr val="accent1"/>
              </a:solidFill>
              <a:ln w="19050">
                <a:solidFill>
                  <a:schemeClr val="bg1"/>
                </a:solidFill>
              </a:ln>
              <a:effectLst>
                <a:outerShdw blurRad="63500" sx="102000" sy="102000" algn="ctr" rotWithShape="0">
                  <a:schemeClr val="accent1">
                    <a:lumMod val="75000"/>
                    <a:alpha val="40000"/>
                  </a:schemeClr>
                </a:outerShdw>
              </a:effectLst>
            </c:spPr>
          </c:dPt>
          <c:dPt>
            <c:idx val="1"/>
            <c:bubble3D val="false"/>
            <c:spPr>
              <a:solidFill>
                <a:schemeClr val="accent2"/>
              </a:solidFill>
              <a:ln w="19050">
                <a:solidFill>
                  <a:schemeClr val="bg1"/>
                </a:solidFill>
              </a:ln>
              <a:effectLst>
                <a:outerShdw blurRad="63500" sx="102000" sy="102000" algn="ctr" rotWithShape="0">
                  <a:schemeClr val="accent2">
                    <a:lumMod val="75000"/>
                    <a:alpha val="40000"/>
                  </a:schemeClr>
                </a:outerShdw>
              </a:effectLst>
            </c:spPr>
          </c:dPt>
          <c:dLbls>
            <c:dLbl>
              <c:idx val="0"/>
              <c:layout>
                <c:manualLayout>
                  <c:x val="0"/>
                  <c:y val="-0.00483648088438508"/>
                </c:manualLayout>
              </c:layout>
              <c:tx>
                <c:rich>
                  <a:bodyPr rot="0" spcFirstLastPara="0" vertOverflow="clip" horzOverflow="clip" vert="horz" wrap="square" lIns="36576" tIns="18288" rIns="36576" bIns="18288" anchor="ctr" anchorCtr="true" forceAA="false">
                    <a:spAutoFit/>
                  </a:bodyPr>
                  <a:lstStyle/>
                  <a:p>
                    <a:pPr defTabSz="914400">
                      <a:defRPr lang="zh-CN" sz="900" b="1" i="0" u="none" strike="noStrike" kern="1200" baseline="0">
                        <a:solidFill>
                          <a:schemeClr val="accent1"/>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r>
                      <a:t>17</a:t>
                    </a:r>
                    <a:r>
                      <a:rPr lang="en-US" altLang="zh-CN"/>
                      <a:t>.37</a:t>
                    </a:r>
                    <a:r>
                      <a:t>%</a:t>
                    </a:r>
                  </a:p>
                </c:rich>
              </c:tx>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dLbl>
              <c:idx val="1"/>
              <c:layout/>
              <c:tx>
                <c:rich>
                  <a:bodyPr rot="0" spcFirstLastPara="0" vertOverflow="clip" horzOverflow="clip" vert="horz" wrap="square" lIns="36576" tIns="18288" rIns="36576" bIns="18288" anchor="ctr" anchorCtr="true" forceAA="false">
                    <a:spAutoFit/>
                  </a:bodyPr>
                  <a:lstStyle/>
                  <a:p>
                    <a:pPr defTabSz="914400">
                      <a:defRPr lang="zh-CN" sz="900" b="1" i="0" u="none" strike="noStrike" kern="1200" baseline="0">
                        <a:solidFill>
                          <a:schemeClr val="accent2"/>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r>
                      <a:t>8</a:t>
                    </a:r>
                    <a:r>
                      <a:rPr lang="en-US" altLang="zh-CN"/>
                      <a:t>2.63</a:t>
                    </a:r>
                    <a:r>
                      <a:t>%</a:t>
                    </a:r>
                  </a:p>
                </c:rich>
              </c:tx>
              <c:numFmt formatCode="General" sourceLinked="true"/>
              <c:spPr>
                <a:noFill/>
                <a:ln w="12700">
                  <a:solidFill>
                    <a:schemeClr val="accent2"/>
                  </a:solidFill>
                </a:ln>
                <a:effectLst/>
              </c:spPr>
              <c:txPr>
                <a:bodyPr rot="0" spcFirstLastPara="0" vertOverflow="clip" horzOverflow="clip" vert="horz" wrap="square" lIns="36576" tIns="18288" rIns="36576" bIns="18288" anchor="ctr" anchorCtr="true" forceAA="false">
                  <a:spAutoFit/>
                </a:bodyPr>
                <a:lstStyle/>
                <a:p>
                  <a:pPr>
                    <a:defRPr lang="zh-CN" sz="900" b="1" i="0" u="none" strike="noStrike" kern="1200" baseline="0">
                      <a:solidFill>
                        <a:schemeClr val="accent2"/>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outEnd"/>
              <c:showLegendKey val="false"/>
              <c:showVal val="false"/>
              <c:showCatName val="false"/>
              <c:showSerName val="false"/>
              <c:showPercent val="true"/>
              <c:showBubbleSize val="false"/>
              <c:extLst>
                <c:ext xmlns:c15="http://schemas.microsoft.com/office/drawing/2012/chart" uri="{CE6537A1-D6FC-4f65-9D91-7224C49458BB}"/>
              </c:extLst>
            </c:dLbl>
            <c:numFmt formatCode="General" sourceLinked="true"/>
            <c:spPr>
              <a:noFill/>
              <a:ln w="12700">
                <a:solidFill>
                  <a:schemeClr val="accent1"/>
                </a:solidFill>
              </a:ln>
              <a:effectLst/>
            </c:spPr>
            <c:txPr>
              <a:bodyPr rot="0" spcFirstLastPara="0" vertOverflow="clip" horzOverflow="clip" vert="horz" wrap="square" lIns="36576" tIns="18288" rIns="36576" bIns="18288" anchor="ctr" anchorCtr="true" forceAA="false">
                <a:spAutoFit/>
              </a:bodyPr>
              <a:lstStyle/>
              <a:p>
                <a:pPr>
                  <a:defRPr lang="zh-CN" sz="900" b="1" i="0" u="none" strike="noStrike" kern="1200" baseline="0">
                    <a:solidFill>
                      <a:schemeClr val="accent1"/>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outEnd"/>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'[2024年度广元市自然资源局（部门）决算公开编制说明   柱状图、饼状图.xlsx]Sheet1'!$A$11:$A$12</c:f>
              <c:strCache>
                <c:ptCount val="2"/>
                <c:pt idx="0">
                  <c:v>一般公共预算财政拨款收入2338.43万元</c:v>
                </c:pt>
                <c:pt idx="1">
                  <c:v>政府性基金预算财政拨款收入11127.8万元</c:v>
                </c:pt>
              </c:strCache>
            </c:strRef>
          </c:cat>
          <c:val>
            <c:numRef>
              <c:f>'[2024年度广元市自然资源局（部门）决算公开编制说明   柱状图、饼状图.xlsx]Sheet1'!$B$11:$B$12</c:f>
              <c:numCache>
                <c:formatCode>0.00%</c:formatCode>
                <c:ptCount val="2"/>
                <c:pt idx="0">
                  <c:v>0.1737</c:v>
                </c:pt>
                <c:pt idx="1">
                  <c:v>0.8263</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r"/>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legend>
    <c:plotVisOnly val="true"/>
    <c:dispBlanksAs val="gap"/>
    <c:showDLblsOverMax val="false"/>
  </c:chart>
  <c:spPr>
    <a:solidFill>
      <a:schemeClr val="bg1"/>
    </a:solidFill>
    <a:ln w="6350" cap="flat" cmpd="sng" algn="ctr">
      <a:solidFill>
        <a:schemeClr val="tx1">
          <a:lumMod val="50000"/>
          <a:lumOff val="50000"/>
          <a:alpha val="25000"/>
        </a:schemeClr>
      </a:solidFill>
      <a:round/>
    </a:ln>
    <a:effectLst/>
  </c:spPr>
  <c:txPr>
    <a:bodyPr/>
    <a:lstStyle/>
    <a:p>
      <a:pPr>
        <a:defRPr lang="zh-CN" sz="90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true" forceAA="false"/>
          <a:lstStyle/>
          <a:p>
            <a:pPr>
              <a:defRPr lang="zh-CN" sz="1400" b="0" i="0" u="none" strike="noStrike" kern="1200" spc="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r>
              <a:t>支出决算结构图</a:t>
            </a:r>
          </a:p>
        </c:rich>
      </c:tx>
      <c:layout/>
      <c:overlay val="false"/>
      <c:spPr>
        <a:noFill/>
        <a:ln>
          <a:noFill/>
        </a:ln>
        <a:effectLst/>
      </c:spPr>
    </c:title>
    <c:autoTitleDeleted val="false"/>
    <c:plotArea>
      <c:layout/>
      <c:pieChart>
        <c:varyColors val="true"/>
        <c:ser>
          <c:idx val="0"/>
          <c:order val="0"/>
          <c:spPr>
            <a:ln w="19050">
              <a:solidFill>
                <a:schemeClr val="bg1"/>
              </a:solidFill>
            </a:ln>
            <a:effectLst>
              <a:outerShdw blurRad="63500" sx="102000" sy="102000" algn="ctr" rotWithShape="0">
                <a:schemeClr val="accent1">
                  <a:lumMod val="75000"/>
                  <a:alpha val="40000"/>
                </a:schemeClr>
              </a:outerShdw>
            </a:effectLst>
          </c:spPr>
          <c:explosion val="0"/>
          <c:dPt>
            <c:idx val="0"/>
            <c:bubble3D val="false"/>
            <c:explosion val="10"/>
            <c:spPr>
              <a:solidFill>
                <a:schemeClr val="accent1"/>
              </a:solidFill>
              <a:ln w="19050">
                <a:solidFill>
                  <a:schemeClr val="bg1"/>
                </a:solidFill>
              </a:ln>
              <a:effectLst>
                <a:outerShdw blurRad="63500" sx="102000" sy="102000" algn="ctr" rotWithShape="0">
                  <a:schemeClr val="accent1">
                    <a:lumMod val="75000"/>
                    <a:alpha val="40000"/>
                  </a:schemeClr>
                </a:outerShdw>
              </a:effectLst>
            </c:spPr>
          </c:dPt>
          <c:dPt>
            <c:idx val="1"/>
            <c:bubble3D val="false"/>
            <c:spPr>
              <a:solidFill>
                <a:schemeClr val="accent2"/>
              </a:solidFill>
              <a:ln w="19050">
                <a:solidFill>
                  <a:schemeClr val="bg1"/>
                </a:solidFill>
              </a:ln>
              <a:effectLst>
                <a:outerShdw blurRad="63500" sx="102000" sy="102000" algn="ctr" rotWithShape="0">
                  <a:schemeClr val="accent2">
                    <a:lumMod val="75000"/>
                    <a:alpha val="40000"/>
                  </a:schemeClr>
                </a:outerShdw>
              </a:effectLst>
            </c:spPr>
          </c:dPt>
          <c:dLbls>
            <c:dLbl>
              <c:idx val="1"/>
              <c:layout/>
              <c:numFmt formatCode="General" sourceLinked="true"/>
              <c:spPr>
                <a:noFill/>
                <a:ln w="12700">
                  <a:solidFill>
                    <a:schemeClr val="accent2"/>
                  </a:solidFill>
                </a:ln>
                <a:effectLst/>
              </c:spPr>
              <c:txPr>
                <a:bodyPr rot="0" spcFirstLastPara="0" vertOverflow="clip" horzOverflow="clip" vert="horz" wrap="square" lIns="36576" tIns="18288" rIns="36576" bIns="18288" anchor="ctr" anchorCtr="true" forceAA="false">
                  <a:spAutoFit/>
                </a:bodyPr>
                <a:lstStyle/>
                <a:p>
                  <a:pPr>
                    <a:defRPr lang="zh-CN" sz="900" b="1" i="0" u="none" strike="noStrike" kern="1200" baseline="0">
                      <a:solidFill>
                        <a:schemeClr val="accent2"/>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outEnd"/>
              <c:showLegendKey val="false"/>
              <c:showVal val="true"/>
              <c:showCatName val="false"/>
              <c:showSerName val="false"/>
              <c:showPercent val="false"/>
              <c:showBubbleSize val="false"/>
              <c:extLst>
                <c:ext xmlns:c15="http://schemas.microsoft.com/office/drawing/2012/chart" uri="{CE6537A1-D6FC-4f65-9D91-7224C49458BB}"/>
              </c:extLst>
            </c:dLbl>
            <c:numFmt formatCode="General" sourceLinked="true"/>
            <c:spPr>
              <a:noFill/>
              <a:ln w="12700">
                <a:solidFill>
                  <a:schemeClr val="accent1"/>
                </a:solidFill>
              </a:ln>
              <a:effectLst/>
            </c:spPr>
            <c:txPr>
              <a:bodyPr rot="0" spcFirstLastPara="0" vertOverflow="clip" horzOverflow="clip" vert="horz" wrap="square" lIns="36576" tIns="18288" rIns="36576" bIns="18288" anchor="ctr" anchorCtr="true" forceAA="false">
                <a:spAutoFit/>
              </a:bodyPr>
              <a:lstStyle/>
              <a:p>
                <a:pPr>
                  <a:defRPr lang="zh-CN" sz="900" b="1" i="0" u="none" strike="noStrike" kern="1200" baseline="0">
                    <a:solidFill>
                      <a:schemeClr val="accent1"/>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outEnd"/>
            <c:showLegendKey val="false"/>
            <c:showVal val="true"/>
            <c:showCatName val="false"/>
            <c:showSerName val="false"/>
            <c:showPercent val="false"/>
            <c:showBubbleSize val="false"/>
            <c:showLeaderLines val="true"/>
            <c:extLst>
              <c:ext xmlns:c15="http://schemas.microsoft.com/office/drawing/2012/chart" uri="{CE6537A1-D6FC-4f65-9D91-7224C49458BB}">
                <c15:spPr xmlns:c15="http://schemas.microsoft.com/office/drawing/2012/chart">
                  <a:prstGeom prst="roundRect">
                    <a:avLst/>
                  </a:prstGeom>
                  <a:noFill/>
                  <a:ln>
                    <a:noFill/>
                  </a:ln>
                </c15:spPr>
                <c15:layout/>
                <c15:showLeaderLines val="true"/>
                <c15:leaderLines>
                  <c:spPr>
                    <a:ln w="9525" cap="flat" cmpd="sng" algn="ctr">
                      <a:solidFill>
                        <a:schemeClr val="tx1">
                          <a:lumMod val="35000"/>
                          <a:lumOff val="65000"/>
                        </a:schemeClr>
                      </a:solidFill>
                      <a:round/>
                    </a:ln>
                    <a:effectLst/>
                  </c:spPr>
                </c15:leaderLines>
              </c:ext>
            </c:extLst>
          </c:dLbls>
          <c:cat>
            <c:strRef>
              <c:f>'[2024年度广元市自然资源局（部门）决算公开编制说明   柱状图、饼状图.xlsx]Sheet1'!$A$18:$A$19</c:f>
              <c:strCache>
                <c:ptCount val="2"/>
                <c:pt idx="0">
                  <c:v>基本支出1742.07万元</c:v>
                </c:pt>
                <c:pt idx="1">
                  <c:v>项目支出11724.17万元</c:v>
                </c:pt>
              </c:strCache>
            </c:strRef>
          </c:cat>
          <c:val>
            <c:numRef>
              <c:f>'[2024年度广元市自然资源局（部门）决算公开编制说明   柱状图、饼状图.xlsx]Sheet1'!$B$18:$B$19</c:f>
              <c:numCache>
                <c:formatCode>General</c:formatCode>
                <c:ptCount val="2"/>
                <c:pt idx="0">
                  <c:v>12.93</c:v>
                </c:pt>
                <c:pt idx="1" c:formatCode="0.00%">
                  <c:v>0.8706</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r"/>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legend>
    <c:plotVisOnly val="true"/>
    <c:dispBlanksAs val="gap"/>
    <c:showDLblsOverMax val="false"/>
  </c:chart>
  <c:spPr>
    <a:solidFill>
      <a:schemeClr val="bg1"/>
    </a:solidFill>
    <a:ln w="6350" cap="flat" cmpd="sng" algn="ctr">
      <a:solidFill>
        <a:schemeClr val="tx1">
          <a:lumMod val="50000"/>
          <a:lumOff val="50000"/>
          <a:alpha val="25000"/>
        </a:schemeClr>
      </a:solidFill>
      <a:round/>
    </a:ln>
    <a:effectLst/>
  </c:spPr>
  <c:txPr>
    <a:bodyPr/>
    <a:lstStyle/>
    <a:p>
      <a:pPr>
        <a:defRPr lang="zh-CN" sz="90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财政拨款收、支决算总计变动情况（单位：万元）</a:t>
            </a:r>
          </a:p>
        </c:rich>
      </c:tx>
      <c:layout/>
      <c:overlay val="false"/>
      <c:spPr>
        <a:noFill/>
        <a:ln>
          <a:noFill/>
        </a:ln>
        <a:effectLst/>
      </c:spPr>
    </c:title>
    <c:autoTitleDeleted val="false"/>
    <c:plotArea>
      <c:layout/>
      <c:barChart>
        <c:barDir val="col"/>
        <c:grouping val="clustered"/>
        <c:varyColors val="false"/>
        <c:ser>
          <c:idx val="0"/>
          <c:order val="0"/>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'[2024年度广元市自然资源局（部门）决算公开编制说明   柱状图、饼状图.xlsx]Sheet1'!$A$23:$B$23</c:f>
              <c:strCache>
                <c:ptCount val="2"/>
                <c:pt idx="0">
                  <c:v>2023年财政拨款收、支总计</c:v>
                </c:pt>
                <c:pt idx="1">
                  <c:v>2024年财政拨款收、支总计</c:v>
                </c:pt>
              </c:strCache>
            </c:strRef>
          </c:cat>
          <c:val>
            <c:numRef>
              <c:f>'[2024年度广元市自然资源局（部门）决算公开编制说明   柱状图、饼状图.xlsx]Sheet1'!$A$24:$B$24</c:f>
              <c:numCache>
                <c:formatCode>General</c:formatCode>
                <c:ptCount val="2"/>
                <c:pt idx="0">
                  <c:v>9934.05</c:v>
                </c:pt>
                <c:pt idx="1">
                  <c:v>13466.24</c:v>
                </c:pt>
              </c:numCache>
            </c:numRef>
          </c:val>
        </c:ser>
        <c:dLbls>
          <c:showLegendKey val="false"/>
          <c:showVal val="true"/>
          <c:showCatName val="false"/>
          <c:showSerName val="false"/>
          <c:showPercent val="false"/>
          <c:showBubbleSize val="false"/>
        </c:dLbls>
        <c:gapWidth val="246"/>
        <c:overlap val="-28"/>
        <c:axId val="531048031"/>
        <c:axId val="966467090"/>
      </c:barChart>
      <c:catAx>
        <c:axId val="531048031"/>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66467090"/>
        <c:crosses val="autoZero"/>
        <c:auto val="true"/>
        <c:lblAlgn val="ctr"/>
        <c:lblOffset val="100"/>
        <c:noMultiLvlLbl val="false"/>
      </c:catAx>
      <c:valAx>
        <c:axId val="966467090"/>
        <c:scaling>
          <c:orientation val="minMax"/>
        </c:scaling>
        <c:delete val="false"/>
        <c:axPos val="l"/>
        <c:majorGridlines>
          <c:spPr>
            <a:ln w="9525" cap="flat" cmpd="sng" algn="ctr">
              <a:solidFill>
                <a:schemeClr val="lt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531048031"/>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一般公共预算财政拨款支出决算变动情况（单位：万元）</a:t>
            </a:r>
          </a:p>
          <a:p>
            <a:pPr defTabSz="914400">
              <a:defRPr lang="zh-CN" sz="1400" b="1" i="0" u="none" strike="noStrike" kern="1200" baseline="0">
                <a:solidFill>
                  <a:schemeClr val="tx1">
                    <a:lumMod val="75000"/>
                    <a:lumOff val="25000"/>
                  </a:schemeClr>
                </a:solidFill>
                <a:latin typeface="+mn-lt"/>
                <a:ea typeface="+mn-ea"/>
                <a:cs typeface="+mn-cs"/>
              </a:defRPr>
            </a:pPr>
          </a:p>
        </c:rich>
      </c:tx>
      <c:layout/>
      <c:overlay val="false"/>
      <c:spPr>
        <a:noFill/>
        <a:ln>
          <a:noFill/>
        </a:ln>
        <a:effectLst/>
      </c:spPr>
    </c:title>
    <c:autoTitleDeleted val="false"/>
    <c:plotArea>
      <c:layout/>
      <c:barChart>
        <c:barDir val="col"/>
        <c:grouping val="clustered"/>
        <c:varyColors val="false"/>
        <c:ser>
          <c:idx val="0"/>
          <c:order val="0"/>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'[2024年度广元市自然资源局（部门）决算公开编制说明   柱状图、饼状图.xlsx]Sheet1'!$A$27:$B$27</c:f>
              <c:strCache>
                <c:ptCount val="2"/>
                <c:pt idx="0">
                  <c:v>2023年一般公共预算财政拨款支出</c:v>
                </c:pt>
                <c:pt idx="1">
                  <c:v>2024年一般公共预算财政拨款支出</c:v>
                </c:pt>
              </c:strCache>
            </c:strRef>
          </c:cat>
          <c:val>
            <c:numRef>
              <c:f>'[2024年度广元市自然资源局（部门）决算公开编制说明   柱状图、饼状图.xlsx]Sheet1'!$A$28:$B$28</c:f>
              <c:numCache>
                <c:formatCode>General</c:formatCode>
                <c:ptCount val="2"/>
                <c:pt idx="0">
                  <c:v>2211.99</c:v>
                </c:pt>
                <c:pt idx="1">
                  <c:v>2338.43</c:v>
                </c:pt>
              </c:numCache>
            </c:numRef>
          </c:val>
        </c:ser>
        <c:dLbls>
          <c:showLegendKey val="false"/>
          <c:showVal val="true"/>
          <c:showCatName val="false"/>
          <c:showSerName val="false"/>
          <c:showPercent val="false"/>
          <c:showBubbleSize val="false"/>
        </c:dLbls>
        <c:gapWidth val="246"/>
        <c:overlap val="-28"/>
        <c:axId val="804204160"/>
        <c:axId val="567046421"/>
      </c:barChart>
      <c:catAx>
        <c:axId val="804204160"/>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567046421"/>
        <c:crosses val="autoZero"/>
        <c:auto val="true"/>
        <c:lblAlgn val="ctr"/>
        <c:lblOffset val="100"/>
        <c:noMultiLvlLbl val="false"/>
      </c:catAx>
      <c:valAx>
        <c:axId val="567046421"/>
        <c:scaling>
          <c:orientation val="minMax"/>
        </c:scaling>
        <c:delete val="false"/>
        <c:axPos val="l"/>
        <c:majorGridlines>
          <c:spPr>
            <a:ln w="9525" cap="flat" cmpd="sng" algn="ctr">
              <a:solidFill>
                <a:schemeClr val="lt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804204160"/>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true" forceAA="false"/>
          <a:lstStyle/>
          <a:p>
            <a:pPr>
              <a:defRPr lang="zh-CN" sz="1400" b="0" i="0" u="none" strike="noStrike" kern="1200" spc="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r>
              <a:t>一般公共预算财政拨款支出决算结构</a:t>
            </a:r>
          </a:p>
        </c:rich>
      </c:tx>
      <c:layout/>
      <c:overlay val="false"/>
      <c:spPr>
        <a:noFill/>
        <a:ln>
          <a:noFill/>
        </a:ln>
        <a:effectLst/>
      </c:spPr>
    </c:title>
    <c:autoTitleDeleted val="false"/>
    <c:plotArea>
      <c:layout/>
      <c:pieChart>
        <c:varyColors val="true"/>
        <c:ser>
          <c:idx val="0"/>
          <c:order val="0"/>
          <c:spPr>
            <a:ln w="19050">
              <a:solidFill>
                <a:schemeClr val="bg1"/>
              </a:solidFill>
            </a:ln>
            <a:effectLst>
              <a:outerShdw blurRad="63500" sx="102000" sy="102000" algn="ctr" rotWithShape="0">
                <a:schemeClr val="accent1">
                  <a:lumMod val="75000"/>
                  <a:alpha val="40000"/>
                </a:schemeClr>
              </a:outerShdw>
            </a:effectLst>
          </c:spPr>
          <c:explosion val="0"/>
          <c:dPt>
            <c:idx val="0"/>
            <c:bubble3D val="false"/>
            <c:explosion val="10"/>
            <c:spPr>
              <a:solidFill>
                <a:schemeClr val="accent1"/>
              </a:solidFill>
              <a:ln w="19050">
                <a:solidFill>
                  <a:schemeClr val="bg1"/>
                </a:solidFill>
              </a:ln>
              <a:effectLst>
                <a:outerShdw blurRad="63500" sx="102000" sy="102000" algn="ctr" rotWithShape="0">
                  <a:schemeClr val="accent1">
                    <a:lumMod val="75000"/>
                    <a:alpha val="40000"/>
                  </a:schemeClr>
                </a:outerShdw>
              </a:effectLst>
            </c:spPr>
          </c:dPt>
          <c:dPt>
            <c:idx val="1"/>
            <c:bubble3D val="false"/>
            <c:spPr>
              <a:solidFill>
                <a:schemeClr val="accent2"/>
              </a:solidFill>
              <a:ln w="19050">
                <a:solidFill>
                  <a:schemeClr val="bg1"/>
                </a:solidFill>
              </a:ln>
              <a:effectLst>
                <a:outerShdw blurRad="63500" sx="102000" sy="102000" algn="ctr" rotWithShape="0">
                  <a:schemeClr val="accent2">
                    <a:lumMod val="75000"/>
                    <a:alpha val="40000"/>
                  </a:schemeClr>
                </a:outerShdw>
              </a:effectLst>
            </c:spPr>
          </c:dPt>
          <c:dPt>
            <c:idx val="2"/>
            <c:bubble3D val="false"/>
            <c:spPr>
              <a:solidFill>
                <a:schemeClr val="accent3"/>
              </a:solidFill>
              <a:ln w="19050">
                <a:solidFill>
                  <a:schemeClr val="bg1"/>
                </a:solidFill>
              </a:ln>
              <a:effectLst>
                <a:outerShdw blurRad="63500" sx="102000" sy="102000" algn="ctr" rotWithShape="0">
                  <a:schemeClr val="accent3">
                    <a:lumMod val="75000"/>
                    <a:alpha val="40000"/>
                  </a:schemeClr>
                </a:outerShdw>
              </a:effectLst>
            </c:spPr>
          </c:dPt>
          <c:dPt>
            <c:idx val="3"/>
            <c:bubble3D val="false"/>
            <c:spPr>
              <a:solidFill>
                <a:schemeClr val="accent4"/>
              </a:solidFill>
              <a:ln w="19050">
                <a:solidFill>
                  <a:schemeClr val="bg1"/>
                </a:solidFill>
              </a:ln>
              <a:effectLst>
                <a:outerShdw blurRad="63500" sx="102000" sy="102000" algn="ctr" rotWithShape="0">
                  <a:schemeClr val="accent4">
                    <a:lumMod val="75000"/>
                    <a:alpha val="40000"/>
                  </a:schemeClr>
                </a:outerShdw>
              </a:effectLst>
            </c:spPr>
          </c:dPt>
          <c:dPt>
            <c:idx val="4"/>
            <c:bubble3D val="false"/>
            <c:spPr>
              <a:solidFill>
                <a:schemeClr val="accent5"/>
              </a:solidFill>
              <a:ln w="19050">
                <a:solidFill>
                  <a:schemeClr val="bg1"/>
                </a:solidFill>
              </a:ln>
              <a:effectLst>
                <a:outerShdw blurRad="63500" sx="102000" sy="102000" algn="ctr" rotWithShape="0">
                  <a:schemeClr val="accent5">
                    <a:lumMod val="75000"/>
                    <a:alpha val="40000"/>
                  </a:schemeClr>
                </a:outerShdw>
              </a:effectLst>
            </c:spPr>
          </c:dPt>
          <c:dLbls>
            <c:dLbl>
              <c:idx val="1"/>
              <c:layout/>
              <c:numFmt formatCode="General" sourceLinked="true"/>
              <c:spPr>
                <a:noFill/>
                <a:ln w="12700">
                  <a:solidFill>
                    <a:schemeClr val="accent2"/>
                  </a:solidFill>
                </a:ln>
                <a:effectLst/>
              </c:spPr>
              <c:txPr>
                <a:bodyPr rot="0" spcFirstLastPara="0" vertOverflow="clip" horzOverflow="clip" vert="horz" wrap="square" lIns="36576" tIns="18288" rIns="36576" bIns="18288" anchor="ctr" anchorCtr="true" forceAA="false">
                  <a:spAutoFit/>
                </a:bodyPr>
                <a:lstStyle/>
                <a:p>
                  <a:pPr>
                    <a:defRPr lang="zh-CN" sz="900" b="1" i="0" u="none" strike="noStrike" kern="1200" baseline="0">
                      <a:solidFill>
                        <a:schemeClr val="accent2"/>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outEnd"/>
              <c:showLegendKey val="false"/>
              <c:showVal val="true"/>
              <c:showCatName val="false"/>
              <c:showSerName val="false"/>
              <c:showPercent val="false"/>
              <c:showBubbleSize val="false"/>
              <c:extLst>
                <c:ext xmlns:c15="http://schemas.microsoft.com/office/drawing/2012/chart" uri="{CE6537A1-D6FC-4f65-9D91-7224C49458BB}"/>
              </c:extLst>
            </c:dLbl>
            <c:dLbl>
              <c:idx val="2"/>
              <c:layout>
                <c:manualLayout>
                  <c:x val="0.0253813782219884"/>
                  <c:y val="0.0575489282385834"/>
                </c:manualLayout>
              </c:layout>
              <c:numFmt formatCode="General" sourceLinked="true"/>
              <c:spPr>
                <a:noFill/>
                <a:ln w="12700">
                  <a:solidFill>
                    <a:schemeClr val="accent3"/>
                  </a:solidFill>
                </a:ln>
                <a:effectLst/>
              </c:spPr>
              <c:txPr>
                <a:bodyPr rot="0" spcFirstLastPara="0" vertOverflow="clip" horzOverflow="clip" vert="horz" wrap="square" lIns="36576" tIns="18288" rIns="36576" bIns="18288" anchor="ctr" anchorCtr="true" forceAA="false">
                  <a:spAutoFit/>
                </a:bodyPr>
                <a:lstStyle/>
                <a:p>
                  <a:pPr>
                    <a:defRPr lang="zh-CN" sz="900" b="1" i="0" u="none" strike="noStrike" kern="1200" baseline="0">
                      <a:solidFill>
                        <a:schemeClr val="accent3"/>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3"/>
              <c:layout/>
              <c:numFmt formatCode="General" sourceLinked="true"/>
              <c:spPr>
                <a:noFill/>
                <a:ln w="12700">
                  <a:solidFill>
                    <a:schemeClr val="accent4"/>
                  </a:solidFill>
                </a:ln>
                <a:effectLst/>
              </c:spPr>
              <c:txPr>
                <a:bodyPr rot="0" spcFirstLastPara="0" vertOverflow="clip" horzOverflow="clip" vert="horz" wrap="square" lIns="36576" tIns="18288" rIns="36576" bIns="18288" anchor="ctr" anchorCtr="true" forceAA="false">
                  <a:spAutoFit/>
                </a:bodyPr>
                <a:lstStyle/>
                <a:p>
                  <a:pPr>
                    <a:defRPr lang="zh-CN" sz="900" b="1" i="0" u="none" strike="noStrike" kern="1200" baseline="0">
                      <a:solidFill>
                        <a:schemeClr val="accent4"/>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outEnd"/>
              <c:showLegendKey val="false"/>
              <c:showVal val="true"/>
              <c:showCatName val="false"/>
              <c:showSerName val="false"/>
              <c:showPercent val="false"/>
              <c:showBubbleSize val="false"/>
              <c:extLst>
                <c:ext xmlns:c15="http://schemas.microsoft.com/office/drawing/2012/chart" uri="{CE6537A1-D6FC-4f65-9D91-7224C49458BB}"/>
              </c:extLst>
            </c:dLbl>
            <c:dLbl>
              <c:idx val="4"/>
              <c:layout/>
              <c:numFmt formatCode="General" sourceLinked="true"/>
              <c:spPr>
                <a:noFill/>
                <a:ln w="12700">
                  <a:solidFill>
                    <a:schemeClr val="accent5"/>
                  </a:solidFill>
                </a:ln>
                <a:effectLst/>
              </c:spPr>
              <c:txPr>
                <a:bodyPr rot="0" spcFirstLastPara="0" vertOverflow="clip" horzOverflow="clip" vert="horz" wrap="square" lIns="36576" tIns="18288" rIns="36576" bIns="18288" anchor="ctr" anchorCtr="true" forceAA="false">
                  <a:spAutoFit/>
                </a:bodyPr>
                <a:lstStyle/>
                <a:p>
                  <a:pPr>
                    <a:defRPr lang="zh-CN" sz="900" b="1" i="0" u="none" strike="noStrike" kern="1200" baseline="0">
                      <a:solidFill>
                        <a:schemeClr val="accent5"/>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outEnd"/>
              <c:showLegendKey val="false"/>
              <c:showVal val="true"/>
              <c:showCatName val="false"/>
              <c:showSerName val="false"/>
              <c:showPercent val="false"/>
              <c:showBubbleSize val="false"/>
              <c:extLst>
                <c:ext xmlns:c15="http://schemas.microsoft.com/office/drawing/2012/chart" uri="{CE6537A1-D6FC-4f65-9D91-7224C49458BB}"/>
              </c:extLst>
            </c:dLbl>
            <c:numFmt formatCode="General" sourceLinked="true"/>
            <c:spPr>
              <a:noFill/>
              <a:ln w="12700">
                <a:solidFill>
                  <a:schemeClr val="accent1"/>
                </a:solidFill>
              </a:ln>
              <a:effectLst/>
            </c:spPr>
            <c:txPr>
              <a:bodyPr rot="0" spcFirstLastPara="0" vertOverflow="clip" horzOverflow="clip" vert="horz" wrap="square" lIns="36576" tIns="18288" rIns="36576" bIns="18288" anchor="ctr" anchorCtr="true" forceAA="false">
                <a:spAutoFit/>
              </a:bodyPr>
              <a:lstStyle/>
              <a:p>
                <a:pPr>
                  <a:defRPr lang="zh-CN" sz="900" b="1" i="0" u="none" strike="noStrike" kern="1200" baseline="0">
                    <a:solidFill>
                      <a:schemeClr val="accent1"/>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outEnd"/>
            <c:showLegendKey val="false"/>
            <c:showVal val="true"/>
            <c:showCatName val="false"/>
            <c:showSerName val="false"/>
            <c:showPercent val="false"/>
            <c:showBubbleSize val="false"/>
            <c:showLeaderLines val="true"/>
            <c:extLst>
              <c:ext xmlns:c15="http://schemas.microsoft.com/office/drawing/2012/chart" uri="{CE6537A1-D6FC-4f65-9D91-7224C49458BB}">
                <c15:spPr xmlns:c15="http://schemas.microsoft.com/office/drawing/2012/chart">
                  <a:prstGeom prst="roundRect">
                    <a:avLst/>
                  </a:prstGeom>
                  <a:noFill/>
                  <a:ln>
                    <a:noFill/>
                  </a:ln>
                </c15:spPr>
                <c15:layout/>
                <c15:showLeaderLines val="true"/>
                <c15:leaderLines>
                  <c:spPr>
                    <a:ln w="9525" cap="flat" cmpd="sng" algn="ctr">
                      <a:solidFill>
                        <a:schemeClr val="tx1">
                          <a:lumMod val="35000"/>
                          <a:lumOff val="65000"/>
                        </a:schemeClr>
                      </a:solidFill>
                      <a:round/>
                    </a:ln>
                    <a:effectLst/>
                  </c:spPr>
                </c15:leaderLines>
              </c:ext>
            </c:extLst>
          </c:dLbls>
          <c:cat>
            <c:strRef>
              <c:f>'[2024年度广元市自然资源局（部门）决算公开编制说明   柱状图、饼状图.xlsx]Sheet1'!$A$33:$A$37</c:f>
              <c:strCache>
                <c:ptCount val="5"/>
                <c:pt idx="0">
                  <c:v>社会保障和就业支出386.83万元</c:v>
                </c:pt>
                <c:pt idx="1">
                  <c:v>卫生健康支出43.71万元</c:v>
                </c:pt>
                <c:pt idx="2">
                  <c:v>节能环保支出8.24万元</c:v>
                </c:pt>
                <c:pt idx="3">
                  <c:v>自然资源海洋气象等支出1774.49万元</c:v>
                </c:pt>
                <c:pt idx="4">
                  <c:v>住房保障支出125.17万元</c:v>
                </c:pt>
              </c:strCache>
            </c:strRef>
          </c:cat>
          <c:val>
            <c:numRef>
              <c:f>'[2024年度广元市自然资源局（部门）决算公开编制说明   柱状图、饼状图.xlsx]Sheet1'!$B$33:$B$37</c:f>
              <c:numCache>
                <c:formatCode>0.00%</c:formatCode>
                <c:ptCount val="5"/>
                <c:pt idx="0">
                  <c:v>0.1654</c:v>
                </c:pt>
                <c:pt idx="1">
                  <c:v>0.0187</c:v>
                </c:pt>
                <c:pt idx="2">
                  <c:v>0.0035</c:v>
                </c:pt>
                <c:pt idx="3">
                  <c:v>0.7588</c:v>
                </c:pt>
                <c:pt idx="4">
                  <c:v>0.054</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r"/>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legend>
    <c:plotVisOnly val="true"/>
    <c:dispBlanksAs val="gap"/>
    <c:showDLblsOverMax val="false"/>
  </c:chart>
  <c:spPr>
    <a:solidFill>
      <a:schemeClr val="bg1"/>
    </a:solidFill>
    <a:ln w="6350" cap="flat" cmpd="sng" algn="ctr">
      <a:solidFill>
        <a:schemeClr val="tx1">
          <a:lumMod val="50000"/>
          <a:lumOff val="50000"/>
          <a:alpha val="25000"/>
        </a:schemeClr>
      </a:solidFill>
      <a:round/>
    </a:ln>
    <a:effectLst/>
  </c:spPr>
  <c:txPr>
    <a:bodyPr/>
    <a:lstStyle/>
    <a:p>
      <a:pPr>
        <a:defRPr lang="zh-CN" sz="90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true" forceAA="false"/>
          <a:lstStyle/>
          <a:p>
            <a:pPr>
              <a:defRPr lang="zh-CN" sz="1400" b="0" i="0" u="none" strike="noStrike" kern="1200" spc="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r>
              <a:t>“三公”经费财政拨款支出结构</a:t>
            </a:r>
          </a:p>
        </c:rich>
      </c:tx>
      <c:layout>
        <c:manualLayout>
          <c:xMode val="edge"/>
          <c:yMode val="edge"/>
          <c:x val="0.271992110453649"/>
          <c:y val="0.00700280112044818"/>
        </c:manualLayout>
      </c:layout>
      <c:overlay val="false"/>
      <c:spPr>
        <a:noFill/>
        <a:ln>
          <a:noFill/>
        </a:ln>
        <a:effectLst/>
      </c:spPr>
    </c:title>
    <c:autoTitleDeleted val="false"/>
    <c:plotArea>
      <c:layout/>
      <c:pieChart>
        <c:varyColors val="true"/>
        <c:ser>
          <c:idx val="0"/>
          <c:order val="0"/>
          <c:spPr>
            <a:ln w="19050">
              <a:solidFill>
                <a:schemeClr val="bg1"/>
              </a:solidFill>
            </a:ln>
            <a:effectLst>
              <a:outerShdw blurRad="63500" sx="102000" sy="102000" algn="ctr" rotWithShape="0">
                <a:schemeClr val="accent1">
                  <a:lumMod val="75000"/>
                  <a:alpha val="40000"/>
                </a:schemeClr>
              </a:outerShdw>
            </a:effectLst>
          </c:spPr>
          <c:explosion val="0"/>
          <c:dPt>
            <c:idx val="0"/>
            <c:bubble3D val="false"/>
            <c:explosion val="10"/>
            <c:spPr>
              <a:solidFill>
                <a:schemeClr val="accent1"/>
              </a:solidFill>
              <a:ln w="19050">
                <a:solidFill>
                  <a:schemeClr val="bg1"/>
                </a:solidFill>
              </a:ln>
              <a:effectLst>
                <a:outerShdw blurRad="63500" sx="102000" sy="102000" algn="ctr" rotWithShape="0">
                  <a:schemeClr val="accent1">
                    <a:lumMod val="75000"/>
                    <a:alpha val="40000"/>
                  </a:schemeClr>
                </a:outerShdw>
              </a:effectLst>
            </c:spPr>
          </c:dPt>
          <c:dPt>
            <c:idx val="1"/>
            <c:bubble3D val="false"/>
            <c:spPr>
              <a:solidFill>
                <a:schemeClr val="accent2"/>
              </a:solidFill>
              <a:ln w="19050">
                <a:solidFill>
                  <a:schemeClr val="bg1"/>
                </a:solidFill>
              </a:ln>
              <a:effectLst>
                <a:outerShdw blurRad="63500" sx="102000" sy="102000" algn="ctr" rotWithShape="0">
                  <a:schemeClr val="accent2">
                    <a:lumMod val="75000"/>
                    <a:alpha val="40000"/>
                  </a:schemeClr>
                </a:outerShdw>
              </a:effectLst>
            </c:spPr>
          </c:dPt>
          <c:dPt>
            <c:idx val="2"/>
            <c:bubble3D val="false"/>
            <c:spPr>
              <a:solidFill>
                <a:schemeClr val="accent3"/>
              </a:solidFill>
              <a:ln w="19050">
                <a:solidFill>
                  <a:schemeClr val="bg1"/>
                </a:solidFill>
              </a:ln>
              <a:effectLst>
                <a:outerShdw blurRad="63500" sx="102000" sy="102000" algn="ctr" rotWithShape="0">
                  <a:schemeClr val="accent3">
                    <a:lumMod val="75000"/>
                    <a:alpha val="40000"/>
                  </a:schemeClr>
                </a:outerShdw>
              </a:effectLst>
            </c:spPr>
          </c:dPt>
          <c:dLbls>
            <c:dLbl>
              <c:idx val="1"/>
              <c:layout/>
              <c:numFmt formatCode="General" sourceLinked="true"/>
              <c:spPr>
                <a:noFill/>
                <a:ln w="12700">
                  <a:solidFill>
                    <a:schemeClr val="accent2"/>
                  </a:solidFill>
                </a:ln>
                <a:effectLst/>
              </c:spPr>
              <c:txPr>
                <a:bodyPr rot="0" spcFirstLastPara="0" vertOverflow="clip" horzOverflow="clip" vert="horz" wrap="square" lIns="36576" tIns="18288" rIns="36576" bIns="18288" anchor="ctr" anchorCtr="true" forceAA="false">
                  <a:spAutoFit/>
                </a:bodyPr>
                <a:lstStyle/>
                <a:p>
                  <a:pPr>
                    <a:defRPr lang="zh-CN" sz="900" b="1" i="0" u="none" strike="noStrike" kern="1200" baseline="0">
                      <a:solidFill>
                        <a:schemeClr val="accent2"/>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outEnd"/>
              <c:showLegendKey val="false"/>
              <c:showVal val="true"/>
              <c:showCatName val="false"/>
              <c:showSerName val="false"/>
              <c:showPercent val="false"/>
              <c:showBubbleSize val="false"/>
              <c:extLst>
                <c:ext xmlns:c15="http://schemas.microsoft.com/office/drawing/2012/chart" uri="{CE6537A1-D6FC-4f65-9D91-7224C49458BB}"/>
              </c:extLst>
            </c:dLbl>
            <c:dLbl>
              <c:idx val="2"/>
              <c:layout/>
              <c:numFmt formatCode="General" sourceLinked="true"/>
              <c:spPr>
                <a:noFill/>
                <a:ln w="12700">
                  <a:solidFill>
                    <a:schemeClr val="accent3"/>
                  </a:solidFill>
                </a:ln>
                <a:effectLst/>
              </c:spPr>
              <c:txPr>
                <a:bodyPr rot="0" spcFirstLastPara="0" vertOverflow="clip" horzOverflow="clip" vert="horz" wrap="square" lIns="36576" tIns="18288" rIns="36576" bIns="18288" anchor="ctr" anchorCtr="true" forceAA="false">
                  <a:spAutoFit/>
                </a:bodyPr>
                <a:lstStyle/>
                <a:p>
                  <a:pPr>
                    <a:defRPr lang="zh-CN" sz="900" b="1" i="0" u="none" strike="noStrike" kern="1200" baseline="0">
                      <a:solidFill>
                        <a:schemeClr val="accent3"/>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outEnd"/>
              <c:showLegendKey val="false"/>
              <c:showVal val="true"/>
              <c:showCatName val="false"/>
              <c:showSerName val="false"/>
              <c:showPercent val="false"/>
              <c:showBubbleSize val="false"/>
              <c:extLst>
                <c:ext xmlns:c15="http://schemas.microsoft.com/office/drawing/2012/chart" uri="{CE6537A1-D6FC-4f65-9D91-7224C49458BB}"/>
              </c:extLst>
            </c:dLbl>
            <c:numFmt formatCode="General" sourceLinked="true"/>
            <c:spPr>
              <a:noFill/>
              <a:ln w="12700">
                <a:solidFill>
                  <a:schemeClr val="accent1"/>
                </a:solidFill>
              </a:ln>
              <a:effectLst/>
            </c:spPr>
            <c:txPr>
              <a:bodyPr rot="0" spcFirstLastPara="0" vertOverflow="clip" horzOverflow="clip" vert="horz" wrap="square" lIns="36576" tIns="18288" rIns="36576" bIns="18288" anchor="ctr" anchorCtr="true" forceAA="false">
                <a:spAutoFit/>
              </a:bodyPr>
              <a:lstStyle/>
              <a:p>
                <a:pPr>
                  <a:defRPr lang="zh-CN" sz="900" b="1" i="0" u="none" strike="noStrike" kern="1200" baseline="0">
                    <a:solidFill>
                      <a:schemeClr val="accent1"/>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outEnd"/>
            <c:showLegendKey val="false"/>
            <c:showVal val="true"/>
            <c:showCatName val="false"/>
            <c:showSerName val="false"/>
            <c:showPercent val="false"/>
            <c:showBubbleSize val="false"/>
            <c:showLeaderLines val="true"/>
            <c:extLst>
              <c:ext xmlns:c15="http://schemas.microsoft.com/office/drawing/2012/chart" uri="{CE6537A1-D6FC-4f65-9D91-7224C49458BB}">
                <c15:spPr xmlns:c15="http://schemas.microsoft.com/office/drawing/2012/chart">
                  <a:prstGeom prst="roundRect">
                    <a:avLst/>
                  </a:prstGeom>
                  <a:noFill/>
                  <a:ln>
                    <a:noFill/>
                  </a:ln>
                </c15:spPr>
                <c15:layout/>
                <c15:showLeaderLines val="true"/>
                <c15:leaderLines>
                  <c:spPr>
                    <a:ln w="9525" cap="flat" cmpd="sng" algn="ctr">
                      <a:solidFill>
                        <a:schemeClr val="tx1">
                          <a:lumMod val="35000"/>
                          <a:lumOff val="65000"/>
                        </a:schemeClr>
                      </a:solidFill>
                      <a:round/>
                    </a:ln>
                    <a:effectLst/>
                  </c:spPr>
                </c15:leaderLines>
              </c:ext>
            </c:extLst>
          </c:dLbls>
          <c:cat>
            <c:strRef>
              <c:f>'[2024年度广元市自然资源局（部门）决算公开编制说明   柱状图、饼状图.xlsx]Sheet1'!$A$41:$A$43</c:f>
              <c:strCache>
                <c:ptCount val="3"/>
                <c:pt idx="0">
                  <c:v>因公出国（境）费支出决算0万元</c:v>
                </c:pt>
                <c:pt idx="1">
                  <c:v>公务用车购置及运行维护费支出决算10万元</c:v>
                </c:pt>
                <c:pt idx="2">
                  <c:v>公务接待费支出决算4.21万元</c:v>
                </c:pt>
              </c:strCache>
            </c:strRef>
          </c:cat>
          <c:val>
            <c:numRef>
              <c:f>'[2024年度广元市自然资源局（部门）决算公开编制说明   柱状图、饼状图.xlsx]Sheet1'!$B$41:$B$43</c:f>
              <c:numCache>
                <c:formatCode>0.00%</c:formatCode>
                <c:ptCount val="3"/>
                <c:pt idx="0">
                  <c:v>0</c:v>
                </c:pt>
                <c:pt idx="1">
                  <c:v>0.7037</c:v>
                </c:pt>
                <c:pt idx="2">
                  <c:v>0.2963</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r"/>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legend>
    <c:plotVisOnly val="true"/>
    <c:dispBlanksAs val="gap"/>
    <c:showDLblsOverMax val="false"/>
  </c:chart>
  <c:spPr>
    <a:solidFill>
      <a:schemeClr val="bg1"/>
    </a:solidFill>
    <a:ln w="6350" cap="flat" cmpd="sng" algn="ctr">
      <a:solidFill>
        <a:schemeClr val="tx1">
          <a:lumMod val="50000"/>
          <a:lumOff val="50000"/>
          <a:alpha val="25000"/>
        </a:schemeClr>
      </a:solidFill>
      <a:round/>
    </a:ln>
    <a:effectLst/>
  </c:spPr>
  <c:txPr>
    <a:bodyPr/>
    <a:lstStyle/>
    <a:p>
      <a:pPr>
        <a:defRPr lang="zh-CN" sz="90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自定义 117">
    <a:dk1>
      <a:srgbClr val="000000"/>
    </a:dk1>
    <a:lt1>
      <a:srgbClr val="FFFFFF"/>
    </a:lt1>
    <a:dk2>
      <a:srgbClr val="44546A"/>
    </a:dk2>
    <a:lt2>
      <a:srgbClr val="E7E6E6"/>
    </a:lt2>
    <a:accent1>
      <a:srgbClr val="FF7E33"/>
    </a:accent1>
    <a:accent2>
      <a:srgbClr val="F0423E"/>
    </a:accent2>
    <a:accent3>
      <a:srgbClr val="6FBDFF"/>
    </a:accent3>
    <a:accent4>
      <a:srgbClr val="4F7FFF"/>
    </a:accent4>
    <a:accent5>
      <a:srgbClr val="FFC619"/>
    </a:accent5>
    <a:accent6>
      <a:srgbClr val="74B83D"/>
    </a:accent6>
    <a:hlink>
      <a:srgbClr val="0026E5"/>
    </a:hlink>
    <a:folHlink>
      <a:srgbClr val="7E1FAD"/>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Override>
</file>

<file path=word/theme/themeOverride2.xml><?xml version="1.0" encoding="utf-8"?>
<a:themeOverride xmlns:a="http://schemas.openxmlformats.org/drawingml/2006/main">
  <a:clrScheme name="自定义 117">
    <a:dk1>
      <a:srgbClr val="000000"/>
    </a:dk1>
    <a:lt1>
      <a:srgbClr val="FFFFFF"/>
    </a:lt1>
    <a:dk2>
      <a:srgbClr val="44546A"/>
    </a:dk2>
    <a:lt2>
      <a:srgbClr val="E7E6E6"/>
    </a:lt2>
    <a:accent1>
      <a:srgbClr val="FF7E33"/>
    </a:accent1>
    <a:accent2>
      <a:srgbClr val="F0423E"/>
    </a:accent2>
    <a:accent3>
      <a:srgbClr val="6FBDFF"/>
    </a:accent3>
    <a:accent4>
      <a:srgbClr val="4F7FFF"/>
    </a:accent4>
    <a:accent5>
      <a:srgbClr val="FFC619"/>
    </a:accent5>
    <a:accent6>
      <a:srgbClr val="74B83D"/>
    </a:accent6>
    <a:hlink>
      <a:srgbClr val="0026E5"/>
    </a:hlink>
    <a:folHlink>
      <a:srgbClr val="7E1FAD"/>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Override>
</file>

<file path=word/theme/themeOverride3.xml><?xml version="1.0" encoding="utf-8"?>
<a:themeOverride xmlns:a="http://schemas.openxmlformats.org/drawingml/2006/main">
  <a:clrScheme name="自定义 117">
    <a:dk1>
      <a:srgbClr val="000000"/>
    </a:dk1>
    <a:lt1>
      <a:srgbClr val="FFFFFF"/>
    </a:lt1>
    <a:dk2>
      <a:srgbClr val="44546A"/>
    </a:dk2>
    <a:lt2>
      <a:srgbClr val="E7E6E6"/>
    </a:lt2>
    <a:accent1>
      <a:srgbClr val="FF7E33"/>
    </a:accent1>
    <a:accent2>
      <a:srgbClr val="F0423E"/>
    </a:accent2>
    <a:accent3>
      <a:srgbClr val="6FBDFF"/>
    </a:accent3>
    <a:accent4>
      <a:srgbClr val="4F7FFF"/>
    </a:accent4>
    <a:accent5>
      <a:srgbClr val="FFC619"/>
    </a:accent5>
    <a:accent6>
      <a:srgbClr val="74B83D"/>
    </a:accent6>
    <a:hlink>
      <a:srgbClr val="0026E5"/>
    </a:hlink>
    <a:folHlink>
      <a:srgbClr val="7E1FAD"/>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Override>
</file>

<file path=word/theme/themeOverride4.xml><?xml version="1.0" encoding="utf-8"?>
<a:themeOverride xmlns:a="http://schemas.openxmlformats.org/drawingml/2006/main">
  <a:clrScheme name="自定义 117">
    <a:dk1>
      <a:srgbClr val="000000"/>
    </a:dk1>
    <a:lt1>
      <a:srgbClr val="FFFFFF"/>
    </a:lt1>
    <a:dk2>
      <a:srgbClr val="44546A"/>
    </a:dk2>
    <a:lt2>
      <a:srgbClr val="E7E6E6"/>
    </a:lt2>
    <a:accent1>
      <a:srgbClr val="FF7E33"/>
    </a:accent1>
    <a:accent2>
      <a:srgbClr val="F0423E"/>
    </a:accent2>
    <a:accent3>
      <a:srgbClr val="6FBDFF"/>
    </a:accent3>
    <a:accent4>
      <a:srgbClr val="4F7FFF"/>
    </a:accent4>
    <a:accent5>
      <a:srgbClr val="FFC619"/>
    </a:accent5>
    <a:accent6>
      <a:srgbClr val="74B83D"/>
    </a:accent6>
    <a:hlink>
      <a:srgbClr val="0026E5"/>
    </a:hlink>
    <a:folHlink>
      <a:srgbClr val="7E1FAD"/>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25</Pages>
  <Words>467</Words>
  <Characters>498</Characters>
  <Lines>61</Lines>
  <Paragraphs>17</Paragraphs>
  <TotalTime>26</TotalTime>
  <ScaleCrop>false</ScaleCrop>
  <LinksUpToDate>false</LinksUpToDate>
  <CharactersWithSpaces>538</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2020-08-05T17:49:00Z</dcterms:created>
  <dc:creator>曹颖</dc:creator>
  <cp:lastModifiedBy> </cp:lastModifiedBy>
  <cp:lastPrinted>2023-07-31T18:35:00Z</cp:lastPrinted>
  <dcterms:modified xsi:type="dcterms:W3CDTF">2025-10-11T17:49:34Z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7194CCA0677745888DBCA5309FBF5989_13</vt:lpwstr>
  </property>
  <property fmtid="{D5CDD505-2E9C-101B-9397-08002B2CF9AE}" pid="4" name="KSOTemplateDocerSaveRecord">
    <vt:lpwstr>eyJoZGlkIjoiYTc2ZGZiNzZiNDVlOGViOWVmM2JhOTY0NGJkNjUyYzgiLCJ1c2VySWQiOiIyMjA2OTAwNTAifQ==</vt:lpwstr>
  </property>
</Properties>
</file>