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ascii="Times New Roman" w:hAnsi="Times New Roman" w:eastAsia="方正小标宋简体" w:cs="Times New Roman"/>
          <w:color w:val="auto"/>
          <w:kern w:val="2"/>
          <w:sz w:val="72"/>
          <w:szCs w:val="72"/>
          <w:highlight w:val="none"/>
          <w:lang w:val="en-US" w:eastAsia="zh-CN" w:bidi="ar-SA"/>
        </w:rPr>
      </w:pPr>
      <w:bookmarkStart w:id="0" w:name="_Toc15396597"/>
      <w:bookmarkStart w:id="1" w:name="_Toc15377193"/>
      <w:bookmarkStart w:id="2" w:name="_Toc15396475"/>
      <w:bookmarkStart w:id="3" w:name="_Toc15378441"/>
      <w:bookmarkStart w:id="4" w:name="_Toc15377425"/>
      <w:bookmarkStart w:id="5" w:name="_Toc15306267"/>
    </w:p>
    <w:p>
      <w:pPr>
        <w:pStyle w:val="2"/>
        <w:rPr>
          <w:rFonts w:hint="eastAsia" w:ascii="Times New Roman" w:hAnsi="Times New Roman" w:eastAsia="方正小标宋简体" w:cs="Times New Roman"/>
          <w:color w:val="auto"/>
          <w:kern w:val="2"/>
          <w:sz w:val="72"/>
          <w:szCs w:val="72"/>
          <w:highlight w:val="none"/>
          <w:lang w:val="en-US" w:eastAsia="zh-CN" w:bidi="ar-SA"/>
        </w:rPr>
      </w:pPr>
    </w:p>
    <w:p>
      <w:pPr>
        <w:pStyle w:val="2"/>
        <w:rPr>
          <w:rFonts w:hint="eastAsia" w:ascii="Times New Roman" w:hAnsi="Times New Roman" w:eastAsia="方正小标宋简体" w:cs="Times New Roman"/>
          <w:color w:val="auto"/>
          <w:kern w:val="2"/>
          <w:sz w:val="72"/>
          <w:szCs w:val="72"/>
          <w:highlight w:val="none"/>
          <w:lang w:val="en-US" w:eastAsia="zh-CN" w:bidi="ar-SA"/>
        </w:rPr>
      </w:pPr>
    </w:p>
    <w:p>
      <w:pPr>
        <w:widowControl/>
        <w:jc w:val="center"/>
        <w:rPr>
          <w:rFonts w:hint="eastAsia" w:ascii="方正大标宋简体" w:hAnsi="方正大标宋简体" w:eastAsia="方正大标宋简体" w:cs="方正大标宋简体"/>
          <w:color w:val="auto"/>
          <w:w w:val="90"/>
          <w:kern w:val="2"/>
          <w:sz w:val="60"/>
          <w:szCs w:val="60"/>
          <w:highlight w:val="none"/>
          <w:lang w:val="en-US" w:eastAsia="zh-CN" w:bidi="ar-SA"/>
        </w:rPr>
      </w:pPr>
      <w:r>
        <w:rPr>
          <w:rFonts w:hint="eastAsia" w:ascii="方正大标宋简体" w:hAnsi="方正大标宋简体" w:eastAsia="方正大标宋简体" w:cs="方正大标宋简体"/>
          <w:color w:val="auto"/>
          <w:w w:val="90"/>
          <w:kern w:val="2"/>
          <w:sz w:val="60"/>
          <w:szCs w:val="60"/>
          <w:highlight w:val="none"/>
          <w:lang w:val="en-US" w:eastAsia="zh-CN" w:bidi="ar-SA"/>
        </w:rPr>
        <w:t>2024年度四川省广元中学单位决算</w:t>
      </w:r>
    </w:p>
    <w:p>
      <w:pPr>
        <w:pStyle w:val="2"/>
        <w:rPr>
          <w:rFonts w:hint="eastAsia" w:ascii="方正小标宋简体" w:hAnsi="宋体" w:eastAsia="方正小标宋简体" w:cs="Times New Roman"/>
          <w:color w:val="auto"/>
          <w:w w:val="90"/>
          <w:kern w:val="2"/>
          <w:sz w:val="44"/>
          <w:szCs w:val="44"/>
          <w:highlight w:val="none"/>
          <w:lang w:val="en-US" w:eastAsia="zh-CN" w:bidi="ar-SA"/>
        </w:rPr>
      </w:pPr>
    </w:p>
    <w:p>
      <w:pPr>
        <w:pStyle w:val="2"/>
        <w:rPr>
          <w:rFonts w:hint="eastAsia" w:ascii="方正小标宋简体" w:hAnsi="宋体" w:eastAsia="方正小标宋简体" w:cs="Times New Roman"/>
          <w:color w:val="auto"/>
          <w:w w:val="90"/>
          <w:kern w:val="2"/>
          <w:sz w:val="44"/>
          <w:szCs w:val="44"/>
          <w:highlight w:val="none"/>
          <w:lang w:val="en-US" w:eastAsia="zh-CN" w:bidi="ar-SA"/>
        </w:rPr>
      </w:pPr>
    </w:p>
    <w:p>
      <w:pPr>
        <w:pStyle w:val="2"/>
        <w:rPr>
          <w:rFonts w:hint="eastAsia" w:ascii="方正小标宋简体" w:hAnsi="宋体" w:eastAsia="方正小标宋简体" w:cs="Times New Roman"/>
          <w:color w:val="auto"/>
          <w:w w:val="90"/>
          <w:kern w:val="2"/>
          <w:sz w:val="44"/>
          <w:szCs w:val="44"/>
          <w:highlight w:val="none"/>
          <w:lang w:val="en-US" w:eastAsia="zh-CN" w:bidi="ar-SA"/>
        </w:rPr>
      </w:pPr>
    </w:p>
    <w:p>
      <w:pPr>
        <w:pStyle w:val="2"/>
        <w:rPr>
          <w:rFonts w:hint="eastAsia" w:ascii="方正小标宋简体" w:hAnsi="宋体" w:eastAsia="方正小标宋简体" w:cs="Times New Roman"/>
          <w:color w:val="auto"/>
          <w:w w:val="90"/>
          <w:kern w:val="2"/>
          <w:sz w:val="44"/>
          <w:szCs w:val="44"/>
          <w:highlight w:val="none"/>
          <w:lang w:val="en-US" w:eastAsia="zh-CN" w:bidi="ar-SA"/>
        </w:rPr>
      </w:pPr>
    </w:p>
    <w:p>
      <w:pPr>
        <w:pStyle w:val="2"/>
        <w:rPr>
          <w:rFonts w:hint="eastAsia" w:ascii="方正小标宋简体" w:hAnsi="宋体" w:eastAsia="方正小标宋简体" w:cs="Times New Roman"/>
          <w:color w:val="auto"/>
          <w:w w:val="90"/>
          <w:kern w:val="2"/>
          <w:sz w:val="44"/>
          <w:szCs w:val="44"/>
          <w:highlight w:val="none"/>
          <w:lang w:val="en-US" w:eastAsia="zh-CN" w:bidi="ar-SA"/>
        </w:rPr>
      </w:pPr>
    </w:p>
    <w:p>
      <w:pPr>
        <w:pStyle w:val="2"/>
        <w:rPr>
          <w:rFonts w:hint="eastAsia" w:ascii="方正小标宋简体" w:hAnsi="宋体" w:eastAsia="方正小标宋简体" w:cs="Times New Roman"/>
          <w:color w:val="auto"/>
          <w:w w:val="90"/>
          <w:kern w:val="2"/>
          <w:sz w:val="44"/>
          <w:szCs w:val="44"/>
          <w:highlight w:val="none"/>
          <w:lang w:val="en-US" w:eastAsia="zh-CN" w:bidi="ar-SA"/>
        </w:rPr>
      </w:pPr>
    </w:p>
    <w:p>
      <w:pPr>
        <w:pStyle w:val="2"/>
        <w:rPr>
          <w:rFonts w:hint="eastAsia" w:ascii="方正小标宋简体" w:hAnsi="宋体" w:eastAsia="方正小标宋简体" w:cs="Times New Roman"/>
          <w:color w:val="auto"/>
          <w:w w:val="90"/>
          <w:kern w:val="2"/>
          <w:sz w:val="44"/>
          <w:szCs w:val="44"/>
          <w:highlight w:val="none"/>
          <w:lang w:val="en-US" w:eastAsia="zh-CN" w:bidi="ar-SA"/>
        </w:rPr>
      </w:pPr>
    </w:p>
    <w:p>
      <w:pPr>
        <w:pStyle w:val="2"/>
        <w:rPr>
          <w:rFonts w:hint="eastAsia" w:ascii="方正小标宋简体" w:hAnsi="宋体" w:eastAsia="方正小标宋简体" w:cs="Times New Roman"/>
          <w:color w:val="auto"/>
          <w:w w:val="90"/>
          <w:kern w:val="2"/>
          <w:sz w:val="44"/>
          <w:szCs w:val="44"/>
          <w:highlight w:val="none"/>
          <w:lang w:val="en-US" w:eastAsia="zh-CN" w:bidi="ar-SA"/>
        </w:rPr>
      </w:pPr>
    </w:p>
    <w:p>
      <w:pPr>
        <w:pStyle w:val="2"/>
        <w:rPr>
          <w:rFonts w:hint="eastAsia" w:ascii="方正小标宋简体" w:hAnsi="宋体" w:eastAsia="方正小标宋简体" w:cs="Times New Roman"/>
          <w:color w:val="auto"/>
          <w:w w:val="90"/>
          <w:kern w:val="2"/>
          <w:sz w:val="44"/>
          <w:szCs w:val="44"/>
          <w:highlight w:val="none"/>
          <w:lang w:val="en-US" w:eastAsia="zh-CN" w:bidi="ar-SA"/>
        </w:rPr>
      </w:pPr>
    </w:p>
    <w:p>
      <w:pPr>
        <w:pStyle w:val="2"/>
        <w:jc w:val="both"/>
        <w:rPr>
          <w:rFonts w:hint="eastAsia" w:ascii="Times New Roman" w:hAnsi="Times New Roman" w:eastAsia="方正小标宋简体" w:cs="Times New Roman"/>
          <w:color w:val="auto"/>
          <w:kern w:val="2"/>
          <w:sz w:val="44"/>
          <w:szCs w:val="44"/>
          <w:highlight w:val="none"/>
          <w:lang w:val="en-US" w:eastAsia="zh-CN" w:bidi="ar-SA"/>
        </w:rPr>
      </w:pPr>
    </w:p>
    <w:bookmarkEnd w:id="0"/>
    <w:bookmarkEnd w:id="1"/>
    <w:bookmarkEnd w:id="2"/>
    <w:bookmarkEnd w:id="3"/>
    <w:bookmarkEnd w:id="4"/>
    <w:bookmarkEnd w:id="5"/>
    <w:p>
      <w:pPr>
        <w:widowControl/>
        <w:jc w:val="center"/>
        <w:rPr>
          <w:rFonts w:hint="eastAsia" w:ascii="Times New Roman" w:hAnsi="Times New Roman" w:eastAsia="黑体"/>
          <w:color w:val="auto"/>
          <w:sz w:val="32"/>
          <w:szCs w:val="32"/>
          <w:highlight w:val="none"/>
        </w:rPr>
        <w:sectPr>
          <w:footerReference r:id="rId5" w:type="first"/>
          <w:headerReference r:id="rId3" w:type="default"/>
          <w:footerReference r:id="rId4" w:type="default"/>
          <w:pgSz w:w="11906" w:h="16838"/>
          <w:pgMar w:top="1440" w:right="1800" w:bottom="1440" w:left="1800" w:header="851" w:footer="992" w:gutter="0"/>
          <w:pgNumType w:fmt="decimal" w:start="1"/>
          <w:cols w:space="720" w:num="1"/>
          <w:docGrid w:type="lines" w:linePitch="312" w:charSpace="0"/>
        </w:sectPr>
      </w:pPr>
    </w:p>
    <w:p>
      <w:pPr>
        <w:widowControl/>
        <w:jc w:val="center"/>
        <w:rPr>
          <w:rFonts w:ascii="Times New Roman" w:hAnsi="Times New Roman" w:eastAsia="黑体" w:cstheme="minorBidi"/>
          <w:color w:val="auto"/>
          <w:sz w:val="20"/>
          <w:szCs w:val="20"/>
          <w:highlight w:val="none"/>
        </w:rPr>
      </w:pPr>
      <w:r>
        <w:rPr>
          <w:rFonts w:hint="eastAsia" w:ascii="Times New Roman" w:hAnsi="Times New Roman" w:eastAsia="黑体"/>
          <w:color w:val="auto"/>
          <w:sz w:val="32"/>
          <w:szCs w:val="32"/>
          <w:highlight w:val="none"/>
        </w:rPr>
        <w:t>目</w:t>
      </w:r>
      <w:r>
        <w:rPr>
          <w:rFonts w:hint="eastAsia" w:eastAsia="黑体"/>
          <w:color w:val="auto"/>
          <w:sz w:val="32"/>
          <w:szCs w:val="32"/>
          <w:highlight w:val="none"/>
          <w:lang w:val="en-US" w:eastAsia="zh-CN"/>
        </w:rPr>
        <w:t xml:space="preserve">  </w:t>
      </w:r>
      <w:r>
        <w:rPr>
          <w:rFonts w:hint="eastAsia" w:ascii="Times New Roman" w:hAnsi="Times New Roman" w:eastAsia="黑体"/>
          <w:color w:val="auto"/>
          <w:sz w:val="32"/>
          <w:szCs w:val="32"/>
          <w:highlight w:val="none"/>
        </w:rPr>
        <w:t>录</w:t>
      </w:r>
    </w:p>
    <w:p>
      <w:pPr>
        <w:pStyle w:val="14"/>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公开时间：20</w:t>
      </w:r>
      <w:r>
        <w:rPr>
          <w:rFonts w:hint="eastAsia" w:ascii="Times New Roman" w:hAnsi="Times New Roman" w:eastAsia="仿宋_GB2312" w:cs="仿宋_GB2312"/>
          <w:color w:val="auto"/>
          <w:sz w:val="32"/>
          <w:szCs w:val="32"/>
          <w:highlight w:val="none"/>
          <w:lang w:val="en-US" w:eastAsia="zh-CN"/>
        </w:rPr>
        <w:t>25</w:t>
      </w:r>
      <w:bookmarkStart w:id="92" w:name="_GoBack"/>
      <w:bookmarkEnd w:id="92"/>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10</w:t>
      </w:r>
      <w:r>
        <w:rPr>
          <w:rFonts w:hint="eastAsia" w:ascii="Times New Roman" w:hAnsi="Times New Roman" w:eastAsia="仿宋_GB2312" w:cs="仿宋_GB2312"/>
          <w:color w:val="auto"/>
          <w:sz w:val="32"/>
          <w:szCs w:val="32"/>
          <w:highlight w:val="none"/>
        </w:rPr>
        <w:t>月</w:t>
      </w:r>
      <w:r>
        <w:rPr>
          <w:rFonts w:hint="eastAsia" w:ascii="Times New Roman" w:hAnsi="Times New Roman" w:eastAsia="仿宋_GB2312" w:cs="仿宋_GB2312"/>
          <w:color w:val="auto"/>
          <w:sz w:val="32"/>
          <w:szCs w:val="32"/>
          <w:highlight w:val="none"/>
          <w:lang w:val="en-US" w:eastAsia="zh-CN"/>
        </w:rPr>
        <w:t>14</w:t>
      </w:r>
      <w:r>
        <w:rPr>
          <w:rFonts w:hint="eastAsia" w:ascii="Times New Roman" w:hAnsi="Times New Roman" w:eastAsia="仿宋_GB2312" w:cs="仿宋_GB2312"/>
          <w:color w:val="auto"/>
          <w:sz w:val="32"/>
          <w:szCs w:val="32"/>
          <w:highlight w:val="none"/>
        </w:rPr>
        <w:t>日</w:t>
      </w:r>
    </w:p>
    <w:sdt>
      <w:sdtPr>
        <w:rPr>
          <w:rFonts w:ascii="宋体" w:hAnsi="宋体" w:eastAsia="宋体" w:cs="Times New Roman"/>
          <w:kern w:val="2"/>
          <w:sz w:val="21"/>
          <w:szCs w:val="24"/>
          <w:lang w:val="en-US" w:eastAsia="zh-CN" w:bidi="ar-SA"/>
        </w:rPr>
        <w:id w:val="147460688"/>
        <w15:color w:val="DBDBDB"/>
        <w:docPartObj>
          <w:docPartGallery w:val="Table of Contents"/>
          <w:docPartUnique/>
        </w:docPartObj>
      </w:sdtPr>
      <w:sdtEndPr>
        <w:rPr>
          <w:rFonts w:ascii="仿宋_GB2312" w:hAnsi="Times New Roman" w:eastAsia="仿宋_GB2312" w:cs="Times New Roman"/>
          <w:kern w:val="0"/>
          <w:sz w:val="30"/>
          <w:szCs w:val="24"/>
          <w:lang w:val="en-US" w:eastAsia="zh-CN" w:bidi="ar-SA"/>
        </w:rPr>
      </w:sdtEndPr>
      <w:sdtContent>
        <w:p>
          <w:pPr>
            <w:keepNext w:val="0"/>
            <w:keepLines w:val="0"/>
            <w:pageBreakBefore w:val="0"/>
            <w:widowControl w:val="0"/>
            <w:kinsoku/>
            <w:wordWrap/>
            <w:overflowPunct/>
            <w:topLinePunct w:val="0"/>
            <w:autoSpaceDE/>
            <w:autoSpaceDN/>
            <w:bidi w:val="0"/>
            <w:adjustRightInd/>
            <w:snapToGrid/>
            <w:spacing w:before="0" w:beforeLines="0" w:after="0" w:afterLines="0" w:line="380" w:lineRule="exact"/>
            <w:ind w:left="0" w:leftChars="0" w:right="0" w:rightChars="0" w:firstLine="0" w:firstLineChars="0"/>
            <w:jc w:val="center"/>
            <w:textAlignment w:val="auto"/>
          </w:pP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80" w:lineRule="exact"/>
            <w:textAlignment w:val="auto"/>
            <w:rPr>
              <w:rFonts w:hint="eastAsia" w:ascii="楷体" w:hAnsi="楷体" w:eastAsia="楷体" w:cs="楷体"/>
              <w:b/>
              <w:bCs/>
              <w:sz w:val="24"/>
              <w:szCs w:val="24"/>
            </w:rPr>
          </w:pPr>
          <w:r>
            <w:fldChar w:fldCharType="begin"/>
          </w:r>
          <w:r>
            <w:instrText xml:space="preserve">TOC \o "1-2" \h \u </w:instrText>
          </w:r>
          <w:r>
            <w:fldChar w:fldCharType="separate"/>
          </w: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HYPERLINK \l _Toc29550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highlight w:val="none"/>
            </w:rPr>
            <w:t>第一部分</w:t>
          </w:r>
          <w:r>
            <w:rPr>
              <w:rFonts w:hint="eastAsia" w:ascii="黑体" w:hAnsi="黑体" w:eastAsia="黑体" w:cs="黑体"/>
              <w:b w:val="0"/>
              <w:bCs w:val="0"/>
              <w:sz w:val="24"/>
              <w:szCs w:val="24"/>
              <w:highlight w:val="none"/>
              <w:lang w:val="en-US" w:eastAsia="zh-CN"/>
            </w:rPr>
            <w:t xml:space="preserve"> </w:t>
          </w:r>
          <w:r>
            <w:rPr>
              <w:rFonts w:hint="eastAsia" w:ascii="黑体" w:hAnsi="黑体" w:eastAsia="黑体" w:cs="黑体"/>
              <w:b w:val="0"/>
              <w:bCs w:val="0"/>
              <w:sz w:val="24"/>
              <w:szCs w:val="24"/>
              <w:highlight w:val="none"/>
            </w:rPr>
            <w:t xml:space="preserve"> 部门概况</w:t>
          </w:r>
          <w:r>
            <w:rPr>
              <w:rFonts w:hint="eastAsia" w:ascii="黑体" w:hAnsi="黑体" w:eastAsia="黑体" w:cs="黑体"/>
              <w:b w:val="0"/>
              <w:bCs w:val="0"/>
              <w:sz w:val="24"/>
              <w:szCs w:val="24"/>
            </w:rPr>
            <w:tab/>
          </w: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PAGEREF _Toc29550 \h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rPr>
            <w:t>1</w:t>
          </w:r>
          <w:r>
            <w:rPr>
              <w:rFonts w:hint="eastAsia" w:ascii="黑体" w:hAnsi="黑体" w:eastAsia="黑体" w:cs="黑体"/>
              <w:b w:val="0"/>
              <w:bCs w:val="0"/>
              <w:sz w:val="24"/>
              <w:szCs w:val="24"/>
            </w:rPr>
            <w:fldChar w:fldCharType="end"/>
          </w:r>
          <w:r>
            <w:rPr>
              <w:rFonts w:hint="eastAsia" w:ascii="黑体" w:hAnsi="黑体" w:eastAsia="黑体" w:cs="黑体"/>
              <w:b w:val="0"/>
              <w:bCs w:val="0"/>
              <w:sz w:val="24"/>
              <w:szCs w:val="24"/>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_Toc16532 </w:instrText>
          </w:r>
          <w:r>
            <w:rPr>
              <w:rFonts w:hint="eastAsia" w:ascii="仿宋" w:hAnsi="仿宋" w:eastAsia="仿宋" w:cs="仿宋"/>
              <w:sz w:val="24"/>
              <w:szCs w:val="24"/>
            </w:rPr>
            <w:fldChar w:fldCharType="separate"/>
          </w:r>
          <w:r>
            <w:rPr>
              <w:rFonts w:hint="eastAsia" w:ascii="仿宋" w:hAnsi="仿宋" w:eastAsia="仿宋" w:cs="仿宋"/>
              <w:sz w:val="24"/>
              <w:szCs w:val="24"/>
              <w:lang w:eastAsia="zh-CN"/>
            </w:rPr>
            <w:t>一、</w:t>
          </w:r>
          <w:r>
            <w:rPr>
              <w:rFonts w:hint="eastAsia" w:ascii="仿宋" w:hAnsi="仿宋" w:eastAsia="仿宋" w:cs="仿宋"/>
              <w:sz w:val="24"/>
              <w:szCs w:val="24"/>
              <w:highlight w:val="none"/>
              <w:lang w:eastAsia="zh-CN"/>
            </w:rPr>
            <w:t>部门职责</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_Toc16532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80" w:lineRule="exact"/>
            <w:textAlignment w:val="auto"/>
            <w:rPr>
              <w:rFonts w:hint="eastAsia" w:ascii="楷体" w:hAnsi="楷体" w:eastAsia="楷体" w:cs="楷体"/>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_Toc7778 </w:instrText>
          </w:r>
          <w:r>
            <w:rPr>
              <w:rFonts w:hint="eastAsia" w:ascii="仿宋" w:hAnsi="仿宋" w:eastAsia="仿宋" w:cs="仿宋"/>
              <w:sz w:val="24"/>
              <w:szCs w:val="24"/>
            </w:rPr>
            <w:fldChar w:fldCharType="separate"/>
          </w:r>
          <w:r>
            <w:rPr>
              <w:rFonts w:hint="eastAsia" w:ascii="仿宋" w:hAnsi="仿宋" w:eastAsia="仿宋" w:cs="仿宋"/>
              <w:sz w:val="24"/>
              <w:szCs w:val="24"/>
              <w:highlight w:val="none"/>
            </w:rPr>
            <w:t>二、机</w:t>
          </w:r>
          <w:r>
            <w:rPr>
              <w:rFonts w:hint="eastAsia" w:ascii="仿宋" w:hAnsi="仿宋" w:eastAsia="仿宋" w:cs="仿宋"/>
              <w:bCs w:val="0"/>
              <w:sz w:val="24"/>
              <w:szCs w:val="24"/>
              <w:highlight w:val="none"/>
            </w:rPr>
            <w:t>构设置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_Toc7778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80" w:lineRule="exact"/>
            <w:textAlignment w:val="auto"/>
            <w:rPr>
              <w:rFonts w:hint="eastAsia" w:ascii="楷体" w:hAnsi="楷体" w:eastAsia="楷体" w:cs="楷体"/>
              <w:b w:val="0"/>
              <w:bCs w:val="0"/>
              <w:sz w:val="24"/>
              <w:szCs w:val="24"/>
            </w:rPr>
          </w:pP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HYPERLINK \l _Toc6307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highlight w:val="none"/>
            </w:rPr>
            <w:t>第二部分</w:t>
          </w:r>
          <w:r>
            <w:rPr>
              <w:rFonts w:hint="eastAsia" w:ascii="黑体" w:hAnsi="黑体" w:eastAsia="黑体" w:cs="黑体"/>
              <w:b w:val="0"/>
              <w:bCs w:val="0"/>
              <w:sz w:val="24"/>
              <w:szCs w:val="24"/>
              <w:highlight w:val="none"/>
              <w:lang w:val="en-US" w:eastAsia="zh-CN"/>
            </w:rPr>
            <w:t xml:space="preserve"> </w:t>
          </w:r>
          <w:r>
            <w:rPr>
              <w:rFonts w:hint="eastAsia" w:ascii="黑体" w:hAnsi="黑体" w:eastAsia="黑体" w:cs="黑体"/>
              <w:b w:val="0"/>
              <w:bCs w:val="0"/>
              <w:sz w:val="24"/>
              <w:szCs w:val="24"/>
              <w:highlight w:val="none"/>
            </w:rPr>
            <w:t xml:space="preserve"> </w:t>
          </w:r>
          <w:r>
            <w:rPr>
              <w:rFonts w:hint="eastAsia" w:ascii="黑体" w:hAnsi="黑体" w:eastAsia="黑体" w:cs="黑体"/>
              <w:b w:val="0"/>
              <w:bCs w:val="0"/>
              <w:sz w:val="24"/>
              <w:szCs w:val="24"/>
              <w:highlight w:val="none"/>
              <w:lang w:val="en-US" w:eastAsia="zh-CN"/>
            </w:rPr>
            <w:t>2024年度</w:t>
          </w:r>
          <w:r>
            <w:rPr>
              <w:rFonts w:hint="eastAsia" w:ascii="黑体" w:hAnsi="黑体" w:eastAsia="黑体" w:cs="黑体"/>
              <w:b w:val="0"/>
              <w:bCs w:val="0"/>
              <w:sz w:val="24"/>
              <w:szCs w:val="24"/>
              <w:highlight w:val="none"/>
            </w:rPr>
            <w:t>部门决算情况说明</w:t>
          </w:r>
          <w:r>
            <w:rPr>
              <w:rFonts w:hint="eastAsia" w:ascii="黑体" w:hAnsi="黑体" w:eastAsia="黑体" w:cs="黑体"/>
              <w:b w:val="0"/>
              <w:bCs w:val="0"/>
              <w:sz w:val="24"/>
              <w:szCs w:val="24"/>
            </w:rPr>
            <w:tab/>
          </w: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PAGEREF _Toc6307 \h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rPr>
            <w:t>1</w:t>
          </w:r>
          <w:r>
            <w:rPr>
              <w:rFonts w:hint="eastAsia" w:ascii="黑体" w:hAnsi="黑体" w:eastAsia="黑体" w:cs="黑体"/>
              <w:b w:val="0"/>
              <w:bCs w:val="0"/>
              <w:sz w:val="24"/>
              <w:szCs w:val="24"/>
            </w:rPr>
            <w:fldChar w:fldCharType="end"/>
          </w:r>
          <w:r>
            <w:rPr>
              <w:rFonts w:hint="eastAsia" w:ascii="黑体" w:hAnsi="黑体" w:eastAsia="黑体" w:cs="黑体"/>
              <w:b w:val="0"/>
              <w:bCs w:val="0"/>
              <w:sz w:val="24"/>
              <w:szCs w:val="24"/>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_Toc1172 </w:instrText>
          </w:r>
          <w:r>
            <w:rPr>
              <w:rFonts w:hint="eastAsia" w:ascii="仿宋" w:hAnsi="仿宋" w:eastAsia="仿宋" w:cs="仿宋"/>
              <w:sz w:val="24"/>
              <w:szCs w:val="24"/>
            </w:rPr>
            <w:fldChar w:fldCharType="separate"/>
          </w:r>
          <w:r>
            <w:rPr>
              <w:rFonts w:hint="eastAsia" w:ascii="仿宋" w:hAnsi="仿宋" w:eastAsia="仿宋" w:cs="仿宋"/>
              <w:sz w:val="24"/>
              <w:szCs w:val="24"/>
              <w:highlight w:val="none"/>
              <w:lang w:eastAsia="zh-CN"/>
            </w:rPr>
            <w:t>一、</w:t>
          </w:r>
          <w:r>
            <w:rPr>
              <w:rFonts w:hint="eastAsia" w:ascii="仿宋" w:hAnsi="仿宋" w:eastAsia="仿宋" w:cs="仿宋"/>
              <w:sz w:val="24"/>
              <w:szCs w:val="24"/>
              <w:highlight w:val="none"/>
            </w:rPr>
            <w:t>收入支出决算总体情况说明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_Toc1172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_Toc12184 </w:instrText>
          </w:r>
          <w:r>
            <w:rPr>
              <w:rFonts w:hint="eastAsia" w:ascii="仿宋" w:hAnsi="仿宋" w:eastAsia="仿宋" w:cs="仿宋"/>
              <w:sz w:val="24"/>
              <w:szCs w:val="24"/>
            </w:rPr>
            <w:fldChar w:fldCharType="separate"/>
          </w:r>
          <w:r>
            <w:rPr>
              <w:rFonts w:hint="eastAsia" w:ascii="仿宋" w:hAnsi="仿宋" w:eastAsia="仿宋" w:cs="仿宋"/>
              <w:sz w:val="24"/>
              <w:szCs w:val="24"/>
              <w:highlight w:val="none"/>
              <w:lang w:eastAsia="zh-CN"/>
            </w:rPr>
            <w:t>二、收入决算情况说明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_Toc12184 \h </w:instrText>
          </w:r>
          <w:r>
            <w:rPr>
              <w:rFonts w:hint="eastAsia" w:ascii="仿宋" w:hAnsi="仿宋" w:eastAsia="仿宋" w:cs="仿宋"/>
              <w:sz w:val="24"/>
              <w:szCs w:val="24"/>
            </w:rPr>
            <w:fldChar w:fldCharType="separate"/>
          </w:r>
          <w:r>
            <w:rPr>
              <w:rFonts w:hint="eastAsia" w:ascii="仿宋" w:hAnsi="仿宋" w:eastAsia="仿宋" w:cs="仿宋"/>
              <w:sz w:val="24"/>
              <w:szCs w:val="24"/>
            </w:rPr>
            <w:t>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_Toc9525 </w:instrText>
          </w:r>
          <w:r>
            <w:rPr>
              <w:rFonts w:hint="eastAsia" w:ascii="仿宋" w:hAnsi="仿宋" w:eastAsia="仿宋" w:cs="仿宋"/>
              <w:sz w:val="24"/>
              <w:szCs w:val="24"/>
            </w:rPr>
            <w:fldChar w:fldCharType="separate"/>
          </w:r>
          <w:r>
            <w:rPr>
              <w:rFonts w:hint="eastAsia" w:ascii="仿宋" w:hAnsi="仿宋" w:eastAsia="仿宋" w:cs="仿宋"/>
              <w:sz w:val="24"/>
              <w:szCs w:val="24"/>
              <w:highlight w:val="none"/>
              <w:lang w:eastAsia="zh-CN"/>
            </w:rPr>
            <w:t>三、</w:t>
          </w:r>
          <w:r>
            <w:rPr>
              <w:rFonts w:hint="eastAsia" w:ascii="仿宋" w:hAnsi="仿宋" w:eastAsia="仿宋" w:cs="仿宋"/>
              <w:sz w:val="24"/>
              <w:szCs w:val="24"/>
              <w:highlight w:val="none"/>
            </w:rPr>
            <w:t>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_Toc9525 \h </w:instrText>
          </w:r>
          <w:r>
            <w:rPr>
              <w:rFonts w:hint="eastAsia" w:ascii="仿宋" w:hAnsi="仿宋" w:eastAsia="仿宋" w:cs="仿宋"/>
              <w:sz w:val="24"/>
              <w:szCs w:val="24"/>
            </w:rPr>
            <w:fldChar w:fldCharType="separate"/>
          </w:r>
          <w:r>
            <w:rPr>
              <w:rFonts w:hint="eastAsia" w:ascii="仿宋" w:hAnsi="仿宋" w:eastAsia="仿宋" w:cs="仿宋"/>
              <w:sz w:val="24"/>
              <w:szCs w:val="24"/>
            </w:rPr>
            <w:t>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_Toc22221 </w:instrText>
          </w:r>
          <w:r>
            <w:rPr>
              <w:rFonts w:hint="eastAsia" w:ascii="仿宋" w:hAnsi="仿宋" w:eastAsia="仿宋" w:cs="仿宋"/>
              <w:sz w:val="24"/>
              <w:szCs w:val="24"/>
            </w:rPr>
            <w:fldChar w:fldCharType="separate"/>
          </w:r>
          <w:r>
            <w:rPr>
              <w:rFonts w:hint="eastAsia" w:ascii="仿宋" w:hAnsi="仿宋" w:eastAsia="仿宋" w:cs="仿宋"/>
              <w:sz w:val="24"/>
              <w:szCs w:val="24"/>
              <w:highlight w:val="none"/>
            </w:rPr>
            <w:t>四、财政拨款收入支出决算总体情况说明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_Toc22221 \h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_Toc26471 </w:instrText>
          </w:r>
          <w:r>
            <w:rPr>
              <w:rFonts w:hint="eastAsia" w:ascii="仿宋" w:hAnsi="仿宋" w:eastAsia="仿宋" w:cs="仿宋"/>
              <w:sz w:val="24"/>
              <w:szCs w:val="24"/>
            </w:rPr>
            <w:fldChar w:fldCharType="separate"/>
          </w:r>
          <w:r>
            <w:rPr>
              <w:rFonts w:hint="eastAsia" w:ascii="仿宋" w:hAnsi="仿宋" w:eastAsia="仿宋" w:cs="仿宋"/>
              <w:sz w:val="24"/>
              <w:szCs w:val="24"/>
              <w:highlight w:val="none"/>
            </w:rPr>
            <w:t>五、一般公共预算财政拨款支出决算情况说明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_Toc26471 \h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_Toc28517 </w:instrText>
          </w:r>
          <w:r>
            <w:rPr>
              <w:rFonts w:hint="eastAsia" w:ascii="仿宋" w:hAnsi="仿宋" w:eastAsia="仿宋" w:cs="仿宋"/>
              <w:sz w:val="24"/>
              <w:szCs w:val="24"/>
            </w:rPr>
            <w:fldChar w:fldCharType="separate"/>
          </w:r>
          <w:r>
            <w:rPr>
              <w:rFonts w:hint="eastAsia" w:ascii="仿宋" w:hAnsi="仿宋" w:eastAsia="仿宋" w:cs="仿宋"/>
              <w:sz w:val="24"/>
              <w:szCs w:val="24"/>
              <w:highlight w:val="none"/>
            </w:rPr>
            <w:t>六、一般公共预算财政拨款基本支出决算情况说明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_Toc28517 \h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_Toc27706 </w:instrText>
          </w:r>
          <w:r>
            <w:rPr>
              <w:rFonts w:hint="eastAsia" w:ascii="仿宋" w:hAnsi="仿宋" w:eastAsia="仿宋" w:cs="仿宋"/>
              <w:sz w:val="24"/>
              <w:szCs w:val="24"/>
            </w:rPr>
            <w:fldChar w:fldCharType="separate"/>
          </w:r>
          <w:r>
            <w:rPr>
              <w:rFonts w:hint="eastAsia" w:ascii="仿宋" w:hAnsi="仿宋" w:eastAsia="仿宋" w:cs="仿宋"/>
              <w:sz w:val="24"/>
              <w:szCs w:val="24"/>
              <w:highlight w:val="none"/>
            </w:rPr>
            <w:t>七、财政拨款“三公”经费支出决算情况说明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_Toc27706 \h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_Toc12477 </w:instrText>
          </w:r>
          <w:r>
            <w:rPr>
              <w:rFonts w:hint="eastAsia" w:ascii="仿宋" w:hAnsi="仿宋" w:eastAsia="仿宋" w:cs="仿宋"/>
              <w:sz w:val="24"/>
              <w:szCs w:val="24"/>
            </w:rPr>
            <w:fldChar w:fldCharType="separate"/>
          </w:r>
          <w:r>
            <w:rPr>
              <w:rFonts w:hint="eastAsia" w:ascii="仿宋" w:hAnsi="仿宋" w:eastAsia="仿宋" w:cs="仿宋"/>
              <w:sz w:val="24"/>
              <w:szCs w:val="24"/>
              <w:highlight w:val="none"/>
            </w:rPr>
            <w:t>八、政府性基金预算支出决算情况说明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_Toc12477 \h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_Toc1503 </w:instrText>
          </w:r>
          <w:r>
            <w:rPr>
              <w:rFonts w:hint="eastAsia" w:ascii="仿宋" w:hAnsi="仿宋" w:eastAsia="仿宋" w:cs="仿宋"/>
              <w:sz w:val="24"/>
              <w:szCs w:val="24"/>
            </w:rPr>
            <w:fldChar w:fldCharType="separate"/>
          </w:r>
          <w:r>
            <w:rPr>
              <w:rFonts w:hint="eastAsia" w:ascii="仿宋" w:hAnsi="仿宋" w:eastAsia="仿宋" w:cs="仿宋"/>
              <w:sz w:val="24"/>
              <w:szCs w:val="24"/>
              <w:highlight w:val="none"/>
              <w:lang w:eastAsia="zh-CN"/>
            </w:rPr>
            <w:t>九、</w:t>
          </w:r>
          <w:r>
            <w:rPr>
              <w:rFonts w:hint="eastAsia" w:ascii="仿宋" w:hAnsi="仿宋" w:eastAsia="仿宋" w:cs="仿宋"/>
              <w:sz w:val="24"/>
              <w:szCs w:val="24"/>
              <w:highlight w:val="none"/>
            </w:rPr>
            <w:t>国有资本经营预算支出决算情况说明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_Toc1503 \h </w:instrText>
          </w:r>
          <w:r>
            <w:rPr>
              <w:rFonts w:hint="eastAsia" w:ascii="仿宋" w:hAnsi="仿宋" w:eastAsia="仿宋" w:cs="仿宋"/>
              <w:sz w:val="24"/>
              <w:szCs w:val="24"/>
            </w:rPr>
            <w:fldChar w:fldCharType="separate"/>
          </w:r>
          <w:r>
            <w:rPr>
              <w:rFonts w:hint="eastAsia" w:ascii="仿宋" w:hAnsi="仿宋" w:eastAsia="仿宋" w:cs="仿宋"/>
              <w:sz w:val="24"/>
              <w:szCs w:val="24"/>
            </w:rPr>
            <w:t>9</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_Toc25443 </w:instrText>
          </w:r>
          <w:r>
            <w:rPr>
              <w:rFonts w:hint="eastAsia" w:ascii="仿宋" w:hAnsi="仿宋" w:eastAsia="仿宋" w:cs="仿宋"/>
              <w:sz w:val="24"/>
              <w:szCs w:val="24"/>
            </w:rPr>
            <w:fldChar w:fldCharType="separate"/>
          </w:r>
          <w:r>
            <w:rPr>
              <w:rFonts w:hint="eastAsia" w:ascii="仿宋" w:hAnsi="仿宋" w:eastAsia="仿宋" w:cs="仿宋"/>
              <w:sz w:val="24"/>
              <w:szCs w:val="24"/>
              <w:highlight w:val="none"/>
              <w:lang w:eastAsia="zh-CN"/>
            </w:rPr>
            <w:t>十、</w:t>
          </w:r>
          <w:r>
            <w:rPr>
              <w:rFonts w:hint="eastAsia" w:ascii="仿宋" w:hAnsi="仿宋" w:eastAsia="仿宋" w:cs="仿宋"/>
              <w:sz w:val="24"/>
              <w:szCs w:val="24"/>
              <w:highlight w:val="none"/>
            </w:rPr>
            <w:t>其他重要事项的情况说明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_Toc25443 \h </w:instrText>
          </w:r>
          <w:r>
            <w:rPr>
              <w:rFonts w:hint="eastAsia" w:ascii="仿宋" w:hAnsi="仿宋" w:eastAsia="仿宋" w:cs="仿宋"/>
              <w:sz w:val="24"/>
              <w:szCs w:val="24"/>
            </w:rPr>
            <w:fldChar w:fldCharType="separate"/>
          </w:r>
          <w:r>
            <w:rPr>
              <w:rFonts w:hint="eastAsia" w:ascii="仿宋" w:hAnsi="仿宋" w:eastAsia="仿宋" w:cs="仿宋"/>
              <w:sz w:val="24"/>
              <w:szCs w:val="24"/>
            </w:rPr>
            <w:t>9</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80" w:lineRule="exact"/>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HYPERLINK \l _Toc9544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highlight w:val="none"/>
            </w:rPr>
            <w:t>第</w:t>
          </w:r>
          <w:r>
            <w:rPr>
              <w:rFonts w:hint="eastAsia" w:ascii="黑体" w:hAnsi="黑体" w:eastAsia="黑体" w:cs="黑体"/>
              <w:b w:val="0"/>
              <w:bCs w:val="0"/>
              <w:sz w:val="24"/>
              <w:szCs w:val="24"/>
              <w:highlight w:val="none"/>
              <w:lang w:eastAsia="zh-CN"/>
            </w:rPr>
            <w:t>三</w:t>
          </w:r>
          <w:r>
            <w:rPr>
              <w:rFonts w:hint="eastAsia" w:ascii="黑体" w:hAnsi="黑体" w:eastAsia="黑体" w:cs="黑体"/>
              <w:b w:val="0"/>
              <w:bCs w:val="0"/>
              <w:sz w:val="24"/>
              <w:szCs w:val="24"/>
              <w:highlight w:val="none"/>
            </w:rPr>
            <w:t>部分</w:t>
          </w:r>
          <w:r>
            <w:rPr>
              <w:rFonts w:hint="eastAsia" w:ascii="黑体" w:hAnsi="黑体" w:eastAsia="黑体" w:cs="黑体"/>
              <w:b w:val="0"/>
              <w:bCs w:val="0"/>
              <w:sz w:val="24"/>
              <w:szCs w:val="24"/>
              <w:highlight w:val="none"/>
              <w:lang w:val="en-US" w:eastAsia="zh-CN"/>
            </w:rPr>
            <w:t xml:space="preserve">  </w:t>
          </w:r>
          <w:r>
            <w:rPr>
              <w:rFonts w:hint="eastAsia" w:ascii="黑体" w:hAnsi="黑体" w:eastAsia="黑体" w:cs="黑体"/>
              <w:b w:val="0"/>
              <w:bCs w:val="0"/>
              <w:sz w:val="24"/>
              <w:szCs w:val="24"/>
              <w:highlight w:val="none"/>
            </w:rPr>
            <w:t>名词解释</w:t>
          </w:r>
          <w:r>
            <w:rPr>
              <w:rFonts w:hint="eastAsia" w:ascii="黑体" w:hAnsi="黑体" w:eastAsia="黑体" w:cs="黑体"/>
              <w:b w:val="0"/>
              <w:bCs w:val="0"/>
              <w:sz w:val="24"/>
              <w:szCs w:val="24"/>
            </w:rPr>
            <w:tab/>
          </w: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PAGEREF _Toc9544 \h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rPr>
            <w:t>10</w:t>
          </w:r>
          <w:r>
            <w:rPr>
              <w:rFonts w:hint="eastAsia" w:ascii="黑体" w:hAnsi="黑体" w:eastAsia="黑体" w:cs="黑体"/>
              <w:b w:val="0"/>
              <w:bCs w:val="0"/>
              <w:sz w:val="24"/>
              <w:szCs w:val="24"/>
            </w:rPr>
            <w:fldChar w:fldCharType="end"/>
          </w:r>
          <w:r>
            <w:rPr>
              <w:rFonts w:hint="eastAsia" w:ascii="黑体" w:hAnsi="黑体" w:eastAsia="黑体" w:cs="黑体"/>
              <w:b w:val="0"/>
              <w:bCs w:val="0"/>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80" w:lineRule="exact"/>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HYPERLINK \l _Toc15544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highlight w:val="none"/>
            </w:rPr>
            <w:t xml:space="preserve">第四部分 </w:t>
          </w:r>
          <w:r>
            <w:rPr>
              <w:rFonts w:hint="eastAsia" w:ascii="黑体" w:hAnsi="黑体" w:eastAsia="黑体" w:cs="黑体"/>
              <w:b w:val="0"/>
              <w:bCs w:val="0"/>
              <w:sz w:val="24"/>
              <w:szCs w:val="24"/>
              <w:highlight w:val="none"/>
              <w:lang w:val="en-US" w:eastAsia="zh-CN"/>
            </w:rPr>
            <w:t xml:space="preserve"> </w:t>
          </w:r>
          <w:r>
            <w:rPr>
              <w:rFonts w:hint="eastAsia" w:ascii="黑体" w:hAnsi="黑体" w:eastAsia="黑体" w:cs="黑体"/>
              <w:b w:val="0"/>
              <w:bCs w:val="0"/>
              <w:sz w:val="24"/>
              <w:szCs w:val="24"/>
              <w:highlight w:val="none"/>
            </w:rPr>
            <w:t>附件</w:t>
          </w:r>
          <w:r>
            <w:rPr>
              <w:rFonts w:hint="eastAsia" w:ascii="黑体" w:hAnsi="黑体" w:eastAsia="黑体" w:cs="黑体"/>
              <w:b w:val="0"/>
              <w:bCs w:val="0"/>
              <w:sz w:val="24"/>
              <w:szCs w:val="24"/>
            </w:rPr>
            <w:tab/>
          </w: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PAGEREF _Toc15544 \h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rPr>
            <w:t>13</w:t>
          </w:r>
          <w:r>
            <w:rPr>
              <w:rFonts w:hint="eastAsia" w:ascii="黑体" w:hAnsi="黑体" w:eastAsia="黑体" w:cs="黑体"/>
              <w:b w:val="0"/>
              <w:bCs w:val="0"/>
              <w:sz w:val="24"/>
              <w:szCs w:val="24"/>
            </w:rPr>
            <w:fldChar w:fldCharType="end"/>
          </w:r>
          <w:r>
            <w:rPr>
              <w:rFonts w:hint="eastAsia" w:ascii="黑体" w:hAnsi="黑体" w:eastAsia="黑体" w:cs="黑体"/>
              <w:b w:val="0"/>
              <w:bCs w:val="0"/>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80" w:lineRule="exact"/>
            <w:textAlignment w:val="auto"/>
            <w:rPr>
              <w:rFonts w:hint="eastAsia" w:ascii="楷体" w:hAnsi="楷体" w:eastAsia="楷体" w:cs="楷体"/>
              <w:sz w:val="24"/>
              <w:szCs w:val="24"/>
            </w:rPr>
          </w:pP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HYPERLINK \l _Toc10407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highlight w:val="none"/>
            </w:rPr>
            <w:t xml:space="preserve">第五部分 </w:t>
          </w:r>
          <w:r>
            <w:rPr>
              <w:rFonts w:hint="eastAsia" w:ascii="黑体" w:hAnsi="黑体" w:eastAsia="黑体" w:cs="黑体"/>
              <w:b w:val="0"/>
              <w:bCs w:val="0"/>
              <w:sz w:val="24"/>
              <w:szCs w:val="24"/>
              <w:highlight w:val="none"/>
              <w:lang w:val="en-US" w:eastAsia="zh-CN"/>
            </w:rPr>
            <w:t xml:space="preserve"> </w:t>
          </w:r>
          <w:r>
            <w:rPr>
              <w:rFonts w:hint="eastAsia" w:ascii="黑体" w:hAnsi="黑体" w:eastAsia="黑体" w:cs="黑体"/>
              <w:b w:val="0"/>
              <w:bCs w:val="0"/>
              <w:sz w:val="24"/>
              <w:szCs w:val="24"/>
              <w:highlight w:val="none"/>
            </w:rPr>
            <w:t>附表</w:t>
          </w:r>
          <w:r>
            <w:rPr>
              <w:rFonts w:hint="eastAsia" w:ascii="黑体" w:hAnsi="黑体" w:eastAsia="黑体" w:cs="黑体"/>
              <w:b w:val="0"/>
              <w:bCs w:val="0"/>
              <w:sz w:val="24"/>
              <w:szCs w:val="24"/>
            </w:rPr>
            <w:tab/>
          </w: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PAGEREF _Toc10407 \h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rPr>
            <w:t>73</w:t>
          </w:r>
          <w:r>
            <w:rPr>
              <w:rFonts w:hint="eastAsia" w:ascii="黑体" w:hAnsi="黑体" w:eastAsia="黑体" w:cs="黑体"/>
              <w:b w:val="0"/>
              <w:bCs w:val="0"/>
              <w:sz w:val="24"/>
              <w:szCs w:val="24"/>
            </w:rPr>
            <w:fldChar w:fldCharType="end"/>
          </w:r>
          <w:r>
            <w:rPr>
              <w:rFonts w:hint="eastAsia" w:ascii="黑体" w:hAnsi="黑体" w:eastAsia="黑体" w:cs="黑体"/>
              <w:b w:val="0"/>
              <w:bCs w:val="0"/>
              <w:sz w:val="24"/>
              <w:szCs w:val="24"/>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_Toc6706 </w:instrText>
          </w:r>
          <w:r>
            <w:rPr>
              <w:rFonts w:hint="eastAsia" w:ascii="仿宋" w:hAnsi="仿宋" w:eastAsia="仿宋" w:cs="仿宋"/>
              <w:sz w:val="24"/>
              <w:szCs w:val="24"/>
            </w:rPr>
            <w:fldChar w:fldCharType="separate"/>
          </w:r>
          <w:r>
            <w:rPr>
              <w:rFonts w:hint="eastAsia" w:ascii="仿宋" w:hAnsi="仿宋" w:eastAsia="仿宋" w:cs="仿宋"/>
              <w:sz w:val="24"/>
              <w:szCs w:val="24"/>
              <w:highlight w:val="none"/>
            </w:rPr>
            <w:t>一、收入支出决算总表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_Toc6706 \h </w:instrText>
          </w:r>
          <w:r>
            <w:rPr>
              <w:rFonts w:hint="eastAsia" w:ascii="仿宋" w:hAnsi="仿宋" w:eastAsia="仿宋" w:cs="仿宋"/>
              <w:sz w:val="24"/>
              <w:szCs w:val="24"/>
            </w:rPr>
            <w:fldChar w:fldCharType="separate"/>
          </w:r>
          <w:r>
            <w:rPr>
              <w:rFonts w:hint="eastAsia" w:ascii="仿宋" w:hAnsi="仿宋" w:eastAsia="仿宋" w:cs="仿宋"/>
              <w:sz w:val="24"/>
              <w:szCs w:val="24"/>
            </w:rPr>
            <w:t>73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_Toc31259 </w:instrText>
          </w:r>
          <w:r>
            <w:rPr>
              <w:rFonts w:hint="eastAsia" w:ascii="仿宋" w:hAnsi="仿宋" w:eastAsia="仿宋" w:cs="仿宋"/>
              <w:sz w:val="24"/>
              <w:szCs w:val="24"/>
            </w:rPr>
            <w:fldChar w:fldCharType="separate"/>
          </w:r>
          <w:r>
            <w:rPr>
              <w:rFonts w:hint="eastAsia" w:ascii="仿宋" w:hAnsi="仿宋" w:eastAsia="仿宋" w:cs="仿宋"/>
              <w:sz w:val="24"/>
              <w:szCs w:val="24"/>
              <w:highlight w:val="none"/>
            </w:rPr>
            <w:t>二、收入决算表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_Toc31259 \h </w:instrText>
          </w:r>
          <w:r>
            <w:rPr>
              <w:rFonts w:hint="eastAsia" w:ascii="仿宋" w:hAnsi="仿宋" w:eastAsia="仿宋" w:cs="仿宋"/>
              <w:sz w:val="24"/>
              <w:szCs w:val="24"/>
            </w:rPr>
            <w:fldChar w:fldCharType="separate"/>
          </w:r>
          <w:r>
            <w:rPr>
              <w:rFonts w:hint="eastAsia" w:ascii="仿宋" w:hAnsi="仿宋" w:eastAsia="仿宋" w:cs="仿宋"/>
              <w:sz w:val="24"/>
              <w:szCs w:val="24"/>
            </w:rPr>
            <w:t>73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_Toc3700 </w:instrText>
          </w:r>
          <w:r>
            <w:rPr>
              <w:rFonts w:hint="eastAsia" w:ascii="仿宋" w:hAnsi="仿宋" w:eastAsia="仿宋" w:cs="仿宋"/>
              <w:sz w:val="24"/>
              <w:szCs w:val="24"/>
            </w:rPr>
            <w:fldChar w:fldCharType="separate"/>
          </w:r>
          <w:r>
            <w:rPr>
              <w:rFonts w:hint="eastAsia" w:ascii="仿宋" w:hAnsi="仿宋" w:eastAsia="仿宋" w:cs="仿宋"/>
              <w:sz w:val="24"/>
              <w:szCs w:val="24"/>
              <w:highlight w:val="none"/>
            </w:rPr>
            <w:t>三、支出决算表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_Toc3700 \h </w:instrText>
          </w:r>
          <w:r>
            <w:rPr>
              <w:rFonts w:hint="eastAsia" w:ascii="仿宋" w:hAnsi="仿宋" w:eastAsia="仿宋" w:cs="仿宋"/>
              <w:sz w:val="24"/>
              <w:szCs w:val="24"/>
            </w:rPr>
            <w:fldChar w:fldCharType="separate"/>
          </w:r>
          <w:r>
            <w:rPr>
              <w:rFonts w:hint="eastAsia" w:ascii="仿宋" w:hAnsi="仿宋" w:eastAsia="仿宋" w:cs="仿宋"/>
              <w:sz w:val="24"/>
              <w:szCs w:val="24"/>
            </w:rPr>
            <w:t>73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_Toc24 </w:instrText>
          </w:r>
          <w:r>
            <w:rPr>
              <w:rFonts w:hint="eastAsia" w:ascii="仿宋" w:hAnsi="仿宋" w:eastAsia="仿宋" w:cs="仿宋"/>
              <w:sz w:val="24"/>
              <w:szCs w:val="24"/>
            </w:rPr>
            <w:fldChar w:fldCharType="separate"/>
          </w:r>
          <w:r>
            <w:rPr>
              <w:rFonts w:hint="eastAsia" w:ascii="仿宋" w:hAnsi="仿宋" w:eastAsia="仿宋" w:cs="仿宋"/>
              <w:sz w:val="24"/>
              <w:szCs w:val="24"/>
              <w:highlight w:val="none"/>
            </w:rPr>
            <w:t>四、财政拨款收入支出决算总表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 \h </w:instrText>
          </w:r>
          <w:r>
            <w:rPr>
              <w:rFonts w:hint="eastAsia" w:ascii="仿宋" w:hAnsi="仿宋" w:eastAsia="仿宋" w:cs="仿宋"/>
              <w:sz w:val="24"/>
              <w:szCs w:val="24"/>
            </w:rPr>
            <w:fldChar w:fldCharType="separate"/>
          </w:r>
          <w:r>
            <w:rPr>
              <w:rFonts w:hint="eastAsia" w:ascii="仿宋" w:hAnsi="仿宋" w:eastAsia="仿宋" w:cs="仿宋"/>
              <w:sz w:val="24"/>
              <w:szCs w:val="24"/>
            </w:rPr>
            <w:t>73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_Toc32339 </w:instrText>
          </w:r>
          <w:r>
            <w:rPr>
              <w:rFonts w:hint="eastAsia" w:ascii="仿宋" w:hAnsi="仿宋" w:eastAsia="仿宋" w:cs="仿宋"/>
              <w:sz w:val="24"/>
              <w:szCs w:val="24"/>
            </w:rPr>
            <w:fldChar w:fldCharType="separate"/>
          </w:r>
          <w:r>
            <w:rPr>
              <w:rFonts w:hint="eastAsia" w:ascii="仿宋" w:hAnsi="仿宋" w:eastAsia="仿宋" w:cs="仿宋"/>
              <w:sz w:val="24"/>
              <w:szCs w:val="24"/>
              <w:highlight w:val="none"/>
            </w:rPr>
            <w:t>五、财政拨款支出决算明细表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_Toc32339 \h </w:instrText>
          </w:r>
          <w:r>
            <w:rPr>
              <w:rFonts w:hint="eastAsia" w:ascii="仿宋" w:hAnsi="仿宋" w:eastAsia="仿宋" w:cs="仿宋"/>
              <w:sz w:val="24"/>
              <w:szCs w:val="24"/>
            </w:rPr>
            <w:fldChar w:fldCharType="separate"/>
          </w:r>
          <w:r>
            <w:rPr>
              <w:rFonts w:hint="eastAsia" w:ascii="仿宋" w:hAnsi="仿宋" w:eastAsia="仿宋" w:cs="仿宋"/>
              <w:sz w:val="24"/>
              <w:szCs w:val="24"/>
            </w:rPr>
            <w:t>73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_Toc11423 </w:instrText>
          </w:r>
          <w:r>
            <w:rPr>
              <w:rFonts w:hint="eastAsia" w:ascii="仿宋" w:hAnsi="仿宋" w:eastAsia="仿宋" w:cs="仿宋"/>
              <w:sz w:val="24"/>
              <w:szCs w:val="24"/>
            </w:rPr>
            <w:fldChar w:fldCharType="separate"/>
          </w:r>
          <w:r>
            <w:rPr>
              <w:rFonts w:hint="eastAsia" w:ascii="仿宋" w:hAnsi="仿宋" w:eastAsia="仿宋" w:cs="仿宋"/>
              <w:sz w:val="24"/>
              <w:szCs w:val="24"/>
              <w:highlight w:val="none"/>
            </w:rPr>
            <w:t>六、一般公共预算财政拨款支出决算表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_Toc11423 \h </w:instrText>
          </w:r>
          <w:r>
            <w:rPr>
              <w:rFonts w:hint="eastAsia" w:ascii="仿宋" w:hAnsi="仿宋" w:eastAsia="仿宋" w:cs="仿宋"/>
              <w:sz w:val="24"/>
              <w:szCs w:val="24"/>
            </w:rPr>
            <w:fldChar w:fldCharType="separate"/>
          </w:r>
          <w:r>
            <w:rPr>
              <w:rFonts w:hint="eastAsia" w:ascii="仿宋" w:hAnsi="仿宋" w:eastAsia="仿宋" w:cs="仿宋"/>
              <w:sz w:val="24"/>
              <w:szCs w:val="24"/>
            </w:rPr>
            <w:t>73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_Toc32624 </w:instrText>
          </w:r>
          <w:r>
            <w:rPr>
              <w:rFonts w:hint="eastAsia" w:ascii="仿宋" w:hAnsi="仿宋" w:eastAsia="仿宋" w:cs="仿宋"/>
              <w:sz w:val="24"/>
              <w:szCs w:val="24"/>
            </w:rPr>
            <w:fldChar w:fldCharType="separate"/>
          </w:r>
          <w:r>
            <w:rPr>
              <w:rFonts w:hint="eastAsia" w:ascii="仿宋" w:hAnsi="仿宋" w:eastAsia="仿宋" w:cs="仿宋"/>
              <w:sz w:val="24"/>
              <w:szCs w:val="24"/>
              <w:highlight w:val="none"/>
            </w:rPr>
            <w:t>七、一般公共预算财政拨款支出决算明细表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_Toc32624 \h </w:instrText>
          </w:r>
          <w:r>
            <w:rPr>
              <w:rFonts w:hint="eastAsia" w:ascii="仿宋" w:hAnsi="仿宋" w:eastAsia="仿宋" w:cs="仿宋"/>
              <w:sz w:val="24"/>
              <w:szCs w:val="24"/>
            </w:rPr>
            <w:fldChar w:fldCharType="separate"/>
          </w:r>
          <w:r>
            <w:rPr>
              <w:rFonts w:hint="eastAsia" w:ascii="仿宋" w:hAnsi="仿宋" w:eastAsia="仿宋" w:cs="仿宋"/>
              <w:sz w:val="24"/>
              <w:szCs w:val="24"/>
            </w:rPr>
            <w:t>73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_Toc9168 </w:instrText>
          </w:r>
          <w:r>
            <w:rPr>
              <w:rFonts w:hint="eastAsia" w:ascii="仿宋" w:hAnsi="仿宋" w:eastAsia="仿宋" w:cs="仿宋"/>
              <w:sz w:val="24"/>
              <w:szCs w:val="24"/>
            </w:rPr>
            <w:fldChar w:fldCharType="separate"/>
          </w:r>
          <w:r>
            <w:rPr>
              <w:rFonts w:hint="eastAsia" w:ascii="仿宋" w:hAnsi="仿宋" w:eastAsia="仿宋" w:cs="仿宋"/>
              <w:sz w:val="24"/>
              <w:szCs w:val="24"/>
              <w:highlight w:val="none"/>
            </w:rPr>
            <w:t>八、一般公共预算财政拨款基本支出决算表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_Toc9168 \h </w:instrText>
          </w:r>
          <w:r>
            <w:rPr>
              <w:rFonts w:hint="eastAsia" w:ascii="仿宋" w:hAnsi="仿宋" w:eastAsia="仿宋" w:cs="仿宋"/>
              <w:sz w:val="24"/>
              <w:szCs w:val="24"/>
            </w:rPr>
            <w:fldChar w:fldCharType="separate"/>
          </w:r>
          <w:r>
            <w:rPr>
              <w:rFonts w:hint="eastAsia" w:ascii="仿宋" w:hAnsi="仿宋" w:eastAsia="仿宋" w:cs="仿宋"/>
              <w:sz w:val="24"/>
              <w:szCs w:val="24"/>
            </w:rPr>
            <w:t>73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_Toc32362 </w:instrText>
          </w:r>
          <w:r>
            <w:rPr>
              <w:rFonts w:hint="eastAsia" w:ascii="仿宋" w:hAnsi="仿宋" w:eastAsia="仿宋" w:cs="仿宋"/>
              <w:sz w:val="24"/>
              <w:szCs w:val="24"/>
            </w:rPr>
            <w:fldChar w:fldCharType="separate"/>
          </w:r>
          <w:r>
            <w:rPr>
              <w:rFonts w:hint="eastAsia" w:ascii="仿宋" w:hAnsi="仿宋" w:eastAsia="仿宋" w:cs="仿宋"/>
              <w:sz w:val="24"/>
              <w:szCs w:val="24"/>
              <w:highlight w:val="none"/>
            </w:rPr>
            <w:t>九、一般公共预算财政拨款项目支出决算表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_Toc32362 \h </w:instrText>
          </w:r>
          <w:r>
            <w:rPr>
              <w:rFonts w:hint="eastAsia" w:ascii="仿宋" w:hAnsi="仿宋" w:eastAsia="仿宋" w:cs="仿宋"/>
              <w:sz w:val="24"/>
              <w:szCs w:val="24"/>
            </w:rPr>
            <w:fldChar w:fldCharType="separate"/>
          </w:r>
          <w:r>
            <w:rPr>
              <w:rFonts w:hint="eastAsia" w:ascii="仿宋" w:hAnsi="仿宋" w:eastAsia="仿宋" w:cs="仿宋"/>
              <w:sz w:val="24"/>
              <w:szCs w:val="24"/>
            </w:rPr>
            <w:t>73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_Toc31963 </w:instrText>
          </w:r>
          <w:r>
            <w:rPr>
              <w:rFonts w:hint="eastAsia" w:ascii="仿宋" w:hAnsi="仿宋" w:eastAsia="仿宋" w:cs="仿宋"/>
              <w:sz w:val="24"/>
              <w:szCs w:val="24"/>
            </w:rPr>
            <w:fldChar w:fldCharType="separate"/>
          </w:r>
          <w:r>
            <w:rPr>
              <w:rFonts w:hint="eastAsia" w:ascii="仿宋" w:hAnsi="仿宋" w:eastAsia="仿宋" w:cs="仿宋"/>
              <w:sz w:val="24"/>
              <w:szCs w:val="24"/>
              <w:highlight w:val="none"/>
            </w:rPr>
            <w:t>十、政府性基金预算财政拨款收入支出决算表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_Toc31963 \h </w:instrText>
          </w:r>
          <w:r>
            <w:rPr>
              <w:rFonts w:hint="eastAsia" w:ascii="仿宋" w:hAnsi="仿宋" w:eastAsia="仿宋" w:cs="仿宋"/>
              <w:sz w:val="24"/>
              <w:szCs w:val="24"/>
            </w:rPr>
            <w:fldChar w:fldCharType="separate"/>
          </w:r>
          <w:r>
            <w:rPr>
              <w:rFonts w:hint="eastAsia" w:ascii="仿宋" w:hAnsi="仿宋" w:eastAsia="仿宋" w:cs="仿宋"/>
              <w:sz w:val="24"/>
              <w:szCs w:val="24"/>
            </w:rPr>
            <w:t>73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80" w:lineRule="exact"/>
            <w:textAlignment w:val="auto"/>
            <w:rPr>
              <w:rFonts w:hint="eastAsia" w:ascii="仿宋" w:hAnsi="仿宋" w:eastAsia="仿宋" w:cs="仿宋"/>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_Toc26231 </w:instrText>
          </w:r>
          <w:r>
            <w:rPr>
              <w:rFonts w:hint="eastAsia" w:ascii="仿宋" w:hAnsi="仿宋" w:eastAsia="仿宋" w:cs="仿宋"/>
              <w:sz w:val="24"/>
              <w:szCs w:val="24"/>
            </w:rPr>
            <w:fldChar w:fldCharType="separate"/>
          </w:r>
          <w:r>
            <w:rPr>
              <w:rFonts w:hint="eastAsia" w:ascii="仿宋" w:hAnsi="仿宋" w:eastAsia="仿宋" w:cs="仿宋"/>
              <w:sz w:val="24"/>
              <w:szCs w:val="24"/>
              <w:highlight w:val="none"/>
            </w:rPr>
            <w:t>十一、国有资本经营预算</w:t>
          </w:r>
          <w:r>
            <w:rPr>
              <w:rFonts w:hint="eastAsia" w:ascii="仿宋" w:hAnsi="仿宋" w:eastAsia="仿宋" w:cs="仿宋"/>
              <w:sz w:val="24"/>
              <w:szCs w:val="24"/>
              <w:highlight w:val="none"/>
              <w:lang w:eastAsia="zh-CN"/>
            </w:rPr>
            <w:t>财政拨款收入</w:t>
          </w:r>
          <w:r>
            <w:rPr>
              <w:rFonts w:hint="eastAsia" w:ascii="仿宋" w:hAnsi="仿宋" w:eastAsia="仿宋" w:cs="仿宋"/>
              <w:sz w:val="24"/>
              <w:szCs w:val="24"/>
              <w:highlight w:val="none"/>
            </w:rPr>
            <w:t>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_Toc26231 \h </w:instrText>
          </w:r>
          <w:r>
            <w:rPr>
              <w:rFonts w:hint="eastAsia" w:ascii="仿宋" w:hAnsi="仿宋" w:eastAsia="仿宋" w:cs="仿宋"/>
              <w:sz w:val="24"/>
              <w:szCs w:val="24"/>
            </w:rPr>
            <w:fldChar w:fldCharType="separate"/>
          </w:r>
          <w:r>
            <w:rPr>
              <w:rFonts w:hint="eastAsia" w:ascii="仿宋" w:hAnsi="仿宋" w:eastAsia="仿宋" w:cs="仿宋"/>
              <w:sz w:val="24"/>
              <w:szCs w:val="24"/>
            </w:rPr>
            <w:t>73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_Toc3013 </w:instrText>
          </w:r>
          <w:r>
            <w:rPr>
              <w:rFonts w:hint="eastAsia" w:ascii="仿宋" w:hAnsi="仿宋" w:eastAsia="仿宋" w:cs="仿宋"/>
              <w:sz w:val="24"/>
              <w:szCs w:val="24"/>
            </w:rPr>
            <w:fldChar w:fldCharType="separate"/>
          </w:r>
          <w:r>
            <w:rPr>
              <w:rFonts w:hint="eastAsia" w:ascii="仿宋" w:hAnsi="仿宋" w:eastAsia="仿宋" w:cs="仿宋"/>
              <w:sz w:val="24"/>
              <w:szCs w:val="24"/>
            </w:rPr>
            <w:t>十二、</w:t>
          </w:r>
          <w:r>
            <w:rPr>
              <w:rFonts w:hint="eastAsia" w:ascii="仿宋" w:hAnsi="仿宋" w:eastAsia="仿宋" w:cs="仿宋"/>
              <w:sz w:val="24"/>
              <w:szCs w:val="24"/>
              <w:lang w:eastAsia="zh-CN"/>
            </w:rPr>
            <w:t>国有资本经营预算财政拨款支出决算表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_Toc3013 \h </w:instrText>
          </w:r>
          <w:r>
            <w:rPr>
              <w:rFonts w:hint="eastAsia" w:ascii="仿宋" w:hAnsi="仿宋" w:eastAsia="仿宋" w:cs="仿宋"/>
              <w:sz w:val="24"/>
              <w:szCs w:val="24"/>
            </w:rPr>
            <w:fldChar w:fldCharType="separate"/>
          </w:r>
          <w:r>
            <w:rPr>
              <w:rFonts w:hint="eastAsia" w:ascii="仿宋" w:hAnsi="仿宋" w:eastAsia="仿宋" w:cs="仿宋"/>
              <w:sz w:val="24"/>
              <w:szCs w:val="24"/>
            </w:rPr>
            <w:t>73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80" w:lineRule="exact"/>
            <w:textAlignment w:val="auto"/>
            <w:rPr>
              <w:rFonts w:hint="eastAsia" w:ascii="仿宋" w:hAnsi="仿宋" w:eastAsia="仿宋" w:cs="仿宋"/>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_Toc681 </w:instrText>
          </w:r>
          <w:r>
            <w:rPr>
              <w:rFonts w:hint="eastAsia" w:ascii="仿宋" w:hAnsi="仿宋" w:eastAsia="仿宋" w:cs="仿宋"/>
              <w:sz w:val="24"/>
              <w:szCs w:val="24"/>
            </w:rPr>
            <w:fldChar w:fldCharType="separate"/>
          </w:r>
          <w:r>
            <w:rPr>
              <w:rFonts w:hint="eastAsia" w:ascii="仿宋" w:hAnsi="仿宋" w:eastAsia="仿宋" w:cs="仿宋"/>
              <w:sz w:val="24"/>
              <w:szCs w:val="24"/>
            </w:rPr>
            <w:t>十三、</w:t>
          </w:r>
          <w:r>
            <w:rPr>
              <w:rFonts w:hint="eastAsia" w:ascii="仿宋" w:hAnsi="仿宋" w:eastAsia="仿宋" w:cs="仿宋"/>
              <w:sz w:val="24"/>
              <w:szCs w:val="24"/>
              <w:lang w:eastAsia="zh-CN"/>
            </w:rPr>
            <w:t>财政拨款“三公”经费支出决算表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_Toc681 \h </w:instrText>
          </w:r>
          <w:r>
            <w:rPr>
              <w:rFonts w:hint="eastAsia" w:ascii="仿宋" w:hAnsi="仿宋" w:eastAsia="仿宋" w:cs="仿宋"/>
              <w:sz w:val="24"/>
              <w:szCs w:val="24"/>
            </w:rPr>
            <w:fldChar w:fldCharType="separate"/>
          </w:r>
          <w:r>
            <w:rPr>
              <w:rFonts w:hint="eastAsia" w:ascii="仿宋" w:hAnsi="仿宋" w:eastAsia="仿宋" w:cs="仿宋"/>
              <w:sz w:val="24"/>
              <w:szCs w:val="24"/>
            </w:rPr>
            <w:t>73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仿宋"/>
            </w:rPr>
            <w:sectPr>
              <w:footerReference r:id="rId7" w:type="first"/>
              <w:footerReference r:id="rId6" w:type="default"/>
              <w:pgSz w:w="11906" w:h="16838"/>
              <w:pgMar w:top="1440" w:right="1800" w:bottom="1440" w:left="1800" w:header="851" w:footer="992" w:gutter="0"/>
              <w:pgNumType w:fmt="decimal" w:start="1"/>
              <w:cols w:space="720" w:num="1"/>
              <w:titlePg/>
              <w:docGrid w:type="lines" w:linePitch="312" w:charSpace="0"/>
            </w:sectPr>
          </w:pPr>
        </w:p>
        <w:p>
          <w:pPr>
            <w:pStyle w:val="2"/>
            <w:keepNext w:val="0"/>
            <w:keepLines w:val="0"/>
            <w:pageBreakBefore w:val="0"/>
            <w:widowControl w:val="0"/>
            <w:kinsoku/>
            <w:wordWrap/>
            <w:overflowPunct/>
            <w:topLinePunct w:val="0"/>
            <w:autoSpaceDE/>
            <w:autoSpaceDN/>
            <w:bidi w:val="0"/>
            <w:adjustRightInd/>
            <w:snapToGrid/>
            <w:spacing w:line="380" w:lineRule="exact"/>
            <w:textAlignment w:val="auto"/>
            <w:rPr>
              <w:rFonts w:ascii="仿宋_GB2312" w:hAnsi="Times New Roman" w:eastAsia="仿宋_GB2312" w:cs="Times New Roman"/>
              <w:kern w:val="0"/>
              <w:sz w:val="30"/>
              <w:szCs w:val="24"/>
              <w:lang w:val="en-US" w:eastAsia="zh-CN" w:bidi="ar-SA"/>
            </w:rPr>
          </w:pPr>
          <w:r>
            <w:fldChar w:fldCharType="end"/>
          </w:r>
        </w:p>
      </w:sdtContent>
    </w:sdt>
    <w:p>
      <w:pPr>
        <w:pStyle w:val="3"/>
        <w:pageBreakBefore w:val="0"/>
        <w:kinsoku/>
        <w:wordWrap/>
        <w:overflowPunct/>
        <w:topLinePunct w:val="0"/>
        <w:bidi w:val="0"/>
        <w:spacing w:line="576" w:lineRule="exact"/>
        <w:jc w:val="center"/>
        <w:rPr>
          <w:rFonts w:hint="eastAsia" w:ascii="Times New Roman" w:hAnsi="Times New Roman" w:eastAsia="黑体" w:cs="Times New Roman"/>
          <w:b w:val="0"/>
          <w:bCs w:val="0"/>
          <w:color w:val="auto"/>
          <w:kern w:val="2"/>
          <w:sz w:val="44"/>
          <w:szCs w:val="44"/>
          <w:highlight w:val="none"/>
          <w:lang w:val="en-US" w:eastAsia="zh-CN" w:bidi="ar-SA"/>
        </w:rPr>
      </w:pPr>
      <w:bookmarkStart w:id="6" w:name="_Toc29550"/>
      <w:bookmarkStart w:id="7" w:name="_Toc15377196"/>
      <w:bookmarkStart w:id="8" w:name="_Toc15396599"/>
      <w:r>
        <w:rPr>
          <w:rFonts w:hint="eastAsia" w:ascii="Times New Roman" w:hAnsi="Times New Roman" w:eastAsia="黑体" w:cs="Times New Roman"/>
          <w:b w:val="0"/>
          <w:bCs w:val="0"/>
          <w:color w:val="auto"/>
          <w:kern w:val="2"/>
          <w:sz w:val="44"/>
          <w:szCs w:val="44"/>
          <w:highlight w:val="none"/>
          <w:lang w:val="en-US" w:eastAsia="zh-CN" w:bidi="ar-SA"/>
        </w:rPr>
        <w:t>第一部分  部门概况</w:t>
      </w:r>
      <w:bookmarkEnd w:id="6"/>
      <w:bookmarkEnd w:id="7"/>
      <w:bookmarkEnd w:id="8"/>
    </w:p>
    <w:p>
      <w:pPr>
        <w:pStyle w:val="4"/>
        <w:pageBreakBefore w:val="0"/>
        <w:numPr>
          <w:ilvl w:val="0"/>
          <w:numId w:val="1"/>
        </w:numPr>
        <w:kinsoku/>
        <w:wordWrap/>
        <w:overflowPunct/>
        <w:topLinePunct w:val="0"/>
        <w:bidi w:val="0"/>
        <w:spacing w:line="576" w:lineRule="exact"/>
        <w:rPr>
          <w:rFonts w:hint="eastAsia" w:ascii="Times New Roman" w:hAnsi="Times New Roman" w:eastAsia="黑体"/>
          <w:b w:val="0"/>
          <w:color w:val="auto"/>
          <w:highlight w:val="none"/>
          <w:lang w:eastAsia="zh-CN"/>
        </w:rPr>
      </w:pPr>
      <w:bookmarkStart w:id="9" w:name="_Toc16532"/>
      <w:r>
        <w:rPr>
          <w:rFonts w:hint="eastAsia" w:ascii="Times New Roman" w:hAnsi="Times New Roman" w:eastAsia="黑体"/>
          <w:b w:val="0"/>
          <w:color w:val="auto"/>
          <w:highlight w:val="none"/>
          <w:lang w:eastAsia="zh-CN"/>
        </w:rPr>
        <w:t>部门职责</w:t>
      </w:r>
      <w:bookmarkEnd w:id="9"/>
      <w:bookmarkStart w:id="10" w:name="_Toc15377200"/>
      <w:bookmarkStart w:id="11" w:name="_Toc15396601"/>
    </w:p>
    <w:p>
      <w:pPr>
        <w:pageBreakBefore w:val="0"/>
        <w:numPr>
          <w:ilvl w:val="0"/>
          <w:numId w:val="0"/>
        </w:numPr>
        <w:shd w:val="clear" w:color="auto" w:fill="auto"/>
        <w:kinsoku/>
        <w:wordWrap/>
        <w:overflowPunct/>
        <w:topLinePunct w:val="0"/>
        <w:bidi w:val="0"/>
        <w:spacing w:line="576" w:lineRule="exact"/>
        <w:ind w:firstLine="620" w:firstLineChars="200"/>
        <w:outlineLvl w:val="9"/>
        <w:rPr>
          <w:rFonts w:hint="eastAsia" w:ascii="仿宋" w:hAnsi="仿宋" w:eastAsia="仿宋" w:cs="仿宋"/>
          <w:color w:val="333333"/>
          <w:kern w:val="0"/>
          <w:sz w:val="31"/>
          <w:szCs w:val="31"/>
          <w:lang w:val="en-US" w:eastAsia="zh-CN" w:bidi="ar"/>
        </w:rPr>
      </w:pPr>
      <w:r>
        <w:rPr>
          <w:rFonts w:ascii="仿宋" w:hAnsi="仿宋" w:eastAsia="仿宋" w:cs="仿宋"/>
          <w:color w:val="333333"/>
          <w:kern w:val="0"/>
          <w:sz w:val="31"/>
          <w:szCs w:val="31"/>
          <w:lang w:val="en-US" w:eastAsia="zh-CN" w:bidi="ar"/>
        </w:rPr>
        <w:t>四川省广元中学办学性质为公办全日制完全中学，是省</w:t>
      </w:r>
      <w:r>
        <w:rPr>
          <w:rFonts w:hint="eastAsia" w:ascii="仿宋" w:hAnsi="仿宋" w:eastAsia="仿宋" w:cs="仿宋"/>
          <w:color w:val="333333"/>
          <w:kern w:val="0"/>
          <w:sz w:val="31"/>
          <w:szCs w:val="31"/>
          <w:lang w:val="en-US" w:eastAsia="zh-CN" w:bidi="ar"/>
        </w:rPr>
        <w:t>一级示范高中，承担高中及初中阶段的教育教学工作，促进基础教育发展。</w:t>
      </w:r>
    </w:p>
    <w:p>
      <w:pPr>
        <w:pStyle w:val="4"/>
        <w:pageBreakBefore w:val="0"/>
        <w:kinsoku/>
        <w:wordWrap/>
        <w:overflowPunct/>
        <w:topLinePunct w:val="0"/>
        <w:bidi w:val="0"/>
        <w:spacing w:line="576" w:lineRule="exact"/>
        <w:rPr>
          <w:rStyle w:val="23"/>
          <w:rFonts w:ascii="Times New Roman" w:hAnsi="Times New Roman"/>
          <w:b w:val="0"/>
          <w:bCs w:val="0"/>
          <w:color w:val="auto"/>
          <w:highlight w:val="none"/>
        </w:rPr>
      </w:pPr>
      <w:bookmarkStart w:id="12" w:name="_Toc7778"/>
      <w:r>
        <w:rPr>
          <w:rFonts w:hint="eastAsia" w:ascii="Times New Roman" w:hAnsi="Times New Roman" w:eastAsia="黑体"/>
          <w:b w:val="0"/>
          <w:color w:val="auto"/>
          <w:highlight w:val="none"/>
        </w:rPr>
        <w:t>二、机</w:t>
      </w:r>
      <w:r>
        <w:rPr>
          <w:rStyle w:val="23"/>
          <w:rFonts w:hint="eastAsia" w:ascii="Times New Roman" w:hAnsi="Times New Roman" w:eastAsia="黑体"/>
          <w:b w:val="0"/>
          <w:bCs w:val="0"/>
          <w:color w:val="auto"/>
          <w:highlight w:val="none"/>
        </w:rPr>
        <w:t>构设置</w:t>
      </w:r>
      <w:bookmarkEnd w:id="10"/>
      <w:bookmarkEnd w:id="11"/>
      <w:bookmarkEnd w:id="12"/>
    </w:p>
    <w:p>
      <w:pPr>
        <w:pageBreakBefore w:val="0"/>
        <w:numPr>
          <w:ilvl w:val="0"/>
          <w:numId w:val="0"/>
        </w:numPr>
        <w:shd w:val="clear" w:color="auto" w:fill="auto"/>
        <w:kinsoku/>
        <w:wordWrap/>
        <w:overflowPunct/>
        <w:topLinePunct w:val="0"/>
        <w:bidi w:val="0"/>
        <w:spacing w:line="576" w:lineRule="exact"/>
        <w:ind w:firstLine="620" w:firstLineChars="200"/>
        <w:outlineLvl w:val="9"/>
        <w:rPr>
          <w:rFonts w:ascii="仿宋" w:hAnsi="仿宋" w:eastAsia="仿宋" w:cs="仿宋"/>
          <w:color w:val="333333"/>
          <w:kern w:val="0"/>
          <w:sz w:val="31"/>
          <w:szCs w:val="31"/>
          <w:lang w:val="en-US" w:eastAsia="zh-CN" w:bidi="ar"/>
        </w:rPr>
      </w:pPr>
      <w:r>
        <w:rPr>
          <w:rFonts w:hint="eastAsia" w:ascii="仿宋" w:hAnsi="仿宋" w:eastAsia="仿宋" w:cs="仿宋"/>
          <w:color w:val="333333"/>
          <w:kern w:val="0"/>
          <w:sz w:val="31"/>
          <w:szCs w:val="31"/>
          <w:lang w:val="en-US" w:eastAsia="zh-CN" w:bidi="ar"/>
        </w:rPr>
        <w:t>四川省广元中学为广元市教育局部门下属二级预算单位，根据单位职责分工，单位内设机构包括党委办、行政办、监察室、外宣办、政教科、教务科、各年级管委会、教科室、安办、总务科等科室。</w:t>
      </w:r>
    </w:p>
    <w:p>
      <w:pPr>
        <w:pStyle w:val="3"/>
        <w:pageBreakBefore w:val="0"/>
        <w:kinsoku/>
        <w:wordWrap/>
        <w:overflowPunct/>
        <w:topLinePunct w:val="0"/>
        <w:bidi w:val="0"/>
        <w:spacing w:line="576" w:lineRule="exact"/>
        <w:jc w:val="center"/>
        <w:rPr>
          <w:rFonts w:hint="eastAsia" w:ascii="Times New Roman" w:hAnsi="Times New Roman" w:eastAsia="黑体" w:cs="Times New Roman"/>
          <w:b w:val="0"/>
          <w:bCs w:val="0"/>
          <w:color w:val="auto"/>
          <w:kern w:val="2"/>
          <w:sz w:val="44"/>
          <w:szCs w:val="44"/>
          <w:highlight w:val="none"/>
          <w:lang w:val="en-US" w:eastAsia="zh-CN" w:bidi="ar-SA"/>
        </w:rPr>
      </w:pPr>
      <w:bookmarkStart w:id="13" w:name="_Toc15377204"/>
      <w:bookmarkStart w:id="14" w:name="_Toc6307"/>
      <w:bookmarkStart w:id="15" w:name="_Toc15396602"/>
      <w:r>
        <w:rPr>
          <w:rFonts w:hint="eastAsia" w:ascii="Times New Roman" w:hAnsi="Times New Roman" w:eastAsia="黑体" w:cs="Times New Roman"/>
          <w:b w:val="0"/>
          <w:bCs w:val="0"/>
          <w:color w:val="auto"/>
          <w:kern w:val="2"/>
          <w:sz w:val="44"/>
          <w:szCs w:val="44"/>
          <w:highlight w:val="none"/>
          <w:lang w:val="en-US" w:eastAsia="zh-CN" w:bidi="ar-SA"/>
        </w:rPr>
        <w:t>第二部分  2024年度部门决算情况说明</w:t>
      </w:r>
      <w:bookmarkEnd w:id="13"/>
      <w:bookmarkEnd w:id="14"/>
      <w:bookmarkEnd w:id="15"/>
    </w:p>
    <w:p>
      <w:pPr>
        <w:pStyle w:val="33"/>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outlineLvl w:val="1"/>
        <w:rPr>
          <w:rStyle w:val="23"/>
          <w:rFonts w:hint="eastAsia" w:ascii="Times New Roman" w:hAnsi="Times New Roman" w:eastAsia="黑体"/>
          <w:b w:val="0"/>
          <w:color w:val="auto"/>
          <w:highlight w:val="none"/>
        </w:rPr>
      </w:pPr>
      <w:bookmarkStart w:id="16" w:name="_Toc15396603"/>
      <w:bookmarkStart w:id="17" w:name="_Toc1172"/>
      <w:bookmarkStart w:id="18" w:name="_Toc15377205"/>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23"/>
          <w:rFonts w:hint="eastAsia" w:ascii="Times New Roman" w:hAnsi="Times New Roman" w:eastAsia="黑体"/>
          <w:b w:val="0"/>
          <w:color w:val="auto"/>
          <w:highlight w:val="none"/>
        </w:rPr>
        <w:t>入支出决算总体情况说明</w:t>
      </w:r>
      <w:bookmarkEnd w:id="16"/>
      <w:bookmarkEnd w:id="17"/>
      <w:bookmarkEnd w:id="18"/>
    </w:p>
    <w:p>
      <w:pPr>
        <w:pStyle w:val="33"/>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outlineLvl w:val="9"/>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eastAsia="zh-CN"/>
        </w:rPr>
        <w:t>2024年度收入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w:t>
      </w:r>
      <w:r>
        <w:rPr>
          <w:rFonts w:hint="eastAsia" w:ascii="Times New Roman" w:hAnsi="Times New Roman" w:eastAsia="仿宋_GB2312" w:cs="仿宋_GB2312"/>
          <w:color w:val="auto"/>
          <w:sz w:val="32"/>
          <w:szCs w:val="32"/>
          <w:highlight w:val="none"/>
          <w:lang w:eastAsia="zh-CN"/>
        </w:rPr>
        <w:t>均为</w:t>
      </w:r>
      <w:r>
        <w:rPr>
          <w:rFonts w:hint="eastAsia" w:ascii="仿宋_GB2312" w:hAnsi="仿宋_GB2312" w:eastAsia="仿宋_GB2312" w:cs="仿宋_GB2312"/>
          <w:sz w:val="32"/>
          <w:szCs w:val="32"/>
        </w:rPr>
        <w:t>13853.97</w:t>
      </w:r>
      <w:r>
        <w:rPr>
          <w:rFonts w:hint="eastAsia" w:ascii="Times New Roman" w:hAnsi="Times New Roman" w:eastAsia="仿宋_GB2312" w:cs="仿宋_GB2312"/>
          <w:color w:val="auto"/>
          <w:sz w:val="32"/>
          <w:szCs w:val="32"/>
          <w:highlight w:val="none"/>
        </w:rPr>
        <w:t>万元。与</w:t>
      </w:r>
      <w:r>
        <w:rPr>
          <w:rFonts w:hint="eastAsia" w:ascii="Times New Roman" w:hAnsi="Times New Roman" w:eastAsia="仿宋_GB2312" w:cs="仿宋_GB2312"/>
          <w:color w:val="auto"/>
          <w:sz w:val="32"/>
          <w:szCs w:val="32"/>
          <w:highlight w:val="none"/>
          <w:lang w:eastAsia="zh-CN"/>
        </w:rPr>
        <w:t>202</w:t>
      </w:r>
      <w:r>
        <w:rPr>
          <w:rFonts w:hint="eastAsia" w:ascii="Times New Roman" w:hAnsi="Times New Roman" w:eastAsia="仿宋_GB2312" w:cs="仿宋_GB2312"/>
          <w:color w:val="auto"/>
          <w:sz w:val="32"/>
          <w:szCs w:val="32"/>
          <w:highlight w:val="none"/>
          <w:lang w:val="en-US" w:eastAsia="zh-CN"/>
        </w:rPr>
        <w:t>3</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eastAsia="zh-CN"/>
        </w:rPr>
        <w:t>度</w:t>
      </w:r>
      <w:r>
        <w:rPr>
          <w:rFonts w:hint="eastAsia" w:ascii="Times New Roman" w:hAnsi="Times New Roman" w:eastAsia="仿宋_GB2312" w:cs="仿宋_GB2312"/>
          <w:color w:val="auto"/>
          <w:sz w:val="32"/>
          <w:szCs w:val="32"/>
          <w:highlight w:val="none"/>
        </w:rPr>
        <w:t>相比，</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总计各增加</w:t>
      </w:r>
      <w:r>
        <w:rPr>
          <w:rFonts w:hint="eastAsia" w:eastAsia="仿宋_GB2312" w:cs="仿宋_GB2312"/>
          <w:color w:val="auto"/>
          <w:sz w:val="32"/>
          <w:szCs w:val="32"/>
          <w:highlight w:val="none"/>
          <w:lang w:val="en-US" w:eastAsia="zh-CN"/>
        </w:rPr>
        <w:t>1422.56</w:t>
      </w:r>
      <w:r>
        <w:rPr>
          <w:rFonts w:hint="eastAsia" w:ascii="Times New Roman" w:hAnsi="Times New Roman" w:eastAsia="仿宋_GB2312" w:cs="仿宋_GB2312"/>
          <w:color w:val="auto"/>
          <w:sz w:val="32"/>
          <w:szCs w:val="32"/>
          <w:highlight w:val="none"/>
        </w:rPr>
        <w:t>万元，增长</w:t>
      </w:r>
      <w:r>
        <w:rPr>
          <w:rFonts w:hint="eastAsia" w:eastAsia="仿宋_GB2312" w:cs="仿宋_GB2312"/>
          <w:color w:val="auto"/>
          <w:sz w:val="32"/>
          <w:szCs w:val="32"/>
          <w:highlight w:val="none"/>
          <w:lang w:val="en-US" w:eastAsia="zh-CN"/>
        </w:rPr>
        <w:t>11.44</w:t>
      </w:r>
      <w:r>
        <w:rPr>
          <w:rFonts w:hint="eastAsia" w:ascii="Times New Roman" w:hAnsi="Times New Roman" w:eastAsia="仿宋_GB2312" w:cs="仿宋_GB2312"/>
          <w:color w:val="auto"/>
          <w:sz w:val="32"/>
          <w:szCs w:val="32"/>
          <w:highlight w:val="none"/>
        </w:rPr>
        <w:t>%。主要变动原因</w:t>
      </w:r>
      <w:r>
        <w:rPr>
          <w:rFonts w:hint="eastAsia" w:eastAsia="仿宋_GB2312" w:cs="仿宋_GB2312"/>
          <w:color w:val="auto"/>
          <w:sz w:val="32"/>
          <w:szCs w:val="32"/>
          <w:highlight w:val="none"/>
          <w:lang w:val="en-US" w:eastAsia="zh-CN"/>
        </w:rPr>
        <w:t>是2024年安排的项目资金增加。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图1：</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决算总计变动情况图</w:t>
      </w:r>
    </w:p>
    <w:p>
      <w:pPr>
        <w:keepNext w:val="0"/>
        <w:keepLines w:val="0"/>
        <w:pageBreakBefore w:val="0"/>
        <w:widowControl w:val="0"/>
        <w:tabs>
          <w:tab w:val="left" w:pos="3005"/>
        </w:tabs>
        <w:kinsoku/>
        <w:wordWrap/>
        <w:overflowPunct/>
        <w:topLinePunct w:val="0"/>
        <w:autoSpaceDE/>
        <w:autoSpaceDN/>
        <w:bidi w:val="0"/>
        <w:adjustRightInd/>
        <w:snapToGrid/>
        <w:spacing w:line="576" w:lineRule="exact"/>
        <w:ind w:firstLine="640" w:firstLineChars="200"/>
        <w:textAlignment w:val="auto"/>
        <w:rPr>
          <w:rFonts w:hint="eastAsia" w:eastAsia="仿宋_GB2312" w:cs="仿宋_GB2312"/>
          <w:color w:val="auto"/>
          <w:sz w:val="32"/>
          <w:szCs w:val="32"/>
          <w:highlight w:val="none"/>
          <w:lang w:eastAsia="zh-CN"/>
        </w:rPr>
      </w:pPr>
    </w:p>
    <w:p>
      <w:pPr>
        <w:keepNext w:val="0"/>
        <w:keepLines w:val="0"/>
        <w:pageBreakBefore w:val="0"/>
        <w:widowControl w:val="0"/>
        <w:tabs>
          <w:tab w:val="left" w:pos="3005"/>
        </w:tabs>
        <w:kinsoku/>
        <w:wordWrap/>
        <w:overflowPunct/>
        <w:topLinePunct w:val="0"/>
        <w:autoSpaceDE/>
        <w:autoSpaceDN/>
        <w:bidi w:val="0"/>
        <w:adjustRightInd/>
        <w:snapToGrid/>
        <w:spacing w:line="576" w:lineRule="exact"/>
        <w:ind w:firstLine="640" w:firstLineChars="200"/>
        <w:textAlignment w:val="auto"/>
        <w:rPr>
          <w:rFonts w:hint="eastAsia" w:eastAsia="仿宋_GB2312" w:cs="仿宋_GB2312"/>
          <w:color w:val="auto"/>
          <w:sz w:val="32"/>
          <w:szCs w:val="32"/>
          <w:highlight w:val="none"/>
          <w:lang w:eastAsia="zh-CN"/>
        </w:rPr>
      </w:pPr>
    </w:p>
    <w:p>
      <w:pPr>
        <w:keepNext w:val="0"/>
        <w:keepLines w:val="0"/>
        <w:pageBreakBefore w:val="0"/>
        <w:widowControl w:val="0"/>
        <w:tabs>
          <w:tab w:val="left" w:pos="3005"/>
        </w:tabs>
        <w:kinsoku/>
        <w:wordWrap/>
        <w:overflowPunct/>
        <w:topLinePunct w:val="0"/>
        <w:autoSpaceDE/>
        <w:autoSpaceDN/>
        <w:bidi w:val="0"/>
        <w:adjustRightInd/>
        <w:snapToGrid/>
        <w:spacing w:line="576" w:lineRule="exact"/>
        <w:ind w:firstLine="640" w:firstLineChars="200"/>
        <w:textAlignment w:val="auto"/>
        <w:rPr>
          <w:rFonts w:hint="eastAsia" w:eastAsia="仿宋_GB2312" w:cs="仿宋_GB2312"/>
          <w:color w:val="auto"/>
          <w:sz w:val="32"/>
          <w:szCs w:val="32"/>
          <w:highlight w:val="none"/>
          <w:lang w:eastAsia="zh-CN"/>
        </w:rPr>
      </w:pPr>
    </w:p>
    <w:p>
      <w:pPr>
        <w:keepNext w:val="0"/>
        <w:keepLines w:val="0"/>
        <w:pageBreakBefore w:val="0"/>
        <w:widowControl w:val="0"/>
        <w:tabs>
          <w:tab w:val="left" w:pos="3005"/>
        </w:tabs>
        <w:kinsoku/>
        <w:wordWrap/>
        <w:overflowPunct/>
        <w:topLinePunct w:val="0"/>
        <w:autoSpaceDE/>
        <w:autoSpaceDN/>
        <w:bidi w:val="0"/>
        <w:adjustRightInd/>
        <w:snapToGrid/>
        <w:spacing w:line="576" w:lineRule="exact"/>
        <w:ind w:firstLine="640" w:firstLineChars="200"/>
        <w:textAlignment w:val="auto"/>
        <w:rPr>
          <w:rFonts w:hint="eastAsia" w:eastAsia="仿宋_GB2312" w:cs="仿宋_GB2312"/>
          <w:color w:val="auto"/>
          <w:sz w:val="32"/>
          <w:szCs w:val="32"/>
          <w:highlight w:val="none"/>
          <w:lang w:eastAsia="zh-CN"/>
        </w:rPr>
      </w:pPr>
    </w:p>
    <w:p>
      <w:pPr>
        <w:keepNext w:val="0"/>
        <w:keepLines w:val="0"/>
        <w:pageBreakBefore w:val="0"/>
        <w:widowControl w:val="0"/>
        <w:tabs>
          <w:tab w:val="left" w:pos="3005"/>
        </w:tabs>
        <w:kinsoku/>
        <w:wordWrap/>
        <w:overflowPunct/>
        <w:topLinePunct w:val="0"/>
        <w:autoSpaceDE/>
        <w:autoSpaceDN/>
        <w:bidi w:val="0"/>
        <w:adjustRightInd/>
        <w:snapToGrid/>
        <w:spacing w:line="576" w:lineRule="exact"/>
        <w:ind w:firstLine="420" w:firstLineChars="200"/>
        <w:textAlignment w:val="auto"/>
        <w:rPr>
          <w:rFonts w:hint="eastAsia" w:ascii="Times New Roman" w:hAnsi="Times New Roman" w:eastAsia="黑体"/>
          <w:color w:val="auto"/>
          <w:sz w:val="32"/>
          <w:szCs w:val="32"/>
          <w:highlight w:val="none"/>
          <w:lang w:eastAsia="zh-CN"/>
        </w:rPr>
      </w:pPr>
      <w:r>
        <w:rPr>
          <w:rFonts w:hint="eastAsia" w:ascii="Times New Roman" w:hAnsi="Times New Roman" w:eastAsia="方正小标宋简体" w:cs="方正小标宋简体"/>
          <w:b w:val="0"/>
          <w:color w:val="auto"/>
          <w:highlight w:val="none"/>
          <w:lang w:eastAsia="zh-CN"/>
        </w:rPr>
        <w:drawing>
          <wp:anchor distT="0" distB="0" distL="114300" distR="114300" simplePos="0" relativeHeight="251662336" behindDoc="0" locked="0" layoutInCell="1" allowOverlap="1">
            <wp:simplePos x="0" y="0"/>
            <wp:positionH relativeFrom="column">
              <wp:posOffset>163830</wp:posOffset>
            </wp:positionH>
            <wp:positionV relativeFrom="paragraph">
              <wp:posOffset>-52705</wp:posOffset>
            </wp:positionV>
            <wp:extent cx="5256530" cy="3089910"/>
            <wp:effectExtent l="4445" t="4445" r="15875" b="10795"/>
            <wp:wrapTopAndBottom/>
            <wp:docPr id="1" name="图表 1" descr="7b0a202020202263686172745265734964223a202234363130333534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bookmarkStart w:id="19" w:name="_Toc12184"/>
      <w:bookmarkStart w:id="20" w:name="_Toc15396604"/>
      <w:bookmarkStart w:id="21" w:name="_Toc15377206"/>
      <w:r>
        <w:rPr>
          <w:rFonts w:hint="eastAsia" w:ascii="Times New Roman" w:hAnsi="Times New Roman" w:eastAsia="黑体"/>
          <w:color w:val="auto"/>
          <w:sz w:val="32"/>
          <w:szCs w:val="32"/>
          <w:highlight w:val="none"/>
          <w:lang w:eastAsia="zh-CN"/>
        </w:rPr>
        <w:t>二、收入决算情况说明</w:t>
      </w:r>
      <w:bookmarkEnd w:id="19"/>
      <w:bookmarkEnd w:id="20"/>
      <w:bookmarkEnd w:id="21"/>
    </w:p>
    <w:p>
      <w:pPr>
        <w:pStyle w:val="33"/>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outlineLvl w:val="9"/>
        <w:rPr>
          <w:rFonts w:hint="eastAsia" w:ascii="Times New Roman" w:hAnsi="Times New Roman" w:eastAsia="仿宋_GB2312" w:cs="仿宋_GB2312"/>
          <w:b/>
          <w:bCs/>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2024年度本年收入合计</w:t>
      </w:r>
      <w:r>
        <w:rPr>
          <w:rFonts w:hint="eastAsia" w:ascii="仿宋_GB2312" w:hAnsi="仿宋_GB2312" w:eastAsia="仿宋_GB2312" w:cs="仿宋_GB2312"/>
          <w:sz w:val="32"/>
          <w:szCs w:val="32"/>
        </w:rPr>
        <w:t>13105.71万元，其中：一般公共预算财政拨款收入12381.13</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94.47</w:t>
      </w:r>
      <w:r>
        <w:rPr>
          <w:rFonts w:hint="eastAsia" w:ascii="仿宋_GB2312" w:hAnsi="仿宋_GB2312" w:eastAsia="仿宋_GB2312" w:cs="仿宋_GB2312"/>
          <w:color w:val="auto"/>
          <w:sz w:val="32"/>
          <w:szCs w:val="32"/>
          <w:highlight w:val="none"/>
          <w:lang w:eastAsia="zh-CN"/>
        </w:rPr>
        <w:t>%；事业收入</w:t>
      </w:r>
      <w:r>
        <w:rPr>
          <w:rFonts w:hint="eastAsia" w:ascii="仿宋_GB2312" w:hAnsi="仿宋_GB2312" w:eastAsia="仿宋_GB2312" w:cs="仿宋_GB2312"/>
          <w:sz w:val="32"/>
          <w:szCs w:val="32"/>
        </w:rPr>
        <w:t>699.71</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5.3</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color w:val="auto"/>
          <w:sz w:val="32"/>
          <w:szCs w:val="32"/>
          <w:highlight w:val="none"/>
          <w:lang w:eastAsia="zh-CN"/>
        </w:rPr>
        <w:t>%；其他收入</w:t>
      </w:r>
      <w:r>
        <w:rPr>
          <w:rFonts w:hint="eastAsia" w:ascii="仿宋_GB2312" w:hAnsi="仿宋_GB2312" w:eastAsia="仿宋_GB2312" w:cs="仿宋_GB2312"/>
          <w:sz w:val="32"/>
          <w:szCs w:val="32"/>
        </w:rPr>
        <w:t>24.87</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color w:val="auto"/>
          <w:sz w:val="32"/>
          <w:szCs w:val="32"/>
          <w:highlight w:val="none"/>
          <w:lang w:eastAsia="zh-CN"/>
        </w:rPr>
        <w:t>%。</w:t>
      </w:r>
    </w:p>
    <w:p>
      <w:pPr>
        <w:pageBreakBefore w:val="0"/>
        <w:kinsoku/>
        <w:wordWrap/>
        <w:overflowPunct/>
        <w:topLinePunct w:val="0"/>
        <w:bidi w:val="0"/>
        <w:spacing w:line="576" w:lineRule="exact"/>
        <w:ind w:firstLine="800" w:firstLineChars="250"/>
        <w:jc w:val="center"/>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图2：收入决算结构图</w:t>
      </w:r>
    </w:p>
    <w:p>
      <w:pPr>
        <w:pageBreakBefore w:val="0"/>
        <w:kinsoku/>
        <w:wordWrap/>
        <w:overflowPunct/>
        <w:topLinePunct w:val="0"/>
        <w:bidi w:val="0"/>
        <w:spacing w:line="576" w:lineRule="exact"/>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drawing>
          <wp:anchor distT="0" distB="0" distL="114300" distR="114300" simplePos="0" relativeHeight="251663360" behindDoc="0" locked="0" layoutInCell="1" allowOverlap="1">
            <wp:simplePos x="0" y="0"/>
            <wp:positionH relativeFrom="column">
              <wp:posOffset>417830</wp:posOffset>
            </wp:positionH>
            <wp:positionV relativeFrom="paragraph">
              <wp:posOffset>170180</wp:posOffset>
            </wp:positionV>
            <wp:extent cx="4223385" cy="2301875"/>
            <wp:effectExtent l="4445" t="4445" r="20320" b="17780"/>
            <wp:wrapTopAndBottom/>
            <wp:docPr id="2" name="图表 2" descr="7b0a202020202263686172745265734964223a20223230343732313936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pPr>
        <w:pStyle w:val="33"/>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outlineLvl w:val="1"/>
        <w:rPr>
          <w:rStyle w:val="23"/>
          <w:rFonts w:hint="eastAsia" w:ascii="Times New Roman" w:hAnsi="Times New Roman" w:eastAsia="黑体"/>
          <w:b w:val="0"/>
          <w:color w:val="auto"/>
          <w:highlight w:val="none"/>
        </w:rPr>
      </w:pPr>
      <w:bookmarkStart w:id="22" w:name="_Toc15396605"/>
      <w:bookmarkStart w:id="23" w:name="_Toc15377207"/>
      <w:bookmarkStart w:id="24" w:name="_Toc9525"/>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23"/>
          <w:rFonts w:hint="eastAsia" w:ascii="Times New Roman" w:hAnsi="Times New Roman" w:eastAsia="黑体"/>
          <w:b w:val="0"/>
          <w:color w:val="auto"/>
          <w:highlight w:val="none"/>
        </w:rPr>
        <w:t>出决算情况说明</w:t>
      </w:r>
      <w:bookmarkEnd w:id="22"/>
      <w:bookmarkEnd w:id="23"/>
      <w:bookmarkEnd w:id="24"/>
    </w:p>
    <w:p>
      <w:pPr>
        <w:pStyle w:val="33"/>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2024年度本年支出合计</w:t>
      </w:r>
      <w:r>
        <w:rPr>
          <w:rFonts w:hint="eastAsia" w:ascii="仿宋_GB2312" w:hAnsi="仿宋_GB2312" w:eastAsia="仿宋_GB2312" w:cs="仿宋_GB2312"/>
          <w:sz w:val="32"/>
          <w:szCs w:val="32"/>
        </w:rPr>
        <w:t>13853.97</w:t>
      </w:r>
      <w:r>
        <w:rPr>
          <w:rFonts w:hint="eastAsia" w:ascii="仿宋_GB2312" w:hAnsi="仿宋_GB2312" w:eastAsia="仿宋_GB2312" w:cs="仿宋_GB2312"/>
          <w:color w:val="auto"/>
          <w:sz w:val="32"/>
          <w:szCs w:val="32"/>
          <w:highlight w:val="none"/>
          <w:lang w:eastAsia="zh-CN"/>
        </w:rPr>
        <w:t>万元，其中：基本支出</w:t>
      </w:r>
      <w:r>
        <w:rPr>
          <w:rFonts w:hint="eastAsia" w:ascii="仿宋_GB2312" w:hAnsi="仿宋_GB2312" w:eastAsia="仿宋_GB2312" w:cs="仿宋_GB2312"/>
          <w:sz w:val="32"/>
          <w:szCs w:val="32"/>
        </w:rPr>
        <w:t>9915.18</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71.5</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color w:val="auto"/>
          <w:sz w:val="32"/>
          <w:szCs w:val="32"/>
          <w:highlight w:val="none"/>
          <w:lang w:eastAsia="zh-CN"/>
        </w:rPr>
        <w:t>%；项目支出</w:t>
      </w:r>
      <w:r>
        <w:rPr>
          <w:rFonts w:hint="eastAsia" w:ascii="仿宋_GB2312" w:hAnsi="仿宋_GB2312" w:eastAsia="仿宋_GB2312" w:cs="仿宋_GB2312"/>
          <w:sz w:val="32"/>
          <w:szCs w:val="32"/>
        </w:rPr>
        <w:t>3938.79</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28.43</w:t>
      </w:r>
      <w:r>
        <w:rPr>
          <w:rFonts w:hint="eastAsia" w:ascii="仿宋_GB2312" w:hAnsi="仿宋_GB2312" w:eastAsia="仿宋_GB2312" w:cs="仿宋_GB2312"/>
          <w:color w:val="auto"/>
          <w:sz w:val="32"/>
          <w:szCs w:val="32"/>
          <w:highlight w:val="none"/>
          <w:lang w:eastAsia="zh-CN"/>
        </w:rPr>
        <w:t>%。</w:t>
      </w:r>
    </w:p>
    <w:p>
      <w:pPr>
        <w:pageBreakBefore w:val="0"/>
        <w:kinsoku/>
        <w:wordWrap/>
        <w:overflowPunct/>
        <w:topLinePunct w:val="0"/>
        <w:bidi w:val="0"/>
        <w:spacing w:line="576" w:lineRule="exact"/>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图3：支出决算结构图</w:t>
      </w:r>
    </w:p>
    <w:p>
      <w:pPr>
        <w:pageBreakBefore w:val="0"/>
        <w:kinsoku/>
        <w:wordWrap/>
        <w:overflowPunct/>
        <w:topLinePunct w:val="0"/>
        <w:bidi w:val="0"/>
        <w:spacing w:line="576" w:lineRule="exact"/>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drawing>
          <wp:anchor distT="0" distB="0" distL="114300" distR="114300" simplePos="0" relativeHeight="251664384" behindDoc="0" locked="0" layoutInCell="1" allowOverlap="1">
            <wp:simplePos x="0" y="0"/>
            <wp:positionH relativeFrom="column">
              <wp:posOffset>497205</wp:posOffset>
            </wp:positionH>
            <wp:positionV relativeFrom="paragraph">
              <wp:posOffset>129540</wp:posOffset>
            </wp:positionV>
            <wp:extent cx="4232275" cy="2372995"/>
            <wp:effectExtent l="4445" t="4445" r="11430" b="22860"/>
            <wp:wrapTopAndBottom/>
            <wp:docPr id="3" name="图表 3" descr="7b0a202020202263686172745265734964223a20223230343732313936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pPr>
        <w:pageBreakBefore w:val="0"/>
        <w:kinsoku/>
        <w:wordWrap/>
        <w:overflowPunct/>
        <w:topLinePunct w:val="0"/>
        <w:bidi w:val="0"/>
        <w:spacing w:line="576" w:lineRule="exact"/>
        <w:ind w:firstLine="640" w:firstLineChars="200"/>
        <w:outlineLvl w:val="1"/>
        <w:rPr>
          <w:rStyle w:val="23"/>
          <w:rFonts w:ascii="Times New Roman" w:hAnsi="Times New Roman" w:eastAsia="黑体"/>
          <w:b w:val="0"/>
          <w:color w:val="auto"/>
          <w:highlight w:val="none"/>
        </w:rPr>
      </w:pPr>
      <w:bookmarkStart w:id="25" w:name="_Toc15377208"/>
      <w:bookmarkStart w:id="26" w:name="_Toc15396606"/>
      <w:bookmarkStart w:id="27" w:name="_Toc22221"/>
      <w:r>
        <w:rPr>
          <w:rFonts w:hint="eastAsia" w:ascii="Times New Roman" w:hAnsi="Times New Roman" w:eastAsia="黑体"/>
          <w:color w:val="auto"/>
          <w:sz w:val="32"/>
          <w:szCs w:val="32"/>
          <w:highlight w:val="none"/>
        </w:rPr>
        <w:t>四、财</w:t>
      </w:r>
      <w:r>
        <w:rPr>
          <w:rStyle w:val="23"/>
          <w:rFonts w:hint="eastAsia" w:ascii="Times New Roman" w:hAnsi="Times New Roman" w:eastAsia="黑体"/>
          <w:b w:val="0"/>
          <w:color w:val="auto"/>
          <w:highlight w:val="none"/>
        </w:rPr>
        <w:t>政拨款收入支出决算总体情况说明</w:t>
      </w:r>
      <w:bookmarkEnd w:id="25"/>
      <w:bookmarkEnd w:id="26"/>
      <w:bookmarkEnd w:id="27"/>
    </w:p>
    <w:p>
      <w:pPr>
        <w:pageBreakBefore w:val="0"/>
        <w:kinsoku/>
        <w:wordWrap/>
        <w:overflowPunct/>
        <w:topLinePunct w:val="0"/>
        <w:bidi w:val="0"/>
        <w:spacing w:line="576"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2024年度财政拨款收入、支出总计均为</w:t>
      </w:r>
      <w:r>
        <w:rPr>
          <w:rFonts w:hint="eastAsia" w:ascii="仿宋_GB2312" w:hAnsi="仿宋_GB2312" w:eastAsia="仿宋_GB2312" w:cs="仿宋_GB2312"/>
          <w:sz w:val="32"/>
          <w:szCs w:val="32"/>
        </w:rPr>
        <w:t>13129.39</w:t>
      </w:r>
      <w:r>
        <w:rPr>
          <w:rFonts w:hint="eastAsia" w:ascii="Times New Roman" w:hAnsi="Times New Roman" w:eastAsia="仿宋_GB2312" w:cs="仿宋_GB2312"/>
          <w:color w:val="auto"/>
          <w:kern w:val="2"/>
          <w:sz w:val="32"/>
          <w:szCs w:val="32"/>
          <w:highlight w:val="none"/>
          <w:lang w:val="en-US" w:eastAsia="zh-CN" w:bidi="ar-SA"/>
        </w:rPr>
        <w:t>万元。与2023年度相比，财政拨款收入总计、支出总计各</w:t>
      </w:r>
      <w:r>
        <w:rPr>
          <w:rFonts w:hint="eastAsia" w:eastAsia="仿宋_GB2312" w:cs="仿宋_GB2312"/>
          <w:color w:val="auto"/>
          <w:kern w:val="2"/>
          <w:sz w:val="32"/>
          <w:szCs w:val="32"/>
          <w:highlight w:val="none"/>
          <w:lang w:val="en-US" w:eastAsia="zh-CN" w:bidi="ar-SA"/>
        </w:rPr>
        <w:t>增加1516.98</w:t>
      </w:r>
      <w:r>
        <w:rPr>
          <w:rFonts w:hint="eastAsia" w:ascii="Times New Roman" w:hAnsi="Times New Roman" w:eastAsia="仿宋_GB2312" w:cs="仿宋_GB2312"/>
          <w:color w:val="auto"/>
          <w:kern w:val="2"/>
          <w:sz w:val="32"/>
          <w:szCs w:val="32"/>
          <w:highlight w:val="none"/>
          <w:lang w:val="en-US" w:eastAsia="zh-CN" w:bidi="ar-SA"/>
        </w:rPr>
        <w:t>万元，</w:t>
      </w:r>
      <w:r>
        <w:rPr>
          <w:rFonts w:hint="eastAsia" w:eastAsia="仿宋_GB2312" w:cs="仿宋_GB2312"/>
          <w:color w:val="auto"/>
          <w:kern w:val="2"/>
          <w:sz w:val="32"/>
          <w:szCs w:val="32"/>
          <w:highlight w:val="none"/>
          <w:lang w:val="en-US" w:eastAsia="zh-CN" w:bidi="ar-SA"/>
        </w:rPr>
        <w:t>增长13.06</w:t>
      </w:r>
      <w:r>
        <w:rPr>
          <w:rFonts w:hint="eastAsia" w:ascii="Times New Roman" w:hAnsi="Times New Roman" w:eastAsia="仿宋_GB2312" w:cs="仿宋_GB2312"/>
          <w:color w:val="auto"/>
          <w:kern w:val="2"/>
          <w:sz w:val="32"/>
          <w:szCs w:val="32"/>
          <w:highlight w:val="none"/>
          <w:lang w:val="en-US" w:eastAsia="zh-CN" w:bidi="ar-SA"/>
        </w:rPr>
        <w:t>%。主要变动原因是</w:t>
      </w:r>
      <w:r>
        <w:rPr>
          <w:rFonts w:hint="eastAsia" w:eastAsia="仿宋_GB2312" w:cs="仿宋_GB2312"/>
          <w:color w:val="auto"/>
          <w:sz w:val="32"/>
          <w:szCs w:val="32"/>
          <w:highlight w:val="none"/>
          <w:lang w:val="en-US" w:eastAsia="zh-CN"/>
        </w:rPr>
        <w:t>2024年安排的项目资金增加。</w:t>
      </w:r>
    </w:p>
    <w:p>
      <w:pPr>
        <w:pageBreakBefore w:val="0"/>
        <w:kinsoku/>
        <w:wordWrap/>
        <w:overflowPunct/>
        <w:topLinePunct w:val="0"/>
        <w:bidi w:val="0"/>
        <w:spacing w:line="576"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图4：财政拨款收、支决算总计变动情况</w:t>
      </w:r>
    </w:p>
    <w:p>
      <w:pPr>
        <w:pageBreakBefore w:val="0"/>
        <w:kinsoku/>
        <w:wordWrap/>
        <w:overflowPunct/>
        <w:topLinePunct w:val="0"/>
        <w:bidi w:val="0"/>
        <w:spacing w:line="576"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drawing>
          <wp:anchor distT="0" distB="0" distL="114300" distR="114300" simplePos="0" relativeHeight="251659264" behindDoc="0" locked="0" layoutInCell="1" allowOverlap="1">
            <wp:simplePos x="0" y="0"/>
            <wp:positionH relativeFrom="column">
              <wp:posOffset>250825</wp:posOffset>
            </wp:positionH>
            <wp:positionV relativeFrom="paragraph">
              <wp:posOffset>327025</wp:posOffset>
            </wp:positionV>
            <wp:extent cx="5110480" cy="2519045"/>
            <wp:effectExtent l="4445" t="4445" r="9525" b="10160"/>
            <wp:wrapTopAndBottom/>
            <wp:docPr id="5" name="图表 5" descr="7b0a202020202263686172745265734964223a202234363130333534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p>
    <w:p>
      <w:pPr>
        <w:pageBreakBefore w:val="0"/>
        <w:kinsoku/>
        <w:wordWrap/>
        <w:overflowPunct/>
        <w:topLinePunct w:val="0"/>
        <w:bidi w:val="0"/>
        <w:spacing w:line="576" w:lineRule="exact"/>
        <w:ind w:firstLine="640" w:firstLineChars="200"/>
        <w:outlineLvl w:val="1"/>
        <w:rPr>
          <w:rStyle w:val="23"/>
          <w:rFonts w:ascii="Times New Roman" w:hAnsi="Times New Roman" w:eastAsia="黑体"/>
          <w:b w:val="0"/>
          <w:color w:val="auto"/>
          <w:highlight w:val="none"/>
        </w:rPr>
      </w:pPr>
      <w:bookmarkStart w:id="28" w:name="_Toc15377209"/>
      <w:bookmarkStart w:id="29" w:name="_Toc15396607"/>
      <w:bookmarkStart w:id="30" w:name="_Toc26471"/>
      <w:r>
        <w:rPr>
          <w:rFonts w:hint="eastAsia" w:ascii="Times New Roman" w:hAnsi="Times New Roman" w:eastAsia="仿宋_GB2312" w:cs="仿宋_GB2312"/>
          <w:color w:val="auto"/>
          <w:kern w:val="2"/>
          <w:sz w:val="32"/>
          <w:szCs w:val="32"/>
          <w:highlight w:val="none"/>
          <w:lang w:val="en-US" w:eastAsia="zh-CN" w:bidi="ar-SA"/>
        </w:rPr>
        <w:drawing>
          <wp:anchor distT="0" distB="0" distL="114300" distR="114300" simplePos="0" relativeHeight="251660288" behindDoc="0" locked="0" layoutInCell="1" allowOverlap="1">
            <wp:simplePos x="0" y="0"/>
            <wp:positionH relativeFrom="column">
              <wp:posOffset>558165</wp:posOffset>
            </wp:positionH>
            <wp:positionV relativeFrom="paragraph">
              <wp:posOffset>2952750</wp:posOffset>
            </wp:positionV>
            <wp:extent cx="4795520" cy="2534920"/>
            <wp:effectExtent l="4445" t="4445" r="19685" b="13335"/>
            <wp:wrapTopAndBottom/>
            <wp:docPr id="6" name="图表 6" descr="7b0a202020202263686172745265734964223a202234363130333534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23"/>
          <w:rFonts w:hint="eastAsia" w:ascii="Times New Roman" w:hAnsi="Times New Roman" w:eastAsia="黑体"/>
          <w:b w:val="0"/>
          <w:color w:val="auto"/>
          <w:highlight w:val="none"/>
        </w:rPr>
        <w:t>般公共预算财政拨款支出决算情况说明</w:t>
      </w:r>
      <w:bookmarkEnd w:id="28"/>
      <w:bookmarkEnd w:id="29"/>
      <w:bookmarkEnd w:id="30"/>
    </w:p>
    <w:p>
      <w:pPr>
        <w:pageBreakBefore w:val="0"/>
        <w:kinsoku/>
        <w:wordWrap/>
        <w:overflowPunct/>
        <w:topLinePunct w:val="0"/>
        <w:bidi w:val="0"/>
        <w:spacing w:line="576" w:lineRule="exact"/>
        <w:ind w:firstLine="642" w:firstLineChars="200"/>
        <w:outlineLvl w:val="2"/>
        <w:rPr>
          <w:rFonts w:hint="eastAsia" w:ascii="Times New Roman" w:hAnsi="Times New Roman" w:eastAsia="楷体_GB2312" w:cs="楷体_GB2312"/>
          <w:b/>
          <w:color w:val="auto"/>
          <w:sz w:val="32"/>
          <w:szCs w:val="32"/>
          <w:highlight w:val="none"/>
        </w:rPr>
      </w:pPr>
      <w:bookmarkStart w:id="31"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31"/>
    </w:p>
    <w:p>
      <w:pPr>
        <w:pageBreakBefore w:val="0"/>
        <w:kinsoku/>
        <w:wordWrap/>
        <w:overflowPunct/>
        <w:topLinePunct w:val="0"/>
        <w:bidi w:val="0"/>
        <w:spacing w:line="576" w:lineRule="exact"/>
        <w:ind w:firstLine="640"/>
        <w:rPr>
          <w:rFonts w:hint="eastAsia"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13129.39</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94.</w:t>
      </w:r>
      <w:r>
        <w:rPr>
          <w:rFonts w:hint="eastAsia" w:ascii="仿宋_GB2312" w:hAnsi="仿宋_GB2312" w:eastAsia="仿宋_GB2312" w:cs="仿宋_GB2312"/>
          <w:sz w:val="32"/>
          <w:szCs w:val="32"/>
          <w:lang w:val="en-US" w:eastAsia="zh-CN"/>
        </w:rPr>
        <w:t>77</w:t>
      </w:r>
      <w:r>
        <w:rPr>
          <w:rFonts w:hint="eastAsia" w:ascii="仿宋_GB2312" w:hAnsi="仿宋_GB2312" w:eastAsia="仿宋_GB2312" w:cs="仿宋_GB2312"/>
          <w:color w:val="auto"/>
          <w:kern w:val="2"/>
          <w:sz w:val="32"/>
          <w:szCs w:val="32"/>
          <w:highlight w:val="none"/>
          <w:lang w:val="en-US" w:eastAsia="zh-CN" w:bidi="ar-SA"/>
        </w:rPr>
        <w:t>%。与2023年度相比，一般公共预算财政拨款支出增加2265.24万元，增长20.85%。主要变动原因是</w:t>
      </w:r>
      <w:r>
        <w:rPr>
          <w:rFonts w:hint="eastAsia" w:eastAsia="仿宋_GB2312" w:cs="仿宋_GB2312"/>
          <w:color w:val="auto"/>
          <w:sz w:val="32"/>
          <w:szCs w:val="32"/>
          <w:highlight w:val="none"/>
          <w:lang w:val="en-US" w:eastAsia="zh-CN"/>
        </w:rPr>
        <w:t>2024年安排的项目资金增加。</w:t>
      </w:r>
    </w:p>
    <w:p>
      <w:pPr>
        <w:pageBreakBefore w:val="0"/>
        <w:kinsoku/>
        <w:wordWrap/>
        <w:overflowPunct/>
        <w:topLinePunct w:val="0"/>
        <w:bidi w:val="0"/>
        <w:spacing w:line="576"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图5：一般公共预算财政拨款支出决算变动情况</w:t>
      </w:r>
    </w:p>
    <w:p>
      <w:pPr>
        <w:pStyle w:val="7"/>
        <w:pageBreakBefore w:val="0"/>
        <w:kinsoku/>
        <w:wordWrap/>
        <w:overflowPunct/>
        <w:topLinePunct w:val="0"/>
        <w:bidi w:val="0"/>
        <w:spacing w:line="576" w:lineRule="exact"/>
        <w:rPr>
          <w:rFonts w:hint="eastAsia" w:ascii="Times New Roman" w:hAnsi="Times New Roman" w:eastAsia="仿宋_GB2312" w:cs="仿宋_GB2312"/>
          <w:color w:val="auto"/>
          <w:kern w:val="2"/>
          <w:sz w:val="32"/>
          <w:szCs w:val="32"/>
          <w:highlight w:val="none"/>
          <w:lang w:val="en-US" w:eastAsia="zh-CN" w:bidi="ar-SA"/>
        </w:rPr>
      </w:pPr>
    </w:p>
    <w:p>
      <w:pPr>
        <w:pageBreakBefore w:val="0"/>
        <w:kinsoku/>
        <w:wordWrap/>
        <w:overflowPunct/>
        <w:topLinePunct w:val="0"/>
        <w:bidi w:val="0"/>
        <w:spacing w:line="576" w:lineRule="exact"/>
        <w:rPr>
          <w:rFonts w:hint="eastAsia" w:ascii="Times New Roman" w:hAnsi="Times New Roman" w:eastAsia="仿宋_GB2312" w:cs="仿宋_GB2312"/>
          <w:color w:val="auto"/>
          <w:kern w:val="2"/>
          <w:sz w:val="32"/>
          <w:szCs w:val="32"/>
          <w:highlight w:val="none"/>
          <w:lang w:val="en-US" w:eastAsia="zh-CN" w:bidi="ar-SA"/>
        </w:rPr>
      </w:pPr>
    </w:p>
    <w:p>
      <w:pPr>
        <w:pStyle w:val="7"/>
        <w:pageBreakBefore w:val="0"/>
        <w:kinsoku/>
        <w:wordWrap/>
        <w:overflowPunct/>
        <w:topLinePunct w:val="0"/>
        <w:bidi w:val="0"/>
        <w:spacing w:line="576" w:lineRule="exact"/>
        <w:rPr>
          <w:rFonts w:hint="eastAsia" w:ascii="Times New Roman" w:hAnsi="Times New Roman" w:eastAsia="楷体_GB2312" w:cs="楷体_GB2312"/>
          <w:b/>
          <w:color w:val="auto"/>
          <w:sz w:val="32"/>
          <w:szCs w:val="32"/>
          <w:highlight w:val="none"/>
        </w:rPr>
      </w:pPr>
      <w:bookmarkStart w:id="32" w:name="_Toc15377211"/>
      <w:r>
        <w:rPr>
          <w:rFonts w:hint="eastAsia" w:ascii="Times New Roman" w:hAnsi="Times New Roman" w:eastAsia="楷体_GB2312" w:cs="楷体_GB2312"/>
          <w:b/>
          <w:color w:val="auto"/>
          <w:sz w:val="32"/>
          <w:szCs w:val="32"/>
          <w:highlight w:val="none"/>
        </w:rPr>
        <w:t>（二）一般公共预算财政拨款支出决算结构情况</w:t>
      </w:r>
      <w:bookmarkEnd w:id="32"/>
    </w:p>
    <w:p>
      <w:pPr>
        <w:pageBreakBefore w:val="0"/>
        <w:kinsoku/>
        <w:wordWrap/>
        <w:overflowPunct/>
        <w:topLinePunct w:val="0"/>
        <w:bidi w:val="0"/>
        <w:spacing w:line="576"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13129.39</w:t>
      </w:r>
      <w:r>
        <w:rPr>
          <w:rFonts w:hint="eastAsia" w:ascii="仿宋_GB2312" w:hAnsi="仿宋_GB2312" w:eastAsia="仿宋_GB2312" w:cs="仿宋_GB2312"/>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，主要用于以下方面</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教育支出</w:t>
      </w:r>
      <w:r>
        <w:rPr>
          <w:rFonts w:hint="eastAsia" w:eastAsia="仿宋_GB2312" w:cs="仿宋_GB2312"/>
          <w:color w:val="auto"/>
          <w:kern w:val="2"/>
          <w:sz w:val="32"/>
          <w:szCs w:val="32"/>
          <w:highlight w:val="none"/>
          <w:lang w:val="en-US" w:eastAsia="zh-CN" w:bidi="ar-SA"/>
        </w:rPr>
        <w:t>10401.20</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79.22</w:t>
      </w:r>
      <w:r>
        <w:rPr>
          <w:rFonts w:hint="eastAsia" w:ascii="Times New Roman" w:hAnsi="Times New Roman" w:eastAsia="仿宋_GB2312" w:cs="仿宋_GB2312"/>
          <w:color w:val="auto"/>
          <w:kern w:val="2"/>
          <w:sz w:val="32"/>
          <w:szCs w:val="32"/>
          <w:highlight w:val="none"/>
          <w:lang w:val="en-US" w:eastAsia="zh-CN" w:bidi="ar-SA"/>
        </w:rPr>
        <w:t>%；社会保障和就业支出</w:t>
      </w:r>
      <w:r>
        <w:rPr>
          <w:rFonts w:hint="eastAsia" w:eastAsia="仿宋_GB2312" w:cs="仿宋_GB2312"/>
          <w:color w:val="auto"/>
          <w:kern w:val="2"/>
          <w:sz w:val="32"/>
          <w:szCs w:val="32"/>
          <w:highlight w:val="none"/>
          <w:lang w:val="en-US" w:eastAsia="zh-CN" w:bidi="ar-SA"/>
        </w:rPr>
        <w:t>1140.39</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8.69</w:t>
      </w:r>
      <w:r>
        <w:rPr>
          <w:rFonts w:hint="eastAsia" w:ascii="Times New Roman" w:hAnsi="Times New Roman" w:eastAsia="仿宋_GB2312" w:cs="仿宋_GB2312"/>
          <w:color w:val="auto"/>
          <w:kern w:val="2"/>
          <w:sz w:val="32"/>
          <w:szCs w:val="32"/>
          <w:highlight w:val="none"/>
          <w:lang w:val="en-US" w:eastAsia="zh-CN" w:bidi="ar-SA"/>
        </w:rPr>
        <w:t>%；卫生健康支出</w:t>
      </w:r>
      <w:r>
        <w:rPr>
          <w:rFonts w:hint="eastAsia" w:eastAsia="仿宋_GB2312" w:cs="仿宋_GB2312"/>
          <w:color w:val="auto"/>
          <w:kern w:val="2"/>
          <w:sz w:val="32"/>
          <w:szCs w:val="32"/>
          <w:highlight w:val="none"/>
          <w:lang w:val="en-US" w:eastAsia="zh-CN" w:bidi="ar-SA"/>
        </w:rPr>
        <w:t>276.93</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2.11</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节能环保支出662.18万元，</w:t>
      </w:r>
      <w:r>
        <w:rPr>
          <w:rFonts w:hint="eastAsia" w:ascii="Times New Roman" w:hAnsi="Times New Roman" w:eastAsia="仿宋_GB2312" w:cs="仿宋_GB2312"/>
          <w:color w:val="auto"/>
          <w:kern w:val="2"/>
          <w:sz w:val="32"/>
          <w:szCs w:val="32"/>
          <w:highlight w:val="none"/>
          <w:lang w:val="en-US" w:eastAsia="zh-CN" w:bidi="ar-SA"/>
        </w:rPr>
        <w:t>占</w:t>
      </w:r>
      <w:r>
        <w:rPr>
          <w:rFonts w:hint="eastAsia" w:eastAsia="仿宋_GB2312" w:cs="仿宋_GB2312"/>
          <w:color w:val="auto"/>
          <w:kern w:val="2"/>
          <w:sz w:val="32"/>
          <w:szCs w:val="32"/>
          <w:highlight w:val="none"/>
          <w:lang w:val="en-US" w:eastAsia="zh-CN" w:bidi="ar-SA"/>
        </w:rPr>
        <w:t>5.04</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住房保障支出</w:t>
      </w:r>
      <w:r>
        <w:rPr>
          <w:rFonts w:hint="eastAsia" w:eastAsia="仿宋_GB2312" w:cs="仿宋_GB2312"/>
          <w:color w:val="auto"/>
          <w:kern w:val="2"/>
          <w:sz w:val="32"/>
          <w:szCs w:val="32"/>
          <w:highlight w:val="none"/>
          <w:lang w:val="en-US" w:eastAsia="zh-CN" w:bidi="ar-SA"/>
        </w:rPr>
        <w:t>648.69</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4.94</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pPr>
        <w:pageBreakBefore w:val="0"/>
        <w:kinsoku/>
        <w:wordWrap/>
        <w:overflowPunct/>
        <w:topLinePunct w:val="0"/>
        <w:bidi w:val="0"/>
        <w:spacing w:line="576"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图6：一般公共预算财政拨款支出决算结构</w:t>
      </w:r>
      <w:r>
        <w:rPr>
          <w:rFonts w:hint="eastAsia" w:ascii="Times New Roman" w:hAnsi="Times New Roman" w:eastAsia="仿宋_GB2312" w:cs="仿宋_GB2312"/>
          <w:color w:val="auto"/>
          <w:kern w:val="2"/>
          <w:sz w:val="32"/>
          <w:szCs w:val="32"/>
          <w:highlight w:val="none"/>
          <w:lang w:val="en-US" w:eastAsia="zh-CN" w:bidi="ar-SA"/>
        </w:rPr>
        <w:drawing>
          <wp:anchor distT="0" distB="0" distL="114300" distR="114300" simplePos="0" relativeHeight="251661312" behindDoc="0" locked="0" layoutInCell="1" allowOverlap="1">
            <wp:simplePos x="0" y="0"/>
            <wp:positionH relativeFrom="column">
              <wp:posOffset>384175</wp:posOffset>
            </wp:positionH>
            <wp:positionV relativeFrom="paragraph">
              <wp:posOffset>386080</wp:posOffset>
            </wp:positionV>
            <wp:extent cx="4903470" cy="2571115"/>
            <wp:effectExtent l="4445" t="4445" r="6985" b="15240"/>
            <wp:wrapTopAndBottom/>
            <wp:docPr id="4" name="图表 4" descr="7b0a202020202263686172745265734964223a20223230343732313936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p>
    <w:p>
      <w:pPr>
        <w:pageBreakBefore w:val="0"/>
        <w:kinsoku/>
        <w:wordWrap/>
        <w:overflowPunct/>
        <w:topLinePunct w:val="0"/>
        <w:bidi w:val="0"/>
        <w:spacing w:line="576" w:lineRule="exact"/>
        <w:ind w:firstLine="642" w:firstLineChars="200"/>
        <w:outlineLvl w:val="2"/>
        <w:rPr>
          <w:rFonts w:hint="eastAsia" w:ascii="Times New Roman" w:hAnsi="Times New Roman" w:eastAsia="楷体_GB2312" w:cs="楷体_GB2312"/>
          <w:b/>
          <w:color w:val="auto"/>
          <w:sz w:val="32"/>
          <w:szCs w:val="32"/>
          <w:highlight w:val="none"/>
        </w:rPr>
      </w:pPr>
      <w:bookmarkStart w:id="33" w:name="_Toc15377212"/>
      <w:r>
        <w:rPr>
          <w:rFonts w:hint="eastAsia" w:ascii="Times New Roman" w:hAnsi="Times New Roman" w:eastAsia="楷体_GB2312" w:cs="楷体_GB2312"/>
          <w:b/>
          <w:color w:val="auto"/>
          <w:sz w:val="32"/>
          <w:szCs w:val="32"/>
          <w:highlight w:val="none"/>
        </w:rPr>
        <w:t>（三）一般公共预算财政拨款支出决算具体情况</w:t>
      </w:r>
      <w:bookmarkEnd w:id="33"/>
    </w:p>
    <w:p>
      <w:pPr>
        <w:pageBreakBefore w:val="0"/>
        <w:kinsoku/>
        <w:wordWrap/>
        <w:overflowPunct/>
        <w:topLinePunct w:val="0"/>
        <w:bidi w:val="0"/>
        <w:spacing w:line="576" w:lineRule="exact"/>
        <w:ind w:firstLine="640"/>
        <w:rPr>
          <w:rFonts w:hint="eastAsia" w:ascii="Times New Roman" w:hAnsi="Times New Roman" w:eastAsia="仿宋_GB2312" w:cs="仿宋_GB2312"/>
          <w:color w:val="auto"/>
          <w:kern w:val="2"/>
          <w:sz w:val="32"/>
          <w:szCs w:val="32"/>
          <w:highlight w:val="none"/>
          <w:lang w:val="en-US" w:eastAsia="zh-CN" w:bidi="ar-SA"/>
        </w:rPr>
      </w:pPr>
      <w:bookmarkStart w:id="34" w:name="_Toc15377444"/>
      <w:bookmarkStart w:id="35" w:name="_Toc15377213"/>
      <w:bookmarkStart w:id="36" w:name="_Toc15378460"/>
      <w:r>
        <w:rPr>
          <w:rFonts w:hint="eastAsia" w:ascii="Times New Roman" w:hAnsi="Times New Roman" w:eastAsia="仿宋_GB2312" w:cs="仿宋_GB2312"/>
          <w:color w:val="auto"/>
          <w:kern w:val="2"/>
          <w:sz w:val="32"/>
          <w:szCs w:val="32"/>
          <w:highlight w:val="none"/>
          <w:lang w:val="en-US" w:eastAsia="zh-CN" w:bidi="ar-SA"/>
        </w:rPr>
        <w:t>2024年度一般公共预算财政拨款支出决算数为</w:t>
      </w:r>
      <w:r>
        <w:rPr>
          <w:rFonts w:hint="eastAsia" w:ascii="仿宋_GB2312" w:hAnsi="仿宋_GB2312" w:eastAsia="仿宋_GB2312" w:cs="仿宋_GB2312"/>
          <w:sz w:val="32"/>
          <w:szCs w:val="32"/>
        </w:rPr>
        <w:t>13129.39</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%。其中：</w:t>
      </w:r>
      <w:bookmarkEnd w:id="34"/>
      <w:bookmarkEnd w:id="35"/>
      <w:bookmarkEnd w:id="36"/>
    </w:p>
    <w:p>
      <w:pPr>
        <w:pageBreakBefore w:val="0"/>
        <w:numPr>
          <w:ilvl w:val="0"/>
          <w:numId w:val="0"/>
        </w:numPr>
        <w:kinsoku/>
        <w:wordWrap/>
        <w:overflowPunct/>
        <w:topLinePunct w:val="0"/>
        <w:bidi w:val="0"/>
        <w:spacing w:line="576" w:lineRule="exact"/>
        <w:ind w:firstLine="640" w:firstLineChars="200"/>
        <w:rPr>
          <w:rFonts w:hint="eastAsia"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en-US" w:eastAsia="zh-CN" w:bidi="ar-SA"/>
        </w:rPr>
        <w:t>教育（类）</w:t>
      </w:r>
      <w:r>
        <w:rPr>
          <w:rFonts w:hint="eastAsia" w:eastAsia="仿宋_GB2312" w:cs="仿宋_GB2312"/>
          <w:color w:val="auto"/>
          <w:kern w:val="2"/>
          <w:sz w:val="32"/>
          <w:szCs w:val="32"/>
          <w:highlight w:val="none"/>
          <w:lang w:val="en-US" w:eastAsia="zh-CN" w:bidi="ar-SA"/>
        </w:rPr>
        <w:t>普通教育</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初中教育</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 xml:space="preserve"> 支出决算为</w:t>
      </w:r>
      <w:r>
        <w:rPr>
          <w:rFonts w:hint="eastAsia" w:eastAsia="仿宋_GB2312" w:cs="仿宋_GB2312"/>
          <w:color w:val="auto"/>
          <w:kern w:val="2"/>
          <w:sz w:val="32"/>
          <w:szCs w:val="32"/>
          <w:highlight w:val="none"/>
          <w:lang w:val="en-US" w:eastAsia="zh-CN" w:bidi="ar-SA"/>
        </w:rPr>
        <w:t>1335.98</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%，决算数等于预算数</w:t>
      </w:r>
      <w:r>
        <w:rPr>
          <w:rFonts w:hint="eastAsia" w:eastAsia="仿宋_GB2312" w:cs="仿宋_GB2312"/>
          <w:color w:val="auto"/>
          <w:kern w:val="2"/>
          <w:sz w:val="32"/>
          <w:szCs w:val="32"/>
          <w:highlight w:val="none"/>
          <w:lang w:val="en-US" w:eastAsia="zh-CN" w:bidi="ar-SA"/>
        </w:rPr>
        <w:t>。</w:t>
      </w:r>
    </w:p>
    <w:p>
      <w:pPr>
        <w:pageBreakBefore w:val="0"/>
        <w:numPr>
          <w:ilvl w:val="0"/>
          <w:numId w:val="0"/>
        </w:numPr>
        <w:kinsoku/>
        <w:wordWrap/>
        <w:overflowPunct/>
        <w:topLinePunct w:val="0"/>
        <w:bidi w:val="0"/>
        <w:spacing w:line="576" w:lineRule="exact"/>
        <w:ind w:firstLine="640" w:firstLineChars="200"/>
        <w:rPr>
          <w:rFonts w:hint="default"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2.</w:t>
      </w:r>
      <w:r>
        <w:rPr>
          <w:rFonts w:hint="eastAsia" w:ascii="Times New Roman" w:hAnsi="Times New Roman" w:eastAsia="仿宋_GB2312" w:cs="仿宋_GB2312"/>
          <w:color w:val="auto"/>
          <w:kern w:val="2"/>
          <w:sz w:val="32"/>
          <w:szCs w:val="32"/>
          <w:highlight w:val="none"/>
          <w:lang w:val="en-US" w:eastAsia="zh-CN" w:bidi="ar-SA"/>
        </w:rPr>
        <w:t>教育（类）</w:t>
      </w:r>
      <w:r>
        <w:rPr>
          <w:rFonts w:hint="eastAsia" w:eastAsia="仿宋_GB2312" w:cs="仿宋_GB2312"/>
          <w:color w:val="auto"/>
          <w:kern w:val="2"/>
          <w:sz w:val="32"/>
          <w:szCs w:val="32"/>
          <w:highlight w:val="none"/>
          <w:lang w:val="en-US" w:eastAsia="zh-CN" w:bidi="ar-SA"/>
        </w:rPr>
        <w:t>普通教育</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高中教育</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 xml:space="preserve"> 支出决算为</w:t>
      </w:r>
      <w:r>
        <w:rPr>
          <w:rFonts w:hint="eastAsia" w:eastAsia="仿宋_GB2312" w:cs="仿宋_GB2312"/>
          <w:color w:val="auto"/>
          <w:kern w:val="2"/>
          <w:sz w:val="32"/>
          <w:szCs w:val="32"/>
          <w:highlight w:val="none"/>
          <w:lang w:val="en-US" w:eastAsia="zh-CN" w:bidi="ar-SA"/>
        </w:rPr>
        <w:t>9033.12</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%，决算数等于预算数</w:t>
      </w:r>
      <w:r>
        <w:rPr>
          <w:rFonts w:hint="eastAsia" w:eastAsia="仿宋_GB2312" w:cs="仿宋_GB2312"/>
          <w:color w:val="auto"/>
          <w:kern w:val="2"/>
          <w:sz w:val="32"/>
          <w:szCs w:val="32"/>
          <w:highlight w:val="none"/>
          <w:lang w:val="en-US" w:eastAsia="zh-CN" w:bidi="ar-SA"/>
        </w:rPr>
        <w:t>。</w:t>
      </w:r>
    </w:p>
    <w:p>
      <w:pPr>
        <w:pageBreakBefore w:val="0"/>
        <w:kinsoku/>
        <w:wordWrap/>
        <w:overflowPunct/>
        <w:topLinePunct w:val="0"/>
        <w:bidi w:val="0"/>
        <w:spacing w:line="576" w:lineRule="exact"/>
        <w:ind w:firstLine="640"/>
        <w:rPr>
          <w:rFonts w:hint="eastAsia"/>
          <w:lang w:val="en-US" w:eastAsia="zh-CN"/>
        </w:rPr>
      </w:pPr>
      <w:r>
        <w:rPr>
          <w:rFonts w:hint="eastAsia" w:eastAsia="仿宋_GB2312" w:cs="仿宋_GB2312"/>
          <w:color w:val="auto"/>
          <w:kern w:val="2"/>
          <w:sz w:val="32"/>
          <w:szCs w:val="32"/>
          <w:highlight w:val="none"/>
          <w:lang w:val="en-US" w:eastAsia="zh-CN" w:bidi="ar-SA"/>
        </w:rPr>
        <w:t>3.</w:t>
      </w:r>
      <w:r>
        <w:rPr>
          <w:rFonts w:hint="eastAsia" w:ascii="Times New Roman" w:hAnsi="Times New Roman" w:eastAsia="仿宋_GB2312" w:cs="仿宋_GB2312"/>
          <w:color w:val="auto"/>
          <w:kern w:val="2"/>
          <w:sz w:val="32"/>
          <w:szCs w:val="32"/>
          <w:highlight w:val="none"/>
          <w:lang w:val="en-US" w:eastAsia="zh-CN" w:bidi="ar-SA"/>
        </w:rPr>
        <w:t>教育（类）</w:t>
      </w:r>
      <w:r>
        <w:rPr>
          <w:rFonts w:hint="eastAsia" w:eastAsia="仿宋_GB2312" w:cs="仿宋_GB2312"/>
          <w:color w:val="auto"/>
          <w:kern w:val="2"/>
          <w:sz w:val="32"/>
          <w:szCs w:val="32"/>
          <w:highlight w:val="none"/>
          <w:lang w:val="en-US" w:eastAsia="zh-CN" w:bidi="ar-SA"/>
        </w:rPr>
        <w:t>普通教育</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其他普通教育支出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 xml:space="preserve"> 支出决算为</w:t>
      </w:r>
      <w:r>
        <w:rPr>
          <w:rFonts w:hint="eastAsia" w:eastAsia="仿宋_GB2312" w:cs="仿宋_GB2312"/>
          <w:color w:val="auto"/>
          <w:kern w:val="2"/>
          <w:sz w:val="32"/>
          <w:szCs w:val="32"/>
          <w:highlight w:val="none"/>
          <w:lang w:val="en-US" w:eastAsia="zh-CN" w:bidi="ar-SA"/>
        </w:rPr>
        <w:t>32.10</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%，决算数等于预算数</w:t>
      </w:r>
      <w:r>
        <w:rPr>
          <w:rFonts w:hint="eastAsia" w:eastAsia="仿宋_GB2312" w:cs="仿宋_GB2312"/>
          <w:color w:val="auto"/>
          <w:kern w:val="2"/>
          <w:sz w:val="32"/>
          <w:szCs w:val="32"/>
          <w:highlight w:val="none"/>
          <w:lang w:val="en-US" w:eastAsia="zh-CN" w:bidi="ar-SA"/>
        </w:rPr>
        <w:t>。</w:t>
      </w:r>
    </w:p>
    <w:p>
      <w:pPr>
        <w:pageBreakBefore w:val="0"/>
        <w:kinsoku/>
        <w:wordWrap/>
        <w:overflowPunct/>
        <w:topLinePunct w:val="0"/>
        <w:bidi w:val="0"/>
        <w:spacing w:line="576"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en-US" w:eastAsia="zh-CN" w:bidi="ar-SA"/>
        </w:rPr>
        <w:t>.社会保障和就业（类）</w:t>
      </w:r>
      <w:r>
        <w:rPr>
          <w:rFonts w:hint="eastAsia" w:eastAsia="仿宋_GB2312" w:cs="仿宋_GB2312"/>
          <w:color w:val="auto"/>
          <w:kern w:val="2"/>
          <w:sz w:val="32"/>
          <w:szCs w:val="32"/>
          <w:highlight w:val="none"/>
          <w:lang w:val="en-US" w:eastAsia="zh-CN" w:bidi="ar-SA"/>
        </w:rPr>
        <w:t>人力资源和社会保障管理事务</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引进人才费用</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51.60</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%，决算数等于预算数</w:t>
      </w:r>
      <w:r>
        <w:rPr>
          <w:rFonts w:hint="eastAsia" w:eastAsia="仿宋_GB2312" w:cs="仿宋_GB2312"/>
          <w:color w:val="auto"/>
          <w:kern w:val="2"/>
          <w:sz w:val="32"/>
          <w:szCs w:val="32"/>
          <w:highlight w:val="none"/>
          <w:lang w:val="en-US" w:eastAsia="zh-CN" w:bidi="ar-SA"/>
        </w:rPr>
        <w:t>。</w:t>
      </w:r>
    </w:p>
    <w:p>
      <w:pPr>
        <w:pageBreakBefore w:val="0"/>
        <w:numPr>
          <w:ilvl w:val="0"/>
          <w:numId w:val="0"/>
        </w:numPr>
        <w:shd w:val="clear" w:color="auto" w:fill="auto"/>
        <w:kinsoku/>
        <w:wordWrap/>
        <w:overflowPunct/>
        <w:topLinePunct w:val="0"/>
        <w:bidi w:val="0"/>
        <w:spacing w:line="576" w:lineRule="exact"/>
        <w:ind w:firstLine="640" w:firstLineChars="200"/>
        <w:outlineLvl w:val="9"/>
        <w:rPr>
          <w:rFonts w:hint="eastAsia" w:ascii="仿宋_GB2312" w:eastAsia="仿宋_GB2312" w:cs="Times New Roman"/>
          <w:b w:val="0"/>
          <w:bCs w:val="0"/>
          <w:color w:val="000000"/>
          <w:sz w:val="32"/>
          <w:szCs w:val="32"/>
          <w:highlight w:val="none"/>
        </w:rPr>
      </w:pPr>
      <w:r>
        <w:rPr>
          <w:rFonts w:hint="eastAsia" w:ascii="仿宋_GB2312" w:eastAsia="仿宋_GB2312" w:cs="Times New Roman"/>
          <w:b w:val="0"/>
          <w:bCs w:val="0"/>
          <w:color w:val="auto"/>
          <w:sz w:val="32"/>
          <w:szCs w:val="32"/>
          <w:highlight w:val="none"/>
          <w:lang w:val="en-US" w:eastAsia="zh-CN"/>
        </w:rPr>
        <w:t>5.</w:t>
      </w:r>
      <w:r>
        <w:rPr>
          <w:rFonts w:hint="eastAsia" w:ascii="仿宋_GB2312" w:eastAsia="仿宋_GB2312" w:cs="Times New Roman"/>
          <w:b w:val="0"/>
          <w:bCs w:val="0"/>
          <w:color w:val="auto"/>
          <w:sz w:val="32"/>
          <w:szCs w:val="32"/>
          <w:highlight w:val="none"/>
        </w:rPr>
        <w:t>社会保障和就业（类）行政事业单位养老支出（款）</w:t>
      </w:r>
      <w:r>
        <w:rPr>
          <w:rFonts w:hint="eastAsia" w:ascii="仿宋_GB2312" w:eastAsia="仿宋_GB2312" w:cs="Times New Roman"/>
          <w:b w:val="0"/>
          <w:bCs w:val="0"/>
          <w:color w:val="000000"/>
          <w:sz w:val="32"/>
          <w:szCs w:val="32"/>
          <w:highlight w:val="none"/>
        </w:rPr>
        <w:t>机关事业单位基本养老保险缴费支出（项）</w:t>
      </w:r>
      <w:r>
        <w:rPr>
          <w:rFonts w:hint="eastAsia" w:ascii="仿宋_GB2312" w:eastAsia="仿宋_GB2312" w:cs="Times New Roman"/>
          <w:b w:val="0"/>
          <w:bCs w:val="0"/>
          <w:color w:val="000000"/>
          <w:sz w:val="32"/>
          <w:szCs w:val="32"/>
          <w:highlight w:val="none"/>
          <w:lang w:eastAsia="zh-CN"/>
        </w:rPr>
        <w:t>：</w:t>
      </w:r>
      <w:r>
        <w:rPr>
          <w:rFonts w:hint="eastAsia" w:ascii="仿宋_GB2312" w:eastAsia="仿宋_GB2312" w:cs="Times New Roman"/>
          <w:b w:val="0"/>
          <w:bCs w:val="0"/>
          <w:color w:val="000000"/>
          <w:sz w:val="32"/>
          <w:szCs w:val="32"/>
          <w:highlight w:val="none"/>
        </w:rPr>
        <w:t xml:space="preserve"> 支出决算为</w:t>
      </w:r>
      <w:r>
        <w:rPr>
          <w:rFonts w:hint="eastAsia" w:ascii="仿宋_GB2312" w:eastAsia="仿宋_GB2312" w:cs="Times New Roman"/>
          <w:b w:val="0"/>
          <w:bCs w:val="0"/>
          <w:color w:val="000000"/>
          <w:sz w:val="32"/>
          <w:szCs w:val="32"/>
          <w:highlight w:val="none"/>
          <w:lang w:val="en-US" w:eastAsia="zh-CN"/>
        </w:rPr>
        <w:t>837.94</w:t>
      </w:r>
      <w:r>
        <w:rPr>
          <w:rFonts w:hint="eastAsia" w:ascii="仿宋_GB2312" w:eastAsia="仿宋_GB2312" w:cs="Times New Roman"/>
          <w:b w:val="0"/>
          <w:bCs w:val="0"/>
          <w:color w:val="000000"/>
          <w:sz w:val="32"/>
          <w:szCs w:val="32"/>
          <w:highlight w:val="none"/>
        </w:rPr>
        <w:t>万元，完成预算</w:t>
      </w:r>
      <w:r>
        <w:rPr>
          <w:rFonts w:hint="eastAsia" w:ascii="仿宋_GB2312" w:eastAsia="仿宋_GB2312" w:cs="Times New Roman"/>
          <w:b w:val="0"/>
          <w:bCs w:val="0"/>
          <w:color w:val="000000"/>
          <w:sz w:val="32"/>
          <w:szCs w:val="32"/>
          <w:highlight w:val="none"/>
          <w:lang w:val="en-US" w:eastAsia="zh-CN"/>
        </w:rPr>
        <w:t>100</w:t>
      </w:r>
      <w:r>
        <w:rPr>
          <w:rFonts w:hint="eastAsia" w:ascii="仿宋_GB2312" w:eastAsia="仿宋_GB2312" w:cs="Times New Roman"/>
          <w:b w:val="0"/>
          <w:bCs w:val="0"/>
          <w:color w:val="000000"/>
          <w:sz w:val="32"/>
          <w:szCs w:val="32"/>
          <w:highlight w:val="none"/>
        </w:rPr>
        <w:t>%，决算数</w:t>
      </w:r>
      <w:r>
        <w:rPr>
          <w:rFonts w:hint="eastAsia" w:ascii="仿宋_GB2312" w:eastAsia="仿宋_GB2312" w:cs="Times New Roman"/>
          <w:b w:val="0"/>
          <w:bCs w:val="0"/>
          <w:color w:val="000000"/>
          <w:sz w:val="32"/>
          <w:szCs w:val="32"/>
          <w:highlight w:val="none"/>
          <w:lang w:eastAsia="zh-CN"/>
        </w:rPr>
        <w:t>等</w:t>
      </w:r>
      <w:r>
        <w:rPr>
          <w:rFonts w:hint="eastAsia" w:ascii="仿宋_GB2312" w:eastAsia="仿宋_GB2312" w:cs="Times New Roman"/>
          <w:b w:val="0"/>
          <w:bCs w:val="0"/>
          <w:color w:val="000000"/>
          <w:sz w:val="32"/>
          <w:szCs w:val="32"/>
          <w:highlight w:val="none"/>
        </w:rPr>
        <w:t>于预算数</w:t>
      </w:r>
      <w:r>
        <w:rPr>
          <w:rFonts w:hint="eastAsia" w:ascii="仿宋_GB2312" w:eastAsia="仿宋_GB2312" w:cs="Times New Roman"/>
          <w:b w:val="0"/>
          <w:bCs w:val="0"/>
          <w:color w:val="000000"/>
          <w:sz w:val="32"/>
          <w:szCs w:val="32"/>
          <w:highlight w:val="none"/>
          <w:lang w:eastAsia="zh-CN"/>
        </w:rPr>
        <w:t>。</w:t>
      </w:r>
    </w:p>
    <w:p>
      <w:pPr>
        <w:pageBreakBefore w:val="0"/>
        <w:shd w:val="clear" w:color="auto" w:fill="auto"/>
        <w:kinsoku/>
        <w:wordWrap/>
        <w:overflowPunct/>
        <w:topLinePunct w:val="0"/>
        <w:bidi w:val="0"/>
        <w:spacing w:line="576" w:lineRule="exact"/>
        <w:ind w:firstLine="800" w:firstLineChars="250"/>
        <w:outlineLvl w:val="9"/>
        <w:rPr>
          <w:rFonts w:hint="eastAsia" w:ascii="仿宋_GB2312" w:eastAsia="仿宋_GB2312" w:cs="Times New Roman"/>
          <w:b w:val="0"/>
          <w:bCs w:val="0"/>
          <w:color w:val="000000"/>
          <w:sz w:val="32"/>
          <w:szCs w:val="32"/>
          <w:highlight w:val="none"/>
        </w:rPr>
      </w:pPr>
      <w:r>
        <w:rPr>
          <w:rFonts w:hint="eastAsia" w:ascii="仿宋_GB2312" w:eastAsia="仿宋_GB2312" w:cs="Times New Roman"/>
          <w:b w:val="0"/>
          <w:bCs w:val="0"/>
          <w:color w:val="000000"/>
          <w:sz w:val="32"/>
          <w:szCs w:val="32"/>
          <w:highlight w:val="none"/>
          <w:lang w:val="en-US" w:eastAsia="zh-CN"/>
        </w:rPr>
        <w:t>6</w:t>
      </w:r>
      <w:r>
        <w:rPr>
          <w:rFonts w:hint="eastAsia" w:ascii="仿宋_GB2312" w:eastAsia="仿宋_GB2312" w:cs="Times New Roman"/>
          <w:b w:val="0"/>
          <w:bCs w:val="0"/>
          <w:color w:val="000000"/>
          <w:sz w:val="32"/>
          <w:szCs w:val="32"/>
          <w:highlight w:val="none"/>
        </w:rPr>
        <w:t>.社会保障和就业（类）行政事业单位养老支出（款）机关事业单位职业年金缴费支出（项）</w:t>
      </w:r>
      <w:r>
        <w:rPr>
          <w:rFonts w:hint="eastAsia" w:ascii="仿宋_GB2312" w:eastAsia="仿宋_GB2312" w:cs="Times New Roman"/>
          <w:b w:val="0"/>
          <w:bCs w:val="0"/>
          <w:color w:val="000000"/>
          <w:sz w:val="32"/>
          <w:szCs w:val="32"/>
          <w:highlight w:val="none"/>
          <w:lang w:eastAsia="zh-CN"/>
        </w:rPr>
        <w:t>：</w:t>
      </w:r>
      <w:r>
        <w:rPr>
          <w:rFonts w:hint="eastAsia" w:ascii="仿宋_GB2312" w:eastAsia="仿宋_GB2312" w:cs="Times New Roman"/>
          <w:b w:val="0"/>
          <w:bCs w:val="0"/>
          <w:color w:val="000000"/>
          <w:sz w:val="32"/>
          <w:szCs w:val="32"/>
          <w:highlight w:val="none"/>
        </w:rPr>
        <w:t xml:space="preserve"> 支出决算为</w:t>
      </w:r>
      <w:r>
        <w:rPr>
          <w:rFonts w:hint="eastAsia" w:ascii="仿宋_GB2312" w:eastAsia="仿宋_GB2312" w:cs="Times New Roman"/>
          <w:b w:val="0"/>
          <w:bCs w:val="0"/>
          <w:color w:val="000000"/>
          <w:sz w:val="32"/>
          <w:szCs w:val="32"/>
          <w:highlight w:val="none"/>
          <w:lang w:val="en-US" w:eastAsia="zh-CN"/>
        </w:rPr>
        <w:t>192.41</w:t>
      </w:r>
      <w:r>
        <w:rPr>
          <w:rFonts w:hint="eastAsia" w:ascii="仿宋_GB2312" w:eastAsia="仿宋_GB2312" w:cs="Times New Roman"/>
          <w:b w:val="0"/>
          <w:bCs w:val="0"/>
          <w:color w:val="000000"/>
          <w:sz w:val="32"/>
          <w:szCs w:val="32"/>
          <w:highlight w:val="none"/>
        </w:rPr>
        <w:t>万元，完成预算</w:t>
      </w:r>
      <w:r>
        <w:rPr>
          <w:rFonts w:hint="eastAsia" w:ascii="仿宋_GB2312" w:eastAsia="仿宋_GB2312" w:cs="Times New Roman"/>
          <w:b w:val="0"/>
          <w:bCs w:val="0"/>
          <w:color w:val="000000"/>
          <w:sz w:val="32"/>
          <w:szCs w:val="32"/>
          <w:highlight w:val="none"/>
          <w:lang w:val="en-US" w:eastAsia="zh-CN"/>
        </w:rPr>
        <w:t>100</w:t>
      </w:r>
      <w:r>
        <w:rPr>
          <w:rFonts w:hint="eastAsia" w:ascii="仿宋_GB2312" w:eastAsia="仿宋_GB2312" w:cs="Times New Roman"/>
          <w:b w:val="0"/>
          <w:bCs w:val="0"/>
          <w:color w:val="000000"/>
          <w:sz w:val="32"/>
          <w:szCs w:val="32"/>
          <w:highlight w:val="none"/>
        </w:rPr>
        <w:t>%，决算数</w:t>
      </w:r>
      <w:r>
        <w:rPr>
          <w:rFonts w:hint="eastAsia" w:ascii="仿宋_GB2312" w:eastAsia="仿宋_GB2312" w:cs="Times New Roman"/>
          <w:b w:val="0"/>
          <w:bCs w:val="0"/>
          <w:color w:val="000000"/>
          <w:sz w:val="32"/>
          <w:szCs w:val="32"/>
          <w:highlight w:val="none"/>
          <w:lang w:eastAsia="zh-CN"/>
        </w:rPr>
        <w:t>等</w:t>
      </w:r>
      <w:r>
        <w:rPr>
          <w:rFonts w:hint="eastAsia" w:ascii="仿宋_GB2312" w:eastAsia="仿宋_GB2312" w:cs="Times New Roman"/>
          <w:b w:val="0"/>
          <w:bCs w:val="0"/>
          <w:color w:val="000000"/>
          <w:sz w:val="32"/>
          <w:szCs w:val="32"/>
          <w:highlight w:val="none"/>
        </w:rPr>
        <w:t>于预算数。</w:t>
      </w:r>
    </w:p>
    <w:p>
      <w:pPr>
        <w:pageBreakBefore w:val="0"/>
        <w:shd w:val="clear" w:color="auto" w:fill="auto"/>
        <w:kinsoku/>
        <w:wordWrap/>
        <w:overflowPunct/>
        <w:topLinePunct w:val="0"/>
        <w:bidi w:val="0"/>
        <w:spacing w:line="576" w:lineRule="exact"/>
        <w:ind w:firstLine="800" w:firstLineChars="250"/>
        <w:outlineLvl w:val="9"/>
        <w:rPr>
          <w:rFonts w:hint="eastAsia" w:ascii="仿宋_GB2312" w:eastAsia="仿宋_GB2312" w:cs="Times New Roman"/>
          <w:b w:val="0"/>
          <w:bCs w:val="0"/>
          <w:color w:val="000000"/>
          <w:sz w:val="32"/>
          <w:szCs w:val="32"/>
          <w:highlight w:val="none"/>
        </w:rPr>
      </w:pPr>
      <w:r>
        <w:rPr>
          <w:rFonts w:hint="eastAsia" w:ascii="仿宋_GB2312" w:eastAsia="仿宋_GB2312" w:cs="Times New Roman"/>
          <w:b w:val="0"/>
          <w:bCs w:val="0"/>
          <w:color w:val="000000"/>
          <w:sz w:val="32"/>
          <w:szCs w:val="32"/>
          <w:highlight w:val="none"/>
          <w:lang w:val="en-US" w:eastAsia="zh-CN"/>
        </w:rPr>
        <w:t>7</w:t>
      </w:r>
      <w:r>
        <w:rPr>
          <w:rFonts w:hint="eastAsia" w:ascii="仿宋_GB2312" w:eastAsia="仿宋_GB2312" w:cs="Times New Roman"/>
          <w:b w:val="0"/>
          <w:bCs w:val="0"/>
          <w:color w:val="000000"/>
          <w:sz w:val="32"/>
          <w:szCs w:val="32"/>
          <w:highlight w:val="none"/>
        </w:rPr>
        <w:t>.社会保障和就业（类）其他社会保障和就业支出（款）其他社会保障和就业支出（项）：支出决算为</w:t>
      </w:r>
      <w:r>
        <w:rPr>
          <w:rFonts w:hint="eastAsia" w:ascii="仿宋_GB2312" w:eastAsia="仿宋_GB2312" w:cs="Times New Roman"/>
          <w:b w:val="0"/>
          <w:bCs w:val="0"/>
          <w:color w:val="000000"/>
          <w:sz w:val="32"/>
          <w:szCs w:val="32"/>
          <w:highlight w:val="none"/>
          <w:lang w:val="en-US" w:eastAsia="zh-CN"/>
        </w:rPr>
        <w:t>58.44</w:t>
      </w:r>
      <w:r>
        <w:rPr>
          <w:rFonts w:hint="eastAsia" w:ascii="仿宋_GB2312" w:eastAsia="仿宋_GB2312" w:cs="Times New Roman"/>
          <w:b w:val="0"/>
          <w:bCs w:val="0"/>
          <w:color w:val="000000"/>
          <w:sz w:val="32"/>
          <w:szCs w:val="32"/>
          <w:highlight w:val="none"/>
        </w:rPr>
        <w:t>万元，完成预算</w:t>
      </w:r>
      <w:r>
        <w:rPr>
          <w:rFonts w:hint="eastAsia" w:ascii="仿宋_GB2312" w:eastAsia="仿宋_GB2312" w:cs="Times New Roman"/>
          <w:b w:val="0"/>
          <w:bCs w:val="0"/>
          <w:color w:val="000000"/>
          <w:sz w:val="32"/>
          <w:szCs w:val="32"/>
          <w:highlight w:val="none"/>
          <w:lang w:val="en-US" w:eastAsia="zh-CN"/>
        </w:rPr>
        <w:t>100</w:t>
      </w:r>
      <w:r>
        <w:rPr>
          <w:rFonts w:hint="eastAsia" w:ascii="仿宋_GB2312" w:eastAsia="仿宋_GB2312" w:cs="Times New Roman"/>
          <w:b w:val="0"/>
          <w:bCs w:val="0"/>
          <w:color w:val="000000"/>
          <w:sz w:val="32"/>
          <w:szCs w:val="32"/>
          <w:highlight w:val="none"/>
        </w:rPr>
        <w:t>%，决算数</w:t>
      </w:r>
      <w:r>
        <w:rPr>
          <w:rFonts w:hint="eastAsia" w:ascii="仿宋_GB2312" w:eastAsia="仿宋_GB2312" w:cs="Times New Roman"/>
          <w:b w:val="0"/>
          <w:bCs w:val="0"/>
          <w:color w:val="000000"/>
          <w:sz w:val="32"/>
          <w:szCs w:val="32"/>
          <w:highlight w:val="none"/>
          <w:lang w:val="en-US" w:eastAsia="zh-CN"/>
        </w:rPr>
        <w:t>等于</w:t>
      </w:r>
      <w:r>
        <w:rPr>
          <w:rFonts w:hint="eastAsia" w:ascii="仿宋_GB2312" w:eastAsia="仿宋_GB2312" w:cs="Times New Roman"/>
          <w:b w:val="0"/>
          <w:bCs w:val="0"/>
          <w:color w:val="000000"/>
          <w:sz w:val="32"/>
          <w:szCs w:val="32"/>
          <w:highlight w:val="none"/>
        </w:rPr>
        <w:t>预算数。</w:t>
      </w:r>
    </w:p>
    <w:p>
      <w:pPr>
        <w:keepNext w:val="0"/>
        <w:keepLines w:val="0"/>
        <w:pageBreakBefore w:val="0"/>
        <w:widowControl w:val="0"/>
        <w:shd w:val="clear" w:color="auto" w:fill="auto"/>
        <w:kinsoku/>
        <w:wordWrap/>
        <w:overflowPunct/>
        <w:topLinePunct w:val="0"/>
        <w:autoSpaceDE/>
        <w:autoSpaceDN/>
        <w:bidi w:val="0"/>
        <w:adjustRightInd w:val="0"/>
        <w:snapToGrid w:val="0"/>
        <w:spacing w:line="576" w:lineRule="exact"/>
        <w:ind w:firstLine="640" w:firstLineChars="200"/>
        <w:textAlignment w:val="baseline"/>
        <w:rPr>
          <w:rFonts w:hint="eastAsia" w:eastAsia="仿宋_GB2312"/>
          <w:b w:val="0"/>
          <w:bCs w:val="0"/>
          <w:highlight w:val="none"/>
          <w:lang w:val="en-US" w:eastAsia="zh-CN"/>
        </w:rPr>
      </w:pPr>
      <w:r>
        <w:rPr>
          <w:rFonts w:hint="eastAsia" w:ascii="仿宋_GB2312" w:eastAsia="仿宋_GB2312" w:cs="Times New Roman"/>
          <w:b w:val="0"/>
          <w:bCs w:val="0"/>
          <w:color w:val="000000"/>
          <w:sz w:val="32"/>
          <w:szCs w:val="32"/>
          <w:highlight w:val="none"/>
          <w:lang w:val="en-US" w:eastAsia="zh-CN"/>
        </w:rPr>
        <w:t xml:space="preserve"> 8.节能环保</w:t>
      </w:r>
      <w:r>
        <w:rPr>
          <w:rFonts w:hint="eastAsia" w:ascii="仿宋_GB2312" w:eastAsia="仿宋_GB2312" w:cs="Times New Roman"/>
          <w:b w:val="0"/>
          <w:bCs w:val="0"/>
          <w:color w:val="000000"/>
          <w:sz w:val="32"/>
          <w:szCs w:val="32"/>
          <w:highlight w:val="none"/>
        </w:rPr>
        <w:t>（类）</w:t>
      </w:r>
      <w:r>
        <w:rPr>
          <w:rFonts w:hint="eastAsia" w:ascii="仿宋_GB2312" w:eastAsia="仿宋_GB2312" w:cs="Times New Roman"/>
          <w:b w:val="0"/>
          <w:bCs w:val="0"/>
          <w:color w:val="000000"/>
          <w:sz w:val="32"/>
          <w:szCs w:val="32"/>
          <w:highlight w:val="none"/>
          <w:lang w:val="en-US" w:eastAsia="zh-CN"/>
        </w:rPr>
        <w:t>污染防治支出（款）水体支出（项）：</w:t>
      </w:r>
      <w:r>
        <w:rPr>
          <w:rFonts w:hint="eastAsia" w:ascii="仿宋_GB2312" w:eastAsia="仿宋_GB2312" w:cs="Times New Roman"/>
          <w:b w:val="0"/>
          <w:bCs w:val="0"/>
          <w:color w:val="000000"/>
          <w:sz w:val="32"/>
          <w:szCs w:val="32"/>
          <w:highlight w:val="none"/>
        </w:rPr>
        <w:t>支出决算为</w:t>
      </w:r>
      <w:r>
        <w:rPr>
          <w:rFonts w:hint="eastAsia" w:ascii="仿宋_GB2312" w:eastAsia="仿宋_GB2312" w:cs="Times New Roman"/>
          <w:b w:val="0"/>
          <w:bCs w:val="0"/>
          <w:color w:val="000000"/>
          <w:sz w:val="32"/>
          <w:szCs w:val="32"/>
          <w:highlight w:val="none"/>
          <w:lang w:val="en-US" w:eastAsia="zh-CN"/>
        </w:rPr>
        <w:t>662.18</w:t>
      </w:r>
      <w:r>
        <w:rPr>
          <w:rFonts w:hint="eastAsia" w:ascii="仿宋_GB2312" w:eastAsia="仿宋_GB2312" w:cs="Times New Roman"/>
          <w:b w:val="0"/>
          <w:bCs w:val="0"/>
          <w:color w:val="000000"/>
          <w:sz w:val="32"/>
          <w:szCs w:val="32"/>
          <w:highlight w:val="none"/>
        </w:rPr>
        <w:t>万元，完成预算</w:t>
      </w:r>
      <w:r>
        <w:rPr>
          <w:rFonts w:hint="eastAsia" w:ascii="仿宋_GB2312" w:eastAsia="仿宋_GB2312" w:cs="Times New Roman"/>
          <w:b w:val="0"/>
          <w:bCs w:val="0"/>
          <w:color w:val="000000"/>
          <w:sz w:val="32"/>
          <w:szCs w:val="32"/>
          <w:highlight w:val="none"/>
          <w:lang w:val="en-US" w:eastAsia="zh-CN"/>
        </w:rPr>
        <w:t>100</w:t>
      </w:r>
      <w:r>
        <w:rPr>
          <w:rFonts w:hint="eastAsia" w:ascii="仿宋_GB2312" w:eastAsia="仿宋_GB2312" w:cs="Times New Roman"/>
          <w:b w:val="0"/>
          <w:bCs w:val="0"/>
          <w:color w:val="000000"/>
          <w:sz w:val="32"/>
          <w:szCs w:val="32"/>
          <w:highlight w:val="none"/>
        </w:rPr>
        <w:t>%，决算数</w:t>
      </w:r>
      <w:r>
        <w:rPr>
          <w:rFonts w:hint="eastAsia" w:ascii="仿宋_GB2312" w:eastAsia="仿宋_GB2312" w:cs="Times New Roman"/>
          <w:b w:val="0"/>
          <w:bCs w:val="0"/>
          <w:color w:val="000000"/>
          <w:sz w:val="32"/>
          <w:szCs w:val="32"/>
          <w:highlight w:val="none"/>
          <w:lang w:val="en-US" w:eastAsia="zh-CN"/>
        </w:rPr>
        <w:t>等于</w:t>
      </w:r>
      <w:r>
        <w:rPr>
          <w:rFonts w:hint="eastAsia" w:ascii="仿宋_GB2312" w:eastAsia="仿宋_GB2312" w:cs="Times New Roman"/>
          <w:b w:val="0"/>
          <w:bCs w:val="0"/>
          <w:color w:val="000000"/>
          <w:sz w:val="32"/>
          <w:szCs w:val="32"/>
          <w:highlight w:val="none"/>
        </w:rPr>
        <w:t>预算数。</w:t>
      </w:r>
    </w:p>
    <w:p>
      <w:pPr>
        <w:pageBreakBefore w:val="0"/>
        <w:shd w:val="clear" w:color="auto" w:fill="auto"/>
        <w:kinsoku/>
        <w:wordWrap/>
        <w:overflowPunct/>
        <w:topLinePunct w:val="0"/>
        <w:bidi w:val="0"/>
        <w:spacing w:line="576" w:lineRule="exact"/>
        <w:ind w:firstLine="800" w:firstLineChars="250"/>
        <w:outlineLvl w:val="9"/>
        <w:rPr>
          <w:rFonts w:hint="eastAsia" w:ascii="仿宋_GB2312" w:eastAsia="仿宋_GB2312" w:cs="Times New Roman"/>
          <w:b w:val="0"/>
          <w:bCs w:val="0"/>
          <w:color w:val="000000"/>
          <w:sz w:val="32"/>
          <w:szCs w:val="32"/>
          <w:highlight w:val="none"/>
        </w:rPr>
      </w:pPr>
      <w:r>
        <w:rPr>
          <w:rFonts w:hint="eastAsia" w:ascii="仿宋_GB2312" w:eastAsia="仿宋_GB2312" w:cs="Times New Roman"/>
          <w:b w:val="0"/>
          <w:bCs w:val="0"/>
          <w:color w:val="000000"/>
          <w:sz w:val="32"/>
          <w:szCs w:val="32"/>
          <w:highlight w:val="none"/>
          <w:lang w:val="en-US" w:eastAsia="zh-CN"/>
        </w:rPr>
        <w:t>9</w:t>
      </w:r>
      <w:r>
        <w:rPr>
          <w:rFonts w:hint="eastAsia" w:ascii="仿宋_GB2312" w:eastAsia="仿宋_GB2312" w:cs="Times New Roman"/>
          <w:b w:val="0"/>
          <w:bCs w:val="0"/>
          <w:color w:val="000000"/>
          <w:sz w:val="32"/>
          <w:szCs w:val="32"/>
          <w:highlight w:val="none"/>
        </w:rPr>
        <w:t>.卫生健康（类）行政事业单位医疗（款）事业单位医疗（项）</w:t>
      </w:r>
      <w:r>
        <w:rPr>
          <w:rFonts w:hint="eastAsia" w:ascii="仿宋_GB2312" w:eastAsia="仿宋_GB2312" w:cs="Times New Roman"/>
          <w:b w:val="0"/>
          <w:bCs w:val="0"/>
          <w:color w:val="000000"/>
          <w:sz w:val="32"/>
          <w:szCs w:val="32"/>
          <w:highlight w:val="none"/>
          <w:lang w:eastAsia="zh-CN"/>
        </w:rPr>
        <w:t>：</w:t>
      </w:r>
      <w:r>
        <w:rPr>
          <w:rFonts w:hint="eastAsia" w:ascii="仿宋_GB2312" w:eastAsia="仿宋_GB2312" w:cs="Times New Roman"/>
          <w:b w:val="0"/>
          <w:bCs w:val="0"/>
          <w:color w:val="000000"/>
          <w:sz w:val="32"/>
          <w:szCs w:val="32"/>
          <w:highlight w:val="none"/>
        </w:rPr>
        <w:t>支出决算为</w:t>
      </w:r>
      <w:r>
        <w:rPr>
          <w:rFonts w:hint="eastAsia" w:ascii="仿宋_GB2312" w:eastAsia="仿宋_GB2312" w:cs="Times New Roman"/>
          <w:b w:val="0"/>
          <w:bCs w:val="0"/>
          <w:color w:val="000000"/>
          <w:sz w:val="32"/>
          <w:szCs w:val="32"/>
          <w:highlight w:val="none"/>
          <w:lang w:val="en-US" w:eastAsia="zh-CN"/>
        </w:rPr>
        <w:t>276.93</w:t>
      </w:r>
      <w:r>
        <w:rPr>
          <w:rFonts w:hint="eastAsia" w:ascii="仿宋_GB2312" w:eastAsia="仿宋_GB2312" w:cs="Times New Roman"/>
          <w:b w:val="0"/>
          <w:bCs w:val="0"/>
          <w:color w:val="000000"/>
          <w:sz w:val="32"/>
          <w:szCs w:val="32"/>
          <w:highlight w:val="none"/>
        </w:rPr>
        <w:t>万元，完成预算100%</w:t>
      </w:r>
      <w:r>
        <w:rPr>
          <w:rFonts w:hint="eastAsia" w:ascii="仿宋_GB2312" w:eastAsia="仿宋_GB2312" w:cs="Times New Roman"/>
          <w:b w:val="0"/>
          <w:bCs w:val="0"/>
          <w:color w:val="000000"/>
          <w:sz w:val="32"/>
          <w:szCs w:val="32"/>
          <w:highlight w:val="none"/>
          <w:lang w:eastAsia="zh-CN"/>
        </w:rPr>
        <w:t>，</w:t>
      </w:r>
      <w:r>
        <w:rPr>
          <w:rFonts w:hint="eastAsia" w:ascii="仿宋_GB2312" w:eastAsia="仿宋_GB2312" w:cs="Times New Roman"/>
          <w:b w:val="0"/>
          <w:bCs w:val="0"/>
          <w:color w:val="000000"/>
          <w:sz w:val="32"/>
          <w:szCs w:val="32"/>
          <w:highlight w:val="none"/>
        </w:rPr>
        <w:t>决算数等于预算数。</w:t>
      </w:r>
    </w:p>
    <w:p>
      <w:pPr>
        <w:pageBreakBefore w:val="0"/>
        <w:shd w:val="clear" w:color="auto" w:fill="auto"/>
        <w:kinsoku/>
        <w:wordWrap/>
        <w:overflowPunct/>
        <w:topLinePunct w:val="0"/>
        <w:bidi w:val="0"/>
        <w:spacing w:line="576" w:lineRule="exact"/>
        <w:ind w:firstLine="800" w:firstLineChars="250"/>
        <w:outlineLvl w:val="9"/>
        <w:rPr>
          <w:rFonts w:hint="eastAsia" w:ascii="Times New Roman" w:hAnsi="Times New Roman" w:eastAsia="仿宋_GB2312" w:cs="仿宋_GB2312"/>
          <w:b w:val="0"/>
          <w:bCs w:val="0"/>
          <w:color w:val="auto"/>
          <w:kern w:val="2"/>
          <w:sz w:val="32"/>
          <w:szCs w:val="32"/>
          <w:highlight w:val="none"/>
          <w:lang w:val="en-US" w:eastAsia="zh-CN" w:bidi="ar-SA"/>
        </w:rPr>
      </w:pPr>
      <w:r>
        <w:rPr>
          <w:rFonts w:hint="eastAsia" w:ascii="仿宋_GB2312" w:eastAsia="仿宋_GB2312" w:cs="Times New Roman"/>
          <w:b w:val="0"/>
          <w:bCs w:val="0"/>
          <w:color w:val="000000"/>
          <w:sz w:val="32"/>
          <w:szCs w:val="32"/>
          <w:highlight w:val="none"/>
          <w:lang w:val="en-US" w:eastAsia="zh-CN"/>
        </w:rPr>
        <w:t>10</w:t>
      </w:r>
      <w:r>
        <w:rPr>
          <w:rFonts w:hint="eastAsia" w:ascii="仿宋_GB2312" w:eastAsia="仿宋_GB2312" w:cs="Times New Roman"/>
          <w:b w:val="0"/>
          <w:bCs w:val="0"/>
          <w:color w:val="000000"/>
          <w:sz w:val="32"/>
          <w:szCs w:val="32"/>
          <w:highlight w:val="none"/>
        </w:rPr>
        <w:t>.住房保障支出（类）住房改革支出（款）住房公积金（项）：支出决算为</w:t>
      </w:r>
      <w:r>
        <w:rPr>
          <w:rFonts w:hint="eastAsia" w:ascii="仿宋_GB2312" w:eastAsia="仿宋_GB2312" w:cs="Times New Roman"/>
          <w:b w:val="0"/>
          <w:bCs w:val="0"/>
          <w:color w:val="000000"/>
          <w:sz w:val="32"/>
          <w:szCs w:val="32"/>
          <w:highlight w:val="none"/>
          <w:lang w:val="en-US" w:eastAsia="zh-CN"/>
        </w:rPr>
        <w:t>648.69</w:t>
      </w:r>
      <w:r>
        <w:rPr>
          <w:rFonts w:hint="eastAsia" w:ascii="仿宋_GB2312" w:eastAsia="仿宋_GB2312" w:cs="Times New Roman"/>
          <w:b w:val="0"/>
          <w:bCs w:val="0"/>
          <w:color w:val="000000"/>
          <w:sz w:val="32"/>
          <w:szCs w:val="32"/>
          <w:highlight w:val="none"/>
        </w:rPr>
        <w:t>万元，完成预算100%</w:t>
      </w:r>
      <w:r>
        <w:rPr>
          <w:rFonts w:hint="eastAsia" w:ascii="仿宋_GB2312" w:eastAsia="仿宋_GB2312" w:cs="Times New Roman"/>
          <w:b w:val="0"/>
          <w:bCs w:val="0"/>
          <w:color w:val="000000"/>
          <w:sz w:val="32"/>
          <w:szCs w:val="32"/>
          <w:highlight w:val="none"/>
          <w:lang w:eastAsia="zh-CN"/>
        </w:rPr>
        <w:t>，</w:t>
      </w:r>
      <w:r>
        <w:rPr>
          <w:rFonts w:hint="eastAsia" w:ascii="仿宋_GB2312" w:eastAsia="仿宋_GB2312" w:cs="Times New Roman"/>
          <w:b w:val="0"/>
          <w:bCs w:val="0"/>
          <w:color w:val="000000"/>
          <w:sz w:val="32"/>
          <w:szCs w:val="32"/>
          <w:highlight w:val="none"/>
        </w:rPr>
        <w:t>决算数等于预算数。</w:t>
      </w:r>
    </w:p>
    <w:p>
      <w:pPr>
        <w:pageBreakBefore w:val="0"/>
        <w:tabs>
          <w:tab w:val="right" w:pos="8306"/>
        </w:tabs>
        <w:kinsoku/>
        <w:wordWrap/>
        <w:overflowPunct/>
        <w:topLinePunct w:val="0"/>
        <w:bidi w:val="0"/>
        <w:spacing w:line="576" w:lineRule="exact"/>
        <w:ind w:firstLine="640"/>
        <w:outlineLvl w:val="1"/>
        <w:rPr>
          <w:rStyle w:val="23"/>
          <w:rFonts w:ascii="Times New Roman" w:hAnsi="Times New Roman"/>
          <w:color w:val="auto"/>
          <w:highlight w:val="none"/>
        </w:rPr>
      </w:pPr>
      <w:bookmarkStart w:id="37" w:name="_Toc15377214"/>
      <w:bookmarkStart w:id="38" w:name="_Toc15396608"/>
      <w:bookmarkStart w:id="39" w:name="_Toc28517"/>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23"/>
          <w:rFonts w:hint="eastAsia" w:ascii="Times New Roman" w:hAnsi="Times New Roman" w:eastAsia="黑体"/>
          <w:b w:val="0"/>
          <w:color w:val="auto"/>
          <w:highlight w:val="none"/>
        </w:rPr>
        <w:t>般公共预算财政拨款基本支出决算情况说明</w:t>
      </w:r>
      <w:bookmarkEnd w:id="37"/>
      <w:bookmarkEnd w:id="38"/>
      <w:bookmarkEnd w:id="39"/>
      <w:r>
        <w:rPr>
          <w:rStyle w:val="23"/>
          <w:rFonts w:ascii="Times New Roman" w:hAnsi="Times New Roman" w:eastAsia="黑体"/>
          <w:b w:val="0"/>
          <w:color w:val="auto"/>
          <w:highlight w:val="none"/>
        </w:rPr>
        <w:tab/>
      </w:r>
    </w:p>
    <w:p>
      <w:pPr>
        <w:pageBreakBefore w:val="0"/>
        <w:kinsoku/>
        <w:wordWrap/>
        <w:overflowPunct/>
        <w:topLinePunct w:val="0"/>
        <w:bidi w:val="0"/>
        <w:spacing w:line="576"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2024年度一般公共预算财政拨款基本支出</w:t>
      </w:r>
      <w:r>
        <w:rPr>
          <w:rFonts w:hint="eastAsia" w:ascii="仿宋_GB2312" w:hAnsi="仿宋_GB2312" w:eastAsia="仿宋_GB2312" w:cs="仿宋_GB2312"/>
          <w:sz w:val="32"/>
          <w:szCs w:val="32"/>
        </w:rPr>
        <w:t>9190.6</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元，其中：</w:t>
      </w:r>
    </w:p>
    <w:p>
      <w:pPr>
        <w:pageBreakBefore w:val="0"/>
        <w:kinsoku/>
        <w:wordWrap/>
        <w:overflowPunct/>
        <w:topLinePunct w:val="0"/>
        <w:bidi w:val="0"/>
        <w:spacing w:line="576"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人员经费</w:t>
      </w:r>
      <w:r>
        <w:rPr>
          <w:rFonts w:hint="eastAsia" w:ascii="仿宋_GB2312" w:hAnsi="仿宋_GB2312" w:eastAsia="仿宋_GB2312" w:cs="仿宋_GB2312"/>
          <w:sz w:val="32"/>
          <w:szCs w:val="32"/>
        </w:rPr>
        <w:t>8317.74</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元，主要包括：基本工资、津贴补贴、</w:t>
      </w:r>
      <w:r>
        <w:rPr>
          <w:rFonts w:hint="eastAsia" w:eastAsia="仿宋_GB2312" w:cs="仿宋_GB2312"/>
          <w:color w:val="auto"/>
          <w:kern w:val="2"/>
          <w:sz w:val="32"/>
          <w:szCs w:val="32"/>
          <w:highlight w:val="none"/>
          <w:lang w:val="en-US" w:eastAsia="zh-CN" w:bidi="ar-SA"/>
        </w:rPr>
        <w:t>奖金、</w:t>
      </w:r>
      <w:r>
        <w:rPr>
          <w:rFonts w:hint="eastAsia" w:ascii="Times New Roman" w:hAnsi="Times New Roman" w:eastAsia="仿宋_GB2312" w:cs="仿宋_GB2312"/>
          <w:color w:val="auto"/>
          <w:kern w:val="2"/>
          <w:sz w:val="32"/>
          <w:szCs w:val="32"/>
          <w:highlight w:val="none"/>
          <w:lang w:val="en-US" w:eastAsia="zh-CN" w:bidi="ar-SA"/>
        </w:rPr>
        <w:t>绩效工资、机关事业单位基本养老保险缴费、职业年金缴费、</w:t>
      </w:r>
      <w:r>
        <w:rPr>
          <w:rFonts w:hint="eastAsia" w:eastAsia="仿宋_GB2312" w:cs="仿宋_GB2312"/>
          <w:color w:val="auto"/>
          <w:kern w:val="2"/>
          <w:sz w:val="32"/>
          <w:szCs w:val="32"/>
          <w:highlight w:val="none"/>
          <w:lang w:val="en-US" w:eastAsia="zh-CN" w:bidi="ar-SA"/>
        </w:rPr>
        <w:t>职工基本医疗保险缴费、</w:t>
      </w:r>
      <w:r>
        <w:rPr>
          <w:rFonts w:hint="eastAsia" w:ascii="Times New Roman" w:hAnsi="Times New Roman" w:eastAsia="仿宋_GB2312" w:cs="仿宋_GB2312"/>
          <w:color w:val="auto"/>
          <w:kern w:val="2"/>
          <w:sz w:val="32"/>
          <w:szCs w:val="32"/>
          <w:highlight w:val="none"/>
          <w:lang w:val="en-US" w:eastAsia="zh-CN" w:bidi="ar-SA"/>
        </w:rPr>
        <w:t>其他社会保障缴费、住房公积金、其他工资福利支出、离休费、生活补助、</w:t>
      </w:r>
      <w:r>
        <w:rPr>
          <w:rFonts w:hint="eastAsia" w:eastAsia="仿宋_GB2312" w:cs="仿宋_GB2312"/>
          <w:color w:val="auto"/>
          <w:kern w:val="2"/>
          <w:sz w:val="32"/>
          <w:szCs w:val="32"/>
          <w:highlight w:val="none"/>
          <w:lang w:val="en-US" w:eastAsia="zh-CN" w:bidi="ar-SA"/>
        </w:rPr>
        <w:t>助学金、</w:t>
      </w:r>
      <w:r>
        <w:rPr>
          <w:rFonts w:hint="eastAsia" w:ascii="Times New Roman" w:hAnsi="Times New Roman" w:eastAsia="仿宋_GB2312" w:cs="仿宋_GB2312"/>
          <w:color w:val="auto"/>
          <w:kern w:val="2"/>
          <w:sz w:val="32"/>
          <w:szCs w:val="32"/>
          <w:highlight w:val="none"/>
          <w:lang w:val="en-US" w:eastAsia="zh-CN" w:bidi="ar-SA"/>
        </w:rPr>
        <w:t>其他对个人和家庭的补助支出。</w:t>
      </w:r>
      <w:r>
        <w:rPr>
          <w:rFonts w:hint="eastAsia" w:ascii="Times New Roman" w:hAnsi="Times New Roman" w:eastAsia="仿宋_GB2312" w:cs="仿宋_GB2312"/>
          <w:color w:val="auto"/>
          <w:kern w:val="2"/>
          <w:sz w:val="32"/>
          <w:szCs w:val="32"/>
          <w:highlight w:val="none"/>
          <w:lang w:val="en-US" w:eastAsia="zh-CN" w:bidi="ar-SA"/>
        </w:rPr>
        <w:br w:type="textWrapping"/>
      </w:r>
      <w:r>
        <w:rPr>
          <w:rFonts w:hint="eastAsia" w:ascii="Times New Roman" w:hAnsi="Times New Roman" w:eastAsia="仿宋_GB2312" w:cs="仿宋_GB2312"/>
          <w:color w:val="auto"/>
          <w:kern w:val="2"/>
          <w:sz w:val="32"/>
          <w:szCs w:val="32"/>
          <w:highlight w:val="none"/>
          <w:lang w:val="en-US" w:eastAsia="zh-CN" w:bidi="ar-SA"/>
        </w:rPr>
        <w:t>　　公用经费</w:t>
      </w:r>
      <w:r>
        <w:rPr>
          <w:rFonts w:hint="eastAsia" w:ascii="仿宋_GB2312" w:hAnsi="仿宋_GB2312" w:eastAsia="仿宋_GB2312" w:cs="仿宋_GB2312"/>
          <w:sz w:val="32"/>
          <w:szCs w:val="32"/>
        </w:rPr>
        <w:t>872.86</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元，主要包括：办公费、印刷费、水费、电费、邮电费、物业管理费、差旅费、维修（护）费、培训费、专用材料费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劳务费、委托业务费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工会经费、福利费、其他商品和服务支出、办公设备购置、专用设备购置、信息网络及软件购置更新。</w:t>
      </w:r>
    </w:p>
    <w:p>
      <w:pPr>
        <w:pageBreakBefore w:val="0"/>
        <w:kinsoku/>
        <w:wordWrap/>
        <w:overflowPunct/>
        <w:topLinePunct w:val="0"/>
        <w:bidi w:val="0"/>
        <w:spacing w:line="576" w:lineRule="exact"/>
        <w:ind w:firstLine="640"/>
        <w:outlineLvl w:val="1"/>
        <w:rPr>
          <w:rStyle w:val="23"/>
          <w:rFonts w:ascii="Times New Roman" w:hAnsi="Times New Roman" w:eastAsia="黑体"/>
          <w:b w:val="0"/>
          <w:color w:val="auto"/>
          <w:highlight w:val="none"/>
        </w:rPr>
      </w:pPr>
      <w:bookmarkStart w:id="40" w:name="_Toc15377215"/>
      <w:bookmarkStart w:id="41" w:name="_Toc27706"/>
      <w:bookmarkStart w:id="42" w:name="_Toc15396609"/>
      <w:r>
        <w:rPr>
          <w:rFonts w:hint="eastAsia" w:ascii="Times New Roman" w:hAnsi="Times New Roman" w:eastAsia="黑体"/>
          <w:color w:val="auto"/>
          <w:sz w:val="32"/>
          <w:szCs w:val="32"/>
          <w:highlight w:val="none"/>
        </w:rPr>
        <w:t>七、</w:t>
      </w:r>
      <w:r>
        <w:rPr>
          <w:rStyle w:val="23"/>
          <w:rFonts w:hint="eastAsia" w:ascii="Times New Roman" w:hAnsi="Times New Roman" w:eastAsia="黑体"/>
          <w:b w:val="0"/>
          <w:color w:val="auto"/>
          <w:highlight w:val="none"/>
        </w:rPr>
        <w:t>财政拨款</w:t>
      </w:r>
      <w:r>
        <w:rPr>
          <w:rStyle w:val="23"/>
          <w:rFonts w:hint="eastAsia" w:ascii="Times New Roman" w:hAnsi="Times New Roman" w:eastAsia="黑体"/>
          <w:color w:val="auto"/>
          <w:highlight w:val="none"/>
        </w:rPr>
        <w:t>“</w:t>
      </w:r>
      <w:r>
        <w:rPr>
          <w:rStyle w:val="23"/>
          <w:rFonts w:hint="eastAsia" w:ascii="Times New Roman" w:hAnsi="Times New Roman" w:eastAsia="黑体"/>
          <w:b w:val="0"/>
          <w:color w:val="auto"/>
          <w:highlight w:val="none"/>
        </w:rPr>
        <w:t>三公”经费支出决算情况说明</w:t>
      </w:r>
      <w:bookmarkEnd w:id="40"/>
      <w:bookmarkEnd w:id="41"/>
      <w:bookmarkEnd w:id="42"/>
    </w:p>
    <w:p>
      <w:pPr>
        <w:pageBreakBefore w:val="0"/>
        <w:kinsoku/>
        <w:wordWrap/>
        <w:overflowPunct/>
        <w:topLinePunct w:val="0"/>
        <w:bidi w:val="0"/>
        <w:spacing w:line="576" w:lineRule="exact"/>
        <w:ind w:firstLine="642" w:firstLineChars="200"/>
        <w:outlineLvl w:val="2"/>
        <w:rPr>
          <w:rFonts w:hint="eastAsia" w:ascii="Times New Roman" w:hAnsi="Times New Roman" w:eastAsia="楷体_GB2312" w:cs="楷体_GB2312"/>
          <w:b/>
          <w:color w:val="auto"/>
          <w:sz w:val="32"/>
          <w:szCs w:val="32"/>
          <w:highlight w:val="none"/>
        </w:rPr>
      </w:pPr>
      <w:bookmarkStart w:id="43" w:name="_Toc15377216"/>
      <w:r>
        <w:rPr>
          <w:rFonts w:hint="eastAsia" w:ascii="Times New Roman" w:hAnsi="Times New Roman" w:eastAsia="楷体_GB2312" w:cs="楷体_GB2312"/>
          <w:b/>
          <w:color w:val="auto"/>
          <w:sz w:val="32"/>
          <w:szCs w:val="32"/>
          <w:highlight w:val="none"/>
        </w:rPr>
        <w:t>（一）“三公”经费财政拨款支出决算总体情况说明</w:t>
      </w:r>
      <w:bookmarkEnd w:id="43"/>
    </w:p>
    <w:p>
      <w:pPr>
        <w:pageBreakBefore w:val="0"/>
        <w:shd w:val="clear" w:color="auto" w:fill="auto"/>
        <w:kinsoku/>
        <w:wordWrap/>
        <w:overflowPunct/>
        <w:topLinePunct w:val="0"/>
        <w:bidi w:val="0"/>
        <w:spacing w:line="576" w:lineRule="exact"/>
        <w:ind w:firstLine="640"/>
        <w:rPr>
          <w:rFonts w:hint="eastAsia" w:ascii="仿宋_GB2312" w:hAnsi="仿宋_GB2312" w:eastAsia="仿宋_GB2312" w:cs="仿宋_GB2312"/>
          <w:b/>
          <w:color w:val="auto"/>
          <w:sz w:val="32"/>
          <w:szCs w:val="32"/>
          <w:highlight w:val="none"/>
        </w:rPr>
      </w:pPr>
      <w:r>
        <w:rPr>
          <w:rFonts w:hint="eastAsia" w:ascii="Times New Roman" w:hAnsi="Times New Roman" w:eastAsia="仿宋_GB2312" w:cs="仿宋_GB2312"/>
          <w:color w:val="auto"/>
          <w:kern w:val="2"/>
          <w:sz w:val="32"/>
          <w:szCs w:val="32"/>
          <w:highlight w:val="none"/>
          <w:lang w:val="en-US" w:eastAsia="zh-CN" w:bidi="ar-SA"/>
        </w:rPr>
        <w:t>2024年度“三公”经费财政拨款支出决算为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r>
        <w:rPr>
          <w:rFonts w:hint="eastAsia" w:ascii="仿宋" w:hAnsi="仿宋" w:eastAsia="仿宋"/>
          <w:color w:val="000000"/>
          <w:sz w:val="32"/>
          <w:szCs w:val="32"/>
          <w:highlight w:val="none"/>
          <w:lang w:eastAsia="zh-CN"/>
        </w:rPr>
        <w:t>与</w:t>
      </w:r>
      <w:r>
        <w:rPr>
          <w:rFonts w:ascii="仿宋" w:hAnsi="仿宋" w:eastAsia="仿宋"/>
          <w:color w:val="000000"/>
          <w:sz w:val="32"/>
          <w:szCs w:val="32"/>
          <w:highlight w:val="none"/>
        </w:rPr>
        <w:t>20</w:t>
      </w:r>
      <w:r>
        <w:rPr>
          <w:rFonts w:hint="eastAsia" w:ascii="仿宋" w:hAnsi="仿宋" w:eastAsia="仿宋"/>
          <w:color w:val="000000"/>
          <w:sz w:val="32"/>
          <w:szCs w:val="32"/>
          <w:highlight w:val="none"/>
          <w:lang w:val="en-US" w:eastAsia="zh-CN"/>
        </w:rPr>
        <w:t>23</w:t>
      </w:r>
      <w:r>
        <w:rPr>
          <w:rFonts w:hint="eastAsia" w:ascii="仿宋" w:hAnsi="仿宋" w:eastAsia="仿宋"/>
          <w:color w:val="000000"/>
          <w:sz w:val="32"/>
          <w:szCs w:val="32"/>
          <w:highlight w:val="none"/>
        </w:rPr>
        <w:t>年决算数</w:t>
      </w:r>
      <w:r>
        <w:rPr>
          <w:rFonts w:hint="eastAsia" w:ascii="仿宋" w:hAnsi="仿宋" w:eastAsia="仿宋"/>
          <w:color w:val="000000"/>
          <w:sz w:val="32"/>
          <w:szCs w:val="32"/>
          <w:highlight w:val="none"/>
          <w:lang w:eastAsia="zh-CN"/>
        </w:rPr>
        <w:t>持平，未在财政拨款支出中安排该项预算。</w:t>
      </w:r>
    </w:p>
    <w:p>
      <w:pPr>
        <w:pageBreakBefore w:val="0"/>
        <w:kinsoku/>
        <w:wordWrap/>
        <w:overflowPunct/>
        <w:topLinePunct w:val="0"/>
        <w:bidi w:val="0"/>
        <w:spacing w:line="576" w:lineRule="exact"/>
        <w:ind w:firstLine="642" w:firstLineChars="200"/>
        <w:outlineLvl w:val="2"/>
        <w:rPr>
          <w:rFonts w:hint="eastAsia" w:ascii="Times New Roman" w:hAnsi="Times New Roman" w:eastAsia="楷体_GB2312" w:cs="楷体_GB2312"/>
          <w:b/>
          <w:color w:val="auto"/>
          <w:sz w:val="32"/>
          <w:szCs w:val="32"/>
          <w:highlight w:val="none"/>
        </w:rPr>
      </w:pPr>
      <w:bookmarkStart w:id="44" w:name="_Toc15377217"/>
      <w:r>
        <w:rPr>
          <w:rFonts w:hint="eastAsia" w:ascii="Times New Roman" w:hAnsi="Times New Roman" w:eastAsia="楷体_GB2312" w:cs="楷体_GB2312"/>
          <w:b/>
          <w:color w:val="auto"/>
          <w:sz w:val="32"/>
          <w:szCs w:val="32"/>
          <w:highlight w:val="none"/>
        </w:rPr>
        <w:t>（二）“三公”经费财政拨款支出决算具体情况说明</w:t>
      </w:r>
      <w:bookmarkEnd w:id="44"/>
    </w:p>
    <w:p>
      <w:pPr>
        <w:pageBreakBefore w:val="0"/>
        <w:shd w:val="clear" w:color="auto" w:fill="auto"/>
        <w:kinsoku/>
        <w:wordWrap/>
        <w:overflowPunct/>
        <w:topLinePunct w:val="0"/>
        <w:bidi w:val="0"/>
        <w:spacing w:line="576"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“三公”经费财政拨款支出决算中，因公出国（境）费支出决算</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%；公务用车购置及运行维护费支出决算</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%；公务接待费支出决算</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%。具体情况如下：</w:t>
      </w:r>
    </w:p>
    <w:p>
      <w:pPr>
        <w:pageBreakBefore w:val="0"/>
        <w:kinsoku/>
        <w:wordWrap/>
        <w:overflowPunct/>
        <w:topLinePunct w:val="0"/>
        <w:bidi w:val="0"/>
        <w:spacing w:line="576"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图7：“三公”经费财政拨款支出结构</w:t>
      </w:r>
    </w:p>
    <w:p>
      <w:pPr>
        <w:pStyle w:val="7"/>
        <w:pageBreakBefore w:val="0"/>
        <w:kinsoku/>
        <w:wordWrap/>
        <w:overflowPunct/>
        <w:topLinePunct w:val="0"/>
        <w:bidi w:val="0"/>
        <w:spacing w:line="576" w:lineRule="exact"/>
        <w:jc w:val="center"/>
        <w:rPr>
          <w:rFonts w:hint="eastAsia"/>
          <w:lang w:val="en-US" w:eastAsia="zh-CN"/>
        </w:rPr>
      </w:pPr>
    </w:p>
    <w:p>
      <w:pPr>
        <w:pageBreakBefore w:val="0"/>
        <w:numPr>
          <w:ilvl w:val="0"/>
          <w:numId w:val="0"/>
        </w:numPr>
        <w:kinsoku/>
        <w:wordWrap/>
        <w:overflowPunct/>
        <w:topLinePunct w:val="0"/>
        <w:bidi w:val="0"/>
        <w:spacing w:line="576" w:lineRule="exact"/>
        <w:ind w:firstLine="420" w:firstLineChars="200"/>
        <w:rPr>
          <w:rFonts w:hint="eastAsia" w:eastAsia="仿宋_GB2312" w:cs="仿宋_GB2312"/>
          <w:b/>
          <w:bCs/>
          <w:color w:val="auto"/>
          <w:kern w:val="2"/>
          <w:sz w:val="32"/>
          <w:szCs w:val="32"/>
          <w:highlight w:val="none"/>
          <w:lang w:val="en-US" w:eastAsia="zh-CN" w:bidi="ar-SA"/>
        </w:rPr>
      </w:pPr>
      <w:r>
        <w:rPr>
          <w:highlight w:val="none"/>
        </w:rPr>
        <w:drawing>
          <wp:anchor distT="0" distB="0" distL="114300" distR="114300" simplePos="0" relativeHeight="251665408" behindDoc="0" locked="0" layoutInCell="1" allowOverlap="1">
            <wp:simplePos x="0" y="0"/>
            <wp:positionH relativeFrom="column">
              <wp:posOffset>573405</wp:posOffset>
            </wp:positionH>
            <wp:positionV relativeFrom="paragraph">
              <wp:posOffset>17145</wp:posOffset>
            </wp:positionV>
            <wp:extent cx="3656965" cy="1868170"/>
            <wp:effectExtent l="4445" t="4445" r="15240" b="13335"/>
            <wp:wrapTopAndBottom/>
            <wp:docPr id="7" name="图表 7"/>
            <wp:cNvGraphicFramePr>
              <a:graphicFrameLocks xmlns:a="http://schemas.openxmlformats.org/drawingml/2006/main" noChangeAspect="true"/>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r>
        <w:rPr>
          <w:rFonts w:hint="eastAsia" w:eastAsia="仿宋_GB2312" w:cs="仿宋_GB2312"/>
          <w:b/>
          <w:bCs/>
          <w:color w:val="auto"/>
          <w:kern w:val="2"/>
          <w:sz w:val="32"/>
          <w:szCs w:val="32"/>
          <w:highlight w:val="none"/>
          <w:lang w:val="en-US" w:eastAsia="zh-CN" w:bidi="ar-SA"/>
        </w:rPr>
        <w:t>1.</w:t>
      </w:r>
      <w:r>
        <w:rPr>
          <w:rFonts w:hint="eastAsia" w:ascii="Times New Roman" w:hAnsi="Times New Roman" w:eastAsia="仿宋_GB2312" w:cs="仿宋_GB2312"/>
          <w:b/>
          <w:bCs/>
          <w:color w:val="auto"/>
          <w:kern w:val="2"/>
          <w:sz w:val="32"/>
          <w:szCs w:val="32"/>
          <w:highlight w:val="none"/>
          <w:lang w:val="en-US" w:eastAsia="zh-CN" w:bidi="ar-SA"/>
        </w:rPr>
        <w:t>因公出国（境）经费支出0万元，</w:t>
      </w:r>
      <w:r>
        <w:rPr>
          <w:rFonts w:hint="eastAsia" w:ascii="仿宋" w:hAnsi="仿宋" w:eastAsia="仿宋"/>
          <w:b/>
          <w:bCs/>
          <w:color w:val="000000"/>
          <w:sz w:val="32"/>
          <w:szCs w:val="32"/>
          <w:highlight w:val="none"/>
          <w:lang w:eastAsia="zh-CN"/>
        </w:rPr>
        <w:t>未在财政拨款支出中安排该项预算</w:t>
      </w:r>
      <w:r>
        <w:rPr>
          <w:rFonts w:hint="eastAsia" w:ascii="Times New Roman" w:hAnsi="Times New Roman" w:eastAsia="仿宋_GB2312" w:cs="仿宋_GB2312"/>
          <w:b/>
          <w:bCs/>
          <w:color w:val="auto"/>
          <w:kern w:val="2"/>
          <w:sz w:val="32"/>
          <w:szCs w:val="32"/>
          <w:highlight w:val="none"/>
          <w:lang w:val="en-US" w:eastAsia="zh-CN" w:bidi="ar-SA"/>
        </w:rPr>
        <w:t>。</w:t>
      </w:r>
    </w:p>
    <w:p>
      <w:pPr>
        <w:pageBreakBefore w:val="0"/>
        <w:numPr>
          <w:ilvl w:val="0"/>
          <w:numId w:val="0"/>
        </w:numPr>
        <w:kinsoku/>
        <w:wordWrap/>
        <w:overflowPunct/>
        <w:topLinePunct w:val="0"/>
        <w:bidi w:val="0"/>
        <w:spacing w:line="576" w:lineRule="exact"/>
        <w:ind w:firstLine="640" w:firstLineChars="20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全年安排因公出国（境）团</w:t>
      </w:r>
      <w:r>
        <w:rPr>
          <w:rFonts w:hint="eastAsia" w:ascii="仿宋_GB2312" w:hAnsi="仿宋_GB2312" w:eastAsia="仿宋_GB2312" w:cs="仿宋_GB2312"/>
          <w:color w:val="auto"/>
          <w:kern w:val="2"/>
          <w:sz w:val="32"/>
          <w:szCs w:val="32"/>
          <w:highlight w:val="none"/>
          <w:lang w:val="en-US" w:eastAsia="zh-CN" w:bidi="ar-SA"/>
        </w:rPr>
        <w:t>组</w:t>
      </w:r>
      <w:r>
        <w:rPr>
          <w:rFonts w:hint="eastAsia" w:ascii="仿宋_GB2312" w:hAnsi="仿宋_GB2312" w:eastAsia="仿宋_GB2312" w:cs="仿宋_GB2312"/>
          <w:sz w:val="32"/>
          <w:szCs w:val="32"/>
        </w:rPr>
        <w:t>0</w:t>
      </w:r>
      <w:r>
        <w:rPr>
          <w:rFonts w:hint="eastAsia" w:ascii="Times New Roman" w:hAnsi="Times New Roman" w:eastAsia="仿宋_GB2312" w:cs="仿宋_GB2312"/>
          <w:color w:val="auto"/>
          <w:kern w:val="2"/>
          <w:sz w:val="32"/>
          <w:szCs w:val="32"/>
          <w:highlight w:val="none"/>
          <w:lang w:val="en-US" w:eastAsia="zh-CN" w:bidi="ar-SA"/>
        </w:rPr>
        <w:t>次，出国（境）</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人</w:t>
      </w:r>
      <w:r>
        <w:rPr>
          <w:rFonts w:hint="eastAsia" w:ascii="Times New Roman" w:hAnsi="Times New Roman" w:eastAsia="仿宋_GB2312" w:cs="仿宋_GB2312"/>
          <w:color w:val="auto"/>
          <w:kern w:val="2"/>
          <w:sz w:val="32"/>
          <w:szCs w:val="32"/>
          <w:highlight w:val="none"/>
          <w:lang w:val="en-US" w:eastAsia="zh-CN" w:bidi="ar-SA"/>
        </w:rPr>
        <w:t>。因公出国（境）支出决算较2023年无变化</w:t>
      </w:r>
      <w:r>
        <w:rPr>
          <w:rFonts w:hint="eastAsia" w:eastAsia="仿宋_GB2312" w:cs="仿宋_GB2312"/>
          <w:color w:val="auto"/>
          <w:kern w:val="2"/>
          <w:sz w:val="32"/>
          <w:szCs w:val="32"/>
          <w:highlight w:val="none"/>
          <w:lang w:val="en-US" w:eastAsia="zh-CN" w:bidi="ar-SA"/>
        </w:rPr>
        <w:t>。</w:t>
      </w:r>
    </w:p>
    <w:p>
      <w:pPr>
        <w:pageBreakBefore w:val="0"/>
        <w:numPr>
          <w:ilvl w:val="0"/>
          <w:numId w:val="0"/>
        </w:numPr>
        <w:kinsoku/>
        <w:wordWrap/>
        <w:overflowPunct/>
        <w:topLinePunct w:val="0"/>
        <w:bidi w:val="0"/>
        <w:spacing w:line="576" w:lineRule="exact"/>
        <w:ind w:firstLine="642" w:firstLineChars="200"/>
        <w:rPr>
          <w:rFonts w:hint="eastAsia"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2.公务用车购置及运行维护费支出</w:t>
      </w:r>
      <w:r>
        <w:rPr>
          <w:rFonts w:hint="eastAsia" w:ascii="仿宋_GB2312" w:hAnsi="仿宋_GB2312" w:eastAsia="仿宋_GB2312" w:cs="仿宋_GB2312"/>
          <w:b/>
          <w:bCs/>
          <w:color w:val="auto"/>
          <w:kern w:val="2"/>
          <w:sz w:val="32"/>
          <w:szCs w:val="32"/>
          <w:highlight w:val="none"/>
          <w:lang w:val="en-US" w:eastAsia="zh-CN" w:bidi="ar-SA"/>
        </w:rPr>
        <w:t>0万</w:t>
      </w:r>
      <w:r>
        <w:rPr>
          <w:rFonts w:hint="eastAsia" w:ascii="Times New Roman" w:hAnsi="Times New Roman" w:eastAsia="仿宋_GB2312" w:cs="仿宋_GB2312"/>
          <w:b/>
          <w:bCs/>
          <w:color w:val="auto"/>
          <w:kern w:val="2"/>
          <w:sz w:val="32"/>
          <w:szCs w:val="32"/>
          <w:highlight w:val="none"/>
          <w:lang w:val="en-US" w:eastAsia="zh-CN" w:bidi="ar-SA"/>
        </w:rPr>
        <w:t>元</w:t>
      </w:r>
      <w:r>
        <w:rPr>
          <w:rFonts w:hint="eastAsia" w:eastAsia="仿宋_GB2312" w:cs="仿宋_GB2312"/>
          <w:b/>
          <w:bCs/>
          <w:color w:val="auto"/>
          <w:kern w:val="2"/>
          <w:sz w:val="32"/>
          <w:szCs w:val="32"/>
          <w:highlight w:val="none"/>
          <w:lang w:val="en-US" w:eastAsia="zh-CN" w:bidi="ar-SA"/>
        </w:rPr>
        <w:t>，</w:t>
      </w:r>
      <w:r>
        <w:rPr>
          <w:rFonts w:hint="eastAsia" w:ascii="仿宋" w:hAnsi="仿宋" w:eastAsia="仿宋"/>
          <w:b/>
          <w:bCs/>
          <w:color w:val="000000"/>
          <w:sz w:val="32"/>
          <w:szCs w:val="32"/>
          <w:highlight w:val="none"/>
          <w:lang w:eastAsia="zh-CN"/>
        </w:rPr>
        <w:t>未在财政拨款支出中安排该项预算</w:t>
      </w:r>
      <w:r>
        <w:rPr>
          <w:rFonts w:hint="eastAsia" w:ascii="Times New Roman" w:hAnsi="Times New Roman" w:eastAsia="仿宋_GB2312" w:cs="仿宋_GB2312"/>
          <w:b/>
          <w:bCs/>
          <w:color w:val="auto"/>
          <w:kern w:val="2"/>
          <w:sz w:val="32"/>
          <w:szCs w:val="32"/>
          <w:highlight w:val="none"/>
          <w:lang w:val="en-US" w:eastAsia="zh-CN" w:bidi="ar-SA"/>
        </w:rPr>
        <w:t>。</w:t>
      </w:r>
    </w:p>
    <w:p>
      <w:pPr>
        <w:pageBreakBefore w:val="0"/>
        <w:kinsoku/>
        <w:wordWrap/>
        <w:overflowPunct/>
        <w:topLinePunct w:val="0"/>
        <w:bidi w:val="0"/>
        <w:spacing w:line="576"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公务用车购置及运行维护费支出决算较2023年无变化</w:t>
      </w:r>
      <w:r>
        <w:rPr>
          <w:rFonts w:hint="eastAsia" w:eastAsia="仿宋_GB2312" w:cs="仿宋_GB2312"/>
          <w:color w:val="auto"/>
          <w:kern w:val="2"/>
          <w:sz w:val="32"/>
          <w:szCs w:val="32"/>
          <w:highlight w:val="none"/>
          <w:lang w:val="en-US" w:eastAsia="zh-CN" w:bidi="ar-SA"/>
        </w:rPr>
        <w:t>。</w:t>
      </w:r>
    </w:p>
    <w:p>
      <w:pPr>
        <w:pageBreakBefore w:val="0"/>
        <w:numPr>
          <w:ilvl w:val="0"/>
          <w:numId w:val="0"/>
        </w:numPr>
        <w:kinsoku/>
        <w:wordWrap/>
        <w:overflowPunct/>
        <w:topLinePunct w:val="0"/>
        <w:bidi w:val="0"/>
        <w:spacing w:line="576" w:lineRule="exact"/>
        <w:ind w:firstLine="640" w:firstLineChars="200"/>
        <w:rPr>
          <w:rFonts w:hint="eastAsia" w:ascii="Times New Roman" w:hAnsi="Times New Roman" w:eastAsia="仿宋_GB2312" w:cs="仿宋_GB2312"/>
          <w:b w:val="0"/>
          <w:bCs w:val="0"/>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其中：公务用车购置支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Times New Roman" w:hAnsi="Times New Roman" w:eastAsia="仿宋_GB2312" w:cs="仿宋_GB2312"/>
          <w:color w:val="auto"/>
          <w:kern w:val="2"/>
          <w:sz w:val="32"/>
          <w:szCs w:val="32"/>
          <w:highlight w:val="none"/>
          <w:lang w:val="en-US" w:eastAsia="zh-CN" w:bidi="ar-SA"/>
        </w:rPr>
        <w:t>万元。</w:t>
      </w:r>
      <w:r>
        <w:rPr>
          <w:rFonts w:hint="eastAsia" w:ascii="仿宋" w:hAnsi="仿宋" w:eastAsia="仿宋"/>
          <w:b w:val="0"/>
          <w:bCs w:val="0"/>
          <w:color w:val="000000"/>
          <w:sz w:val="32"/>
          <w:szCs w:val="32"/>
          <w:highlight w:val="none"/>
          <w:lang w:eastAsia="zh-CN"/>
        </w:rPr>
        <w:t>未在财政拨款支出中安排该项预算</w:t>
      </w:r>
      <w:r>
        <w:rPr>
          <w:rFonts w:hint="eastAsia" w:ascii="Times New Roman" w:hAnsi="Times New Roman" w:eastAsia="仿宋_GB2312" w:cs="仿宋_GB2312"/>
          <w:b w:val="0"/>
          <w:bCs w:val="0"/>
          <w:color w:val="auto"/>
          <w:kern w:val="2"/>
          <w:sz w:val="32"/>
          <w:szCs w:val="32"/>
          <w:highlight w:val="none"/>
          <w:lang w:val="en-US" w:eastAsia="zh-CN" w:bidi="ar-SA"/>
        </w:rPr>
        <w:t>。截至2024年12月31日，单位共有公务用车</w:t>
      </w:r>
      <w:r>
        <w:rPr>
          <w:rFonts w:hint="eastAsia" w:eastAsia="仿宋_GB2312" w:cs="仿宋_GB2312"/>
          <w:b w:val="0"/>
          <w:bCs w:val="0"/>
          <w:color w:val="auto"/>
          <w:kern w:val="2"/>
          <w:sz w:val="32"/>
          <w:szCs w:val="32"/>
          <w:highlight w:val="none"/>
          <w:lang w:val="en-US" w:eastAsia="zh-CN" w:bidi="ar-SA"/>
        </w:rPr>
        <w:t>1</w:t>
      </w:r>
      <w:r>
        <w:rPr>
          <w:rFonts w:hint="eastAsia" w:ascii="Times New Roman" w:hAnsi="Times New Roman" w:eastAsia="仿宋_GB2312" w:cs="仿宋_GB2312"/>
          <w:b w:val="0"/>
          <w:bCs w:val="0"/>
          <w:color w:val="auto"/>
          <w:kern w:val="2"/>
          <w:sz w:val="32"/>
          <w:szCs w:val="32"/>
          <w:highlight w:val="none"/>
          <w:lang w:val="en-US" w:eastAsia="zh-CN" w:bidi="ar-SA"/>
        </w:rPr>
        <w:t>辆，其中：轿车</w:t>
      </w:r>
      <w:r>
        <w:rPr>
          <w:rFonts w:hint="eastAsia" w:eastAsia="仿宋_GB2312" w:cs="仿宋_GB2312"/>
          <w:b w:val="0"/>
          <w:bCs w:val="0"/>
          <w:color w:val="auto"/>
          <w:kern w:val="2"/>
          <w:sz w:val="32"/>
          <w:szCs w:val="32"/>
          <w:highlight w:val="none"/>
          <w:lang w:val="en-US" w:eastAsia="zh-CN" w:bidi="ar-SA"/>
        </w:rPr>
        <w:t>1</w:t>
      </w:r>
      <w:r>
        <w:rPr>
          <w:rFonts w:hint="eastAsia" w:ascii="Times New Roman" w:hAnsi="Times New Roman" w:eastAsia="仿宋_GB2312" w:cs="仿宋_GB2312"/>
          <w:b w:val="0"/>
          <w:bCs w:val="0"/>
          <w:color w:val="auto"/>
          <w:kern w:val="2"/>
          <w:sz w:val="32"/>
          <w:szCs w:val="32"/>
          <w:highlight w:val="none"/>
          <w:lang w:val="en-US" w:eastAsia="zh-CN" w:bidi="ar-SA"/>
        </w:rPr>
        <w:t>辆。</w:t>
      </w:r>
    </w:p>
    <w:p>
      <w:pPr>
        <w:pageBreakBefore w:val="0"/>
        <w:numPr>
          <w:ilvl w:val="0"/>
          <w:numId w:val="0"/>
        </w:numPr>
        <w:kinsoku/>
        <w:wordWrap/>
        <w:overflowPunct/>
        <w:topLinePunct w:val="0"/>
        <w:bidi w:val="0"/>
        <w:spacing w:line="576" w:lineRule="exact"/>
        <w:ind w:firstLine="640" w:firstLineChars="200"/>
        <w:rPr>
          <w:rFonts w:hint="eastAsia" w:eastAsia="仿宋_GB2312" w:cs="仿宋_GB2312"/>
          <w:b w:val="0"/>
          <w:bCs w:val="0"/>
          <w:color w:val="auto"/>
          <w:kern w:val="2"/>
          <w:sz w:val="32"/>
          <w:szCs w:val="32"/>
          <w:highlight w:val="none"/>
          <w:lang w:val="en-US" w:eastAsia="zh-CN" w:bidi="ar-SA"/>
        </w:rPr>
      </w:pPr>
      <w:r>
        <w:rPr>
          <w:rFonts w:hint="eastAsia" w:ascii="Times New Roman" w:hAnsi="Times New Roman" w:eastAsia="仿宋_GB2312" w:cs="仿宋_GB2312"/>
          <w:b w:val="0"/>
          <w:bCs w:val="0"/>
          <w:color w:val="auto"/>
          <w:kern w:val="2"/>
          <w:sz w:val="32"/>
          <w:szCs w:val="32"/>
          <w:highlight w:val="none"/>
          <w:lang w:val="en-US" w:eastAsia="zh-CN" w:bidi="ar-SA"/>
        </w:rPr>
        <w:t>公务用车运行维护费支</w:t>
      </w:r>
      <w:r>
        <w:rPr>
          <w:rFonts w:hint="eastAsia" w:ascii="仿宋_GB2312" w:hAnsi="仿宋_GB2312" w:eastAsia="仿宋_GB2312" w:cs="仿宋_GB2312"/>
          <w:b w:val="0"/>
          <w:bCs w:val="0"/>
          <w:color w:val="auto"/>
          <w:kern w:val="2"/>
          <w:sz w:val="32"/>
          <w:szCs w:val="32"/>
          <w:highlight w:val="none"/>
          <w:lang w:val="en-US" w:eastAsia="zh-CN" w:bidi="ar-SA"/>
        </w:rPr>
        <w:t>出</w:t>
      </w:r>
      <w:r>
        <w:rPr>
          <w:rFonts w:hint="eastAsia" w:ascii="仿宋_GB2312" w:hAnsi="仿宋_GB2312" w:eastAsia="仿宋_GB2312" w:cs="仿宋_GB2312"/>
          <w:b w:val="0"/>
          <w:bCs w:val="0"/>
          <w:sz w:val="32"/>
          <w:szCs w:val="32"/>
        </w:rPr>
        <w:t>0</w:t>
      </w:r>
      <w:r>
        <w:rPr>
          <w:rFonts w:hint="eastAsia" w:ascii="Times New Roman" w:hAnsi="Times New Roman" w:eastAsia="仿宋_GB2312" w:cs="仿宋_GB2312"/>
          <w:b w:val="0"/>
          <w:bCs w:val="0"/>
          <w:color w:val="auto"/>
          <w:kern w:val="2"/>
          <w:sz w:val="32"/>
          <w:szCs w:val="32"/>
          <w:highlight w:val="none"/>
          <w:lang w:val="en-US" w:eastAsia="zh-CN" w:bidi="ar-SA"/>
        </w:rPr>
        <w:t>万元</w:t>
      </w:r>
      <w:r>
        <w:rPr>
          <w:rFonts w:hint="eastAsia" w:eastAsia="仿宋_GB2312" w:cs="仿宋_GB2312"/>
          <w:b w:val="0"/>
          <w:bCs w:val="0"/>
          <w:color w:val="auto"/>
          <w:kern w:val="2"/>
          <w:sz w:val="32"/>
          <w:szCs w:val="32"/>
          <w:highlight w:val="none"/>
          <w:lang w:val="en-US" w:eastAsia="zh-CN" w:bidi="ar-SA"/>
        </w:rPr>
        <w:t>，</w:t>
      </w:r>
      <w:r>
        <w:rPr>
          <w:rFonts w:hint="eastAsia" w:ascii="仿宋" w:hAnsi="仿宋" w:eastAsia="仿宋"/>
          <w:b w:val="0"/>
          <w:bCs w:val="0"/>
          <w:color w:val="000000"/>
          <w:sz w:val="32"/>
          <w:szCs w:val="32"/>
          <w:highlight w:val="none"/>
          <w:lang w:eastAsia="zh-CN"/>
        </w:rPr>
        <w:t>未在财政拨款支出中安排该项预算</w:t>
      </w:r>
      <w:r>
        <w:rPr>
          <w:rFonts w:hint="eastAsia" w:ascii="Times New Roman" w:hAnsi="Times New Roman" w:eastAsia="仿宋_GB2312" w:cs="仿宋_GB2312"/>
          <w:b w:val="0"/>
          <w:bCs w:val="0"/>
          <w:color w:val="auto"/>
          <w:kern w:val="2"/>
          <w:sz w:val="32"/>
          <w:szCs w:val="32"/>
          <w:highlight w:val="none"/>
          <w:lang w:val="en-US" w:eastAsia="zh-CN" w:bidi="ar-SA"/>
        </w:rPr>
        <w:t>。</w:t>
      </w:r>
    </w:p>
    <w:p>
      <w:pPr>
        <w:pageBreakBefore w:val="0"/>
        <w:numPr>
          <w:ilvl w:val="0"/>
          <w:numId w:val="0"/>
        </w:numPr>
        <w:kinsoku/>
        <w:wordWrap/>
        <w:overflowPunct/>
        <w:topLinePunct w:val="0"/>
        <w:bidi w:val="0"/>
        <w:spacing w:line="576" w:lineRule="exact"/>
        <w:ind w:firstLine="642"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b/>
          <w:bCs/>
          <w:color w:val="auto"/>
          <w:kern w:val="2"/>
          <w:sz w:val="32"/>
          <w:szCs w:val="32"/>
          <w:highlight w:val="none"/>
          <w:lang w:val="en-US" w:eastAsia="zh-CN" w:bidi="ar-SA"/>
        </w:rPr>
        <w:t>3.</w:t>
      </w:r>
      <w:r>
        <w:rPr>
          <w:rFonts w:hint="eastAsia" w:ascii="Times New Roman" w:hAnsi="Times New Roman" w:eastAsia="仿宋_GB2312" w:cs="仿宋_GB2312"/>
          <w:b/>
          <w:bCs/>
          <w:color w:val="auto"/>
          <w:kern w:val="2"/>
          <w:sz w:val="32"/>
          <w:szCs w:val="32"/>
          <w:highlight w:val="none"/>
          <w:lang w:val="en-US" w:eastAsia="zh-CN" w:bidi="ar-SA"/>
        </w:rPr>
        <w:t>公务接待费支出</w:t>
      </w:r>
      <w:r>
        <w:rPr>
          <w:rFonts w:hint="eastAsia" w:ascii="仿宋_GB2312" w:hAnsi="仿宋_GB2312" w:eastAsia="仿宋_GB2312" w:cs="仿宋_GB2312"/>
          <w:b/>
          <w:bCs/>
          <w:color w:val="auto"/>
          <w:kern w:val="2"/>
          <w:sz w:val="32"/>
          <w:szCs w:val="32"/>
          <w:highlight w:val="none"/>
          <w:lang w:val="en-US" w:eastAsia="zh-CN" w:bidi="ar-SA"/>
        </w:rPr>
        <w:t>0万</w:t>
      </w:r>
      <w:r>
        <w:rPr>
          <w:rFonts w:hint="eastAsia" w:ascii="Times New Roman" w:hAnsi="Times New Roman" w:eastAsia="仿宋_GB2312" w:cs="仿宋_GB2312"/>
          <w:b/>
          <w:bCs/>
          <w:color w:val="auto"/>
          <w:kern w:val="2"/>
          <w:sz w:val="32"/>
          <w:szCs w:val="32"/>
          <w:highlight w:val="none"/>
          <w:lang w:val="en-US" w:eastAsia="zh-CN" w:bidi="ar-SA"/>
        </w:rPr>
        <w:t>元，</w:t>
      </w:r>
      <w:r>
        <w:rPr>
          <w:rFonts w:hint="eastAsia" w:ascii="仿宋" w:hAnsi="仿宋" w:eastAsia="仿宋"/>
          <w:b/>
          <w:bCs/>
          <w:color w:val="000000"/>
          <w:sz w:val="32"/>
          <w:szCs w:val="32"/>
          <w:highlight w:val="none"/>
          <w:lang w:eastAsia="zh-CN"/>
        </w:rPr>
        <w:t>未在财政拨款支出中安排该项预算</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公务接待费支出决算较2023年无变化</w:t>
      </w:r>
      <w:r>
        <w:rPr>
          <w:rFonts w:hint="eastAsia" w:eastAsia="仿宋_GB2312" w:cs="仿宋_GB2312"/>
          <w:color w:val="auto"/>
          <w:kern w:val="2"/>
          <w:sz w:val="32"/>
          <w:szCs w:val="32"/>
          <w:highlight w:val="none"/>
          <w:lang w:val="en-US" w:eastAsia="zh-CN" w:bidi="ar-SA"/>
        </w:rPr>
        <w:t>。</w:t>
      </w:r>
    </w:p>
    <w:p>
      <w:pPr>
        <w:pageBreakBefore w:val="0"/>
        <w:kinsoku/>
        <w:wordWrap/>
        <w:overflowPunct/>
        <w:topLinePunct w:val="0"/>
        <w:bidi w:val="0"/>
        <w:spacing w:line="576"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国内公务接待支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w:t>
      </w:r>
    </w:p>
    <w:p>
      <w:pPr>
        <w:pageBreakBefore w:val="0"/>
        <w:kinsoku/>
        <w:wordWrap/>
        <w:overflowPunct/>
        <w:topLinePunct w:val="0"/>
        <w:bidi w:val="0"/>
        <w:spacing w:line="576"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外事接待支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w:t>
      </w:r>
    </w:p>
    <w:p>
      <w:pPr>
        <w:pageBreakBefore w:val="0"/>
        <w:kinsoku/>
        <w:wordWrap/>
        <w:overflowPunct/>
        <w:topLinePunct w:val="0"/>
        <w:bidi w:val="0"/>
        <w:spacing w:line="576" w:lineRule="exact"/>
        <w:ind w:firstLine="640"/>
        <w:outlineLvl w:val="1"/>
        <w:rPr>
          <w:rStyle w:val="23"/>
          <w:rFonts w:ascii="Times New Roman" w:hAnsi="Times New Roman" w:eastAsia="黑体"/>
          <w:color w:val="auto"/>
          <w:highlight w:val="none"/>
        </w:rPr>
      </w:pPr>
      <w:bookmarkStart w:id="45" w:name="_Toc15396610"/>
      <w:bookmarkStart w:id="46" w:name="_Toc12477"/>
      <w:bookmarkStart w:id="47" w:name="_Toc15377218"/>
      <w:r>
        <w:rPr>
          <w:rFonts w:hint="eastAsia" w:ascii="Times New Roman" w:hAnsi="Times New Roman" w:eastAsia="黑体"/>
          <w:color w:val="auto"/>
          <w:sz w:val="32"/>
          <w:szCs w:val="32"/>
          <w:highlight w:val="none"/>
        </w:rPr>
        <w:t>八、</w:t>
      </w:r>
      <w:r>
        <w:rPr>
          <w:rStyle w:val="23"/>
          <w:rFonts w:hint="eastAsia" w:ascii="Times New Roman" w:hAnsi="Times New Roman" w:eastAsia="黑体"/>
          <w:b w:val="0"/>
          <w:color w:val="auto"/>
          <w:highlight w:val="none"/>
        </w:rPr>
        <w:t>政府性基金预算支出决算情况说明</w:t>
      </w:r>
      <w:bookmarkEnd w:id="45"/>
      <w:bookmarkEnd w:id="46"/>
      <w:bookmarkEnd w:id="47"/>
    </w:p>
    <w:p>
      <w:pPr>
        <w:pageBreakBefore w:val="0"/>
        <w:kinsoku/>
        <w:wordWrap/>
        <w:overflowPunct/>
        <w:topLinePunct w:val="0"/>
        <w:bidi w:val="0"/>
        <w:spacing w:line="576"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2024年度政府性基金预算财政拨款支出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与2023年度相比无变化</w:t>
      </w:r>
      <w:r>
        <w:rPr>
          <w:rFonts w:hint="eastAsia" w:eastAsia="仿宋_GB2312" w:cs="仿宋_GB2312"/>
          <w:color w:val="auto"/>
          <w:kern w:val="2"/>
          <w:sz w:val="32"/>
          <w:szCs w:val="32"/>
          <w:highlight w:val="none"/>
          <w:lang w:val="en-US" w:eastAsia="zh-CN" w:bidi="ar-SA"/>
        </w:rPr>
        <w:t>。</w:t>
      </w:r>
    </w:p>
    <w:p>
      <w:pPr>
        <w:pageBreakBefore w:val="0"/>
        <w:numPr>
          <w:ilvl w:val="0"/>
          <w:numId w:val="0"/>
        </w:numPr>
        <w:kinsoku/>
        <w:wordWrap/>
        <w:overflowPunct/>
        <w:topLinePunct w:val="0"/>
        <w:bidi w:val="0"/>
        <w:spacing w:line="576" w:lineRule="exact"/>
        <w:ind w:left="630" w:leftChars="0"/>
        <w:outlineLvl w:val="1"/>
        <w:rPr>
          <w:rStyle w:val="23"/>
          <w:rFonts w:ascii="Times New Roman" w:hAnsi="Times New Roman" w:eastAsia="黑体"/>
          <w:b w:val="0"/>
          <w:color w:val="auto"/>
          <w:highlight w:val="none"/>
        </w:rPr>
      </w:pPr>
      <w:bookmarkStart w:id="48" w:name="_Toc15377219"/>
      <w:bookmarkStart w:id="49" w:name="_Toc15396611"/>
      <w:bookmarkStart w:id="50" w:name="_Toc1503"/>
      <w:r>
        <w:rPr>
          <w:rStyle w:val="23"/>
          <w:rFonts w:hint="eastAsia" w:ascii="Times New Roman" w:hAnsi="Times New Roman" w:eastAsia="黑体"/>
          <w:b w:val="0"/>
          <w:color w:val="auto"/>
          <w:highlight w:val="none"/>
          <w:lang w:eastAsia="zh-CN"/>
        </w:rPr>
        <w:t>九、</w:t>
      </w:r>
      <w:r>
        <w:rPr>
          <w:rStyle w:val="23"/>
          <w:rFonts w:hint="eastAsia" w:ascii="Times New Roman" w:hAnsi="Times New Roman" w:eastAsia="黑体"/>
          <w:b w:val="0"/>
          <w:color w:val="auto"/>
          <w:highlight w:val="none"/>
        </w:rPr>
        <w:t>国有资本经营预算支出决算情况说明</w:t>
      </w:r>
      <w:bookmarkEnd w:id="48"/>
      <w:bookmarkEnd w:id="49"/>
      <w:bookmarkEnd w:id="50"/>
    </w:p>
    <w:p>
      <w:pPr>
        <w:pageBreakBefore w:val="0"/>
        <w:kinsoku/>
        <w:wordWrap/>
        <w:overflowPunct/>
        <w:topLinePunct w:val="0"/>
        <w:bidi w:val="0"/>
        <w:spacing w:line="576"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2024年度国有资本经营预算财政拨款支出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与2023年度相比无变化</w:t>
      </w:r>
      <w:r>
        <w:rPr>
          <w:rFonts w:hint="eastAsia" w:eastAsia="仿宋_GB2312" w:cs="仿宋_GB2312"/>
          <w:color w:val="auto"/>
          <w:kern w:val="2"/>
          <w:sz w:val="32"/>
          <w:szCs w:val="32"/>
          <w:highlight w:val="none"/>
          <w:lang w:val="en-US" w:eastAsia="zh-CN" w:bidi="ar-SA"/>
        </w:rPr>
        <w:t>。</w:t>
      </w:r>
    </w:p>
    <w:p>
      <w:pPr>
        <w:pageBreakBefore w:val="0"/>
        <w:numPr>
          <w:ilvl w:val="0"/>
          <w:numId w:val="0"/>
        </w:numPr>
        <w:kinsoku/>
        <w:wordWrap/>
        <w:overflowPunct/>
        <w:topLinePunct w:val="0"/>
        <w:bidi w:val="0"/>
        <w:spacing w:line="576" w:lineRule="exact"/>
        <w:ind w:left="630" w:leftChars="0"/>
        <w:outlineLvl w:val="1"/>
        <w:rPr>
          <w:rStyle w:val="23"/>
          <w:rFonts w:hint="eastAsia" w:ascii="Times New Roman" w:hAnsi="Times New Roman" w:eastAsia="黑体"/>
          <w:b w:val="0"/>
          <w:color w:val="auto"/>
          <w:highlight w:val="none"/>
        </w:rPr>
      </w:pPr>
      <w:bookmarkStart w:id="51" w:name="_Toc25443"/>
      <w:bookmarkStart w:id="52" w:name="_Toc15377221"/>
      <w:bookmarkStart w:id="53" w:name="_Toc15396612"/>
      <w:r>
        <w:rPr>
          <w:rStyle w:val="23"/>
          <w:rFonts w:hint="eastAsia" w:ascii="Times New Roman" w:hAnsi="Times New Roman" w:eastAsia="黑体"/>
          <w:b w:val="0"/>
          <w:color w:val="auto"/>
          <w:highlight w:val="none"/>
          <w:lang w:eastAsia="zh-CN"/>
        </w:rPr>
        <w:t>十、</w:t>
      </w:r>
      <w:r>
        <w:rPr>
          <w:rStyle w:val="23"/>
          <w:rFonts w:hint="eastAsia" w:ascii="Times New Roman" w:hAnsi="Times New Roman" w:eastAsia="黑体"/>
          <w:b w:val="0"/>
          <w:color w:val="auto"/>
          <w:highlight w:val="none"/>
        </w:rPr>
        <w:t>其他重要事项的情况说明</w:t>
      </w:r>
      <w:bookmarkEnd w:id="51"/>
      <w:bookmarkEnd w:id="52"/>
      <w:bookmarkEnd w:id="53"/>
    </w:p>
    <w:p>
      <w:pPr>
        <w:pageBreakBefore w:val="0"/>
        <w:kinsoku/>
        <w:wordWrap/>
        <w:overflowPunct/>
        <w:topLinePunct w:val="0"/>
        <w:bidi w:val="0"/>
        <w:spacing w:line="576" w:lineRule="exact"/>
        <w:ind w:firstLine="642" w:firstLineChars="200"/>
        <w:outlineLvl w:val="2"/>
        <w:rPr>
          <w:rFonts w:hint="eastAsia" w:ascii="Times New Roman" w:hAnsi="Times New Roman" w:eastAsia="楷体_GB2312" w:cs="楷体_GB2312"/>
          <w:b/>
          <w:color w:val="auto"/>
          <w:sz w:val="32"/>
          <w:szCs w:val="32"/>
          <w:highlight w:val="none"/>
        </w:rPr>
      </w:pPr>
      <w:bookmarkStart w:id="54" w:name="_Toc15377222"/>
      <w:r>
        <w:rPr>
          <w:rFonts w:hint="eastAsia" w:ascii="Times New Roman" w:hAnsi="Times New Roman" w:eastAsia="楷体_GB2312" w:cs="楷体_GB2312"/>
          <w:b/>
          <w:color w:val="auto"/>
          <w:sz w:val="32"/>
          <w:szCs w:val="32"/>
          <w:highlight w:val="none"/>
        </w:rPr>
        <w:t>（一）机关运行经费支出情况</w:t>
      </w:r>
      <w:bookmarkEnd w:id="54"/>
    </w:p>
    <w:p>
      <w:pPr>
        <w:pageBreakBefore w:val="0"/>
        <w:shd w:val="clear" w:color="auto" w:fill="auto"/>
        <w:kinsoku/>
        <w:wordWrap/>
        <w:overflowPunct/>
        <w:topLinePunct w:val="0"/>
        <w:bidi w:val="0"/>
        <w:spacing w:line="576" w:lineRule="exact"/>
        <w:ind w:firstLine="640" w:firstLineChars="200"/>
        <w:rPr>
          <w:rFonts w:ascii="仿宋_GB2312" w:eastAsia="仿宋_GB2312"/>
          <w:color w:val="auto"/>
          <w:sz w:val="32"/>
          <w:szCs w:val="32"/>
          <w:highlight w:val="none"/>
        </w:rPr>
      </w:pPr>
      <w:bookmarkStart w:id="55" w:name="_Toc15377223"/>
      <w:r>
        <w:rPr>
          <w:rFonts w:hint="eastAsia" w:ascii="仿宋_GB2312" w:eastAsia="仿宋_GB2312"/>
          <w:color w:val="auto"/>
          <w:sz w:val="32"/>
          <w:szCs w:val="32"/>
          <w:highlight w:val="none"/>
          <w:lang w:eastAsia="zh-CN"/>
        </w:rPr>
        <w:t>202</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lang w:val="en-US" w:eastAsia="zh-CN"/>
        </w:rPr>
        <w:t>未发生机关运行经费支出</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与2023年决算数</w:t>
      </w:r>
      <w:r>
        <w:rPr>
          <w:rFonts w:hint="eastAsia" w:ascii="Times New Roman" w:hAnsi="Times New Roman" w:eastAsia="仿宋_GB2312" w:cs="仿宋_GB2312"/>
          <w:color w:val="auto"/>
          <w:kern w:val="2"/>
          <w:sz w:val="32"/>
          <w:szCs w:val="32"/>
          <w:highlight w:val="none"/>
          <w:lang w:val="en-US" w:eastAsia="zh-CN" w:bidi="ar-SA"/>
        </w:rPr>
        <w:t>相比无变化</w:t>
      </w:r>
      <w:r>
        <w:rPr>
          <w:rFonts w:hint="eastAsia" w:ascii="仿宋_GB2312" w:eastAsia="仿宋_GB2312"/>
          <w:color w:val="auto"/>
          <w:sz w:val="32"/>
          <w:szCs w:val="32"/>
          <w:highlight w:val="none"/>
          <w:lang w:val="en-US" w:eastAsia="zh-CN"/>
        </w:rPr>
        <w:t>。</w:t>
      </w:r>
    </w:p>
    <w:p>
      <w:pPr>
        <w:pageBreakBefore w:val="0"/>
        <w:kinsoku/>
        <w:wordWrap/>
        <w:overflowPunct/>
        <w:topLinePunct w:val="0"/>
        <w:bidi w:val="0"/>
        <w:spacing w:line="576" w:lineRule="exact"/>
        <w:ind w:firstLine="642"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（二）政府采购支出情况</w:t>
      </w:r>
      <w:bookmarkEnd w:id="55"/>
    </w:p>
    <w:p>
      <w:pPr>
        <w:pageBreakBefore w:val="0"/>
        <w:kinsoku/>
        <w:wordWrap/>
        <w:overflowPunct/>
        <w:topLinePunct w:val="0"/>
        <w:bidi w:val="0"/>
        <w:spacing w:line="576"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sz w:val="32"/>
          <w:szCs w:val="32"/>
        </w:rPr>
        <w:t>四川省广元中学</w:t>
      </w:r>
      <w:r>
        <w:rPr>
          <w:rFonts w:hint="eastAsia" w:ascii="仿宋_GB2312" w:hAnsi="仿宋_GB2312" w:eastAsia="仿宋_GB2312" w:cs="仿宋_GB2312"/>
          <w:color w:val="auto"/>
          <w:kern w:val="2"/>
          <w:sz w:val="32"/>
          <w:szCs w:val="32"/>
          <w:highlight w:val="none"/>
          <w:lang w:val="en-US" w:eastAsia="zh-CN" w:bidi="ar-SA"/>
        </w:rPr>
        <w:t>政府采购支出总额</w:t>
      </w:r>
      <w:r>
        <w:rPr>
          <w:rFonts w:hint="eastAsia" w:ascii="仿宋_GB2312" w:hAnsi="仿宋_GB2312" w:eastAsia="仿宋_GB2312" w:cs="仿宋_GB2312"/>
          <w:sz w:val="32"/>
          <w:szCs w:val="32"/>
        </w:rPr>
        <w:t>56.65</w:t>
      </w:r>
      <w:r>
        <w:rPr>
          <w:rFonts w:hint="eastAsia" w:ascii="仿宋_GB2312" w:hAnsi="仿宋_GB2312" w:eastAsia="仿宋_GB2312" w:cs="仿宋_GB2312"/>
          <w:color w:val="auto"/>
          <w:kern w:val="2"/>
          <w:sz w:val="32"/>
          <w:szCs w:val="32"/>
          <w:highlight w:val="none"/>
          <w:lang w:val="en-US" w:eastAsia="zh-CN" w:bidi="ar-SA"/>
        </w:rPr>
        <w:t>万元，其中：政府采购服务支出</w:t>
      </w:r>
      <w:r>
        <w:rPr>
          <w:rFonts w:hint="eastAsia" w:ascii="仿宋_GB2312" w:hAnsi="仿宋_GB2312" w:eastAsia="仿宋_GB2312" w:cs="仿宋_GB2312"/>
          <w:sz w:val="32"/>
          <w:szCs w:val="32"/>
        </w:rPr>
        <w:t>56.65</w:t>
      </w:r>
      <w:r>
        <w:rPr>
          <w:rFonts w:hint="eastAsia" w:ascii="仿宋_GB2312" w:hAnsi="仿宋_GB2312" w:eastAsia="仿宋_GB2312" w:cs="仿宋_GB2312"/>
          <w:color w:val="auto"/>
          <w:kern w:val="2"/>
          <w:sz w:val="32"/>
          <w:szCs w:val="32"/>
          <w:highlight w:val="none"/>
          <w:lang w:val="en-US" w:eastAsia="zh-CN" w:bidi="ar-SA"/>
        </w:rPr>
        <w:t>万元。主要用于学校安保服务。授予中小企业合同金额</w:t>
      </w:r>
      <w:r>
        <w:rPr>
          <w:rFonts w:hint="eastAsia" w:ascii="仿宋_GB2312" w:hAnsi="仿宋_GB2312" w:eastAsia="仿宋_GB2312" w:cs="仿宋_GB2312"/>
          <w:sz w:val="32"/>
          <w:szCs w:val="32"/>
          <w:lang w:val="en-US" w:eastAsia="zh-CN"/>
        </w:rPr>
        <w:t>56.65</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kern w:val="2"/>
          <w:sz w:val="32"/>
          <w:szCs w:val="32"/>
          <w:highlight w:val="none"/>
          <w:lang w:val="en-US" w:eastAsia="zh-CN" w:bidi="ar-SA"/>
        </w:rPr>
        <w:t>%，其中：授予小微企业合同金额</w:t>
      </w:r>
      <w:r>
        <w:rPr>
          <w:rFonts w:hint="eastAsia" w:ascii="仿宋_GB2312" w:hAnsi="仿宋_GB2312" w:eastAsia="仿宋_GB2312" w:cs="仿宋_GB2312"/>
          <w:sz w:val="32"/>
          <w:szCs w:val="32"/>
          <w:lang w:val="en-US" w:eastAsia="zh-CN"/>
        </w:rPr>
        <w:t>56.65</w:t>
      </w:r>
      <w:r>
        <w:rPr>
          <w:rFonts w:hint="eastAsia" w:ascii="仿宋_GB2312" w:hAnsi="仿宋_GB2312" w:eastAsia="仿宋_GB2312" w:cs="仿宋_GB2312"/>
          <w:color w:val="auto"/>
          <w:kern w:val="2"/>
          <w:sz w:val="32"/>
          <w:szCs w:val="32"/>
          <w:highlight w:val="none"/>
          <w:lang w:val="en-US" w:eastAsia="zh-CN" w:bidi="ar-SA"/>
        </w:rPr>
        <w:t>万元，占政府采购支出总额的10</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w:t>
      </w:r>
    </w:p>
    <w:p>
      <w:pPr>
        <w:pageBreakBefore w:val="0"/>
        <w:kinsoku/>
        <w:wordWrap/>
        <w:overflowPunct/>
        <w:topLinePunct w:val="0"/>
        <w:bidi w:val="0"/>
        <w:spacing w:line="576" w:lineRule="exact"/>
        <w:ind w:firstLine="642" w:firstLineChars="200"/>
        <w:outlineLvl w:val="2"/>
        <w:rPr>
          <w:rFonts w:hint="eastAsia" w:ascii="Times New Roman" w:hAnsi="Times New Roman" w:eastAsia="楷体_GB2312" w:cs="楷体_GB2312"/>
          <w:b/>
          <w:color w:val="auto"/>
          <w:sz w:val="32"/>
          <w:szCs w:val="32"/>
          <w:highlight w:val="none"/>
        </w:rPr>
      </w:pPr>
      <w:bookmarkStart w:id="56" w:name="_Toc15377224"/>
      <w:r>
        <w:rPr>
          <w:rFonts w:hint="eastAsia" w:ascii="Times New Roman" w:hAnsi="Times New Roman" w:eastAsia="楷体_GB2312" w:cs="楷体_GB2312"/>
          <w:b/>
          <w:color w:val="auto"/>
          <w:sz w:val="32"/>
          <w:szCs w:val="32"/>
          <w:highlight w:val="none"/>
        </w:rPr>
        <w:t>（三）国有资产占有使用情况</w:t>
      </w:r>
      <w:bookmarkEnd w:id="56"/>
    </w:p>
    <w:p>
      <w:pPr>
        <w:pageBreakBefore w:val="0"/>
        <w:kinsoku/>
        <w:wordWrap/>
        <w:overflowPunct/>
        <w:topLinePunct w:val="0"/>
        <w:bidi w:val="0"/>
        <w:spacing w:line="576"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eastAsia="仿宋_GB2312"/>
          <w:color w:val="auto"/>
          <w:sz w:val="32"/>
          <w:szCs w:val="32"/>
          <w:highlight w:val="none"/>
        </w:rPr>
        <w:t>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四川省广元中学</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辆，其中：其他用车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其他用车主要是用于</w:t>
      </w:r>
      <w:r>
        <w:rPr>
          <w:rFonts w:hint="eastAsia" w:ascii="仿宋" w:hAnsi="仿宋" w:eastAsia="仿宋"/>
          <w:color w:val="000000"/>
          <w:sz w:val="32"/>
          <w:szCs w:val="32"/>
          <w:highlight w:val="none"/>
          <w:lang w:eastAsia="zh-CN"/>
        </w:rPr>
        <w:t>学校日常工作开展等方面。</w:t>
      </w:r>
      <w:r>
        <w:rPr>
          <w:rFonts w:hint="eastAsia" w:ascii="仿宋" w:hAnsi="仿宋" w:eastAsia="仿宋"/>
          <w:color w:val="000000"/>
          <w:sz w:val="32"/>
          <w:szCs w:val="32"/>
          <w:highlight w:val="none"/>
        </w:rPr>
        <w:t>单价</w:t>
      </w:r>
      <w:r>
        <w:rPr>
          <w:rFonts w:ascii="仿宋" w:hAnsi="仿宋" w:eastAsia="仿宋"/>
          <w:color w:val="000000"/>
          <w:sz w:val="32"/>
          <w:szCs w:val="32"/>
          <w:highlight w:val="none"/>
        </w:rPr>
        <w:t>100</w:t>
      </w:r>
      <w:r>
        <w:rPr>
          <w:rFonts w:hint="eastAsia" w:ascii="仿宋" w:hAnsi="仿宋" w:eastAsia="仿宋"/>
          <w:color w:val="000000"/>
          <w:sz w:val="32"/>
          <w:szCs w:val="32"/>
          <w:highlight w:val="none"/>
        </w:rPr>
        <w:t>万元以上专用设备</w:t>
      </w:r>
      <w:r>
        <w:rPr>
          <w:rFonts w:hint="eastAsia" w:ascii="仿宋" w:hAnsi="仿宋" w:eastAsia="仿宋"/>
          <w:color w:val="000000"/>
          <w:sz w:val="32"/>
          <w:szCs w:val="32"/>
          <w:highlight w:val="none"/>
          <w:lang w:val="en-US" w:eastAsia="zh-CN"/>
        </w:rPr>
        <w:t>0</w:t>
      </w:r>
      <w:r>
        <w:rPr>
          <w:rFonts w:hint="eastAsia" w:ascii="仿宋" w:hAnsi="仿宋" w:eastAsia="仿宋"/>
          <w:color w:val="000000"/>
          <w:sz w:val="32"/>
          <w:szCs w:val="32"/>
          <w:highlight w:val="none"/>
        </w:rPr>
        <w:t>台（套）。</w:t>
      </w:r>
    </w:p>
    <w:p>
      <w:pPr>
        <w:pageBreakBefore w:val="0"/>
        <w:kinsoku/>
        <w:wordWrap/>
        <w:overflowPunct/>
        <w:topLinePunct w:val="0"/>
        <w:bidi w:val="0"/>
        <w:spacing w:line="576" w:lineRule="exact"/>
        <w:ind w:firstLine="642"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（四）预算绩效管理情况</w:t>
      </w:r>
    </w:p>
    <w:p>
      <w:pPr>
        <w:pageBreakBefore w:val="0"/>
        <w:kinsoku/>
        <w:wordWrap/>
        <w:overflowPunct/>
        <w:topLinePunct w:val="0"/>
        <w:bidi w:val="0"/>
        <w:spacing w:line="576" w:lineRule="exact"/>
        <w:ind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eastAsia="zh-CN"/>
        </w:rPr>
        <w:t>根据预算绩效管理要求，本单位在</w:t>
      </w:r>
      <w:r>
        <w:rPr>
          <w:rFonts w:hint="eastAsia" w:ascii="仿宋_GB2312" w:hAnsi="Times New Roman" w:eastAsia="仿宋_GB2312" w:cs="Times New Roman"/>
          <w:color w:val="auto"/>
          <w:sz w:val="32"/>
          <w:szCs w:val="32"/>
          <w:highlight w:val="none"/>
          <w:lang w:val="en-US" w:eastAsia="zh-CN"/>
        </w:rPr>
        <w:t>202</w:t>
      </w:r>
      <w:r>
        <w:rPr>
          <w:rFonts w:hint="default" w:ascii="仿宋_GB2312" w:hAnsi="Times New Roman" w:eastAsia="仿宋_GB2312" w:cs="Times New Roman"/>
          <w:color w:val="auto"/>
          <w:sz w:val="32"/>
          <w:szCs w:val="32"/>
          <w:highlight w:val="none"/>
          <w:lang w:val="en" w:eastAsia="zh-CN"/>
        </w:rPr>
        <w:t>4</w:t>
      </w:r>
      <w:r>
        <w:rPr>
          <w:rFonts w:hint="eastAsia" w:ascii="仿宋_GB2312" w:hAnsi="Times New Roman" w:eastAsia="仿宋_GB2312" w:cs="Times New Roman"/>
          <w:color w:val="auto"/>
          <w:sz w:val="32"/>
          <w:szCs w:val="32"/>
          <w:highlight w:val="none"/>
          <w:lang w:val="en-US" w:eastAsia="zh-CN"/>
        </w:rPr>
        <w:t>年度</w:t>
      </w:r>
      <w:r>
        <w:rPr>
          <w:rFonts w:hint="eastAsia" w:ascii="仿宋_GB2312" w:hAnsi="Times New Roman" w:eastAsia="仿宋_GB2312" w:cs="Times New Roman"/>
          <w:color w:val="auto"/>
          <w:sz w:val="32"/>
          <w:szCs w:val="32"/>
          <w:highlight w:val="none"/>
          <w:lang w:eastAsia="zh-CN"/>
        </w:rPr>
        <w:t>预算编制阶段，组织对</w:t>
      </w:r>
      <w:r>
        <w:rPr>
          <w:rFonts w:hint="eastAsia" w:ascii="Times New Roman" w:hAnsi="Times New Roman" w:eastAsia="仿宋_GB2312" w:cs="仿宋_GB2312"/>
          <w:color w:val="auto"/>
          <w:kern w:val="2"/>
          <w:sz w:val="32"/>
          <w:szCs w:val="32"/>
          <w:highlight w:val="none"/>
          <w:lang w:val="en-US" w:eastAsia="zh-CN" w:bidi="ar-SA"/>
        </w:rPr>
        <w:t>乡村振兴工作经费等</w:t>
      </w:r>
      <w:r>
        <w:rPr>
          <w:rFonts w:hint="eastAsia" w:eastAsia="仿宋_GB2312" w:cs="仿宋_GB2312"/>
          <w:color w:val="auto"/>
          <w:kern w:val="2"/>
          <w:sz w:val="32"/>
          <w:szCs w:val="32"/>
          <w:highlight w:val="none"/>
          <w:lang w:val="en-US" w:eastAsia="zh-CN" w:bidi="ar-SA"/>
        </w:rPr>
        <w:t>26</w:t>
      </w:r>
      <w:r>
        <w:rPr>
          <w:rFonts w:hint="eastAsia" w:ascii="仿宋_GB2312" w:hAnsi="Times New Roman" w:eastAsia="仿宋_GB2312" w:cs="Times New Roman"/>
          <w:color w:val="auto"/>
          <w:sz w:val="32"/>
          <w:szCs w:val="32"/>
          <w:highlight w:val="none"/>
          <w:lang w:val="en-US" w:eastAsia="zh-CN"/>
        </w:rPr>
        <w:t>个项目</w:t>
      </w:r>
      <w:r>
        <w:rPr>
          <w:rFonts w:hint="eastAsia" w:ascii="仿宋_GB2312" w:hAnsi="Times New Roman" w:eastAsia="仿宋_GB2312" w:cs="Times New Roman"/>
          <w:color w:val="auto"/>
          <w:sz w:val="32"/>
          <w:szCs w:val="32"/>
          <w:highlight w:val="none"/>
          <w:lang w:eastAsia="zh-CN"/>
        </w:rPr>
        <w:t>开展了预算事前绩效评估，对</w:t>
      </w:r>
      <w:r>
        <w:rPr>
          <w:rFonts w:hint="eastAsia" w:ascii="仿宋_GB2312" w:eastAsia="仿宋_GB2312" w:cs="Times New Roman"/>
          <w:color w:val="auto"/>
          <w:sz w:val="32"/>
          <w:szCs w:val="32"/>
          <w:highlight w:val="none"/>
          <w:lang w:val="en-US" w:eastAsia="zh-CN"/>
        </w:rPr>
        <w:t>26</w:t>
      </w:r>
      <w:r>
        <w:rPr>
          <w:rFonts w:hint="eastAsia" w:ascii="仿宋_GB2312" w:hAnsi="Times New Roman" w:eastAsia="仿宋_GB2312" w:cs="Times New Roman"/>
          <w:color w:val="auto"/>
          <w:sz w:val="32"/>
          <w:szCs w:val="32"/>
          <w:highlight w:val="none"/>
          <w:lang w:eastAsia="zh-CN"/>
        </w:rPr>
        <w:t>个项目编制了绩效目标，预算执行过程中，选取</w:t>
      </w:r>
      <w:r>
        <w:rPr>
          <w:rFonts w:hint="eastAsia" w:ascii="仿宋_GB2312" w:eastAsia="仿宋_GB2312" w:cs="Times New Roman"/>
          <w:color w:val="auto"/>
          <w:sz w:val="32"/>
          <w:szCs w:val="32"/>
          <w:highlight w:val="none"/>
          <w:lang w:val="en-US" w:eastAsia="zh-CN"/>
        </w:rPr>
        <w:t>36</w:t>
      </w:r>
      <w:r>
        <w:rPr>
          <w:rFonts w:hint="eastAsia" w:ascii="仿宋_GB2312" w:hAnsi="Times New Roman" w:eastAsia="仿宋_GB2312" w:cs="Times New Roman"/>
          <w:color w:val="auto"/>
          <w:sz w:val="32"/>
          <w:szCs w:val="32"/>
          <w:highlight w:val="none"/>
          <w:lang w:eastAsia="zh-CN"/>
        </w:rPr>
        <w:t>个项目开展绩效监控，组织对</w:t>
      </w:r>
      <w:r>
        <w:rPr>
          <w:rFonts w:hint="eastAsia" w:ascii="仿宋_GB2312" w:hAnsi="Times New Roman" w:eastAsia="仿宋_GB2312" w:cs="Times New Roman"/>
          <w:color w:val="auto"/>
          <w:sz w:val="32"/>
          <w:szCs w:val="32"/>
          <w:highlight w:val="none"/>
          <w:lang w:val="en-US" w:eastAsia="zh-CN"/>
        </w:rPr>
        <w:t>36个项目开展绩效自评，绩效自评表详见第四部分附件。</w:t>
      </w:r>
    </w:p>
    <w:p>
      <w:pPr>
        <w:pageBreakBefore w:val="0"/>
        <w:numPr>
          <w:ilvl w:val="0"/>
          <w:numId w:val="0"/>
        </w:numPr>
        <w:kinsoku/>
        <w:wordWrap/>
        <w:overflowPunct/>
        <w:topLinePunct w:val="0"/>
        <w:bidi w:val="0"/>
        <w:spacing w:line="576" w:lineRule="exact"/>
        <w:jc w:val="center"/>
        <w:outlineLvl w:val="0"/>
        <w:rPr>
          <w:rFonts w:hint="eastAsia" w:ascii="Times New Roman" w:hAnsi="Times New Roman" w:eastAsia="黑体"/>
          <w:color w:val="auto"/>
          <w:sz w:val="44"/>
          <w:szCs w:val="44"/>
          <w:highlight w:val="none"/>
        </w:rPr>
      </w:pPr>
      <w:bookmarkStart w:id="57" w:name="_Toc9544"/>
      <w:bookmarkStart w:id="58" w:name="_Toc15377225"/>
      <w:bookmarkStart w:id="59" w:name="_Toc15396613"/>
    </w:p>
    <w:p>
      <w:pPr>
        <w:pageBreakBefore w:val="0"/>
        <w:numPr>
          <w:ilvl w:val="0"/>
          <w:numId w:val="0"/>
        </w:numPr>
        <w:kinsoku/>
        <w:wordWrap/>
        <w:overflowPunct/>
        <w:topLinePunct w:val="0"/>
        <w:bidi w:val="0"/>
        <w:spacing w:line="576" w:lineRule="exact"/>
        <w:jc w:val="center"/>
        <w:outlineLvl w:val="0"/>
        <w:rPr>
          <w:rFonts w:hint="eastAsia" w:ascii="Times New Roman" w:hAnsi="Times New Roman" w:eastAsia="黑体"/>
          <w:color w:val="auto"/>
          <w:sz w:val="44"/>
          <w:szCs w:val="44"/>
          <w:highlight w:val="none"/>
        </w:rPr>
      </w:pPr>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57"/>
      <w:bookmarkEnd w:id="58"/>
      <w:bookmarkEnd w:id="59"/>
    </w:p>
    <w:p>
      <w:pPr>
        <w:pageBreakBefore w:val="0"/>
        <w:kinsoku/>
        <w:wordWrap/>
        <w:overflowPunct/>
        <w:topLinePunct w:val="0"/>
        <w:bidi w:val="0"/>
        <w:spacing w:line="576" w:lineRule="exact"/>
        <w:jc w:val="left"/>
        <w:rPr>
          <w:rFonts w:ascii="Times New Roman" w:hAnsi="Times New Roman"/>
          <w:b/>
          <w:color w:val="auto"/>
          <w:sz w:val="44"/>
          <w:szCs w:val="44"/>
          <w:highlight w:val="none"/>
        </w:rPr>
      </w:pPr>
    </w:p>
    <w:p>
      <w:pPr>
        <w:pageBreakBefore w:val="0"/>
        <w:numPr>
          <w:ilvl w:val="0"/>
          <w:numId w:val="2"/>
        </w:numPr>
        <w:kinsoku/>
        <w:wordWrap/>
        <w:overflowPunct/>
        <w:topLinePunct w:val="0"/>
        <w:bidi w:val="0"/>
        <w:spacing w:line="576" w:lineRule="exact"/>
        <w:ind w:left="0" w:leftChars="0"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财政拨款收入：指单位从同级财政部门取得的财政预算资金。</w:t>
      </w:r>
    </w:p>
    <w:p>
      <w:pPr>
        <w:pageBreakBefore w:val="0"/>
        <w:numPr>
          <w:ilvl w:val="0"/>
          <w:numId w:val="2"/>
        </w:numPr>
        <w:kinsoku/>
        <w:wordWrap/>
        <w:overflowPunct/>
        <w:topLinePunct w:val="0"/>
        <w:bidi w:val="0"/>
        <w:spacing w:line="576" w:lineRule="exact"/>
        <w:ind w:left="0" w:leftChars="0"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事业收入：指事业单位开展专业业务活动及辅助活动取得的收入。</w:t>
      </w:r>
      <w:r>
        <w:rPr>
          <w:rFonts w:hint="eastAsia" w:ascii="仿宋_GB2312" w:eastAsia="仿宋_GB2312"/>
          <w:color w:val="000000"/>
          <w:sz w:val="32"/>
          <w:szCs w:val="32"/>
          <w:highlight w:val="none"/>
        </w:rPr>
        <w:t>如学费、住宿费等</w:t>
      </w:r>
      <w:r>
        <w:rPr>
          <w:rFonts w:hint="eastAsia" w:ascii="Times New Roman" w:hAnsi="Times New Roman" w:eastAsia="仿宋_GB2312" w:cs="仿宋_GB2312"/>
          <w:color w:val="auto"/>
          <w:kern w:val="2"/>
          <w:sz w:val="32"/>
          <w:szCs w:val="32"/>
          <w:highlight w:val="none"/>
          <w:lang w:val="en-US" w:eastAsia="zh-CN" w:bidi="ar-SA"/>
        </w:rPr>
        <w:t>。</w:t>
      </w:r>
    </w:p>
    <w:p>
      <w:pPr>
        <w:pageBreakBefore w:val="0"/>
        <w:numPr>
          <w:ilvl w:val="0"/>
          <w:numId w:val="2"/>
        </w:numPr>
        <w:kinsoku/>
        <w:wordWrap/>
        <w:overflowPunct/>
        <w:topLinePunct w:val="0"/>
        <w:bidi w:val="0"/>
        <w:spacing w:line="576" w:lineRule="exact"/>
        <w:ind w:left="0" w:leftChars="0"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其他收入：指单位取得的除上述收入以外的各项收入。主要是</w:t>
      </w:r>
      <w:r>
        <w:rPr>
          <w:rFonts w:hint="eastAsia" w:eastAsia="仿宋_GB2312" w:cs="仿宋_GB2312"/>
          <w:color w:val="auto"/>
          <w:kern w:val="2"/>
          <w:sz w:val="32"/>
          <w:szCs w:val="32"/>
          <w:highlight w:val="none"/>
          <w:lang w:val="en-US" w:eastAsia="zh-CN" w:bidi="ar-SA"/>
        </w:rPr>
        <w:t>课后延时服务费</w:t>
      </w:r>
      <w:r>
        <w:rPr>
          <w:rFonts w:hint="eastAsia" w:ascii="Times New Roman" w:hAnsi="Times New Roman" w:eastAsia="仿宋_GB2312" w:cs="仿宋_GB2312"/>
          <w:color w:val="auto"/>
          <w:kern w:val="2"/>
          <w:sz w:val="32"/>
          <w:szCs w:val="32"/>
          <w:highlight w:val="none"/>
          <w:lang w:val="en-US" w:eastAsia="zh-CN" w:bidi="ar-SA"/>
        </w:rPr>
        <w:t xml:space="preserve">等。 </w:t>
      </w:r>
    </w:p>
    <w:p>
      <w:pPr>
        <w:pageBreakBefore w:val="0"/>
        <w:numPr>
          <w:ilvl w:val="0"/>
          <w:numId w:val="2"/>
        </w:numPr>
        <w:kinsoku/>
        <w:wordWrap/>
        <w:overflowPunct/>
        <w:topLinePunct w:val="0"/>
        <w:bidi w:val="0"/>
        <w:spacing w:line="576" w:lineRule="exact"/>
        <w:ind w:left="0" w:leftChars="0" w:firstLine="640" w:firstLineChars="200"/>
        <w:rPr>
          <w:rFonts w:hint="eastAsia" w:ascii="仿宋_GB2312" w:eastAsia="仿宋_GB2312"/>
          <w:color w:val="auto"/>
          <w:sz w:val="32"/>
          <w:szCs w:val="32"/>
          <w:highlight w:val="none"/>
        </w:rPr>
      </w:pPr>
      <w:r>
        <w:rPr>
          <w:rFonts w:hint="eastAsia" w:ascii="Times New Roman" w:hAnsi="Times New Roman" w:eastAsia="仿宋_GB2312" w:cs="仿宋_GB2312"/>
          <w:color w:val="auto"/>
          <w:kern w:val="2"/>
          <w:sz w:val="32"/>
          <w:szCs w:val="32"/>
          <w:highlight w:val="none"/>
          <w:lang w:val="en-US" w:eastAsia="zh-CN" w:bidi="ar-SA"/>
        </w:rPr>
        <w:t xml:space="preserve">年初结转和结余：指以前年度尚未完成、结转到本年按有关规定继续使用的资金。 </w:t>
      </w:r>
    </w:p>
    <w:p>
      <w:pPr>
        <w:pStyle w:val="32"/>
        <w:pageBreakBefore w:val="0"/>
        <w:numPr>
          <w:ilvl w:val="0"/>
          <w:numId w:val="2"/>
        </w:numPr>
        <w:shd w:val="clear" w:color="auto" w:fill="auto"/>
        <w:kinsoku/>
        <w:wordWrap/>
        <w:overflowPunct/>
        <w:topLinePunct w:val="0"/>
        <w:bidi w:val="0"/>
        <w:spacing w:line="576" w:lineRule="exact"/>
        <w:ind w:left="0" w:leftChars="0"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教育</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rPr>
        <w:t>（类）普通教育（款）初中教育（项）：指本</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rPr>
        <w:t>举办的初中教育支出。</w:t>
      </w:r>
    </w:p>
    <w:p>
      <w:pPr>
        <w:pageBreakBefore w:val="0"/>
        <w:numPr>
          <w:ilvl w:val="0"/>
          <w:numId w:val="2"/>
        </w:numPr>
        <w:shd w:val="clear" w:color="auto" w:fill="auto"/>
        <w:kinsoku/>
        <w:wordWrap/>
        <w:overflowPunct/>
        <w:topLinePunct w:val="0"/>
        <w:bidi w:val="0"/>
        <w:spacing w:line="576" w:lineRule="exact"/>
        <w:ind w:left="0" w:leftChars="0" w:firstLine="640" w:firstLineChars="200"/>
        <w:rPr>
          <w:rFonts w:ascii="仿宋_GB2312" w:hAnsi="Calibri" w:eastAsia="仿宋_GB2312" w:cs="仿宋"/>
          <w:color w:val="000000"/>
          <w:kern w:val="0"/>
          <w:sz w:val="32"/>
          <w:szCs w:val="32"/>
          <w:highlight w:val="none"/>
        </w:rPr>
      </w:pPr>
      <w:r>
        <w:rPr>
          <w:rFonts w:hint="eastAsia" w:ascii="仿宋_GB2312" w:eastAsia="仿宋_GB2312"/>
          <w:color w:val="auto"/>
          <w:sz w:val="32"/>
          <w:szCs w:val="32"/>
          <w:highlight w:val="none"/>
        </w:rPr>
        <w:t>教育</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rPr>
        <w:t>（类）</w:t>
      </w:r>
      <w:r>
        <w:rPr>
          <w:rFonts w:hint="eastAsia" w:ascii="仿宋_GB2312" w:eastAsia="仿宋_GB2312"/>
          <w:color w:val="auto"/>
          <w:sz w:val="32"/>
          <w:szCs w:val="32"/>
          <w:highlight w:val="none"/>
          <w:lang w:val="en-US" w:eastAsia="zh-CN"/>
        </w:rPr>
        <w:t>普通教育</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val="en-US" w:eastAsia="zh-CN"/>
        </w:rPr>
        <w:t>高中教育</w:t>
      </w:r>
      <w:r>
        <w:rPr>
          <w:rFonts w:hint="eastAsia" w:ascii="仿宋_GB2312" w:eastAsia="仿宋_GB2312"/>
          <w:color w:val="auto"/>
          <w:sz w:val="32"/>
          <w:szCs w:val="32"/>
          <w:highlight w:val="none"/>
        </w:rPr>
        <w:t>（项）：指</w:t>
      </w:r>
      <w:r>
        <w:rPr>
          <w:rFonts w:hint="eastAsia" w:ascii="仿宋_GB2312" w:hAnsi="Calibri" w:eastAsia="仿宋_GB2312" w:cs="仿宋"/>
          <w:color w:val="000000"/>
          <w:kern w:val="0"/>
          <w:sz w:val="32"/>
          <w:szCs w:val="32"/>
          <w:highlight w:val="none"/>
        </w:rPr>
        <w:t>高中</w:t>
      </w:r>
      <w:r>
        <w:rPr>
          <w:rFonts w:ascii="仿宋_GB2312" w:hAnsi="Calibri" w:eastAsia="仿宋_GB2312" w:cs="仿宋"/>
          <w:color w:val="000000"/>
          <w:kern w:val="0"/>
          <w:sz w:val="32"/>
          <w:szCs w:val="32"/>
          <w:highlight w:val="none"/>
        </w:rPr>
        <w:t>普通教育方面的支出。</w:t>
      </w:r>
    </w:p>
    <w:p>
      <w:pPr>
        <w:pageBreakBefore w:val="0"/>
        <w:numPr>
          <w:ilvl w:val="0"/>
          <w:numId w:val="2"/>
        </w:numPr>
        <w:shd w:val="clear" w:color="auto" w:fill="auto"/>
        <w:kinsoku/>
        <w:wordWrap/>
        <w:overflowPunct/>
        <w:topLinePunct w:val="0"/>
        <w:bidi w:val="0"/>
        <w:spacing w:line="576" w:lineRule="exact"/>
        <w:ind w:left="0" w:leftChars="0" w:firstLine="640" w:firstLineChars="200"/>
        <w:rPr>
          <w:rFonts w:hint="eastAsia" w:ascii="仿宋_GB2312" w:hAnsi="Calibri" w:eastAsia="仿宋_GB2312" w:cs="仿宋"/>
          <w:color w:val="000000"/>
          <w:kern w:val="0"/>
          <w:sz w:val="32"/>
          <w:szCs w:val="32"/>
          <w:highlight w:val="none"/>
        </w:rPr>
      </w:pPr>
      <w:r>
        <w:rPr>
          <w:rFonts w:hint="eastAsia" w:ascii="仿宋_GB2312" w:hAnsi="Calibri" w:eastAsia="仿宋_GB2312" w:cs="仿宋"/>
          <w:color w:val="000000"/>
          <w:kern w:val="0"/>
          <w:sz w:val="32"/>
          <w:szCs w:val="32"/>
          <w:highlight w:val="none"/>
        </w:rPr>
        <w:t>教育（类）普通教育（款）其他普通教育支出（项）</w:t>
      </w:r>
      <w:r>
        <w:rPr>
          <w:rFonts w:hint="eastAsia" w:ascii="仿宋_GB2312" w:hAnsi="Calibri" w:eastAsia="仿宋_GB2312" w:cs="仿宋"/>
          <w:color w:val="000000"/>
          <w:kern w:val="0"/>
          <w:sz w:val="32"/>
          <w:szCs w:val="32"/>
          <w:highlight w:val="none"/>
          <w:lang w:eastAsia="zh-CN"/>
        </w:rPr>
        <w:t>：指其他用于普通教育方面的支出</w:t>
      </w:r>
      <w:r>
        <w:rPr>
          <w:rFonts w:hint="eastAsia" w:ascii="仿宋_GB2312" w:hAnsi="Calibri" w:eastAsia="仿宋_GB2312" w:cs="仿宋"/>
          <w:color w:val="000000"/>
          <w:kern w:val="0"/>
          <w:sz w:val="32"/>
          <w:szCs w:val="32"/>
          <w:highlight w:val="none"/>
        </w:rPr>
        <w:t>。</w:t>
      </w:r>
    </w:p>
    <w:p>
      <w:pPr>
        <w:pageBreakBefore w:val="0"/>
        <w:numPr>
          <w:ilvl w:val="0"/>
          <w:numId w:val="2"/>
        </w:numPr>
        <w:shd w:val="clear" w:color="auto" w:fill="auto"/>
        <w:kinsoku/>
        <w:wordWrap/>
        <w:overflowPunct/>
        <w:topLinePunct w:val="0"/>
        <w:bidi w:val="0"/>
        <w:spacing w:line="576" w:lineRule="exact"/>
        <w:ind w:left="0" w:leftChars="0" w:firstLine="640" w:firstLineChars="200"/>
        <w:rPr>
          <w:rFonts w:ascii="仿宋_GB2312" w:hAnsi="Calibri" w:eastAsia="仿宋_GB2312" w:cs="仿宋"/>
          <w:color w:val="000000"/>
          <w:kern w:val="0"/>
          <w:sz w:val="32"/>
          <w:szCs w:val="32"/>
          <w:highlight w:val="none"/>
        </w:rPr>
      </w:pPr>
      <w:r>
        <w:rPr>
          <w:rFonts w:hint="eastAsia" w:ascii="仿宋_GB2312" w:hAnsi="Calibri" w:eastAsia="仿宋_GB2312" w:cs="仿宋"/>
          <w:color w:val="000000"/>
          <w:kern w:val="0"/>
          <w:sz w:val="32"/>
          <w:szCs w:val="32"/>
          <w:highlight w:val="none"/>
        </w:rPr>
        <w:t>社会保障和就业（类）人力资源和社会保障管理事务（款）引进人才费用（项）：</w:t>
      </w:r>
      <w:r>
        <w:rPr>
          <w:rFonts w:hint="eastAsia" w:ascii="仿宋_GB2312" w:hAnsi="Calibri" w:eastAsia="仿宋_GB2312" w:cs="仿宋"/>
          <w:color w:val="000000"/>
          <w:kern w:val="0"/>
          <w:sz w:val="32"/>
          <w:szCs w:val="32"/>
          <w:highlight w:val="none"/>
          <w:lang w:eastAsia="zh-CN"/>
        </w:rPr>
        <w:t>指用于引进外国专家补助、引智成果推广等方面的支出</w:t>
      </w:r>
      <w:r>
        <w:rPr>
          <w:rFonts w:hint="eastAsia" w:ascii="仿宋_GB2312" w:hAnsi="Calibri" w:eastAsia="仿宋_GB2312" w:cs="仿宋"/>
          <w:color w:val="000000"/>
          <w:kern w:val="0"/>
          <w:sz w:val="32"/>
          <w:szCs w:val="32"/>
          <w:highlight w:val="none"/>
        </w:rPr>
        <w:t>。</w:t>
      </w:r>
    </w:p>
    <w:p>
      <w:pPr>
        <w:pageBreakBefore w:val="0"/>
        <w:numPr>
          <w:ilvl w:val="0"/>
          <w:numId w:val="2"/>
        </w:numPr>
        <w:shd w:val="clear" w:color="auto" w:fill="auto"/>
        <w:kinsoku/>
        <w:wordWrap/>
        <w:overflowPunct/>
        <w:topLinePunct w:val="0"/>
        <w:bidi w:val="0"/>
        <w:spacing w:line="576" w:lineRule="exact"/>
        <w:ind w:left="0" w:leftChars="0"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社会保障和就业（类）</w:t>
      </w:r>
      <w:r>
        <w:rPr>
          <w:rFonts w:hint="eastAsia" w:ascii="仿宋_GB2312" w:eastAsia="仿宋_GB2312"/>
          <w:color w:val="auto"/>
          <w:sz w:val="32"/>
          <w:szCs w:val="32"/>
          <w:highlight w:val="none"/>
          <w:lang w:val="en-US" w:eastAsia="zh-CN"/>
        </w:rPr>
        <w:t>行政事业单位养老支出</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val="en-US" w:eastAsia="zh-CN"/>
        </w:rPr>
        <w:t>机关事业单位养老保险缴费支出</w:t>
      </w:r>
      <w:r>
        <w:rPr>
          <w:rFonts w:hint="eastAsia" w:ascii="仿宋_GB2312" w:eastAsia="仿宋_GB2312"/>
          <w:color w:val="auto"/>
          <w:sz w:val="32"/>
          <w:szCs w:val="32"/>
          <w:highlight w:val="none"/>
        </w:rPr>
        <w:t>（项）：指</w:t>
      </w:r>
      <w:r>
        <w:rPr>
          <w:rFonts w:hint="eastAsia" w:ascii="仿宋_GB2312" w:eastAsia="仿宋_GB2312"/>
          <w:color w:val="auto"/>
          <w:sz w:val="32"/>
          <w:szCs w:val="32"/>
          <w:highlight w:val="none"/>
          <w:lang w:val="en-US" w:eastAsia="zh-CN"/>
        </w:rPr>
        <w:t>本单位</w:t>
      </w:r>
      <w:r>
        <w:rPr>
          <w:rFonts w:ascii="仿宋_GB2312" w:hAnsi="Calibri" w:eastAsia="仿宋_GB2312" w:cs="仿宋"/>
          <w:color w:val="000000"/>
          <w:kern w:val="0"/>
          <w:sz w:val="32"/>
          <w:szCs w:val="32"/>
          <w:highlight w:val="none"/>
        </w:rPr>
        <w:t>实施养老保险制度由单位缴纳的基本养老保险费支出</w:t>
      </w:r>
      <w:r>
        <w:rPr>
          <w:rFonts w:hint="eastAsia" w:ascii="仿宋_GB2312" w:eastAsia="仿宋_GB2312"/>
          <w:color w:val="auto"/>
          <w:sz w:val="32"/>
          <w:szCs w:val="32"/>
          <w:highlight w:val="none"/>
        </w:rPr>
        <w:t>。</w:t>
      </w:r>
    </w:p>
    <w:p>
      <w:pPr>
        <w:pageBreakBefore w:val="0"/>
        <w:numPr>
          <w:ilvl w:val="0"/>
          <w:numId w:val="2"/>
        </w:numPr>
        <w:shd w:val="clear" w:color="auto" w:fill="auto"/>
        <w:kinsoku/>
        <w:wordWrap/>
        <w:overflowPunct/>
        <w:topLinePunct w:val="0"/>
        <w:bidi w:val="0"/>
        <w:spacing w:line="576" w:lineRule="exact"/>
        <w:ind w:left="0" w:leftChars="0"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社会保障和就业（类）</w:t>
      </w:r>
      <w:r>
        <w:rPr>
          <w:rFonts w:hint="eastAsia" w:ascii="仿宋_GB2312" w:eastAsia="仿宋_GB2312"/>
          <w:color w:val="auto"/>
          <w:sz w:val="32"/>
          <w:szCs w:val="32"/>
          <w:highlight w:val="none"/>
          <w:lang w:val="en-US" w:eastAsia="zh-CN"/>
        </w:rPr>
        <w:t>行政事业单位养老支出</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val="en-US" w:eastAsia="zh-CN"/>
        </w:rPr>
        <w:t>机关事业单位职业年金</w:t>
      </w:r>
      <w:r>
        <w:rPr>
          <w:rFonts w:hint="eastAsia" w:ascii="仿宋_GB2312" w:hAnsi="Times New Roman" w:eastAsia="仿宋_GB2312" w:cs="Times New Roman"/>
          <w:color w:val="auto"/>
          <w:kern w:val="2"/>
          <w:sz w:val="32"/>
          <w:szCs w:val="32"/>
          <w:highlight w:val="none"/>
          <w:lang w:val="en-US" w:eastAsia="zh-CN" w:bidi="ar-SA"/>
        </w:rPr>
        <w:t>缴费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rPr>
        <w:t>（项）：指</w:t>
      </w:r>
      <w:r>
        <w:rPr>
          <w:rFonts w:hint="eastAsia" w:ascii="仿宋_GB2312" w:eastAsia="仿宋_GB2312"/>
          <w:color w:val="auto"/>
          <w:sz w:val="32"/>
          <w:szCs w:val="32"/>
          <w:highlight w:val="none"/>
          <w:lang w:val="en-US" w:eastAsia="zh-CN"/>
        </w:rPr>
        <w:t>本单位</w:t>
      </w:r>
      <w:r>
        <w:rPr>
          <w:rFonts w:ascii="仿宋_GB2312" w:hAnsi="Calibri" w:eastAsia="仿宋_GB2312" w:cs="仿宋"/>
          <w:color w:val="000000"/>
          <w:kern w:val="0"/>
          <w:sz w:val="32"/>
          <w:szCs w:val="32"/>
          <w:highlight w:val="none"/>
        </w:rPr>
        <w:t>实施养老保险制度由单位缴纳的</w:t>
      </w:r>
      <w:r>
        <w:rPr>
          <w:rFonts w:hint="eastAsia" w:ascii="仿宋_GB2312" w:hAnsi="Calibri" w:eastAsia="仿宋_GB2312" w:cs="仿宋"/>
          <w:color w:val="000000"/>
          <w:kern w:val="0"/>
          <w:sz w:val="32"/>
          <w:szCs w:val="32"/>
          <w:highlight w:val="none"/>
          <w:lang w:val="en-US" w:eastAsia="zh-CN"/>
        </w:rPr>
        <w:t>职业年金</w:t>
      </w:r>
      <w:r>
        <w:rPr>
          <w:rFonts w:ascii="仿宋_GB2312" w:hAnsi="Calibri" w:eastAsia="仿宋_GB2312" w:cs="仿宋"/>
          <w:color w:val="000000"/>
          <w:kern w:val="0"/>
          <w:sz w:val="32"/>
          <w:szCs w:val="32"/>
          <w:highlight w:val="none"/>
        </w:rPr>
        <w:t>支出</w:t>
      </w:r>
      <w:r>
        <w:rPr>
          <w:rFonts w:hint="eastAsia" w:ascii="仿宋_GB2312" w:eastAsia="仿宋_GB2312"/>
          <w:color w:val="auto"/>
          <w:sz w:val="32"/>
          <w:szCs w:val="32"/>
          <w:highlight w:val="none"/>
        </w:rPr>
        <w:t>。</w:t>
      </w:r>
    </w:p>
    <w:p>
      <w:pPr>
        <w:pageBreakBefore w:val="0"/>
        <w:numPr>
          <w:ilvl w:val="0"/>
          <w:numId w:val="2"/>
        </w:numPr>
        <w:shd w:val="clear" w:color="auto" w:fill="auto"/>
        <w:kinsoku/>
        <w:wordWrap/>
        <w:overflowPunct/>
        <w:topLinePunct w:val="0"/>
        <w:bidi w:val="0"/>
        <w:spacing w:line="576" w:lineRule="exact"/>
        <w:ind w:left="0" w:leftChars="0"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社会保障和就业（类）</w:t>
      </w:r>
      <w:r>
        <w:rPr>
          <w:rFonts w:hint="eastAsia" w:ascii="仿宋_GB2312" w:eastAsia="仿宋_GB2312"/>
          <w:color w:val="auto"/>
          <w:sz w:val="32"/>
          <w:szCs w:val="32"/>
          <w:highlight w:val="none"/>
          <w:lang w:val="en-US" w:eastAsia="zh-CN"/>
        </w:rPr>
        <w:t>其他社会保障和就业支出</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val="en-US" w:eastAsia="zh-CN"/>
        </w:rPr>
        <w:t>其他社会保障和就业支出</w:t>
      </w:r>
      <w:r>
        <w:rPr>
          <w:rFonts w:hint="eastAsia" w:ascii="仿宋_GB2312" w:eastAsia="仿宋_GB2312"/>
          <w:color w:val="auto"/>
          <w:sz w:val="32"/>
          <w:szCs w:val="32"/>
          <w:highlight w:val="none"/>
        </w:rPr>
        <w:t>（项）：指</w:t>
      </w:r>
      <w:r>
        <w:rPr>
          <w:rFonts w:hint="eastAsia" w:ascii="仿宋_GB2312" w:eastAsia="仿宋_GB2312"/>
          <w:color w:val="auto"/>
          <w:sz w:val="32"/>
          <w:szCs w:val="32"/>
          <w:highlight w:val="none"/>
          <w:lang w:val="en-US" w:eastAsia="zh-CN"/>
        </w:rPr>
        <w:t>本单位</w:t>
      </w:r>
      <w:r>
        <w:rPr>
          <w:rFonts w:hint="eastAsia" w:ascii="仿宋_GB2312" w:hAnsi="Calibri" w:eastAsia="仿宋_GB2312" w:cs="仿宋"/>
          <w:color w:val="000000"/>
          <w:kern w:val="0"/>
          <w:sz w:val="32"/>
          <w:szCs w:val="32"/>
          <w:highlight w:val="none"/>
          <w:lang w:val="en-US" w:eastAsia="zh-CN"/>
        </w:rPr>
        <w:t>工伤、失业保险等方面的</w:t>
      </w:r>
      <w:r>
        <w:rPr>
          <w:rFonts w:ascii="仿宋_GB2312" w:hAnsi="Calibri" w:eastAsia="仿宋_GB2312" w:cs="仿宋"/>
          <w:color w:val="000000"/>
          <w:kern w:val="0"/>
          <w:sz w:val="32"/>
          <w:szCs w:val="32"/>
          <w:highlight w:val="none"/>
        </w:rPr>
        <w:t>支出</w:t>
      </w:r>
      <w:r>
        <w:rPr>
          <w:rFonts w:hint="eastAsia" w:ascii="仿宋_GB2312" w:eastAsia="仿宋_GB2312"/>
          <w:color w:val="auto"/>
          <w:sz w:val="32"/>
          <w:szCs w:val="32"/>
          <w:highlight w:val="none"/>
        </w:rPr>
        <w:t>。</w:t>
      </w:r>
    </w:p>
    <w:p>
      <w:pPr>
        <w:pageBreakBefore w:val="0"/>
        <w:numPr>
          <w:ilvl w:val="0"/>
          <w:numId w:val="2"/>
        </w:numPr>
        <w:shd w:val="clear" w:color="auto" w:fill="auto"/>
        <w:kinsoku/>
        <w:wordWrap/>
        <w:overflowPunct/>
        <w:topLinePunct w:val="0"/>
        <w:bidi w:val="0"/>
        <w:spacing w:line="576" w:lineRule="exact"/>
        <w:ind w:left="0" w:leftChars="0"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卫生健康支出</w:t>
      </w:r>
      <w:r>
        <w:rPr>
          <w:rFonts w:hint="eastAsia" w:ascii="仿宋_GB2312" w:eastAsia="仿宋_GB2312"/>
          <w:color w:val="auto"/>
          <w:sz w:val="32"/>
          <w:szCs w:val="32"/>
          <w:highlight w:val="none"/>
        </w:rPr>
        <w:t>（类）</w:t>
      </w:r>
      <w:r>
        <w:rPr>
          <w:rFonts w:hint="eastAsia" w:ascii="仿宋_GB2312" w:eastAsia="仿宋_GB2312"/>
          <w:color w:val="auto"/>
          <w:sz w:val="32"/>
          <w:szCs w:val="32"/>
          <w:highlight w:val="none"/>
          <w:lang w:val="en-US" w:eastAsia="zh-CN"/>
        </w:rPr>
        <w:t>行政事业单位医疗</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val="en-US" w:eastAsia="zh-CN"/>
        </w:rPr>
        <w:t>事业单位医疗</w:t>
      </w:r>
      <w:r>
        <w:rPr>
          <w:rFonts w:hint="eastAsia" w:ascii="仿宋_GB2312" w:eastAsia="仿宋_GB2312"/>
          <w:color w:val="auto"/>
          <w:sz w:val="32"/>
          <w:szCs w:val="32"/>
          <w:highlight w:val="none"/>
        </w:rPr>
        <w:t>（项）：指</w:t>
      </w:r>
      <w:r>
        <w:rPr>
          <w:rFonts w:hint="eastAsia" w:ascii="仿宋_GB2312" w:eastAsia="仿宋_GB2312"/>
          <w:color w:val="auto"/>
          <w:sz w:val="32"/>
          <w:szCs w:val="32"/>
          <w:highlight w:val="none"/>
          <w:lang w:val="en-US" w:eastAsia="zh-CN"/>
        </w:rPr>
        <w:t>我单位财政部门安排的医疗保险缴费经费</w:t>
      </w:r>
      <w:r>
        <w:rPr>
          <w:rFonts w:hint="eastAsia" w:ascii="仿宋_GB2312" w:eastAsia="仿宋_GB2312"/>
          <w:color w:val="auto"/>
          <w:sz w:val="32"/>
          <w:szCs w:val="32"/>
          <w:highlight w:val="none"/>
        </w:rPr>
        <w:t>。</w:t>
      </w:r>
    </w:p>
    <w:p>
      <w:pPr>
        <w:pageBreakBefore w:val="0"/>
        <w:numPr>
          <w:ilvl w:val="0"/>
          <w:numId w:val="2"/>
        </w:numPr>
        <w:shd w:val="clear" w:color="auto" w:fill="auto"/>
        <w:kinsoku/>
        <w:wordWrap/>
        <w:overflowPunct/>
        <w:topLinePunct w:val="0"/>
        <w:bidi w:val="0"/>
        <w:spacing w:line="576" w:lineRule="exact"/>
        <w:ind w:left="0" w:leftChars="0" w:firstLine="640" w:firstLineChars="200"/>
        <w:rPr>
          <w:highlight w:val="none"/>
        </w:rPr>
      </w:pPr>
      <w:r>
        <w:rPr>
          <w:rFonts w:hint="eastAsia" w:ascii="仿宋_GB2312" w:eastAsia="仿宋_GB2312"/>
          <w:color w:val="auto"/>
          <w:sz w:val="32"/>
          <w:szCs w:val="32"/>
          <w:highlight w:val="none"/>
        </w:rPr>
        <w:t>节能环保（类）污染防治（款）水体（项）：指政府在排水、污水处理、水污染防治、湖库生态环境保护、水源地保护、国土江河综合整治、河流治理与保护、</w:t>
      </w:r>
      <w:r>
        <w:rPr>
          <w:rFonts w:hint="eastAsia" w:ascii="仿宋_GB2312" w:eastAsia="仿宋_GB2312"/>
          <w:color w:val="auto"/>
          <w:sz w:val="32"/>
          <w:szCs w:val="32"/>
          <w:highlight w:val="none"/>
          <w:lang w:eastAsia="zh-CN"/>
        </w:rPr>
        <w:t>地下水</w:t>
      </w:r>
      <w:r>
        <w:rPr>
          <w:rFonts w:hint="eastAsia" w:ascii="仿宋_GB2312" w:eastAsia="仿宋_GB2312"/>
          <w:color w:val="auto"/>
          <w:sz w:val="32"/>
          <w:szCs w:val="32"/>
          <w:highlight w:val="none"/>
        </w:rPr>
        <w:t>修复与保护等方面的支出。</w:t>
      </w:r>
    </w:p>
    <w:p>
      <w:pPr>
        <w:pageBreakBefore w:val="0"/>
        <w:numPr>
          <w:ilvl w:val="0"/>
          <w:numId w:val="2"/>
        </w:numPr>
        <w:shd w:val="clear" w:color="auto" w:fill="auto"/>
        <w:kinsoku/>
        <w:wordWrap/>
        <w:overflowPunct/>
        <w:topLinePunct w:val="0"/>
        <w:bidi w:val="0"/>
        <w:spacing w:line="576" w:lineRule="exact"/>
        <w:ind w:left="0" w:leftChars="0" w:firstLine="640" w:firstLineChars="200"/>
        <w:rPr>
          <w:rFonts w:ascii="仿宋_GB2312" w:hAnsi="Calibri" w:eastAsia="仿宋_GB2312" w:cs="仿宋"/>
          <w:color w:val="000000"/>
          <w:kern w:val="0"/>
          <w:sz w:val="32"/>
          <w:szCs w:val="32"/>
          <w:highlight w:val="none"/>
        </w:rPr>
      </w:pPr>
      <w:r>
        <w:rPr>
          <w:rFonts w:hint="eastAsia" w:ascii="仿宋_GB2312" w:eastAsia="仿宋_GB2312"/>
          <w:color w:val="auto"/>
          <w:sz w:val="32"/>
          <w:szCs w:val="32"/>
          <w:highlight w:val="none"/>
        </w:rPr>
        <w:t>住房保障（类）</w:t>
      </w:r>
      <w:r>
        <w:rPr>
          <w:rFonts w:hint="eastAsia" w:ascii="仿宋_GB2312" w:eastAsia="仿宋_GB2312"/>
          <w:color w:val="auto"/>
          <w:sz w:val="32"/>
          <w:szCs w:val="32"/>
          <w:highlight w:val="none"/>
          <w:lang w:val="en-US" w:eastAsia="zh-CN"/>
        </w:rPr>
        <w:t>住房改革支出</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val="en-US" w:eastAsia="zh-CN"/>
        </w:rPr>
        <w:t>住房公积金</w:t>
      </w:r>
      <w:r>
        <w:rPr>
          <w:rFonts w:hint="eastAsia" w:ascii="仿宋_GB2312" w:eastAsia="仿宋_GB2312"/>
          <w:color w:val="auto"/>
          <w:sz w:val="32"/>
          <w:szCs w:val="32"/>
          <w:highlight w:val="none"/>
        </w:rPr>
        <w:t>（项）：指</w:t>
      </w:r>
      <w:r>
        <w:rPr>
          <w:rFonts w:hint="eastAsia" w:ascii="仿宋_GB2312" w:hAnsi="Calibri" w:eastAsia="仿宋_GB2312" w:cs="仿宋"/>
          <w:color w:val="000000"/>
          <w:kern w:val="0"/>
          <w:sz w:val="32"/>
          <w:szCs w:val="32"/>
          <w:highlight w:val="none"/>
          <w:lang w:val="en-US" w:eastAsia="zh-CN"/>
        </w:rPr>
        <w:t>本单位</w:t>
      </w:r>
      <w:r>
        <w:rPr>
          <w:rFonts w:ascii="仿宋_GB2312" w:hAnsi="Calibri" w:eastAsia="仿宋_GB2312" w:cs="仿宋"/>
          <w:color w:val="000000"/>
          <w:kern w:val="0"/>
          <w:sz w:val="32"/>
          <w:szCs w:val="32"/>
          <w:highlight w:val="none"/>
        </w:rPr>
        <w:t>按人力资源和社会保障部、财政部规定的基本工资和津贴补贴以及规定比例为职工缴纳的住房公积金。</w:t>
      </w:r>
    </w:p>
    <w:p>
      <w:pPr>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bidi w:val="0"/>
        <w:spacing w:line="576" w:lineRule="exact"/>
        <w:ind w:left="0" w:leftChars="0" w:firstLine="640" w:firstLineChars="200"/>
        <w:rPr>
          <w:rFonts w:ascii="仿宋_GB2312" w:eastAsia="仿宋_GB2312"/>
          <w:color w:val="auto"/>
          <w:sz w:val="32"/>
          <w:szCs w:val="32"/>
          <w:highlight w:val="none"/>
        </w:rPr>
      </w:pPr>
      <w:r>
        <w:rPr>
          <w:rFonts w:hint="eastAsia" w:ascii="仿宋_GB2312" w:hAnsi="Calibri" w:eastAsia="仿宋_GB2312" w:cs="仿宋"/>
          <w:color w:val="000000"/>
          <w:kern w:val="0"/>
          <w:sz w:val="32"/>
          <w:szCs w:val="32"/>
          <w:highlight w:val="none"/>
          <w:lang w:val="en-US" w:eastAsia="zh-CN" w:bidi="ar-SA"/>
        </w:rPr>
        <w:t>基</w:t>
      </w:r>
      <w:r>
        <w:rPr>
          <w:rFonts w:hint="eastAsia" w:ascii="仿宋_GB2312" w:eastAsia="仿宋_GB2312"/>
          <w:color w:val="auto"/>
          <w:sz w:val="32"/>
          <w:szCs w:val="32"/>
          <w:highlight w:val="none"/>
        </w:rPr>
        <w:t>本支出：指为保障机构正常运转、完成日常工作任务而发生的人员支出和公用支出。</w:t>
      </w:r>
    </w:p>
    <w:p>
      <w:pPr>
        <w:pageBreakBefore w:val="0"/>
        <w:numPr>
          <w:ilvl w:val="0"/>
          <w:numId w:val="2"/>
        </w:numPr>
        <w:shd w:val="clear" w:color="auto" w:fill="auto"/>
        <w:kinsoku/>
        <w:wordWrap/>
        <w:overflowPunct/>
        <w:topLinePunct w:val="0"/>
        <w:bidi w:val="0"/>
        <w:spacing w:line="576" w:lineRule="exact"/>
        <w:ind w:left="0" w:leftChars="0"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32"/>
        <w:pageBreakBefore w:val="0"/>
        <w:numPr>
          <w:ilvl w:val="0"/>
          <w:numId w:val="2"/>
        </w:numPr>
        <w:shd w:val="clear" w:color="auto" w:fill="auto"/>
        <w:kinsoku/>
        <w:wordWrap/>
        <w:overflowPunct/>
        <w:topLinePunct w:val="0"/>
        <w:bidi w:val="0"/>
        <w:spacing w:line="576" w:lineRule="exact"/>
        <w:ind w:left="0" w:leftChars="0" w:firstLine="640" w:firstLineChars="200"/>
        <w:rPr>
          <w:rFonts w:hint="eastAsia" w:eastAsia="仿宋_GB2312"/>
          <w:highlight w:val="none"/>
          <w:lang w:eastAsia="zh-CN"/>
        </w:rPr>
        <w:sectPr>
          <w:footerReference r:id="rId9" w:type="first"/>
          <w:footerReference r:id="rId8" w:type="default"/>
          <w:pgSz w:w="11906" w:h="16838"/>
          <w:pgMar w:top="1440" w:right="1800" w:bottom="1440" w:left="1800" w:header="851" w:footer="992" w:gutter="0"/>
          <w:pgNumType w:fmt="decimal" w:start="1"/>
          <w:cols w:space="720" w:num="1"/>
          <w:docGrid w:type="lines" w:linePitch="312" w:charSpace="0"/>
        </w:sectPr>
      </w:pP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eastAsia="仿宋_GB2312"/>
          <w:color w:val="auto"/>
          <w:sz w:val="32"/>
          <w:szCs w:val="32"/>
          <w:highlight w:val="none"/>
          <w:lang w:eastAsia="zh-CN"/>
        </w:rPr>
        <w:t>。</w:t>
      </w:r>
    </w:p>
    <w:p>
      <w:pPr>
        <w:spacing w:line="600" w:lineRule="exact"/>
        <w:jc w:val="center"/>
        <w:outlineLvl w:val="0"/>
        <w:rPr>
          <w:rStyle w:val="22"/>
          <w:rFonts w:ascii="黑体" w:hAnsi="黑体" w:eastAsia="黑体"/>
          <w:b w:val="0"/>
          <w:color w:val="auto"/>
          <w:highlight w:val="none"/>
        </w:rPr>
      </w:pPr>
      <w:bookmarkStart w:id="60" w:name="_Toc15544"/>
      <w:bookmarkStart w:id="61" w:name="_Toc15396614"/>
      <w:bookmarkStart w:id="62" w:name="_Toc15377226"/>
      <w:r>
        <w:rPr>
          <w:rFonts w:hint="eastAsia" w:ascii="黑体" w:hAnsi="黑体" w:eastAsia="黑体"/>
          <w:color w:val="auto"/>
          <w:sz w:val="44"/>
          <w:szCs w:val="44"/>
          <w:highlight w:val="none"/>
        </w:rPr>
        <w:t>第</w:t>
      </w:r>
      <w:r>
        <w:rPr>
          <w:rStyle w:val="22"/>
          <w:rFonts w:hint="eastAsia" w:ascii="黑体" w:hAnsi="黑体" w:eastAsia="黑体"/>
          <w:b w:val="0"/>
          <w:color w:val="auto"/>
          <w:highlight w:val="none"/>
        </w:rPr>
        <w:t>四部分 附件</w:t>
      </w:r>
      <w:bookmarkEnd w:id="60"/>
    </w:p>
    <w:p>
      <w:pPr>
        <w:keepNext w:val="0"/>
        <w:keepLines w:val="0"/>
        <w:pageBreakBefore w:val="0"/>
        <w:kinsoku/>
        <w:wordWrap/>
        <w:overflowPunct/>
        <w:topLinePunct w:val="0"/>
        <w:autoSpaceDE/>
        <w:autoSpaceDN/>
        <w:bidi w:val="0"/>
        <w:spacing w:line="572" w:lineRule="exact"/>
        <w:jc w:val="left"/>
        <w:textAlignment w:val="auto"/>
        <w:outlineLvl w:val="0"/>
        <w:rPr>
          <w:rFonts w:ascii="仿宋_GB2312" w:hAnsi="仿宋_GB2312" w:eastAsia="仿宋_GB2312" w:cs="仿宋_GB2312"/>
          <w:color w:val="auto"/>
          <w:sz w:val="32"/>
          <w:szCs w:val="32"/>
          <w:highlight w:val="none"/>
        </w:rPr>
      </w:pPr>
    </w:p>
    <w:p>
      <w:pPr>
        <w:spacing w:line="600" w:lineRule="exact"/>
        <w:jc w:val="center"/>
        <w:outlineLvl w:val="0"/>
        <w:rPr>
          <w:rFonts w:hint="eastAsia" w:ascii="黑体" w:hAnsi="黑体" w:eastAsia="黑体"/>
          <w:color w:val="FF0000"/>
          <w:sz w:val="44"/>
          <w:szCs w:val="44"/>
          <w:highlight w:val="none"/>
        </w:rPr>
      </w:pPr>
      <w:bookmarkStart w:id="63" w:name="_Toc22972"/>
      <w:r>
        <w:rPr>
          <w:rFonts w:hint="eastAsia" w:hAnsi="Times New Roman" w:cs="Times New Roman"/>
          <w:sz w:val="32"/>
          <w:szCs w:val="32"/>
          <w:highlight w:val="none"/>
          <w:lang w:val="en-US" w:eastAsia="zh-CN"/>
        </w:rPr>
        <w:t>部门预算项目支出绩效自评表（202</w:t>
      </w:r>
      <w:r>
        <w:rPr>
          <w:rFonts w:hint="default" w:cs="Times New Roman"/>
          <w:sz w:val="32"/>
          <w:szCs w:val="32"/>
          <w:highlight w:val="none"/>
          <w:lang w:val="en" w:eastAsia="zh-CN"/>
        </w:rPr>
        <w:t>4</w:t>
      </w:r>
      <w:r>
        <w:rPr>
          <w:rFonts w:hint="eastAsia" w:hAnsi="Times New Roman" w:cs="Times New Roman"/>
          <w:sz w:val="32"/>
          <w:szCs w:val="32"/>
          <w:highlight w:val="none"/>
          <w:lang w:val="en-US" w:eastAsia="zh-CN"/>
        </w:rPr>
        <w:t>年度）</w:t>
      </w:r>
      <w:bookmarkEnd w:id="63"/>
    </w:p>
    <w:tbl>
      <w:tblPr>
        <w:tblStyle w:val="18"/>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1"/>
        <w:gridCol w:w="2014"/>
        <w:gridCol w:w="1753"/>
        <w:gridCol w:w="2237"/>
        <w:gridCol w:w="950"/>
        <w:gridCol w:w="992"/>
        <w:gridCol w:w="750"/>
        <w:gridCol w:w="1085"/>
        <w:gridCol w:w="505"/>
        <w:gridCol w:w="576"/>
        <w:gridCol w:w="25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685" w:type="dxa"/>
            <w:gridSpan w:val="4"/>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C0C0C0"/>
                <w:sz w:val="20"/>
                <w:szCs w:val="20"/>
                <w:u w:val="none"/>
              </w:rPr>
            </w:pPr>
            <w:r>
              <w:rPr>
                <w:rFonts w:ascii="宋体" w:hAnsi="宋体" w:eastAsia="宋体" w:cs="宋体"/>
                <w:i w:val="0"/>
                <w:iCs w:val="0"/>
                <w:color w:val="C0C0C0"/>
                <w:kern w:val="0"/>
                <w:sz w:val="20"/>
                <w:szCs w:val="20"/>
                <w:u w:val="none"/>
                <w:lang w:val="en-US" w:eastAsia="zh-CN" w:bidi="ar"/>
              </w:rPr>
              <w:t>报表编号：510000_0013zp</w:t>
            </w:r>
          </w:p>
        </w:tc>
        <w:tc>
          <w:tcPr>
            <w:tcW w:w="95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827" w:type="dxa"/>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20"/>
                <w:szCs w:val="20"/>
                <w:u w:val="none"/>
              </w:rPr>
            </w:pPr>
          </w:p>
        </w:tc>
        <w:tc>
          <w:tcPr>
            <w:tcW w:w="50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7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55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51000021R000000019952-其他人员支出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完成全年目标任务，严格执行相关政策，保障工资及时、足额发放或社保及时、足额缴纳。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4.88</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4.88</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4.88</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4.88</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该项目符合财政资金支持方向，实施过程中全过程监督，保障了学校正常运转，预算执行率达到100%，预算自评总分100分，较好的实现了绩效目标。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项目负责人：何晓华</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51000021Y000000011491-非定额公用经费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保障单位日常运转，严格预算执行，完成全面目标任务。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通过项目实施，做好厉行节约，严格控制支出。项目自评100分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项目负责人：赵怀勇</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51080022R000006838642-退休“中人”一次性补助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根据学校实际退休人员，按人社局核对金额，及时申请并发放退休“中人”一次性补助。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根据学校实际退休人员，按人社局核对金额，向财政申请退休“中人”一次性补助资金，资金到位后及时发放给退休人员。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62.03</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62.03</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62.03</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62.03</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及时申报退休“中人”一次性补助，并发放给退休人员，项目执行100%，项目自评100分。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项目负责人：何晓华</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51080022T000004924027-乡村振兴工作经费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为驻村工作队履职提供坚强保障，有效推进乡村振兴、巩固拓展脱贫攻坚成果。</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为驻村工作队履职提供坚强保障，有效推进乡村振兴、巩固拓展脱贫攻坚成果。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驻村工作队履职提供坚强保障，有效推进乡村振兴、巩固拓展脱贫攻坚成果，以提升乡村产业发展水平、提升乡村建设水平、提升乡村治理水平为重点，强化科技和改革双轮驱动，强化农民增收举措，扎实推进乡村产业、人才、文化、生态、组织“五个振兴”，加快农业农村现代化，推动农业全面升级、农村全面进步、农民全面发展，为全面建设社会主义现代化国家提供坚强支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3.64</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3.64</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3.64</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3.64</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3.64</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3.64</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驻村工作队员人数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2人</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驻村队员年度考核</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1年</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巩固脱贫攻坚成果</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项目受益年限</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1年</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帮扶对象满意度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自评得分98分，我校肖华、杨云遂同志作为驻村工作队长期驻利州区白朝乡新华村，驻村期间，二位同志兢兢业业，踏实肯干，立足村情，切实加强村组织建设、促进农民增收、改善基础设施建设，帮助当地老百姓解决实际问题，为乡村振兴工作作出了积极贡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新华村集体经济薄弱，部分道路（尤其是通户路）尚需连接开通，驻村工作队在项目资金协调方面不太顺利，需要得到上级有关部门支持配合。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进一步落实工作责任，提高驻村工作质量，提升人民满意度。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项目负责人：何晓华</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51080022T000004950050-名师工作经费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全面贯彻党的教育方针，落实立德树人根本任务，规范建设引领广元教育改革发展的广元名师工作室，锻造一批高素质、专业化、创新型教师队伍。</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全面贯彻党的教育方针，落实立德树人根本任务，规范建设引领广元教育改革发展的广元名师工作室，锻造一批高素质、专业化、创新型教师队伍。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实施的核心目的在于通过名师工作室的引领，促进教师专业能力的提升，推动教育教学改革创新，提高广元市的教育教学质量。其支持方向主要包括：为名师工作室提供开展教学研究活动的经费，支持教师参与学术交流与培训，保障课程资源开发和教学成果推广工作的顺利进行，以及为青年教师的培养提供资金和资源支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6.60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54.55%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5</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资金下达时间为2024年12月30日，未及时报账，结转到下年使用。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6.60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54.55%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开展“送教下乡”活动</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场次</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10次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评选广元名师</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3人</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项目完成时间</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1年</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提高名师辐射力，带动地区教育发展</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提升学校影响力和知名度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帮扶对象满意度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项目投入金额</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≤6.6万元</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ascii="宋体" w:hAnsi="宋体" w:eastAsia="宋体" w:cs="宋体"/>
                <w:i w:val="0"/>
                <w:iCs w:val="0"/>
                <w:color w:val="000000"/>
                <w:kern w:val="0"/>
                <w:sz w:val="18"/>
                <w:szCs w:val="18"/>
                <w:u w:val="none"/>
                <w:lang w:val="en-US" w:eastAsia="zh-CN" w:bidi="ar"/>
              </w:rPr>
              <w:t>9</w:t>
            </w:r>
            <w:r>
              <w:rPr>
                <w:rFonts w:hint="eastAsia" w:ascii="宋体" w:hAnsi="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本项目自评得分95分，本年度名师工作室工作顺利完成，为保障名师全身心投入教育教学工作，提升广元教育教学质量作出了突出贡献。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长效的教师培养机制和教学研究模式尚未完全形成。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 xml:space="preserve"> 进一步完善长效的教师培养机制和教学研究模式，建立健全激励机制，鼓励教师积极参与项目活动，推动学校教育教学质量的持续提升。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项目负责人：汪贵平</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51080022T000005400660-6号学生公寓项目建设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完成建设新建学生宿舍4203平方米及相关附属工程，建设六层的学生宿舍楼，共80个房间，470个床位，解决学校住宿紧张的问题，改善学校住宿条件。</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六号公寓建成后将新增学生床位470张，缓解了学生的住宿紧张问题，有利于学校管理。将作为一个全新的、功能完善的住宿楼，可为学生提供一个舒适的学习、生活环境，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新建学生宿舍4203平方米及相关附属工程，建设六层的学生宿舍楼，共80个房间，470个床位，经过发改委立项、公开招标，选择施工单位，2022年4月开工到年底完成1004万。2020年7月委托诚发零八一建筑勘察设计院编制可行性研究报告，报市教育局、市发改委审批后，2021年12月按照发改委的程序网上公开比选代理机构。2022年2月通过公开招标，选择施工队伍，2022年4月签定施工合同，办理施工许可证，开始施工。项目管理按照基本建设程序，进行了代理机构比选、工程公开招标。办理了质量安全监督手续，按照监理制度委托了工程监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52.04</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130.76</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50.50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38.62%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4</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因施工单位账户变更，未及时提供正确的账号给财务，导致资金退回，已在2025年年初结转指标下达后支付。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52.04</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130.76</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50.50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38.62%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新增宿舍</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80个</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采购学生用床</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520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张</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520张</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新建学生宿舍面积</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4203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平方米</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4203㎡</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验收合格率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工程按时完工率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改善学生住宿条件，保障教学质量</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提高学校办学水平，促进教育事业发展</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学生及家长满意度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项目投入金额</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1283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1220万元</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宋体" w:hAnsi="宋体" w:eastAsia="宋体" w:cs="宋体"/>
                <w:i w:val="0"/>
                <w:iCs w:val="0"/>
                <w:color w:val="000000"/>
                <w:sz w:val="18"/>
                <w:szCs w:val="18"/>
                <w:u w:val="none"/>
                <w:lang w:val="en-US"/>
              </w:rPr>
            </w:pPr>
            <w:r>
              <w:rPr>
                <w:rFonts w:ascii="宋体" w:hAnsi="宋体" w:eastAsia="宋体" w:cs="宋体"/>
                <w:i w:val="0"/>
                <w:iCs w:val="0"/>
                <w:color w:val="000000"/>
                <w:kern w:val="0"/>
                <w:sz w:val="18"/>
                <w:szCs w:val="18"/>
                <w:u w:val="none"/>
                <w:lang w:val="en-US" w:eastAsia="zh-CN" w:bidi="ar"/>
              </w:rPr>
              <w:t>9</w:t>
            </w:r>
            <w:r>
              <w:rPr>
                <w:rFonts w:hint="eastAsia" w:ascii="宋体" w:hAnsi="宋体" w:cs="宋体"/>
                <w:i w:val="0"/>
                <w:iCs w:val="0"/>
                <w:color w:val="000000"/>
                <w:kern w:val="0"/>
                <w:sz w:val="18"/>
                <w:szCs w:val="18"/>
                <w:u w:val="none"/>
                <w:lang w:val="en-US" w:eastAsia="zh-CN" w:bidi="ar"/>
              </w:rPr>
              <w:t>4</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结合自评自评得分94分，六号公寓建成后将新增学生床位470张，缓解了学生的住宿紧张问题，有利于学校管理。将作为一个全新的、功能完善的住宿楼，可为学生提供一个舒适的学习、生活环境，尽可能的将走读生安排住校，不再考虑每天的上学、放学的安全因素，不再考虑天气原因的影响，有利于学生安心学习、健康成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项目负责人：何晓华</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51080022T000005995582-学生资助补助经费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严格执行学生资助政策，完成2024年普通高中学生国家助学金和学费减免。</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严格执行学生资助政策，完成2024年普通高中学生国家助学金和学费减免。学生资助补助资金是根据国家财教[2010]356号文件及省市相关文件精神，符合省市教育部门对于学校发展的重点要求，达到减轻学生经济负担的目标，保障每一位贫困学生都能顺利完成高中教育，拥有幸福美好的中学时代。这既具有现实社会需求，也将给学校带来长期正面的社会影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学生资助补助1627人，贫困学生资助率100%，按时完成资助资金发放，严格执行资助标准，保障贫困学生顺利完成学业，杜绝因贫辍学的情况发生，有助于满足庭经济困难学生基本学习生活的需要，学生及家长满意度不断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312.06</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312.06</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312.06</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312.06</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普通高中免学杂费受助人数占应受助学生数的比例</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资助补助学生人数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1627</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助学金按规定及时发放率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保障贫困学生顺利完成学业</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学生及家长满意度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根据主管部门下达的人数分配学生资助补助经费，确保政策落实到位，资金到位率100%，精准比对学生信息，无冒领、套取学生资助补助经费情况，严格按照主管部门及我校的学生资助管理办法执行，不断提高资助精准度，做到应助尽助，按时完成资助资金发放，保障学生顺利完成学业，学生及家长满意度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在发放过程中，发现部分学生社保卡未办理，或所提供卡号过期无法使用等问题导致发放不成功。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提醒学生提前办理好社保卡并关注社保卡使用情况。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项目负责人：赵怀勇</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51080022T000006793852-生均公用经费市级配套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保障学校日常运转，弥补公用经费不足。</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完成全年目标任务，</w:t>
            </w:r>
            <w:r>
              <w:rPr>
                <w:rFonts w:hint="eastAsia" w:ascii="宋体" w:hAnsi="宋体" w:eastAsia="宋体" w:cs="宋体"/>
                <w:i w:val="0"/>
                <w:iCs w:val="0"/>
                <w:color w:val="000000"/>
                <w:kern w:val="0"/>
                <w:sz w:val="18"/>
                <w:szCs w:val="18"/>
                <w:u w:val="none"/>
                <w:lang w:val="en-US" w:eastAsia="zh-CN" w:bidi="ar"/>
              </w:rPr>
              <w:t>保障学校日常运转，弥补公用经费不足。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保障学校日常运转，弥补公用经费不足。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32.50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228.15</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228.15</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32.50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228.15</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228.15</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保障资金使用效益</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各项任务完成及时率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保障学校日常运转，提高教育教学管理水平</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提升学校办学条件</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学生、家长满意度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教师满意度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2024年我校生均公用经费资金执行进度、资金使用效果、社会满意度等情况达到预期设定的目标值。强化公用经费使用监督，充分发挥资金作用，高效维持学校运转，防止公用经费被挤占、挪用、调剂、统筹现象的发生，不断规范使用生均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强化部门协调配合，按照预算管理要求，加大对预算管理一体化系统操作培训力度，提高预算管理精细化水平，不断规范补助经费使用管理，确保充分发挥资金使用效益。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项目负责人：赵怀勇</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51080022T000006890701-城乡义务教育补助（市级配套）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通过项目实施，保障学校日常运转，教育教学活动和其他日常工作任务开展等方面费用的支出。</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为加强城乡义务教育补助经费的使用管理，提高资金使用绩 效，我校对照主管部门绩效目标，并按照全面实施预算绩效管理有关要求，建立健全全过程预算绩效管理机制，按照绩效目标做好资金监管和绩效监控。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为加强城乡义务教育补助经费的使用管理，提高资金使用绩 效，我校对照主管部门绩效目标，并按照全面实施预算绩效管理有关要求，建立健全全过程预算绩效管理机制，按照绩效目标做好资金监管和绩效监控。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公用经费补助受益学生人数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576人</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保障资金使用效益</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较好</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较好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项目完成时间</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1年</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受益学生数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576人</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家长学生满意度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非寄宿生补助标准</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元/人</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625元/人</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寄宿生补助标准</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1250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元/人</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1250元/人</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 xml:space="preserve"> 2024年我校城乡义务教育补助经费资金执行进度、资金使用效果、社会满意度等情况达到预期设定的目标值。强化公用经费使用监督，充分发挥资金作用，高效维持学校运转，防止公用经费被挤占、挪用、调剂、统筹现象的发生，不断规范使用城乡义务教育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强化部门协调配合，按照预算管理要求，加大对预算管理一体化系统操作培训力度，提高预算管理精细化水平，不断规范补助经费使用管理，确保充分发挥资金使用效益。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项目负责人：赵怀勇</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51080022T000006892846-学生资助（市级配套）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生资助补助资金是根据国家财教[2010]356号文件及省市相关文件精神，符合省市教育部门对于学校发展的重点要求，达到减轻学生经济负担的目标，保障每一位贫困学生都能顺利完成高中教育，拥有幸福美好的中学时代。这既具有现实社会需求，也将给学校带来长期正面的社会影响。严格执行学生资助政策，完成2024年普通高中学生国家助学金和学费减免。</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w:t>
            </w:r>
            <w:r>
              <w:rPr>
                <w:rFonts w:hint="eastAsia" w:ascii="宋体" w:hAnsi="宋体" w:eastAsia="宋体" w:cs="宋体"/>
                <w:i w:val="0"/>
                <w:iCs w:val="0"/>
                <w:color w:val="000000"/>
                <w:kern w:val="0"/>
                <w:sz w:val="18"/>
                <w:szCs w:val="18"/>
                <w:u w:val="none"/>
                <w:lang w:val="en-US" w:eastAsia="zh-CN" w:bidi="ar"/>
              </w:rPr>
              <w:t>格执行学生资助政策，完成2024年普通高中学生国家助学金和学费减免。学生资助补助资金是根据国家财教[2010]356号文件及省市相关文件精神，符合省市教育部门对于学校发展的重点要求，达到减轻学生经济负担的目标，保障每一位贫困学生都能顺利完成高中教育，拥有幸福美好的中学时代。这既具有现实社会需求，也将给学校带来长期正面的社会影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学生资助补助1627人，贫困学生资助率100%，按时完成资助资金发放，严格执行资助标准，保障贫困学生顺利完成学业，杜绝因贫辍学的情况发生，有助于满足庭经济困难学生基本学习生活的需要，学生及家长满意度不断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119.66</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119.66</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119.66</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119.66</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普通高中免学杂费受助人数占应受助学生数的比例</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普通高中国家助学金受助学生数占应受助学生数比例</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助学金按规定及时发放率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收益学生人数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1627</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保障贫困学生顺利完成学业，杜绝因贫辍学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较好</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家长学生满意度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普通高中学费减免</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普通高中助学金</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根据主管部门下达的人数分配学生资助补助经费，确保政策落实到位，资金到位率100%，精准比对学生信息，无冒领、套取学生资助补助经费情况，严格按照主管部门及我校的学生资助管理办法执行，不断提高资助精准度，做到应助尽助，按时完成资助资金发放，保障学生顺利完成学业，学生及家长满意度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在发放过程中，发现部分学生社保卡未办理，或所提供卡号过期无法使用等问题导致发放不成功。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提醒学生提前办理好社保卡并关注社保卡使用情况。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项目负责人：赵怀勇</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51080023T000007942883-普通高中教育补助资金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保障学校日常运转，弥补公用经费不足。</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保障学校日常运转，弥补公用经费不足。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保障学校日常运转，弥补公用经费不足。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380.82</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314.22</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82.51%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项目资金结转下年使用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380.82</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314.22</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82.51%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保障资金使用效益</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各项任务完成及时率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保障学校日常运转，提高教育教学管理水平</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提升学校办学条件</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教师满意度指标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学生及家长满意度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98</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通过项目实施，做好厉行节约，严格控制支出。项目自评98分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项目负责人：赵怀勇</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51080023T000008512140-优秀学科指导教师招聘、校内优秀学科教师工作补助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聘请“高考指导名师”，评选“高考学科带头人”，推动我校教育高质量发展。</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我校评选了20名校内优秀教师，起到了很好的激励作用，为我校教育质量提升作出扎实贡献。但未招聘到优秀学科指导教师。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面贯彻党的教育方针，落实市委支持我校发展六条措施，推动我校教育高质量发展。统一由学校制定招聘办法和绩效评价指标体系。招聘优秀学科指导教师，评选“高考学科带头人”，激励我校教育进一步发展。招聘优秀学科指导教师、评选“高考学科带头人”，推动我校教育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聘请“高考指导名师”</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省内外指导名师薪资均较高，10-20万元无法招聘到优秀的指导名师、强基教练等。我校面向省内外聘请“高考指导名师”。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评选“高考学科带头人”</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20人</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项目完成时间</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1年</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提高师资力量配置，提升教育教学质量和学校知名度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学生及家长满意度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项目投入金额</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≤34万元</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本项目自评得分80分，我校评选了20名校内优秀教师，起到了很好的激励作用，为我校教育质量提升作出扎实贡献。但未招聘到优秀学科指导教师。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省内外指导名师薪资均较高，10-20万元无法招聘到优秀的指导名师、强基教练等。我校面向省内外聘请“高考指导名师”。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建议增加省内外优秀指导名师、强基教练等招聘资金和其他条件保障。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项目负责人：谭强</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51080023T000008618947-高层次人才安家补助和工作补助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1、通过项目实施，提高学校教师队伍师资配比，优化教师年龄结构，引凤筑巢，落户广元，保障教师全身心投入教育教学工作，</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2、扩大基础教育优质资源，培养优秀人才，构建学有优教的高质量基础教育体系。</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通过项目实施，提高学校教师队伍师资配比，优化教师年龄结构，引凤筑巢，落户广元，保障教师全身心投入教育教学工作。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引进教师人数6人，年度考核须达到合格及以上，按时支付引进人才安家补助及每月工作补助，优化教师队伍年龄结构，保障教育教学工作正常运转。扩大基础教育优质资源，培养优秀人才，构建学有优教的高质量基础教育体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51.90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51.90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51.90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51.90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引进教师人数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6人</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年度考核合格率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资金发放及时率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优化教师队伍年龄结构，保障教育教学工作正常运转</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较好</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教职工满意度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工作补助标准</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元/月</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500元/月</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本项目自评得分99分。我校2024年度，对高层次人才安家补助、工作补助均按照上级要求按时发放；同时加强对高层次人才的培养，目前各位研究生发展态势良好，高质量完成教育教学工作。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恢复初中办学、开设朝天基地班后，教师需求量增大，但我校总编制增量较少，现急缺编制。</w:t>
            </w:r>
            <w:r>
              <w:rPr>
                <w:rFonts w:hint="eastAsia" w:ascii="微软雅黑" w:hAnsi="微软雅黑" w:eastAsia="微软雅黑" w:cs="微软雅黑"/>
                <w:i/>
                <w:iCs/>
                <w:color w:val="000000"/>
                <w:kern w:val="0"/>
                <w:sz w:val="16"/>
                <w:szCs w:val="16"/>
                <w:u w:val="none"/>
                <w:lang w:val="en-US" w:eastAsia="zh-CN" w:bidi="ar"/>
              </w:rPr>
              <w:br w:type="textWrapping"/>
            </w:r>
            <w:r>
              <w:rPr>
                <w:rFonts w:hint="eastAsia" w:ascii="微软雅黑" w:hAnsi="微软雅黑" w:eastAsia="微软雅黑" w:cs="微软雅黑"/>
                <w:i/>
                <w:iCs/>
                <w:color w:val="000000"/>
                <w:kern w:val="0"/>
                <w:sz w:val="16"/>
                <w:szCs w:val="16"/>
                <w:u w:val="none"/>
                <w:lang w:val="en-US" w:eastAsia="zh-CN" w:bidi="ar"/>
              </w:rPr>
              <w:t>高层次人才引进还存在优质名校生不多，还需要加强。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一是请求增加编制，保障学校运行。</w:t>
            </w:r>
            <w:r>
              <w:rPr>
                <w:rFonts w:hint="eastAsia" w:ascii="微软雅黑" w:hAnsi="微软雅黑" w:eastAsia="微软雅黑" w:cs="微软雅黑"/>
                <w:i/>
                <w:iCs/>
                <w:color w:val="000000"/>
                <w:kern w:val="0"/>
                <w:sz w:val="16"/>
                <w:szCs w:val="16"/>
                <w:u w:val="none"/>
                <w:lang w:val="en-US" w:eastAsia="zh-CN" w:bidi="ar"/>
              </w:rPr>
              <w:br w:type="textWrapping"/>
            </w:r>
            <w:r>
              <w:rPr>
                <w:rFonts w:hint="eastAsia" w:ascii="微软雅黑" w:hAnsi="微软雅黑" w:eastAsia="微软雅黑" w:cs="微软雅黑"/>
                <w:i/>
                <w:iCs/>
                <w:color w:val="000000"/>
                <w:kern w:val="0"/>
                <w:sz w:val="16"/>
                <w:szCs w:val="16"/>
                <w:u w:val="none"/>
                <w:lang w:val="en-US" w:eastAsia="zh-CN" w:bidi="ar"/>
              </w:rPr>
              <w:t>二是加大高层次人才引进力度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项目负责人：何晓华</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51080023T000008933799-扶持青少年校园足球发展专项资金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维护维修运动场，满足开展校园足球活动的需求，增强学生体质，拓展兴趣爱好，努力提高校园足球质量水平，承办体育赛事，助推全市校园足球高质量发展。</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维护维修运动场，满足开展校园足球活动的需求，增强学生体质，拓展兴趣爱好，努力提高校园足球质量水平，承办体育赛事，助推全市校园足球高质量发展。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维护维修运动场，满足开展校园足球活动的需求，增强学生体质，拓展兴趣爱好，努力提高校园足球质量水平，承办体育赛事，助推全市校园足球高质量发展。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2.24</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74.59%</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2.24</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74.59%</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校园比赛参赛队伍数量</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学校竞赛组参赛率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任务完成时间</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满足师生教学，学习及赛事需求</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对教体融合，满足校园足球运动发展</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师生满意度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预算年度内项目投资</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增强学生体质，拓展兴趣爱好，努力提高校园足球质量水平，承办体育赛事，助推全市校园足球高质量发展，自评得分97分。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项目负责人：房铭伟</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51080023T000008944468-学生资助专项资金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生资助补助资金是根据国家财教[2010]356号文件及省市相关文件精神，符合省市教育部门对于学校发展的重点要求，达到减轻学生经济负担的目标，保障每一位贫困学生都能顺利完成高中教育，拥有幸福美好的中学时代。这既具有现实社会需求，也将给学校带来长期正面的社会影响。严格执行学生资助政策，完成2024年普通高中学生国家助学金和学费减免。</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严格执行学生资助政策，完成2024年普通高中学生国家助学金和学费减免。学生资助补助资金是根据国家财教[2010]356号文件及省市相关文件精神，符合省市教育部门对于学校发展的重点要求，达到减轻学生经济负担的目标，保障每一位贫困学生都能顺利完成高中教育，拥有幸福美好的中学时代。这既具有现实社会需求，也将给学校带来长期正面的社会影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学生资助补助1627人，贫困学生资助率100%，按时完成资助资金发放，严格执行资助标准，保障贫困学生顺利完成学业，杜绝因贫辍学的情况发生，有助于满足庭经济困难学生基本学习生活的需要，学生及家长满意度不断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119.66</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119.66</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119.66</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119.66</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普通高中免学杂费受助人数占应受助学生数的比例</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普通高中国家助学金受助学生数占应受助学生数比例</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助学金按规定及时发放率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收益学生人数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1627</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保障贫困学生顺利完成学业，杜绝因贫辍学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较好</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家长学生满意度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普通高中学费减免</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普通高中助学金</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根据主管部门下达的人数分配学生资助补助经费，确保政策落实到位，资金到位率100%，精准比对学生信息，无冒领、套取学生资助补助经费情况，严格按照主管部门及我校的学生资助管理办法执行，不断提高资助精准度，做到应助尽助，按时完成资助资金发放，保障学生顺利完成学业，学生及家长满意度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在发放过程中，发现部分学生社保卡未办理，或所提供卡号过期无法使用等问题导致发放不成功。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提醒学生提前办理好社保卡并关注社保卡使用情况。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项目负责人：赵怀勇</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51080023T000009359007-义务教育经费保障机制补助资金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通过项目实施，保障学校日常运转，教育教学活动和其他日常工作任务开展等方面费用的支出。</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完成目标任务，保障学校日常运转，教育教学活动和其他日常工作任务开展等方面费用的支出。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完成目标任务，保障学校日常运转，教育教学活动和其他日常工作任务开展等方面费用的支出。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45.80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45.80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45.80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45.80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公用经费补助受益学生人数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576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保障资金使用效益</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较好</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受益学生数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576人</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家长学生满意度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寄宿生补助标准</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1240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元/人年</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1240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非寄宿生补助标准</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元/人年</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940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 xml:space="preserve"> 2024年我校城乡义务教育补助经费资金执行进度、资金使用效果、社会满意度等情况达到预期设定的目标值。强化公用经费使用监督，充分发挥资金作用，高效维持学校运转，防止公用经费被挤占、挪用、调剂、统筹现象的发生，不断规范使用城乡义务教育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强化部门协调配合，按照预算管理要求，加大对预算管理一体化系统操作培训力度，提高预算管理精细化水平，不断规范补助经费使用管理，确保充分发挥资金使用效益。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项目负责人：赵怀勇</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51080023T000009591410-广元中学博雅楼、博学楼校舍维修项目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中学教学楼博学楼、学生公寓博雅楼进行维修，维修建筑面积为22982平方米（其中教学楼博学楼19056平方米、学生公寓博雅楼3926平方米），通过维修改建，消除学校安全隐患,提高综合教学能力,改善教学环境,完善教学设施,能够更好的满足教学环境的需要,达到学校近期发展的规划，为建设四川知名教育高地做出贡献。</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通过维修改建，消除学校安全隐患,提高综合教学能力,改善教学环境,完善教学设施,能够更好的满足教学环境的需要,达到学校近期发展的规划，为建设四川知名教育高地做出贡献。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2023年1月10日与广元城发零八壹勘查设计集团有限公司签订了《广元中学教学楼博学楼和学生公寓博雅楼维修项目设计协议》。2023年3月14日，广元中学关于《广元市教育局直属单位采购项目备案审核表》，经教育局同意备案。2023年4月28日，广元市财政局关于《广元中学教学楼博学楼和学生公寓博雅楼维修项目施工图预算控制价》的函，该项目报送预算为3291306.56元，审定金额为3219680元。2023年6月委托广元市政府采购中心组织实施采购，6月8日广元市政府采购中心发出磋商文件，2023年6月25日，在四川省政府采购一体化平台进行评标确认施工单位，中标价为2970000元。7月3日与中标企业签订施工合同，6月30日与监理公司签订合同并进入施工和过程监理阶段。该项目于2023年7月3日开工，2023年8月14日，进行竣工验收，验收合格，到达预定可使用状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15.24</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15.24</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15.24</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15.24</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15.24</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15.24</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维修学生宿舍面积</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3926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平方米</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3926平方米</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维修教室面积</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19056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平方米</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19056平方米</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验收合格率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改善学生学习、住宿条件,提升校园安全水平</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较好</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较好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提高学校办学水平，延长建筑物使用寿命</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较好</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较好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学生及家长满意度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项目投入金额</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200万元</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结合自评自评得分97，广元中学教学楼博学楼、学生公寓博雅楼进行维修，维修建筑面积为22982平方米（其中教学楼博学楼19056平方米、学生公寓博雅楼3926平方米），通过维修改建，消除学校安全隐患,提高综合教学能力,改善教学环境,完善教学设施,能够更好的满足教学环境的需要,达到学校近期发展的规划，为建设四川知名教育高地做出贡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项目负责人：何晓华</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51080023T000009832683-广元中学育才学校建设项目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广元中学育才学校项目占地18.246亩，完成建筑面积建设18000㎡，新增1200个学位和880个学生住宿床位。</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完成全年目标任务，广元中学育才学校项目占地18.246亩，完成建筑面积建设18000㎡，新增1200个学位，及880个学生住宿床位。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广元中学育才学校项目占地18.246亩，完成建筑面积建设18000㎡，新增1200个学位和880个学生住宿床位。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3,000.00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3,000.00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3,000.00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3,000.00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占地面积</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18.246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亩</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18.246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建筑面积</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平方米</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验收合格率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工程按时完工率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新容纳住宿学生</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880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880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新增学位</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学生及家长满意度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项目投入金额</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该项目符合财政资金支持方向，实施过程中全过程监督，自评得分100分。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项目负责人：何晓华</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51080024R000010823060-单位缴费（在职人员五险两金）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完成目标任务，严格执行相关政策，保障工资及时、足额发放或社保及时、足额缴纳，预算编制科学合理，减少结余资金。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1,721.78</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1,914.19</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1,914.19</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1,721.78</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1,914.19</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1,914.19</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严格执行相关政策，保障全校400余教职工工资及时、足额发放或社保及时、足额缴纳，自评得分100分。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项目负责人：赵怀勇</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51080024R000010823428-事业人员工资性支出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完成全年目标任务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3,728.31</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3,797.41</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3,797.41</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3,728.31</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3,797.41</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3,797.41</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该项目符合财政资金支持方向，实施过程中全过程监督，自评得分100分。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项目负责人：何晓华</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51080024R000010824175-事业人员基础绩效奖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完成全年目标任务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保障教职工工资足额及时发放。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1,357.56</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1,357.56</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1,357.56</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1,357.56</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1,357.56</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1,357.56</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该项目符合财政资金支持方向，实施过程中全过程监督，自评得分100分。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项目负责人：何晓华</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51080024R000010824936-离休人员经费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完成全年目标任务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保障离休人员工资及时、足额发放。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35.20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35.20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35.20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35.20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35.20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35.20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该项目符合财政资金支持方向，实施过程中全过程监督，自评得分100分。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项目负责人：何晓华</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51080024R000010825320-退休人员生活补（助）贴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完成全年目标任务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保障退休职工生活补助及时发放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501.48</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501.48</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501.48</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501.48</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501.48</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501.48</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该项目符合财政资金支持方向，实施过程中全过程监督，自评得分100分。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项目负责人：何晓华</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51080024R000010825886-遗属生活补助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完成全年目标任务，保障遗属人员生活补助及时发放。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及时发放遗属人员生活补助，保障基本生活。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13.85</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13.85</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13.85</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13.85</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13.85</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13.85</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该项目符合财政资金支持方向，实施过程中全过程监督，自评得分100分。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项目负责人：何晓华</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51080024R000010851755-人员其他支出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严格执行相关政策，保障工资及时、足额发放，完成全年目标任务。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严格执行相关政策，保障工资及时、足额发放，完成全年目标任务。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71.00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72.63</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71.00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97.76%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1.63</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71.00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71.00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71.00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该项目符合财政资金支持方向，实施过程中全过程监督，自评得分100分。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项目负责人：何晓华</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51080024T000011042134-教学提质增效工作经费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根据市委市政府建设川陕甘结合部教育高地的部署要求，结合我校教育教学计划，为提高我校教育教学质量，努力造就一支师德高尚、业务精湛、结构合理、充满活力的高素质专业化教师队伍，培养更多的优秀学生。</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根据市委市政府建设川陕甘结合部教育高地的部署要求，结合我校教育教学计划，为提高我校教育教学质量，努力造就一支师德高尚、业务精湛、结构合理、充满活力的高素质专业化教师队伍，培养更多的优秀学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根据市委市政府建设川陕甘结合部教育高地的部署要求，结合我校教育教学计划，为提高我校教育教学质量，努力造就一支师德高尚、业务精湛、结构合理、充满活力的高素质专业化教师队伍，培养更多的优秀学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196.00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196.00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125.71</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64.14%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196.00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196.00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125.71</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64.14%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重本上线率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924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本科上线人数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1717</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奖助学生人数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项目完成时间</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提高学校教育教学质量，促进学校全面发展</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较好</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学生及家长满意度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项目投入金额</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196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该项目符合财政资金支持方向，实施过程中全过程监督，自评得分96分。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项目负责人：汪贵平</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51080024T000011076312-生活老师及后勤辅助人员劳务费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我校校本部已有4500余名学生住校，预计2024年秋季还要增加500余人。按标准化管理要求，应配备生活老师45人左右，以满足学校科学、规范地管理学生宿舍。生活老师负责学生宿舍的纪律、安全、卫生管理，指导帮助学生做好内务整理工作，不断提高学生的生活自理能力。</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完成全年目标任务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我校校本部已有4500余名学生住校，预计2024年秋季还要增加500余人。按标准化管理要求，应配备生活老师45人左右，以满足学校科学、规范地管理学生宿舍。生活老师负责学生宿舍的纪律、安全、卫生管理，指导帮助学生做好内务整理工作，不断提高学生的生活自理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完成住校生管理</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4800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配备生活老师及后勤辅助人员</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45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纪律、安全、内务管理规范率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项目完成时间</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满足家长、学生住校需求，为学生提供良好的住宿条件和后勤服务保障</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对学校德育工作的促进作用</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家长、学生对学校住宿管理满意度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项目投入成本</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该项目符合财政资金支持方向，实施过程中全过程监督，自评得分100分。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项目负责人：房铭伟</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51080024T000011267984-基础教育综合改革实验区拔尖创新人才培养基地班建设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为践行市委“1345”发展战略，落实市委、市政府加快打造“区域教育高质量发展新高地”工作要求，经教育主管部门审核批准，广元中学与朝天中学联合办学的“朝天拔尖创新人才培养基地班”。</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为践行市委“1345”发展战略，落实市委、市政府加快打造“区域教育高质量发展新高地”工作要求，经教育主管部门审核批准，广元中学与朝天中学联合办学的“朝天拔尖创新人才培养基地班”。首届项目班教育教学运行良好，过程目标任务超额完成。2024年项目班招生形势好，招生目标完成好，本项目得到了学生、家长广泛认可，社会效益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首届项目班教育教学运行良好，过程目标任务超额完成。2024年项目班招生形势好，招生目标完成好，本项目得到了学生、家长广泛认可，社会效益好。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95.19</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63.46%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6.3</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该项目资金是2024年秋季和2025年春季，整个学年度资金，剩余部分在2025年春季学期使用。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95.19</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63.46%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配备充足优质教师及管理干部</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10人</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年度考核合格率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各项任务完成及时率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发挥优秀学生的带动引领作用，激发全校学生内生动力</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较好</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较好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学生及家长满意度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教师满意度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项目投入金额</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150万元</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96.3</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首届项目班教育教学运行良好，过程目标任务超额完成。2024年项目班招生形势好，招生目标完成好，本项目得到了学生、家长广泛认可，社会效益好。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朝天区方面的区校合作协议研究审议迟缓，导致协议签订迟迟不能落实，有关政策迟迟不能兑现，师生顾虑大。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希望朝天方面迅速研究审议通过合作协议，尽快签订，尽快落实区级保障政策。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项目负责人：汪贵平</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51080024T000011372615-义务教育课后延时服务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通过项目实施，切实减轻中小学生及家长负担，增强教育服务能力，提高教育质量，促进学生健康成长。</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广</w:t>
            </w:r>
            <w:r>
              <w:rPr>
                <w:rFonts w:hint="eastAsia" w:ascii="宋体" w:hAnsi="宋体" w:eastAsia="宋体" w:cs="宋体"/>
                <w:i w:val="0"/>
                <w:iCs w:val="0"/>
                <w:color w:val="000000"/>
                <w:kern w:val="0"/>
                <w:sz w:val="18"/>
                <w:szCs w:val="18"/>
                <w:u w:val="none"/>
                <w:lang w:val="en-US" w:eastAsia="zh-CN" w:bidi="ar"/>
              </w:rPr>
              <w:t>元中学课后服务项目在工作日下午课后开展，遵循学生自愿原则。内容包括辅导作业、自主阅读、开展社团及兴趣小组活动等，涵盖体育、艺术、科技等领域。过程上，先调查摸底，再经家长申请、学校审核，合理安排教师，重新组班开展活动。资金收取按每生每课时3.5元，用于人员补助等，实行专款专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中学课后服务项目在工作日下午课后开展，遵循学生自愿原则。内容包括辅导作业、自主阅读、开展社团及兴趣小组活动等，涵盖体育、艺术、科技等领域。过程上，先调查摸底，再经家长申请、学校审核，合理安排教师，重新组班开展活动。资金收取按每生每课时3.5元，用于人员补助等，实行专款专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35.09</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35.10</w:t>
            </w:r>
            <w:r>
              <w:rPr>
                <w:rFonts w:ascii="宋体" w:hAnsi="宋体" w:eastAsia="宋体" w:cs="宋体"/>
                <w:i w:val="0"/>
                <w:iCs w:val="0"/>
                <w:color w:val="000000"/>
                <w:kern w:val="0"/>
                <w:sz w:val="18"/>
                <w:szCs w:val="18"/>
                <w:u w:val="none"/>
                <w:lang w:val="en-US" w:eastAsia="zh-CN" w:bidi="ar"/>
              </w:rPr>
              <w:t>%</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实际执行率为35.10%,其中有一个月的课后延时服务从单位资金往来支付代管资金拨付，年初预算金额较大，实际支付和收取的课后服务费未到达预算金额，今后将加强预算的精准度，贴合项目实际情况。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25.30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25.30%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受益学生人数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600人</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课后服务开展率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减轻中小学生及家长负担</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较好</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较好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增强教育服务能力，提高教育质量，促进学生健康成长</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较好</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较好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学生、家长满意度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教职工满意度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课后延时服务费收费标准每生每课时</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≤3.5元</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72</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 xml:space="preserve">成效显著，切实减轻了中小学生及家长负担，丰富了学生课余生活，提供多样化学习与发展机会。通过各类活动，促进学生综合素质提升，增强学校教育服务能力。社会效益指标显示减轻负担效果较好，可持续影响指标表明对教育质量提升有积极作用，学生、家长满意度有望达预期。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 xml:space="preserve">预算执行率低，仅25.30%，财政资金未执行。原因可能是资金申请流程繁琐、项目规划与资金匹配度欠佳，影响资金使用效率。同时，缺乏全面量化的服务质量与学生参与效果评估体系，难以精准衡量项目效益与问题。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优化资金使用流程，加强与财政部门沟通，简化资金申请审批环节，提高预算执行率。构建完善评估体系，设定学生学习成果、兴趣发展、家长满意度等量化指标，定期收集分析数据，依据结果调整服务内容与方式，提升课后服务质量与资金使用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项目负责人：谭强</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51080024T000011809558-义务教育经费保障机制改革上级资金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通过确保全校初中学生享受免作业本费，达到义务教育教学正常运转，进一步完善义保机制的保障水平。</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通过确保全校初中学生享受免作业本费，达到义务教育教学正常运转，进一步完善义保机制的保障水平。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享受免费作业本政策的学生比例，学生全部享受政策，完成年度绩效目标。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0.59</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0.59</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0.59</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0.59</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受益覆盖率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受益初中生人数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576人</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受益时间</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1年</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促进教育均衡发展，社会公平</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较好</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学生及家长满意度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免作业本费补助标准</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元/人</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40元/人</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 xml:space="preserve">自评得分100分，学生全部享受政策，完成年度绩效目标。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项目负责人：赵怀勇</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51080024T000011811357-城乡义务教育补助经费市级配套（非三保）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通过确保全校初中学生享受免作业本费，达到义务教育教学正常运转，进一步完善义保机制的保障水平。</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通过确保全校初中学生享受免作业本费，达到义务教育教学正常运转，进一步完善义保机制的保障水平。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享受免费作业本政策的学生比例，学生全部享受政策，完成年度绩效目标。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0.72</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0.72</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0.72</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0.72</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受益覆盖率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受益初中生人数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576人</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受益时间</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1年</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促进教育均衡发展，社会公平</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较好</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学生及家长满意度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免作业本费补助标准</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元/人</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40元/人</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 xml:space="preserve">自评得分100分，学生全部享受政策，完成年度绩效目标。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项目负责人：赵怀勇</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51080024Y000010826991-公用经费1（福利费、工会经费）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完成全年目标任务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117.16</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117.16</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117.16</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117.16</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117.16</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117.16</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该项目符合财政资金支持方向，实施过程中全过程监督，自评得分100分。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项目负责人：何晓华</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51080024Y000010829846-公用经费2（公车补贴、党建、退休活动）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完成全年目标任务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113.68</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113.68</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113.68</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113.68</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113.68</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113.68</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该项目符合财政资金支持方向，实施过程中全过程监督，自评得分100分。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项目负责人：何晓华</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51080025T000012239443-教学用一体机采购项目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为我校更新和采购新型教学一体机，以优化课堂教学氛围，有效激发学生学习兴趣，调动学生的非智力因素，营造教学情境，创造浓厚的教学氛围，提高课堂的教学效率、增强课堂互动性，提升教学和升学质量。</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实施目标明确，在项目实施过程中，严格按照计划有序推进，各项绩效指标均达到或超过预期目标。为我校更新和采购新型教学一体机，以优化课堂教学氛围，有效激发学生学习兴趣，调动学生的非智力因素，营造教学情境，创造浓厚的教学氛围，提高课堂的教学效率、增强课堂互动性，提升教学和升学质量。项目有效改善了学校的教学条件，提升了教学质量，取得了良好的社会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项目实施目标明确，在项目实施过程中，严格按照计划有序推进，各项绩效指标均达到或超过预期目标。项目有效改善了学校的教学条件，提升了教学质量，取得了良好的社会效益。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2025年12月完成采购，资金未支付，资金结转下年使用。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更换设备班级数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一体机采购数量</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设备验收合格率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资金支付及时率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项目完成时间</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进一步改善高中学校办学条件，提升教学质量</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设备使用寿命</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家长和学生满意度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学校和老师满意度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项目投入金额</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8</w:t>
            </w:r>
            <w:r>
              <w:rPr>
                <w:rFonts w:ascii="宋体" w:hAnsi="宋体" w:eastAsia="宋体" w:cs="宋体"/>
                <w:i w:val="0"/>
                <w:iCs w:val="0"/>
                <w:color w:val="000000"/>
                <w:kern w:val="0"/>
                <w:sz w:val="18"/>
                <w:szCs w:val="18"/>
                <w:u w:val="none"/>
                <w:lang w:val="en-US" w:eastAsia="zh-CN" w:bidi="ar"/>
              </w:rPr>
              <w:t>6</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 xml:space="preserve">项目实施目标明确，在项目实施过程中，严格按照计划有序推进，各项绩效指标均达到或超过预期目标。项目有效改善了学校的教学条件，提升了教学质量，取得了良好的社会效益，总体评价优秀，自评得分86分。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 xml:space="preserve"> 建立长期的设备维护和技术支持机制，与设备供应商签订长期维护协议，定期对设备进行检查和维护，及时解决设备使用过程中出现的问题，保障设备的正常运行，延长设备使用寿命。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项目负责人：汪贵平</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51080025T000013226434-校园海绵化改造项目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根据市政规划，广元中学海绵化施工改造，校园海绵化改造，道路铺装，绿化提升改造。</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项目占地面积94503.18平方米（约141.75亩）；校园路面透水沥青混凝土18000㎡；透水砖改造10240㎡ 校园雨水沟1900米、污水管改造750米；下沉式花园720平方米及渗水沟改造；更换运动场防滑耐磨自结纹13毫米厚塑胶11500平方米、人工草皮7140 平方米；增加雨水排量监控设备等，项目实施目标明确，有序推进，2024年秋季投入使用，为师生提供了优美的学习生活环境，消除因雨水造成的内涝。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项目占地面积94503.18平方米（约141.75亩）；校园路面透水沥青混凝土18000㎡；透水砖改造10240㎡ 校园雨水沟1900米、污水管改造750米；下沉式花园720平方米及渗水沟改造；更换运动场防滑耐磨自结纹13毫米厚塑胶11500平方米、人工草皮7140 平方米；增加雨水排量监控设备等，项目实施目标明确，有序推进，2024年秋季投入使用，为师生提供了优美的学习生活环境，消除因雨水造成的内涝。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125.25</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41.75%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4</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资金下达时间为2024年12月30日，项目处于竣工结算阶段，无法及时支付，结转到下年使用。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125.25</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41.75%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透水砖</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平方米</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6000平方米</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透水沥青铺装</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16800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平方米</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16800平方米</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工程合格率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2年</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2年</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改善校园环境，提升办学条件</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师生满意度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项目预算资金</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300万元</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ascii="宋体" w:hAnsi="宋体" w:eastAsia="宋体" w:cs="宋体"/>
                <w:i w:val="0"/>
                <w:iCs w:val="0"/>
                <w:color w:val="000000"/>
                <w:kern w:val="0"/>
                <w:sz w:val="18"/>
                <w:szCs w:val="18"/>
                <w:u w:val="none"/>
                <w:lang w:val="en-US" w:eastAsia="zh-CN" w:bidi="ar"/>
              </w:rPr>
              <w:t>9</w:t>
            </w:r>
            <w:r>
              <w:rPr>
                <w:rFonts w:hint="eastAsia" w:ascii="宋体" w:hAnsi="宋体" w:cs="宋体"/>
                <w:i w:val="0"/>
                <w:iCs w:val="0"/>
                <w:color w:val="000000"/>
                <w:kern w:val="0"/>
                <w:sz w:val="18"/>
                <w:szCs w:val="18"/>
                <w:u w:val="none"/>
                <w:lang w:val="en-US" w:eastAsia="zh-CN" w:bidi="ar"/>
              </w:rPr>
              <w:t>4</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项目实施目标明确，有序推进，2024年秋季投入使用，为师生提供了优美的学习生活环境，消除因雨水造成的内涝。总体评价良好，自评得分94分。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项目负责人：何晓华</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51080025T000013226444-羽毛球场馆建设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校园羽毛球场改造，铺装硅PU及划线等</w:t>
            </w:r>
          </w:p>
        </w:tc>
        <w:tc>
          <w:tcPr>
            <w:tcW w:w="47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完成羽毛球场地维修1600平方米，场地做8MM厚硅PU。新做线性排水沟75米，高位花坛，树池座凳等，改善学生运动条件，消除安全隐患，降低学校日常维修费用支出，提升校容校貌。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完成羽毛球场地维修1600平方米，场地做8MM厚硅PU。新做线性排水沟75米，高位花坛，树池座凳等，改善学生运动条件，消除安全隐患，降低学校日常维修费用支出，提升校容校貌。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球场面积</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平方米</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1600平方米</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工程合格率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优级</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90个工作日</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个工作日</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30个工作日</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保障教育教学秩序</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优级</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师生满意度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工程项目资金</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15万元</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自评得分96分，完成羽毛球场地维修1600平方米，场地做8MM厚硅PU。新做线性排水沟75米，高位花坛，树池座凳等，改善学生运动条件，消除安全隐患，降低学校日常维修费用支出，提升校容校貌。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绩效目标编制有待进一步完善。今后要完善绩效目标的编制，在编制绩效目标时对绩效指标进行量化，设立清晰、具体可以衡量的绩效指标，以便于进行绩效考核。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加强绩效目标指标设置的科学性、合理性。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6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项目负责人：何晓华</w:t>
            </w:r>
          </w:p>
        </w:tc>
        <w:tc>
          <w:tcPr>
            <w:tcW w:w="6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财务负责人：赵怀勇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bookmarkEnd w:id="61"/>
    </w:tbl>
    <w:p>
      <w:pPr>
        <w:widowControl/>
        <w:jc w:val="center"/>
        <w:rPr>
          <w:rFonts w:hint="eastAsia" w:ascii="Times New Roman" w:hAnsi="Times New Roman" w:eastAsia="黑体"/>
          <w:color w:val="auto"/>
          <w:sz w:val="44"/>
          <w:szCs w:val="44"/>
          <w:highlight w:val="none"/>
        </w:rPr>
      </w:pPr>
      <w:bookmarkStart w:id="64" w:name="_Toc15396618"/>
    </w:p>
    <w:p>
      <w:pPr>
        <w:widowControl/>
        <w:jc w:val="center"/>
        <w:rPr>
          <w:rFonts w:hint="eastAsia" w:ascii="Times New Roman" w:hAnsi="Times New Roman" w:eastAsia="黑体"/>
          <w:color w:val="auto"/>
          <w:sz w:val="44"/>
          <w:szCs w:val="44"/>
          <w:highlight w:val="none"/>
        </w:rPr>
      </w:pPr>
    </w:p>
    <w:p>
      <w:pPr>
        <w:widowControl/>
        <w:jc w:val="center"/>
        <w:rPr>
          <w:rFonts w:hint="eastAsia" w:ascii="Times New Roman" w:hAnsi="Times New Roman" w:eastAsia="黑体"/>
          <w:color w:val="auto"/>
          <w:sz w:val="44"/>
          <w:szCs w:val="44"/>
          <w:highlight w:val="none"/>
        </w:rPr>
      </w:pPr>
    </w:p>
    <w:p>
      <w:pPr>
        <w:widowControl/>
        <w:jc w:val="center"/>
        <w:rPr>
          <w:rFonts w:hint="eastAsia" w:ascii="Times New Roman" w:hAnsi="Times New Roman" w:eastAsia="黑体"/>
          <w:color w:val="auto"/>
          <w:sz w:val="44"/>
          <w:szCs w:val="44"/>
          <w:highlight w:val="none"/>
        </w:rPr>
      </w:pPr>
    </w:p>
    <w:p>
      <w:pPr>
        <w:widowControl/>
        <w:jc w:val="center"/>
        <w:rPr>
          <w:rFonts w:hint="eastAsia" w:ascii="Times New Roman" w:hAnsi="Times New Roman" w:eastAsia="黑体"/>
          <w:color w:val="auto"/>
          <w:sz w:val="44"/>
          <w:szCs w:val="44"/>
          <w:highlight w:val="none"/>
        </w:rPr>
      </w:pPr>
    </w:p>
    <w:p>
      <w:pPr>
        <w:widowControl/>
        <w:jc w:val="center"/>
        <w:rPr>
          <w:rFonts w:hint="eastAsia" w:ascii="Times New Roman" w:hAnsi="Times New Roman" w:eastAsia="黑体"/>
          <w:color w:val="auto"/>
          <w:sz w:val="44"/>
          <w:szCs w:val="44"/>
          <w:highlight w:val="none"/>
        </w:rPr>
        <w:sectPr>
          <w:footerReference r:id="rId11" w:type="first"/>
          <w:footerReference r:id="rId10" w:type="default"/>
          <w:pgSz w:w="16838" w:h="11906" w:orient="landscape"/>
          <w:pgMar w:top="1800" w:right="1440" w:bottom="1800" w:left="1440" w:header="851" w:footer="992" w:gutter="0"/>
          <w:pgNumType w:fmt="decimal"/>
          <w:cols w:space="425" w:num="1"/>
          <w:docGrid w:type="lines" w:linePitch="312" w:charSpace="0"/>
        </w:sectPr>
      </w:pPr>
    </w:p>
    <w:p>
      <w:pPr>
        <w:widowControl/>
        <w:jc w:val="center"/>
        <w:outlineLvl w:val="0"/>
        <w:rPr>
          <w:rFonts w:hint="eastAsia" w:ascii="Times New Roman" w:hAnsi="Times New Roman" w:eastAsia="仿宋"/>
          <w:b w:val="0"/>
          <w:color w:val="auto"/>
          <w:highlight w:val="none"/>
        </w:rPr>
      </w:pPr>
      <w:bookmarkStart w:id="65" w:name="_Toc10407"/>
      <w:r>
        <w:rPr>
          <w:rFonts w:hint="eastAsia" w:ascii="Times New Roman" w:hAnsi="Times New Roman" w:eastAsia="黑体"/>
          <w:color w:val="auto"/>
          <w:sz w:val="44"/>
          <w:szCs w:val="44"/>
          <w:highlight w:val="none"/>
        </w:rPr>
        <w:t>第</w:t>
      </w:r>
      <w:r>
        <w:rPr>
          <w:rStyle w:val="22"/>
          <w:rFonts w:hint="eastAsia" w:ascii="Times New Roman" w:hAnsi="Times New Roman" w:eastAsia="黑体"/>
          <w:b w:val="0"/>
          <w:color w:val="auto"/>
          <w:highlight w:val="none"/>
        </w:rPr>
        <w:t>五部分 附表</w:t>
      </w:r>
      <w:bookmarkEnd w:id="62"/>
      <w:bookmarkEnd w:id="64"/>
      <w:bookmarkEnd w:id="65"/>
      <w:bookmarkStart w:id="66" w:name="_Toc15396619"/>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outlineLvl w:val="1"/>
        <w:rPr>
          <w:rFonts w:hint="eastAsia" w:ascii="Times New Roman" w:hAnsi="Times New Roman" w:eastAsia="仿宋_GB2312" w:cs="仿宋_GB2312"/>
          <w:color w:val="auto"/>
          <w:sz w:val="32"/>
          <w:szCs w:val="32"/>
          <w:highlight w:val="none"/>
        </w:rPr>
      </w:pPr>
      <w:bookmarkStart w:id="67" w:name="_Toc6706"/>
      <w:r>
        <w:rPr>
          <w:rFonts w:hint="eastAsia" w:ascii="Times New Roman" w:hAnsi="Times New Roman" w:eastAsia="仿宋_GB2312" w:cs="仿宋_GB2312"/>
          <w:color w:val="auto"/>
          <w:sz w:val="32"/>
          <w:szCs w:val="32"/>
          <w:highlight w:val="none"/>
        </w:rPr>
        <w:t>一、收入支出决算总表</w:t>
      </w:r>
      <w:bookmarkEnd w:id="66"/>
      <w:bookmarkEnd w:id="67"/>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outlineLvl w:val="1"/>
        <w:rPr>
          <w:rFonts w:hint="eastAsia" w:ascii="Times New Roman" w:hAnsi="Times New Roman" w:eastAsia="仿宋_GB2312" w:cs="仿宋_GB2312"/>
          <w:color w:val="auto"/>
          <w:sz w:val="32"/>
          <w:szCs w:val="32"/>
          <w:highlight w:val="none"/>
        </w:rPr>
      </w:pPr>
      <w:bookmarkStart w:id="68" w:name="_Toc31259"/>
      <w:bookmarkStart w:id="69" w:name="_Toc15396620"/>
      <w:r>
        <w:rPr>
          <w:rFonts w:hint="eastAsia" w:ascii="Times New Roman" w:hAnsi="Times New Roman" w:eastAsia="仿宋_GB2312" w:cs="仿宋_GB2312"/>
          <w:color w:val="auto"/>
          <w:sz w:val="32"/>
          <w:szCs w:val="32"/>
          <w:highlight w:val="none"/>
        </w:rPr>
        <w:t>二、收入决算表</w:t>
      </w:r>
      <w:bookmarkEnd w:id="68"/>
      <w:bookmarkEnd w:id="69"/>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outlineLvl w:val="1"/>
        <w:rPr>
          <w:rFonts w:hint="eastAsia" w:ascii="Times New Roman" w:hAnsi="Times New Roman" w:eastAsia="仿宋_GB2312" w:cs="仿宋_GB2312"/>
          <w:color w:val="auto"/>
          <w:sz w:val="32"/>
          <w:szCs w:val="32"/>
          <w:highlight w:val="none"/>
        </w:rPr>
      </w:pPr>
      <w:bookmarkStart w:id="70" w:name="_Toc3700"/>
      <w:bookmarkStart w:id="71" w:name="_Toc15396621"/>
      <w:r>
        <w:rPr>
          <w:rFonts w:hint="eastAsia" w:ascii="Times New Roman" w:hAnsi="Times New Roman" w:eastAsia="仿宋_GB2312" w:cs="仿宋_GB2312"/>
          <w:color w:val="auto"/>
          <w:sz w:val="32"/>
          <w:szCs w:val="32"/>
          <w:highlight w:val="none"/>
        </w:rPr>
        <w:t>三、支出决算表</w:t>
      </w:r>
      <w:bookmarkEnd w:id="70"/>
      <w:bookmarkEnd w:id="71"/>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outlineLvl w:val="1"/>
        <w:rPr>
          <w:rFonts w:hint="eastAsia" w:ascii="Times New Roman" w:hAnsi="Times New Roman" w:eastAsia="仿宋_GB2312" w:cs="仿宋_GB2312"/>
          <w:color w:val="auto"/>
          <w:sz w:val="32"/>
          <w:szCs w:val="32"/>
          <w:highlight w:val="none"/>
        </w:rPr>
      </w:pPr>
      <w:bookmarkStart w:id="72" w:name="_Toc24"/>
      <w:bookmarkStart w:id="73" w:name="_Toc15396622"/>
      <w:r>
        <w:rPr>
          <w:rFonts w:hint="eastAsia" w:ascii="Times New Roman" w:hAnsi="Times New Roman" w:eastAsia="仿宋_GB2312" w:cs="仿宋_GB2312"/>
          <w:color w:val="auto"/>
          <w:sz w:val="32"/>
          <w:szCs w:val="32"/>
          <w:highlight w:val="none"/>
        </w:rPr>
        <w:t>四、财政拨款收入支出决算总表</w:t>
      </w:r>
      <w:bookmarkEnd w:id="72"/>
      <w:bookmarkEnd w:id="73"/>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outlineLvl w:val="1"/>
        <w:rPr>
          <w:rFonts w:hint="eastAsia" w:ascii="Times New Roman" w:hAnsi="Times New Roman" w:eastAsia="仿宋_GB2312" w:cs="仿宋_GB2312"/>
          <w:color w:val="auto"/>
          <w:sz w:val="32"/>
          <w:szCs w:val="32"/>
          <w:highlight w:val="none"/>
        </w:rPr>
      </w:pPr>
      <w:bookmarkStart w:id="74" w:name="_Toc15396623"/>
      <w:bookmarkStart w:id="75" w:name="_Toc32339"/>
      <w:r>
        <w:rPr>
          <w:rFonts w:hint="eastAsia" w:ascii="Times New Roman" w:hAnsi="Times New Roman" w:eastAsia="仿宋_GB2312" w:cs="仿宋_GB2312"/>
          <w:color w:val="auto"/>
          <w:sz w:val="32"/>
          <w:szCs w:val="32"/>
          <w:highlight w:val="none"/>
        </w:rPr>
        <w:t>五、财政拨款支出决算明细表</w:t>
      </w:r>
      <w:bookmarkEnd w:id="74"/>
      <w:bookmarkEnd w:id="75"/>
      <w:bookmarkStart w:id="76" w:name="_Toc15396624"/>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outlineLvl w:val="1"/>
        <w:rPr>
          <w:rFonts w:hint="eastAsia" w:ascii="Times New Roman" w:hAnsi="Times New Roman" w:eastAsia="仿宋_GB2312" w:cs="仿宋_GB2312"/>
          <w:color w:val="auto"/>
          <w:sz w:val="32"/>
          <w:szCs w:val="32"/>
          <w:highlight w:val="none"/>
        </w:rPr>
      </w:pPr>
      <w:bookmarkStart w:id="77" w:name="_Toc11423"/>
      <w:r>
        <w:rPr>
          <w:rFonts w:hint="eastAsia" w:ascii="Times New Roman" w:hAnsi="Times New Roman" w:eastAsia="仿宋_GB2312" w:cs="仿宋_GB2312"/>
          <w:color w:val="auto"/>
          <w:sz w:val="32"/>
          <w:szCs w:val="32"/>
          <w:highlight w:val="none"/>
        </w:rPr>
        <w:t>六、一般公共预算财政拨款支出决算表</w:t>
      </w:r>
      <w:bookmarkEnd w:id="76"/>
      <w:bookmarkEnd w:id="77"/>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outlineLvl w:val="1"/>
        <w:rPr>
          <w:rFonts w:hint="eastAsia" w:ascii="Times New Roman" w:hAnsi="Times New Roman" w:eastAsia="仿宋_GB2312" w:cs="仿宋_GB2312"/>
          <w:color w:val="auto"/>
          <w:sz w:val="32"/>
          <w:szCs w:val="32"/>
          <w:highlight w:val="none"/>
        </w:rPr>
      </w:pPr>
      <w:bookmarkStart w:id="78" w:name="_Toc32624"/>
      <w:bookmarkStart w:id="79" w:name="_Toc15396625"/>
      <w:r>
        <w:rPr>
          <w:rFonts w:hint="eastAsia" w:ascii="Times New Roman" w:hAnsi="Times New Roman" w:eastAsia="仿宋_GB2312" w:cs="仿宋_GB2312"/>
          <w:color w:val="auto"/>
          <w:sz w:val="32"/>
          <w:szCs w:val="32"/>
          <w:highlight w:val="none"/>
        </w:rPr>
        <w:t>七、一般公共预算财政拨款支出决算明细表</w:t>
      </w:r>
      <w:bookmarkEnd w:id="78"/>
      <w:bookmarkEnd w:id="79"/>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outlineLvl w:val="1"/>
        <w:rPr>
          <w:rFonts w:hint="eastAsia" w:ascii="Times New Roman" w:hAnsi="Times New Roman" w:eastAsia="仿宋_GB2312" w:cs="仿宋_GB2312"/>
          <w:color w:val="auto"/>
          <w:sz w:val="32"/>
          <w:szCs w:val="32"/>
          <w:highlight w:val="none"/>
        </w:rPr>
      </w:pPr>
      <w:bookmarkStart w:id="80" w:name="_Toc9168"/>
      <w:bookmarkStart w:id="81" w:name="_Toc15396626"/>
      <w:r>
        <w:rPr>
          <w:rFonts w:hint="eastAsia" w:ascii="Times New Roman" w:hAnsi="Times New Roman" w:eastAsia="仿宋_GB2312" w:cs="仿宋_GB2312"/>
          <w:color w:val="auto"/>
          <w:sz w:val="32"/>
          <w:szCs w:val="32"/>
          <w:highlight w:val="none"/>
        </w:rPr>
        <w:t>八、一般公共预算财政拨款基本支出决算表</w:t>
      </w:r>
      <w:bookmarkEnd w:id="80"/>
      <w:bookmarkEnd w:id="81"/>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outlineLvl w:val="1"/>
        <w:rPr>
          <w:rFonts w:hint="eastAsia" w:ascii="Times New Roman" w:hAnsi="Times New Roman" w:eastAsia="仿宋_GB2312" w:cs="仿宋_GB2312"/>
          <w:color w:val="auto"/>
          <w:sz w:val="32"/>
          <w:szCs w:val="32"/>
          <w:highlight w:val="none"/>
        </w:rPr>
      </w:pPr>
      <w:bookmarkStart w:id="82" w:name="_Toc15396627"/>
      <w:bookmarkStart w:id="83" w:name="_Toc32362"/>
      <w:r>
        <w:rPr>
          <w:rFonts w:hint="eastAsia" w:ascii="Times New Roman" w:hAnsi="Times New Roman" w:eastAsia="仿宋_GB2312" w:cs="仿宋_GB2312"/>
          <w:color w:val="auto"/>
          <w:sz w:val="32"/>
          <w:szCs w:val="32"/>
          <w:highlight w:val="none"/>
        </w:rPr>
        <w:t>九、一般公共预算财政拨款项目支出决算表</w:t>
      </w:r>
      <w:bookmarkEnd w:id="82"/>
      <w:bookmarkEnd w:id="83"/>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outlineLvl w:val="1"/>
        <w:rPr>
          <w:rFonts w:hint="eastAsia" w:ascii="Times New Roman" w:hAnsi="Times New Roman" w:eastAsia="仿宋_GB2312" w:cs="仿宋_GB2312"/>
          <w:color w:val="auto"/>
          <w:sz w:val="32"/>
          <w:szCs w:val="32"/>
          <w:highlight w:val="none"/>
        </w:rPr>
      </w:pPr>
      <w:bookmarkStart w:id="84" w:name="_Toc15396628"/>
      <w:bookmarkStart w:id="85" w:name="_Toc31963"/>
      <w:r>
        <w:rPr>
          <w:rFonts w:hint="eastAsia" w:ascii="Times New Roman" w:hAnsi="Times New Roman" w:eastAsia="仿宋_GB2312" w:cs="仿宋_GB2312"/>
          <w:color w:val="auto"/>
          <w:sz w:val="32"/>
          <w:szCs w:val="32"/>
          <w:highlight w:val="none"/>
        </w:rPr>
        <w:t>十、</w:t>
      </w:r>
      <w:bookmarkEnd w:id="84"/>
      <w:r>
        <w:rPr>
          <w:rFonts w:hint="eastAsia" w:ascii="Times New Roman" w:hAnsi="Times New Roman" w:eastAsia="仿宋_GB2312" w:cs="仿宋_GB2312"/>
          <w:color w:val="auto"/>
          <w:sz w:val="32"/>
          <w:szCs w:val="32"/>
          <w:highlight w:val="none"/>
        </w:rPr>
        <w:t>政府性基金预算财政拨款收入支出决算表</w:t>
      </w:r>
      <w:bookmarkEnd w:id="85"/>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outlineLvl w:val="1"/>
        <w:rPr>
          <w:rFonts w:hint="eastAsia" w:ascii="Times New Roman" w:hAnsi="Times New Roman" w:eastAsia="仿宋_GB2312" w:cs="仿宋_GB2312"/>
          <w:color w:val="auto"/>
          <w:sz w:val="32"/>
          <w:szCs w:val="32"/>
          <w:highlight w:val="none"/>
        </w:rPr>
      </w:pPr>
      <w:bookmarkStart w:id="86" w:name="_Toc15396629"/>
      <w:bookmarkStart w:id="87" w:name="_Toc26231"/>
      <w:r>
        <w:rPr>
          <w:rFonts w:hint="eastAsia" w:ascii="Times New Roman" w:hAnsi="Times New Roman" w:eastAsia="仿宋_GB2312" w:cs="仿宋_GB2312"/>
          <w:color w:val="auto"/>
          <w:sz w:val="32"/>
          <w:szCs w:val="32"/>
          <w:highlight w:val="none"/>
        </w:rPr>
        <w:t>十一、</w:t>
      </w:r>
      <w:bookmarkEnd w:id="86"/>
      <w:r>
        <w:rPr>
          <w:rFonts w:hint="eastAsia" w:ascii="Times New Roman" w:hAnsi="Times New Roman" w:eastAsia="仿宋_GB2312" w:cs="仿宋_GB2312"/>
          <w:color w:val="auto"/>
          <w:sz w:val="32"/>
          <w:szCs w:val="32"/>
          <w:highlight w:val="none"/>
        </w:rPr>
        <w:t>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bookmarkEnd w:id="87"/>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outlineLvl w:val="1"/>
        <w:rPr>
          <w:rFonts w:hint="eastAsia" w:ascii="Times New Roman" w:hAnsi="Times New Roman" w:eastAsia="仿宋_GB2312" w:cs="仿宋_GB2312"/>
          <w:color w:val="auto"/>
          <w:sz w:val="32"/>
          <w:szCs w:val="32"/>
          <w:highlight w:val="none"/>
        </w:rPr>
      </w:pPr>
      <w:bookmarkStart w:id="88" w:name="_Toc15396630"/>
      <w:bookmarkStart w:id="89" w:name="_Toc3013"/>
      <w:r>
        <w:rPr>
          <w:rFonts w:hint="eastAsia" w:ascii="Times New Roman" w:hAnsi="Times New Roman" w:eastAsia="仿宋_GB2312" w:cs="仿宋_GB2312"/>
          <w:color w:val="auto"/>
          <w:sz w:val="32"/>
          <w:szCs w:val="32"/>
          <w:highlight w:val="none"/>
        </w:rPr>
        <w:t>十二、</w:t>
      </w:r>
      <w:bookmarkEnd w:id="88"/>
      <w:r>
        <w:rPr>
          <w:rFonts w:hint="eastAsia" w:ascii="Times New Roman" w:hAnsi="Times New Roman" w:eastAsia="仿宋_GB2312" w:cs="仿宋_GB2312"/>
          <w:color w:val="auto"/>
          <w:sz w:val="32"/>
          <w:szCs w:val="32"/>
          <w:highlight w:val="none"/>
          <w:lang w:eastAsia="zh-CN"/>
        </w:rPr>
        <w:t>国有资本经营预算财政拨款支出决算表</w:t>
      </w:r>
      <w:bookmarkEnd w:id="89"/>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outlineLvl w:val="1"/>
        <w:rPr>
          <w:rFonts w:hint="eastAsia" w:ascii="Times New Roman" w:hAnsi="Times New Roman" w:eastAsia="仿宋_GB2312" w:cs="仿宋_GB2312"/>
          <w:color w:val="auto"/>
          <w:sz w:val="32"/>
          <w:szCs w:val="32"/>
          <w:highlight w:val="none"/>
          <w:lang w:eastAsia="zh-CN"/>
        </w:rPr>
      </w:pPr>
      <w:bookmarkStart w:id="90" w:name="_Toc15396631"/>
      <w:bookmarkStart w:id="91" w:name="_Toc681"/>
      <w:r>
        <w:rPr>
          <w:rFonts w:hint="eastAsia" w:ascii="Times New Roman" w:hAnsi="Times New Roman" w:eastAsia="仿宋_GB2312" w:cs="仿宋_GB2312"/>
          <w:color w:val="auto"/>
          <w:sz w:val="32"/>
          <w:szCs w:val="32"/>
          <w:highlight w:val="none"/>
        </w:rPr>
        <w:t>十三、</w:t>
      </w:r>
      <w:bookmarkEnd w:id="90"/>
      <w:r>
        <w:rPr>
          <w:rFonts w:hint="eastAsia" w:ascii="Times New Roman" w:hAnsi="Times New Roman" w:eastAsia="仿宋_GB2312" w:cs="仿宋_GB2312"/>
          <w:color w:val="auto"/>
          <w:sz w:val="32"/>
          <w:szCs w:val="32"/>
          <w:highlight w:val="none"/>
          <w:lang w:eastAsia="zh-CN"/>
        </w:rPr>
        <w:t>财政拨款“三公”经费支出决算表</w:t>
      </w:r>
      <w:bookmarkEnd w:id="91"/>
    </w:p>
    <w:p>
      <w:pPr>
        <w:outlineLvl w:val="1"/>
        <w:rPr>
          <w:rFonts w:hint="eastAsia" w:ascii="Times New Roman" w:hAnsi="Times New Roman"/>
          <w:lang w:eastAsia="zh-CN"/>
        </w:rPr>
      </w:pPr>
    </w:p>
    <w:sectPr>
      <w:footerReference r:id="rId12"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FB" w:usb2="0000002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
    <w:altName w:val="Mangal"/>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方正大标宋简体">
    <w:altName w:val="宋体"/>
    <w:panose1 w:val="02000000000000000000"/>
    <w:charset w:val="86"/>
    <w:family w:val="auto"/>
    <w:pitch w:val="default"/>
    <w:sig w:usb0="00000000" w:usb1="00000000" w:usb2="00000012"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00" w:usb3="00000000" w:csb0="00000000"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txbx>
                      <w:txbxContent>
                        <w:p>
                          <w:pPr>
                            <w:pStyle w:val="12"/>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WFWiqIQIAADcEAAAOAAAAZHJz&#10;L2Uyb0RvYy54bWytU0uOEzEQ3SNxB8t70kkQoyhKZxRmFIQUMSMNiLXjttMt+SfbSXc4ANyAFRv2&#10;nCvn4NnpThCwQmzsKle5fu/V4rbTihyED401JZ2MxpQIw23VmF1JP7xfv5hREiIzFVPWiJIeRaC3&#10;y+fPFq2bi6mtraqEJwhiwrx1Ja1jdPOiCLwWmoWRdcLAKK3XLEL1u6LyrEV0rYrpeHxTtNZXzlsu&#10;QsDr/dlIlzm+lILHBymDiESVFLXFfPp8btNZLBdsvvPM1Q3vy2D/UIVmjUHSS6h7FhnZ++aPULrh&#10;3gYr44hbXVgpGy5yD+hmMv6tm6eaOZF7wXCCu4wp/L+w/N3h0ZOmKimAMkwDotPXL6dvP07fP5NZ&#10;Gk/rwhxeTw5+sXttu5JGvxeDKeA9Nd5Jr9ONlghcMOvjZb6ii4TjcTKbzmZjmDhsg4IUxfW78yG+&#10;EVaTJJTUA8A8V3bYhHh2HVxSNmPXjVIZRGVIW9Kbl6/G+cPFguDKJF+R6dCHSV2dS09S7LZd3+rW&#10;Vkd06u2ZKsHxdYNSNizER+bBDZQPvscHHFJZpLS9RElt/ae/vSd/QAYrJS24VlKDZaBEvTWAMtFy&#10;EPwgbAfB7PWdBXkn2CPHs4gPPqpBlN7qj1iCVcohmQoIzAxHNgA1iHcRWm/EMnGxWl30vfPNrr5+&#10;BjEdixvz5HgPdZpecKt9xLQzCGlm50EBvKSAnRnGfpMS/X/Vs9d135c/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BYAAABkcnMvUEsBAhQA&#10;FAAAAAgAh07iQLNJWO7QAAAABQEAAA8AAAAAAAAAAQAgAAAAOAAAAGRycy9kb3ducmV2LnhtbFBL&#10;AQIUABQAAAAIAIdO4kBWFWiqIQIAADcEAAAOAAAAAAAAAAEAIAAAADUBAABkcnMvZTJvRG9jLnht&#10;bFBLBQYAAAAABgAGAFkBAADIBQAAAAA=&#10;">
              <v:fill on="f" focussize="0,0"/>
              <v:stroke on="f" weight="0.5pt"/>
              <v:imagedata o:title=""/>
              <o:lock v:ext="edit" aspectratio="f"/>
              <v:textbox inset="0mm,0mm,0mm,0mm" style="mso-fit-shape-to-text:t;">
                <w:txbxContent>
                  <w:p>
                    <w:pPr>
                      <w:pStyle w:val="12"/>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v:textbox>
            </v:shape>
          </w:pict>
        </mc:Fallback>
      </mc:AlternateContent>
    </w: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p>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69504" behindDoc="0" locked="0" layoutInCell="1" allowOverlap="1">
              <wp:simplePos x="0" y="0"/>
              <wp:positionH relativeFrom="margin">
                <wp:align>right</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txbx>
                      <w:txbxContent>
                        <w:p>
                          <w:pPr>
                            <w:pStyle w:val="12"/>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950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0+0iIQIAADkEAAAOAAAAZHJz&#10;L2Uyb0RvYy54bWytU0uOEzEQ3SNxB8t70kkQoyhKZxRmFIQUMSMNiLXjttMt+SfbSXc4ANyAFRv2&#10;nCvn4NnpThCwQmzsKle5Pu9VLW47rchB+NBYU9LJaEyJMNxWjdmV9MP79YsZJSEyUzFljSjpUQR6&#10;u3z+bNG6uZja2qpKeIIgJsxbV9I6RjcvisBroVkYWScMjNJ6zSJUvysqz1pE16qYjsc3RWt95bzl&#10;IgS83p+NdJnjSyl4fJAyiEhUSVFbzKfP5zadxXLB5jvPXN3wvgz2D1Vo1hgkvYS6Z5GRvW/+CKUb&#10;7m2wMo641YWVsuEi94BuJuPfunmqmRO5F4AT3AWm8P/C8neHR0+aCtxNKDFMg6PT1y+nbz9O3z8T&#10;vAGg1oU5/J4cPGP32nYljX4vBlPAe2q9k16nG00RuADt4wVh0UXC8TiZTWezMUwctkFBiuL63fkQ&#10;3wirSRJK6kFhRpYdNiGeXQeXlM3YdaNUplEZ0pb05uWrcf5wsSC4MslX5IHow6SuzqUnKXbbrm91&#10;a6sjOvX2PCzB8XWDUjYsxEfmMR0oHxMfH3BIZZHS9hIltfWf/vae/EEarJS0mLaSGqwDJeqtAZlp&#10;MAfBD8J2EMxe31mML/hBLVnEBx/VIEpv9UeswSrlkEwFBGaGIxuIGsS7CK03Yp24WK0u+t75Zldf&#10;P2M0HYsb8+R4T3VCL7jVPgLtTELC7AwUyEsK5jPT2O9SWoBf9ex13fjlT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BYAAABkcnMvUEsBAhQA&#10;FAAAAAgAh07iQLNJWO7QAAAABQEAAA8AAAAAAAAAAQAgAAAAOAAAAGRycy9kb3ducmV2LnhtbFBL&#10;AQIUABQAAAAIAIdO4kAn0+0iIQIAADkEAAAOAAAAAAAAAAEAIAAAADUBAABkcnMvZTJvRG9jLnht&#10;bFBLBQYAAAAABgAGAFkBAADIBQAAAAA=&#10;">
              <v:fill on="f" focussize="0,0"/>
              <v:stroke on="f" weight="0.5pt"/>
              <v:imagedata o:title=""/>
              <o:lock v:ext="edit" aspectratio="f"/>
              <v:textbox inset="0mm,0mm,0mm,0mm" style="mso-fit-shape-to-text:t;">
                <w:txbxContent>
                  <w:p>
                    <w:pPr>
                      <w:pStyle w:val="12"/>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v:textbox>
            </v:shape>
          </w:pict>
        </mc:Fallback>
      </mc:AlternateContent>
    </w:r>
  </w:p>
  <w:p>
    <w:pPr>
      <w:pStyle w:val="1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left" w:pos="3305"/>
        <w:tab w:val="clear" w:pos="4153"/>
      </w:tabs>
      <w:rPr>
        <w:rFonts w:hint="eastAsia" w:eastAsia="宋体"/>
        <w:lang w:eastAsia="zh-CN"/>
      </w:rPr>
    </w:pPr>
    <w:r>
      <w:rPr>
        <w:rFonts w:hint="eastAsia"/>
        <w:lang w:eastAsia="zh-CN"/>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12</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ry2DMHAIAACkEAAAOAAAAZHJz&#10;L2Uyb0RvYy54bWytU82O0zAQviPxDpbvNGkRq27VdFV2VYRUsSsVxNl1nCaS/2S7TcoDwBtw4sKd&#10;5+pz8NlNWgScEBd7xjOen2++md91SpKDcL4xuqDjUU6J0NyUjd4V9MP71YspJT4wXTJptCjoUXh6&#10;t3j+bN7amZiY2shSOIIg2s9aW9A6BDvLMs9roZgfGSs0jJVxigWobpeVjrWIrmQ2yfObrDWutM5w&#10;4T1eH85Gukjxq0rw8FhVXgQiC4raQjpdOrfxzBZzNts5ZuuG92Wwf6hCsUYj6SXUAwuM7F3zRyjV&#10;cGe8qcKIG5WZqmq4SD2gm3H+WzebmlmRegE43l5g8v8vLH93eHKkKQt6S4lmCiM6ff1y+vbj9P0z&#10;uY3wtNbP4LWx8Avda9MVNLi9GEwe77HxrnIq3miJwAVYHy/4ii4QjsfxdDKd5jBx2AYFKbLrd+t8&#10;eCOMIlEoqMMAE67ssPbh7Dq4xGzarBop0xClJm1Bb16+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K8tgzBwCAAApBAAADgAAAAAAAAABACAAAAA1AQAAZHJzL2Uyb0RvYy54bWxQSwUG&#10;AAAAAAYABgBZAQAAwwUAAAAA&#10;">
              <v:fill on="f" focussize="0,0"/>
              <v:stroke on="f" weight="0.5pt"/>
              <v:imagedata o:title=""/>
              <o:lock v:ext="edit" aspectratio="f"/>
              <v:textbox inset="0mm,0mm,0mm,0mm" style="mso-fit-shape-to-text:t;">
                <w:txbxContent>
                  <w:p>
                    <w:pPr>
                      <w:pStyle w:val="12"/>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12</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v:textbox>
            </v:shape>
          </w:pict>
        </mc:Fallback>
      </mc:AlternateContent>
    </w:r>
  </w:p>
  <w:p>
    <w:pPr>
      <w:pStyle w:val="1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68480" behindDoc="0" locked="0" layoutInCell="1" allowOverlap="1">
              <wp:simplePos x="0" y="0"/>
              <wp:positionH relativeFrom="margin">
                <wp:align>right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72</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848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wh4DHAIAACsEAAAOAAAAZHJz&#10;L2Uyb0RvYy54bWytU82OEzEMviPxDlHudNoiVlXV6arsqgipYldaEOc0k3RGyp+StDPlAeANOHHh&#10;znP1OfiSzrQIOCEuiR07n+3P9uK204ochA+NNSWdjMaUCMNt1ZhdST+8X7+YURIiMxVT1oiSHkWg&#10;t8vnzxatm4upra2qhCcAMWHeupLWMbp5UQReC83CyDphYJTWaxah+l1RedYCXatiOh7fFK31lfOW&#10;ixDwen820mXGl1Lw+CBlEJGokiK3mE+fz206i+WCzXeeubrhfRrsH7LQrDEIeoG6Z5GRvW/+gNIN&#10;9zZYGUfc6sJK2XCRa0A1k/Fv1TzVzIlcC8gJ7kJT+H+w/N3h0ZOmQu9Aj2EaPTp9/XL69uP0/TPB&#10;GwhqXZjD78nBM3avbVfS6PdiMAW8p9I76XW6URSBC+COF4ZFFwnH42Q2nc3GMHHYBgUhiut350N8&#10;I6wmSSipRwszs+ywCfHsOrikaMauG6VyG5UhbUlvXr4a5w8XC8CVQYxUxznZJMVu2/XFbW11RG3e&#10;nscjOL5uEHzDQnxkHvOAhDHj8QGHVBZBbC9RUlv/6W/vyR9tgpWSFvNVUoMFoES9NWgfAOMg+EHY&#10;DoLZ6zuLgZ1gdxzPIj74qAZReqs/YvBXKYZkKgCYGY5oaM0g3kVovRELxMVqddH3zje7+voZw+hY&#10;3Jgnx/vmJm6DW+0j+M20J87ORPVUYiJz4/rtSSP/q569rju+/A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FsIeAxwCAAArBAAADgAAAAAAAAABACAAAAA1AQAAZHJzL2Uyb0RvYy54bWxQSwUG&#10;AAAAAAYABgBZAQAAwwUAAAAA&#10;">
              <v:fill on="f" focussize="0,0"/>
              <v:stroke on="f" weight="0.5pt"/>
              <v:imagedata o:title=""/>
              <o:lock v:ext="edit" aspectratio="f"/>
              <v:textbox inset="0mm,0mm,0mm,0mm" style="mso-fit-shape-to-text:t;">
                <w:txbxContent>
                  <w:p>
                    <w:pPr>
                      <w:pStyle w:val="12"/>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72</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v:textbox>
            </v:shape>
          </w:pict>
        </mc:Fallback>
      </mc:AlternateContent>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54141D"/>
    <w:multiLevelType w:val="singleLevel"/>
    <w:tmpl w:val="2F54141D"/>
    <w:lvl w:ilvl="0" w:tentative="0">
      <w:start w:val="1"/>
      <w:numFmt w:val="decimal"/>
      <w:suff w:val="nothing"/>
      <w:lvlText w:val="%1．"/>
      <w:lvlJc w:val="left"/>
      <w:pPr>
        <w:ind w:left="0" w:firstLine="397"/>
      </w:pPr>
      <w:rPr>
        <w:rFonts w:hint="default"/>
      </w:rPr>
    </w:lvl>
  </w:abstractNum>
  <w:abstractNum w:abstractNumId="1">
    <w:nsid w:val="6EDC4C7D"/>
    <w:multiLevelType w:val="singleLevel"/>
    <w:tmpl w:val="6EDC4C7D"/>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584"/>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B15"/>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37FBC"/>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3380CF4"/>
    <w:rsid w:val="0455395B"/>
    <w:rsid w:val="04916F1E"/>
    <w:rsid w:val="061E35DE"/>
    <w:rsid w:val="066E0107"/>
    <w:rsid w:val="07996F6E"/>
    <w:rsid w:val="07DFD8BA"/>
    <w:rsid w:val="09867E8F"/>
    <w:rsid w:val="0A2032A3"/>
    <w:rsid w:val="0A516F86"/>
    <w:rsid w:val="0A771A2E"/>
    <w:rsid w:val="0CA8290A"/>
    <w:rsid w:val="0D35B1ED"/>
    <w:rsid w:val="0DEC30D8"/>
    <w:rsid w:val="0E254B6B"/>
    <w:rsid w:val="0EA32D46"/>
    <w:rsid w:val="0F1A479F"/>
    <w:rsid w:val="0F98263C"/>
    <w:rsid w:val="0FA42734"/>
    <w:rsid w:val="101860EC"/>
    <w:rsid w:val="101F47CC"/>
    <w:rsid w:val="10C055FF"/>
    <w:rsid w:val="11694EBD"/>
    <w:rsid w:val="11772AA4"/>
    <w:rsid w:val="118107EC"/>
    <w:rsid w:val="12E24EE2"/>
    <w:rsid w:val="13CC1200"/>
    <w:rsid w:val="13D50BC4"/>
    <w:rsid w:val="14B17F78"/>
    <w:rsid w:val="165E0673"/>
    <w:rsid w:val="166353A9"/>
    <w:rsid w:val="16B831D5"/>
    <w:rsid w:val="16BB723D"/>
    <w:rsid w:val="17E50567"/>
    <w:rsid w:val="17F567CC"/>
    <w:rsid w:val="186504BB"/>
    <w:rsid w:val="1921238A"/>
    <w:rsid w:val="19A445FC"/>
    <w:rsid w:val="1A670406"/>
    <w:rsid w:val="1A757F4E"/>
    <w:rsid w:val="1ACB1987"/>
    <w:rsid w:val="1BC47A52"/>
    <w:rsid w:val="1BE8440E"/>
    <w:rsid w:val="1D155CEE"/>
    <w:rsid w:val="1D1638FE"/>
    <w:rsid w:val="1D1663E0"/>
    <w:rsid w:val="1E312DEB"/>
    <w:rsid w:val="1E740ACF"/>
    <w:rsid w:val="1F254917"/>
    <w:rsid w:val="1F53288A"/>
    <w:rsid w:val="1FF35744"/>
    <w:rsid w:val="1FF6BC77"/>
    <w:rsid w:val="2186353C"/>
    <w:rsid w:val="22146294"/>
    <w:rsid w:val="22D16A5E"/>
    <w:rsid w:val="23165935"/>
    <w:rsid w:val="23860B96"/>
    <w:rsid w:val="239F7E5C"/>
    <w:rsid w:val="23E0592D"/>
    <w:rsid w:val="240371BF"/>
    <w:rsid w:val="244F3473"/>
    <w:rsid w:val="2453615C"/>
    <w:rsid w:val="24C97D99"/>
    <w:rsid w:val="25A718F0"/>
    <w:rsid w:val="25BB59F6"/>
    <w:rsid w:val="260F557C"/>
    <w:rsid w:val="26970054"/>
    <w:rsid w:val="27703C7D"/>
    <w:rsid w:val="27710A6C"/>
    <w:rsid w:val="281408E2"/>
    <w:rsid w:val="287A2060"/>
    <w:rsid w:val="29FD04D3"/>
    <w:rsid w:val="2AF07C9E"/>
    <w:rsid w:val="2BB53CCE"/>
    <w:rsid w:val="2BFF7BC6"/>
    <w:rsid w:val="2C8A61B5"/>
    <w:rsid w:val="2DF04E50"/>
    <w:rsid w:val="2E24033F"/>
    <w:rsid w:val="2E586DFA"/>
    <w:rsid w:val="2F040D46"/>
    <w:rsid w:val="2F6B035B"/>
    <w:rsid w:val="2FAE5751"/>
    <w:rsid w:val="2FB1A395"/>
    <w:rsid w:val="2FD9A7D8"/>
    <w:rsid w:val="2FDBF714"/>
    <w:rsid w:val="306C416A"/>
    <w:rsid w:val="30AB6865"/>
    <w:rsid w:val="31457171"/>
    <w:rsid w:val="319F7F4E"/>
    <w:rsid w:val="32793C40"/>
    <w:rsid w:val="32BD1EF1"/>
    <w:rsid w:val="3304709D"/>
    <w:rsid w:val="33727F33"/>
    <w:rsid w:val="338A1662"/>
    <w:rsid w:val="33A773CB"/>
    <w:rsid w:val="3464088A"/>
    <w:rsid w:val="349D6851"/>
    <w:rsid w:val="36AA5135"/>
    <w:rsid w:val="36BE0DA7"/>
    <w:rsid w:val="376B6AA6"/>
    <w:rsid w:val="376D39B2"/>
    <w:rsid w:val="37A87901"/>
    <w:rsid w:val="37E16F03"/>
    <w:rsid w:val="37F53A3B"/>
    <w:rsid w:val="389B6C89"/>
    <w:rsid w:val="38C11CF9"/>
    <w:rsid w:val="38D469F0"/>
    <w:rsid w:val="39627CCD"/>
    <w:rsid w:val="397BAF1F"/>
    <w:rsid w:val="3986196E"/>
    <w:rsid w:val="39FE4185"/>
    <w:rsid w:val="3AB79AF3"/>
    <w:rsid w:val="3ABC4149"/>
    <w:rsid w:val="3AE834C0"/>
    <w:rsid w:val="3B7EF35A"/>
    <w:rsid w:val="3B9FDB6C"/>
    <w:rsid w:val="3BF5BC2F"/>
    <w:rsid w:val="3CEBA265"/>
    <w:rsid w:val="3D98207C"/>
    <w:rsid w:val="3DEE7CF3"/>
    <w:rsid w:val="3E740A63"/>
    <w:rsid w:val="3E78745D"/>
    <w:rsid w:val="3EE17838"/>
    <w:rsid w:val="3F55381A"/>
    <w:rsid w:val="3F7F7599"/>
    <w:rsid w:val="3FF4CAE0"/>
    <w:rsid w:val="3FF7B227"/>
    <w:rsid w:val="40284C70"/>
    <w:rsid w:val="41213104"/>
    <w:rsid w:val="422E75D1"/>
    <w:rsid w:val="44E268DA"/>
    <w:rsid w:val="450D13D7"/>
    <w:rsid w:val="452B4085"/>
    <w:rsid w:val="45506656"/>
    <w:rsid w:val="486A6C7A"/>
    <w:rsid w:val="48D73183"/>
    <w:rsid w:val="4A6041F9"/>
    <w:rsid w:val="4A627F82"/>
    <w:rsid w:val="4B0E749A"/>
    <w:rsid w:val="4B2477C4"/>
    <w:rsid w:val="4B2F03BB"/>
    <w:rsid w:val="4B4F25DA"/>
    <w:rsid w:val="4B783AB6"/>
    <w:rsid w:val="4BE068DB"/>
    <w:rsid w:val="4C983FC5"/>
    <w:rsid w:val="4D577224"/>
    <w:rsid w:val="4DBF1CEB"/>
    <w:rsid w:val="4DDD0DE3"/>
    <w:rsid w:val="4DF0007C"/>
    <w:rsid w:val="4EAB630A"/>
    <w:rsid w:val="4ECE2238"/>
    <w:rsid w:val="4F833267"/>
    <w:rsid w:val="4FE9BD67"/>
    <w:rsid w:val="4FFB052F"/>
    <w:rsid w:val="523A2E32"/>
    <w:rsid w:val="537E6D0A"/>
    <w:rsid w:val="53F74C96"/>
    <w:rsid w:val="549C2144"/>
    <w:rsid w:val="55170BA8"/>
    <w:rsid w:val="553218C9"/>
    <w:rsid w:val="563F1D97"/>
    <w:rsid w:val="567E1AA5"/>
    <w:rsid w:val="56E47B74"/>
    <w:rsid w:val="57175D52"/>
    <w:rsid w:val="57BD3DD4"/>
    <w:rsid w:val="58FA1066"/>
    <w:rsid w:val="59093D2F"/>
    <w:rsid w:val="592A3FA3"/>
    <w:rsid w:val="59647D01"/>
    <w:rsid w:val="5A974144"/>
    <w:rsid w:val="5AF92295"/>
    <w:rsid w:val="5B250254"/>
    <w:rsid w:val="5BDD79E6"/>
    <w:rsid w:val="5BF54347"/>
    <w:rsid w:val="5BF561CA"/>
    <w:rsid w:val="5BFF5DFC"/>
    <w:rsid w:val="5C7F2C54"/>
    <w:rsid w:val="5CD71FC4"/>
    <w:rsid w:val="5D1F11B5"/>
    <w:rsid w:val="5D695134"/>
    <w:rsid w:val="5DAE1B18"/>
    <w:rsid w:val="5DE7D9E5"/>
    <w:rsid w:val="5ECEC941"/>
    <w:rsid w:val="5F1D2CC5"/>
    <w:rsid w:val="5FBF9FF3"/>
    <w:rsid w:val="5FCD4E2C"/>
    <w:rsid w:val="5FEF394A"/>
    <w:rsid w:val="5FF4575D"/>
    <w:rsid w:val="5FF67715"/>
    <w:rsid w:val="61E13D7A"/>
    <w:rsid w:val="62BF3928"/>
    <w:rsid w:val="63B3701E"/>
    <w:rsid w:val="647F5392"/>
    <w:rsid w:val="649E1012"/>
    <w:rsid w:val="64AF7CA6"/>
    <w:rsid w:val="65AD68DC"/>
    <w:rsid w:val="65E66580"/>
    <w:rsid w:val="664B1D71"/>
    <w:rsid w:val="664B4E8E"/>
    <w:rsid w:val="66E9040A"/>
    <w:rsid w:val="67277B67"/>
    <w:rsid w:val="67AA3209"/>
    <w:rsid w:val="67C25E29"/>
    <w:rsid w:val="698D0931"/>
    <w:rsid w:val="6A78209E"/>
    <w:rsid w:val="6A7FE5F3"/>
    <w:rsid w:val="6B053271"/>
    <w:rsid w:val="6B784EB0"/>
    <w:rsid w:val="6BDD78B3"/>
    <w:rsid w:val="6C4A05C8"/>
    <w:rsid w:val="6C8742B8"/>
    <w:rsid w:val="6DBF5E93"/>
    <w:rsid w:val="6DFF077E"/>
    <w:rsid w:val="6E714EF0"/>
    <w:rsid w:val="6E7E3605"/>
    <w:rsid w:val="6E7FDCC7"/>
    <w:rsid w:val="6ED6A62E"/>
    <w:rsid w:val="6EE00B15"/>
    <w:rsid w:val="6F123007"/>
    <w:rsid w:val="6F423696"/>
    <w:rsid w:val="6F6FB3EB"/>
    <w:rsid w:val="6F8731EA"/>
    <w:rsid w:val="6FCE6052"/>
    <w:rsid w:val="6FD57C00"/>
    <w:rsid w:val="6FEFFFD8"/>
    <w:rsid w:val="6FF5CC65"/>
    <w:rsid w:val="6FF63A10"/>
    <w:rsid w:val="6FFB47EC"/>
    <w:rsid w:val="6FFF034A"/>
    <w:rsid w:val="70484440"/>
    <w:rsid w:val="712A28F1"/>
    <w:rsid w:val="715C0E4B"/>
    <w:rsid w:val="71992E7C"/>
    <w:rsid w:val="72233669"/>
    <w:rsid w:val="72734D90"/>
    <w:rsid w:val="73160E6D"/>
    <w:rsid w:val="7332FE48"/>
    <w:rsid w:val="7352739D"/>
    <w:rsid w:val="737C169B"/>
    <w:rsid w:val="73AB61DA"/>
    <w:rsid w:val="73AD73D5"/>
    <w:rsid w:val="73B6EB34"/>
    <w:rsid w:val="73FA497D"/>
    <w:rsid w:val="744731E5"/>
    <w:rsid w:val="74BBD01D"/>
    <w:rsid w:val="74ED5379"/>
    <w:rsid w:val="75970948"/>
    <w:rsid w:val="75D43B1E"/>
    <w:rsid w:val="75DEEEC2"/>
    <w:rsid w:val="75E32345"/>
    <w:rsid w:val="76E3355F"/>
    <w:rsid w:val="76FF5125"/>
    <w:rsid w:val="776F6FFA"/>
    <w:rsid w:val="778769C8"/>
    <w:rsid w:val="77A75DCA"/>
    <w:rsid w:val="77DC22F5"/>
    <w:rsid w:val="783E271A"/>
    <w:rsid w:val="78616DE9"/>
    <w:rsid w:val="78E875D7"/>
    <w:rsid w:val="79086DAD"/>
    <w:rsid w:val="79D7FD79"/>
    <w:rsid w:val="79EE5BA4"/>
    <w:rsid w:val="7A894339"/>
    <w:rsid w:val="7AD284E8"/>
    <w:rsid w:val="7AFF7572"/>
    <w:rsid w:val="7B6C7DFB"/>
    <w:rsid w:val="7B8C25DF"/>
    <w:rsid w:val="7BBFBED0"/>
    <w:rsid w:val="7BC3E394"/>
    <w:rsid w:val="7BD179F0"/>
    <w:rsid w:val="7C1F3737"/>
    <w:rsid w:val="7CBFC87B"/>
    <w:rsid w:val="7CD63B95"/>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BF1DD37"/>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4"/>
    <w:unhideWhenUsed/>
    <w:qFormat/>
    <w:uiPriority w:val="9"/>
    <w:pPr>
      <w:keepNext/>
      <w:keepLines/>
      <w:spacing w:before="260" w:after="260" w:line="416" w:lineRule="auto"/>
      <w:outlineLvl w:val="2"/>
    </w:pPr>
    <w:rPr>
      <w:b/>
      <w:bCs/>
      <w:sz w:val="32"/>
      <w:szCs w:val="32"/>
    </w:rPr>
  </w:style>
  <w:style w:type="character" w:default="1" w:styleId="19">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31"/>
    <w:qFormat/>
    <w:uiPriority w:val="99"/>
    <w:pPr>
      <w:spacing w:beforeLines="30"/>
    </w:pPr>
    <w:rPr>
      <w:rFonts w:ascii="仿宋_GB2312" w:eastAsia="仿宋_GB2312"/>
      <w:kern w:val="0"/>
      <w:sz w:val="30"/>
    </w:rPr>
  </w:style>
  <w:style w:type="paragraph" w:styleId="6">
    <w:name w:val="index 6"/>
    <w:basedOn w:val="1"/>
    <w:next w:val="1"/>
    <w:qFormat/>
    <w:uiPriority w:val="0"/>
    <w:pPr>
      <w:ind w:left="2100"/>
      <w:jc w:val="center"/>
    </w:pPr>
  </w:style>
  <w:style w:type="paragraph" w:styleId="7">
    <w:name w:val="Salutation"/>
    <w:basedOn w:val="1"/>
    <w:next w:val="1"/>
    <w:qFormat/>
    <w:uiPriority w:val="0"/>
  </w:style>
  <w:style w:type="paragraph" w:styleId="8">
    <w:name w:val="Body Text Indent"/>
    <w:basedOn w:val="1"/>
    <w:next w:val="9"/>
    <w:qFormat/>
    <w:uiPriority w:val="0"/>
    <w:pPr>
      <w:spacing w:after="120"/>
      <w:ind w:leftChars="200"/>
    </w:pPr>
    <w:rPr>
      <w:rFonts w:ascii="仿宋_GB2312"/>
      <w:szCs w:val="32"/>
    </w:rPr>
  </w:style>
  <w:style w:type="paragraph" w:styleId="9">
    <w:name w:val="Body Text First Indent 2"/>
    <w:basedOn w:val="8"/>
    <w:next w:val="6"/>
    <w:unhideWhenUsed/>
    <w:qFormat/>
    <w:uiPriority w:val="99"/>
    <w:pPr>
      <w:ind w:firstLine="420" w:firstLineChars="200"/>
    </w:pPr>
  </w:style>
  <w:style w:type="paragraph" w:styleId="10">
    <w:name w:val="toc 3"/>
    <w:basedOn w:val="1"/>
    <w:next w:val="1"/>
    <w:unhideWhenUsed/>
    <w:qFormat/>
    <w:uiPriority w:val="39"/>
    <w:pPr>
      <w:tabs>
        <w:tab w:val="right" w:leader="dot" w:pos="8296"/>
      </w:tabs>
      <w:ind w:left="840" w:leftChars="400"/>
    </w:pPr>
  </w:style>
  <w:style w:type="paragraph" w:styleId="11">
    <w:name w:val="Balloon Text"/>
    <w:basedOn w:val="1"/>
    <w:link w:val="35"/>
    <w:semiHidden/>
    <w:unhideWhenUsed/>
    <w:qFormat/>
    <w:uiPriority w:val="99"/>
    <w:rPr>
      <w:sz w:val="18"/>
      <w:szCs w:val="18"/>
    </w:rPr>
  </w:style>
  <w:style w:type="paragraph" w:styleId="12">
    <w:name w:val="footer"/>
    <w:basedOn w:val="1"/>
    <w:link w:val="29"/>
    <w:qFormat/>
    <w:uiPriority w:val="99"/>
    <w:pPr>
      <w:tabs>
        <w:tab w:val="center" w:pos="4153"/>
        <w:tab w:val="right" w:pos="8306"/>
      </w:tabs>
      <w:snapToGrid w:val="0"/>
      <w:jc w:val="left"/>
    </w:pPr>
    <w:rPr>
      <w:rFonts w:ascii="Calibri" w:hAnsi="Calibri"/>
      <w:kern w:val="0"/>
      <w:sz w:val="18"/>
      <w:szCs w:val="18"/>
    </w:rPr>
  </w:style>
  <w:style w:type="paragraph" w:styleId="13">
    <w:name w:val="header"/>
    <w:basedOn w:val="1"/>
    <w:link w:val="27"/>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4">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5">
    <w:name w:val="footnote text"/>
    <w:basedOn w:val="1"/>
    <w:next w:val="9"/>
    <w:semiHidden/>
    <w:qFormat/>
    <w:uiPriority w:val="0"/>
    <w:pPr>
      <w:snapToGrid w:val="0"/>
      <w:jc w:val="left"/>
    </w:pPr>
    <w:rPr>
      <w:sz w:val="18"/>
      <w:szCs w:val="18"/>
    </w:rPr>
  </w:style>
  <w:style w:type="paragraph" w:styleId="16">
    <w:name w:val="toc 2"/>
    <w:basedOn w:val="1"/>
    <w:next w:val="1"/>
    <w:unhideWhenUsed/>
    <w:qFormat/>
    <w:uiPriority w:val="39"/>
    <w:pPr>
      <w:tabs>
        <w:tab w:val="right" w:leader="dot" w:pos="8296"/>
      </w:tabs>
      <w:ind w:left="420" w:leftChars="200"/>
    </w:pPr>
  </w:style>
  <w:style w:type="paragraph" w:styleId="17">
    <w:name w:val="Normal (Web)"/>
    <w:basedOn w:val="1"/>
    <w:qFormat/>
    <w:uiPriority w:val="0"/>
    <w:pPr>
      <w:spacing w:before="0" w:beforeAutospacing="1" w:after="0" w:afterAutospacing="1"/>
      <w:ind w:left="0" w:right="0"/>
      <w:jc w:val="left"/>
    </w:pPr>
    <w:rPr>
      <w:kern w:val="0"/>
      <w:sz w:val="24"/>
      <w:lang w:val="en-US" w:eastAsia="zh-CN" w:bidi="ar"/>
    </w:rPr>
  </w:style>
  <w:style w:type="character" w:styleId="20">
    <w:name w:val="Strong"/>
    <w:basedOn w:val="19"/>
    <w:qFormat/>
    <w:uiPriority w:val="99"/>
    <w:rPr>
      <w:b/>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character" w:customStyle="1" w:styleId="22">
    <w:name w:val="标题 1 Char"/>
    <w:basedOn w:val="19"/>
    <w:link w:val="3"/>
    <w:qFormat/>
    <w:uiPriority w:val="9"/>
    <w:rPr>
      <w:rFonts w:ascii="Times New Roman" w:hAnsi="Times New Roman"/>
      <w:b/>
      <w:bCs/>
      <w:kern w:val="44"/>
      <w:sz w:val="44"/>
      <w:szCs w:val="44"/>
    </w:rPr>
  </w:style>
  <w:style w:type="character" w:customStyle="1" w:styleId="23">
    <w:name w:val="标题 2 Char"/>
    <w:basedOn w:val="19"/>
    <w:link w:val="4"/>
    <w:qFormat/>
    <w:uiPriority w:val="9"/>
    <w:rPr>
      <w:rFonts w:asciiTheme="majorHAnsi" w:hAnsiTheme="majorHAnsi" w:eastAsiaTheme="majorEastAsia" w:cstheme="majorBidi"/>
      <w:b/>
      <w:bCs/>
      <w:kern w:val="2"/>
      <w:sz w:val="32"/>
      <w:szCs w:val="32"/>
    </w:rPr>
  </w:style>
  <w:style w:type="character" w:customStyle="1" w:styleId="24">
    <w:name w:val="标题 3 Char"/>
    <w:basedOn w:val="19"/>
    <w:link w:val="5"/>
    <w:qFormat/>
    <w:uiPriority w:val="9"/>
    <w:rPr>
      <w:rFonts w:ascii="Times New Roman" w:hAnsi="Times New Roman"/>
      <w:b/>
      <w:bCs/>
      <w:kern w:val="2"/>
      <w:sz w:val="32"/>
      <w:szCs w:val="32"/>
    </w:rPr>
  </w:style>
  <w:style w:type="paragraph" w:customStyle="1" w:styleId="25">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6">
    <w:name w:val="Header Char"/>
    <w:basedOn w:val="19"/>
    <w:semiHidden/>
    <w:qFormat/>
    <w:uiPriority w:val="99"/>
    <w:rPr>
      <w:rFonts w:ascii="Times New Roman" w:hAnsi="Times New Roman"/>
      <w:sz w:val="18"/>
      <w:szCs w:val="18"/>
    </w:rPr>
  </w:style>
  <w:style w:type="character" w:customStyle="1" w:styleId="27">
    <w:name w:val="页眉 Char"/>
    <w:link w:val="13"/>
    <w:semiHidden/>
    <w:qFormat/>
    <w:locked/>
    <w:uiPriority w:val="99"/>
    <w:rPr>
      <w:sz w:val="18"/>
    </w:rPr>
  </w:style>
  <w:style w:type="character" w:customStyle="1" w:styleId="28">
    <w:name w:val="Footer Char"/>
    <w:basedOn w:val="19"/>
    <w:semiHidden/>
    <w:qFormat/>
    <w:uiPriority w:val="99"/>
    <w:rPr>
      <w:rFonts w:ascii="Times New Roman" w:hAnsi="Times New Roman"/>
      <w:sz w:val="18"/>
      <w:szCs w:val="18"/>
    </w:rPr>
  </w:style>
  <w:style w:type="character" w:customStyle="1" w:styleId="29">
    <w:name w:val="页脚 Char"/>
    <w:link w:val="12"/>
    <w:qFormat/>
    <w:locked/>
    <w:uiPriority w:val="99"/>
    <w:rPr>
      <w:sz w:val="18"/>
    </w:rPr>
  </w:style>
  <w:style w:type="character" w:customStyle="1" w:styleId="30">
    <w:name w:val="Body Text Char"/>
    <w:basedOn w:val="19"/>
    <w:semiHidden/>
    <w:qFormat/>
    <w:uiPriority w:val="99"/>
    <w:rPr>
      <w:rFonts w:ascii="Times New Roman" w:hAnsi="Times New Roman"/>
      <w:szCs w:val="24"/>
    </w:rPr>
  </w:style>
  <w:style w:type="character" w:customStyle="1" w:styleId="31">
    <w:name w:val="正文文本 Char"/>
    <w:link w:val="2"/>
    <w:qFormat/>
    <w:locked/>
    <w:uiPriority w:val="99"/>
    <w:rPr>
      <w:rFonts w:ascii="仿宋_GB2312" w:hAnsi="Times New Roman" w:eastAsia="仿宋_GB2312"/>
      <w:sz w:val="24"/>
    </w:rPr>
  </w:style>
  <w:style w:type="paragraph" w:customStyle="1" w:styleId="32">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3">
    <w:name w:val="List Paragraph"/>
    <w:basedOn w:val="1"/>
    <w:qFormat/>
    <w:uiPriority w:val="34"/>
    <w:pPr>
      <w:ind w:firstLine="420" w:firstLineChars="200"/>
    </w:pPr>
  </w:style>
  <w:style w:type="paragraph" w:customStyle="1" w:styleId="34">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批注框文本 Char"/>
    <w:basedOn w:val="19"/>
    <w:link w:val="11"/>
    <w:semiHidden/>
    <w:qFormat/>
    <w:uiPriority w:val="99"/>
    <w:rPr>
      <w:rFonts w:ascii="Times New Roman" w:hAnsi="Times New Roman"/>
      <w:kern w:val="2"/>
      <w:sz w:val="18"/>
      <w:szCs w:val="18"/>
    </w:rPr>
  </w:style>
  <w:style w:type="paragraph" w:customStyle="1" w:styleId="36">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7">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chart" Target="charts/chart7.xml"/><Relationship Id="rId2" Type="http://schemas.openxmlformats.org/officeDocument/2006/relationships/settings" Target="settings.xml"/><Relationship Id="rId19" Type="http://schemas.openxmlformats.org/officeDocument/2006/relationships/chart" Target="charts/chart6.xml"/><Relationship Id="rId18" Type="http://schemas.openxmlformats.org/officeDocument/2006/relationships/chart" Target="charts/chart5.xml"/><Relationship Id="rId17" Type="http://schemas.openxmlformats.org/officeDocument/2006/relationships/chart" Target="charts/chart4.xml"/><Relationship Id="rId16" Type="http://schemas.openxmlformats.org/officeDocument/2006/relationships/chart" Target="charts/chart3.xml"/><Relationship Id="rId15" Type="http://schemas.openxmlformats.org/officeDocument/2006/relationships/chart" Target="charts/chart2.xml"/><Relationship Id="rId14" Type="http://schemas.openxmlformats.org/officeDocument/2006/relationships/chart" Target="charts/chart1.xml"/><Relationship Id="rId13" Type="http://schemas.openxmlformats.org/officeDocument/2006/relationships/theme" Target="theme/theme1.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5.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6.xml.rels><?xml version="1.0" encoding="UTF-8" standalone="yes"?>
<Relationships xmlns="http://schemas.openxmlformats.org/package/2006/relationships"><Relationship Id="rId4" Type="http://schemas.microsoft.com/office/2011/relationships/chartColorStyle" Target="colors5.xml"/><Relationship Id="rId3" Type="http://schemas.microsoft.com/office/2011/relationships/chartStyle" Target="style5.xml"/><Relationship Id="rId2" Type="http://schemas.openxmlformats.org/officeDocument/2006/relationships/themeOverride" Target="../theme/themeOverride1.xml"/><Relationship Id="rId1" Type="http://schemas.openxmlformats.org/officeDocument/2006/relationships/package" Target="../embeddings/Workbook5.xlsx"/></Relationships>
</file>

<file path=word/charts/_rels/chart7.xml.rels><?xml version="1.0" encoding="UTF-8" standalone="yes"?>
<Relationships xmlns="http://schemas.openxmlformats.org/package/2006/relationships"><Relationship Id="rId1" Type="http://schemas.openxmlformats.org/officeDocument/2006/relationships/oleObject" Target="file:///H:\2023&#20915;&#31639;&#25968;&#25454;\&#20915;&#31639;&#20844;&#24320;&#25554;&#22270;&#21046;&#20316;&#31034;&#2036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111452041555931"/>
          <c:y val="0.0842581175503494"/>
          <c:w val="0.839019086735927"/>
          <c:h val="0.791122071516646"/>
        </c:manualLayout>
      </c:layout>
      <c:barChart>
        <c:barDir val="col"/>
        <c:grouping val="clustered"/>
        <c:varyColors val="false"/>
        <c:ser>
          <c:idx val="0"/>
          <c:order val="0"/>
          <c:tx>
            <c:strRef>
              <c:f>Sheet1!$B$1</c:f>
              <c:strCache>
                <c:ptCount val="1"/>
                <c:pt idx="0">
                  <c:v>单位：万元</c:v>
                </c:pt>
              </c:strCache>
            </c:strRef>
          </c:tx>
          <c:spPr>
            <a:solidFill>
              <a:schemeClr val="accent1"/>
            </a:solidFill>
            <a:ln>
              <a:noFill/>
            </a:ln>
            <a:effectLst/>
          </c:spPr>
          <c:invertIfNegative val="false"/>
          <c:dLbls>
            <c:numFmt formatCode="General" sourceLinked="tru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2023年</c:v>
                </c:pt>
                <c:pt idx="1">
                  <c:v>2024年</c:v>
                </c:pt>
              </c:strCache>
            </c:strRef>
          </c:cat>
          <c:val>
            <c:numRef>
              <c:f>Sheet1!$B$2:$B$3</c:f>
              <c:numCache>
                <c:formatCode>#,##0.00</c:formatCode>
                <c:ptCount val="2"/>
                <c:pt idx="0">
                  <c:v>12431.41</c:v>
                </c:pt>
                <c:pt idx="1">
                  <c:v>13853.97</c:v>
                </c:pt>
              </c:numCache>
            </c:numRef>
          </c:val>
        </c:ser>
        <c:dLbls>
          <c:showLegendKey val="false"/>
          <c:showVal val="true"/>
          <c:showCatName val="false"/>
          <c:showSerName val="false"/>
          <c:showPercent val="false"/>
          <c:showBubbleSize val="false"/>
        </c:dLbls>
        <c:gapWidth val="246"/>
        <c:overlap val="-28"/>
        <c:axId val="984578035"/>
        <c:axId val="419186197"/>
      </c:barChart>
      <c:catAx>
        <c:axId val="984578035"/>
        <c:scaling>
          <c:orientation val="minMax"/>
        </c:scaling>
        <c:delete val="false"/>
        <c:axPos val="b"/>
        <c:numFmt formatCode="General" sourceLinked="true"/>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19186197"/>
        <c:crosses val="autoZero"/>
        <c:auto val="true"/>
        <c:lblAlgn val="ctr"/>
        <c:lblOffset val="100"/>
        <c:noMultiLvlLbl val="false"/>
      </c:catAx>
      <c:valAx>
        <c:axId val="419186197"/>
        <c:scaling>
          <c:orientation val="minMax"/>
        </c:scaling>
        <c:delete val="false"/>
        <c:axPos val="l"/>
        <c:majorGridlines>
          <c:spPr>
            <a:ln w="9525" cap="flat" cmpd="sng" algn="ctr">
              <a:solidFill>
                <a:schemeClr val="lt1">
                  <a:lumMod val="90200"/>
                </a:schemeClr>
              </a:solidFill>
              <a:round/>
            </a:ln>
            <a:effectLst/>
          </c:spPr>
        </c:majorGridlines>
        <c:numFmt formatCode="#,##0.00" sourceLinked="true"/>
        <c:majorTickMark val="out"/>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84578035"/>
        <c:crosses val="autoZero"/>
        <c:crossBetween val="between"/>
      </c:valAx>
      <c:dTable>
        <c:showHorzBorder val="true"/>
        <c:showVertBorder val="true"/>
        <c:showOutline val="true"/>
        <c:showKeys val="true"/>
        <c:spPr>
          <a:noFill/>
          <a:ln w="9525" cap="flat" cmpd="sng" algn="ctr">
            <a:solidFill>
              <a:schemeClr val="tx1">
                <a:lumMod val="15000"/>
                <a:lumOff val="85000"/>
              </a:schemeClr>
            </a:solidFill>
            <a:round/>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tx1">
                  <a:lumMod val="75000"/>
                  <a:lumOff val="25000"/>
                </a:schemeClr>
              </a:solidFill>
              <a:latin typeface="+mn-lt"/>
              <a:ea typeface="+mn-ea"/>
              <a:cs typeface="+mn-cs"/>
            </a:defRPr>
          </a:pPr>
        </a:p>
      </c:txPr>
    </c:title>
    <c:autoTitleDeleted val="false"/>
    <c:plotArea>
      <c:layout/>
      <c:pieChart>
        <c:varyColors val="true"/>
        <c:ser>
          <c:idx val="1"/>
          <c:order val="0"/>
          <c:tx>
            <c:strRef>
              <c:extLst>
                <c:ext xmlns:c15="http://schemas.microsoft.com/office/drawing/2012/chart" uri="{02D57815-91ED-43cb-92C2-25804820EDAC}">
                  <c15:fullRef>
                    <c15:sqref>Sheet1!$B$1</c15:sqref>
                  </c15:fullRef>
                  <c15:levelRef>
                    <c15:sqref>Sheet1!$B$1</c15:sqref>
                  </c15:levelRef>
                </c:ext>
              </c:extLst>
              <c:f>Sheet1!$B$1</c:f>
              <c:strCache>
                <c:ptCount val="1"/>
                <c:pt idx="0">
                  <c:v>金额</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Lbls>
            <c:delete val="true"/>
          </c:dLbls>
          <c:cat>
            <c:strRef>
              <c:f>Sheet1!$A$2:$A$4</c:f>
              <c:strCache>
                <c:ptCount val="3"/>
                <c:pt idx="0">
                  <c:v>一般公共预算财政拨款收入</c:v>
                </c:pt>
                <c:pt idx="1">
                  <c:v>事业收入</c:v>
                </c:pt>
                <c:pt idx="2">
                  <c:v>其他收入</c:v>
                </c:pt>
              </c:strCache>
            </c:strRef>
          </c:cat>
          <c:val>
            <c:numRef>
              <c:f>Sheet1!$B$2:$B$4</c:f>
              <c:numCache>
                <c:formatCode>General</c:formatCode>
                <c:ptCount val="3"/>
                <c:pt idx="0">
                  <c:v>12381.13</c:v>
                </c:pt>
                <c:pt idx="1">
                  <c:v>699.71</c:v>
                </c:pt>
                <c:pt idx="2">
                  <c:v>24.87</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r"/>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金额</c:v>
                </c:pt>
              </c:strCache>
            </c:strRef>
          </c:tx>
          <c:spPr/>
          <c:explosion val="0"/>
          <c:dPt>
            <c:idx val="0"/>
            <c:bubble3D val="false"/>
            <c:spPr>
              <a:solidFill>
                <a:schemeClr val="accent6"/>
              </a:solidFill>
              <a:ln>
                <a:solidFill>
                  <a:schemeClr val="bg1"/>
                </a:solidFill>
              </a:ln>
              <a:effectLst/>
            </c:spPr>
          </c:dPt>
          <c:dPt>
            <c:idx val="1"/>
            <c:bubble3D val="false"/>
            <c:spPr>
              <a:solidFill>
                <a:schemeClr val="accent5"/>
              </a:solidFill>
              <a:ln>
                <a:solidFill>
                  <a:schemeClr val="bg1"/>
                </a:solidFill>
              </a:ln>
              <a:effectLst/>
            </c:spPr>
          </c:dPt>
          <c:dLbls>
            <c:dLbl>
              <c:idx val="0"/>
              <c:layout/>
              <c:numFmt formatCode="General" sourceLinked="true"/>
              <c:spPr>
                <a:solidFill>
                  <a:sysClr val="window" lastClr="FFFFFF"/>
                </a:solidFill>
                <a:ln>
                  <a:solidFill>
                    <a:sysClr val="windowText" lastClr="000000">
                      <a:lumMod val="25000"/>
                      <a:lumOff val="75000"/>
                    </a:sysClr>
                  </a:solidFill>
                </a:ln>
                <a:effectLst/>
              </c:spPr>
              <c:txPr>
                <a:bodyPr rot="0" spcFirstLastPara="0" vertOverflow="ellipsis" vert="horz" wrap="square" lIns="38100" tIns="19050" rIns="38100" bIns="19050" anchor="ctr" anchorCtr="true"/>
                <a:lstStyle/>
                <a:p>
                  <a:pPr>
                    <a:defRPr lang="zh-CN" sz="1000" b="1" i="0" u="none" strike="noStrike" kern="1200" spc="0" baseline="0">
                      <a:solidFill>
                        <a:schemeClr val="accent6"/>
                      </a:solidFill>
                      <a:latin typeface="+mn-lt"/>
                      <a:ea typeface="+mn-ea"/>
                      <a:cs typeface="+mn-cs"/>
                    </a:defRPr>
                  </a:pPr>
                </a:p>
              </c:txPr>
              <c:dLblPos val="outEnd"/>
              <c:showLegendKey val="false"/>
              <c:showVal val="true"/>
              <c:showCatName val="true"/>
              <c:showSerName val="false"/>
              <c:showPercent val="false"/>
              <c:showBubbleSize val="false"/>
              <c:separator>
</c:separator>
              <c:extLst>
                <c:ext xmlns:c15="http://schemas.microsoft.com/office/drawing/2012/chart" uri="{CE6537A1-D6FC-4f65-9D91-7224C49458BB}"/>
              </c:extLst>
            </c:dLbl>
            <c:dLbl>
              <c:idx val="1"/>
              <c:layout/>
              <c:numFmt formatCode="General" sourceLinked="true"/>
              <c:spPr>
                <a:solidFill>
                  <a:sysClr val="window" lastClr="FFFFFF"/>
                </a:solidFill>
                <a:ln>
                  <a:solidFill>
                    <a:sysClr val="windowText" lastClr="000000">
                      <a:lumMod val="25000"/>
                      <a:lumOff val="75000"/>
                    </a:sysClr>
                  </a:solidFill>
                </a:ln>
                <a:effectLst/>
              </c:spPr>
              <c:txPr>
                <a:bodyPr rot="0" spcFirstLastPara="0" vertOverflow="ellipsis" vert="horz" wrap="square" lIns="38100" tIns="19050" rIns="38100" bIns="19050" anchor="ctr" anchorCtr="true"/>
                <a:lstStyle/>
                <a:p>
                  <a:pPr>
                    <a:defRPr lang="zh-CN" sz="1000" b="1" i="0" u="none" strike="noStrike" kern="1200" spc="0" baseline="0">
                      <a:solidFill>
                        <a:schemeClr val="accent5"/>
                      </a:solidFill>
                      <a:latin typeface="+mn-lt"/>
                      <a:ea typeface="+mn-ea"/>
                      <a:cs typeface="+mn-cs"/>
                    </a:defRPr>
                  </a:pPr>
                </a:p>
              </c:txPr>
              <c:dLblPos val="outEnd"/>
              <c:showLegendKey val="false"/>
              <c:showVal val="true"/>
              <c:showCatName val="true"/>
              <c:showSerName val="false"/>
              <c:showPercent val="false"/>
              <c:showBubbleSize val="false"/>
              <c:separator>
</c:separator>
              <c:extLst>
                <c:ext xmlns:c15="http://schemas.microsoft.com/office/drawing/2012/chart" uri="{CE6537A1-D6FC-4f65-9D91-7224C49458BB}"/>
              </c:extLst>
            </c:dLbl>
            <c:numFmt formatCode="General" sourceLinked="true"/>
            <c:spPr>
              <a:solidFill>
                <a:sysClr val="window" lastClr="FFFFFF"/>
              </a:solidFill>
              <a:ln>
                <a:solidFill>
                  <a:sysClr val="windowText" lastClr="000000">
                    <a:lumMod val="25000"/>
                    <a:lumOff val="75000"/>
                  </a:sysClr>
                </a:solidFill>
              </a:ln>
              <a:effectLst/>
            </c:spPr>
            <c:txPr>
              <a:bodyPr rot="0" spcFirstLastPara="0" vertOverflow="ellipsis" vert="horz" wrap="square" lIns="38100" tIns="19050" rIns="38100" bIns="19050" anchor="ctr" anchorCtr="true"/>
              <a:lstStyle/>
              <a:p>
                <a:pPr>
                  <a:defRPr lang="zh-CN" sz="1000" b="1" i="0" u="none" strike="noStrike" kern="1200" spc="0" baseline="0">
                    <a:solidFill>
                      <a:schemeClr val="accent6"/>
                    </a:solidFill>
                    <a:latin typeface="+mn-lt"/>
                    <a:ea typeface="+mn-ea"/>
                    <a:cs typeface="+mn-cs"/>
                  </a:defRPr>
                </a:pPr>
              </a:p>
            </c:txPr>
            <c:dLblPos val="outEnd"/>
            <c:showLegendKey val="false"/>
            <c:showVal val="true"/>
            <c:showCatName val="true"/>
            <c:showSerName val="false"/>
            <c:showPercent val="false"/>
            <c:showBubbleSize val="false"/>
            <c:separator>
</c:separator>
            <c:showLeaderLines val="true"/>
            <c:extLst>
              <c:ext xmlns:c15="http://schemas.microsoft.com/office/drawing/2012/chart" uri="{CE6537A1-D6FC-4f65-9D91-7224C49458BB}">
                <c15:spPr xmlns:c15="http://schemas.microsoft.com/office/drawing/2012/chart">
                  <a:prstGeom prst="roundRect">
                    <a:avLst/>
                  </a:prstGeom>
                  <a:noFill/>
                  <a:ln>
                    <a:noFill/>
                  </a:ln>
                </c15:spPr>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0.7156</c:v>
                </c:pt>
                <c:pt idx="1">
                  <c:v>0.2843</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单位：万元</c:v>
                </c:pt>
              </c:strCache>
            </c:strRef>
          </c:tx>
          <c:spPr>
            <a:solidFill>
              <a:schemeClr val="accent1"/>
            </a:solidFill>
            <a:ln>
              <a:noFill/>
            </a:ln>
            <a:effectLst/>
          </c:spPr>
          <c:invertIfNegative val="false"/>
          <c:dLbls>
            <c:numFmt formatCode="General" sourceLinked="tru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2023年</c:v>
                </c:pt>
                <c:pt idx="1">
                  <c:v>2024年</c:v>
                </c:pt>
              </c:strCache>
            </c:strRef>
          </c:cat>
          <c:val>
            <c:numRef>
              <c:f>Sheet1!$B$2:$B$3</c:f>
              <c:numCache>
                <c:formatCode>_ * #,##0.00_ ;_ * \-#,##0.00_ ;_ * "-"??_ ;_ @_ </c:formatCode>
                <c:ptCount val="2"/>
                <c:pt idx="0">
                  <c:v>11612.41</c:v>
                </c:pt>
                <c:pt idx="1">
                  <c:v>13129.39</c:v>
                </c:pt>
              </c:numCache>
            </c:numRef>
          </c:val>
        </c:ser>
        <c:dLbls>
          <c:showLegendKey val="false"/>
          <c:showVal val="true"/>
          <c:showCatName val="false"/>
          <c:showSerName val="false"/>
          <c:showPercent val="false"/>
          <c:showBubbleSize val="false"/>
        </c:dLbls>
        <c:gapWidth val="246"/>
        <c:overlap val="-28"/>
        <c:axId val="771754073"/>
        <c:axId val="943895761"/>
      </c:barChart>
      <c:catAx>
        <c:axId val="771754073"/>
        <c:scaling>
          <c:orientation val="minMax"/>
        </c:scaling>
        <c:delete val="false"/>
        <c:axPos val="b"/>
        <c:numFmt formatCode="General" sourceLinked="true"/>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43895761"/>
        <c:crosses val="autoZero"/>
        <c:auto val="true"/>
        <c:lblAlgn val="ctr"/>
        <c:lblOffset val="100"/>
        <c:noMultiLvlLbl val="false"/>
      </c:catAx>
      <c:valAx>
        <c:axId val="943895761"/>
        <c:scaling>
          <c:orientation val="minMax"/>
        </c:scaling>
        <c:delete val="false"/>
        <c:axPos val="l"/>
        <c:majorGridlines>
          <c:spPr>
            <a:ln w="9525" cap="flat" cmpd="sng" algn="ctr">
              <a:solidFill>
                <a:schemeClr val="lt1">
                  <a:lumMod val="90200"/>
                </a:schemeClr>
              </a:solidFill>
              <a:round/>
            </a:ln>
            <a:effectLst/>
          </c:spPr>
        </c:majorGridlines>
        <c:numFmt formatCode="_ * #,##0.00_ ;_ * \-#,##0.00_ ;_ * &quot;-&quot;??_ ;_ @_ " sourceLinked="false"/>
        <c:majorTickMark val="out"/>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71754073"/>
        <c:crosses val="autoZero"/>
        <c:crossBetween val="between"/>
      </c:valAx>
      <c:dTable>
        <c:showHorzBorder val="true"/>
        <c:showVertBorder val="true"/>
        <c:showOutline val="true"/>
        <c:showKeys val="true"/>
        <c:spPr>
          <a:noFill/>
          <a:ln w="9525" cap="flat" cmpd="sng" algn="ctr">
            <a:solidFill>
              <a:schemeClr val="tx1">
                <a:lumMod val="15000"/>
                <a:lumOff val="85000"/>
              </a:schemeClr>
            </a:solidFill>
            <a:round/>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193246822033898"/>
          <c:y val="0.0551102204408818"/>
          <c:w val="0.776165254237288"/>
          <c:h val="0.745390781563126"/>
        </c:manualLayout>
      </c:layout>
      <c:barChart>
        <c:barDir val="col"/>
        <c:grouping val="clustered"/>
        <c:varyColors val="false"/>
        <c:ser>
          <c:idx val="0"/>
          <c:order val="0"/>
          <c:tx>
            <c:strRef>
              <c:f>Sheet1!$B$1</c:f>
              <c:strCache>
                <c:ptCount val="1"/>
                <c:pt idx="0">
                  <c:v>单位：万元</c:v>
                </c:pt>
              </c:strCache>
            </c:strRef>
          </c:tx>
          <c:spPr>
            <a:solidFill>
              <a:schemeClr val="accent1"/>
            </a:solidFill>
            <a:ln>
              <a:noFill/>
            </a:ln>
            <a:effectLst/>
          </c:spPr>
          <c:invertIfNegative val="false"/>
          <c:dLbls>
            <c:numFmt formatCode="General" sourceLinked="tru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2023年</c:v>
                </c:pt>
                <c:pt idx="1">
                  <c:v>2024年</c:v>
                </c:pt>
              </c:strCache>
            </c:strRef>
          </c:cat>
          <c:val>
            <c:numRef>
              <c:f>Sheet1!$B$2:$B$3</c:f>
              <c:numCache>
                <c:formatCode>#,##0.00</c:formatCode>
                <c:ptCount val="2"/>
                <c:pt idx="0">
                  <c:v>10864.15</c:v>
                </c:pt>
                <c:pt idx="1">
                  <c:v>13129.39</c:v>
                </c:pt>
              </c:numCache>
            </c:numRef>
          </c:val>
        </c:ser>
        <c:dLbls>
          <c:showLegendKey val="false"/>
          <c:showVal val="true"/>
          <c:showCatName val="false"/>
          <c:showSerName val="false"/>
          <c:showPercent val="false"/>
          <c:showBubbleSize val="false"/>
        </c:dLbls>
        <c:gapWidth val="216"/>
        <c:overlap val="-32"/>
        <c:axId val="298606846"/>
        <c:axId val="830287626"/>
      </c:barChart>
      <c:catAx>
        <c:axId val="298606846"/>
        <c:scaling>
          <c:orientation val="minMax"/>
        </c:scaling>
        <c:delete val="false"/>
        <c:axPos val="b"/>
        <c:numFmt formatCode="General" sourceLinked="true"/>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830287626"/>
        <c:crosses val="autoZero"/>
        <c:auto val="true"/>
        <c:lblAlgn val="ctr"/>
        <c:lblOffset val="100"/>
        <c:noMultiLvlLbl val="false"/>
      </c:catAx>
      <c:valAx>
        <c:axId val="830287626"/>
        <c:scaling>
          <c:orientation val="minMax"/>
        </c:scaling>
        <c:delete val="false"/>
        <c:axPos val="l"/>
        <c:majorGridlines>
          <c:spPr>
            <a:ln w="9525" cap="flat" cmpd="sng" algn="ctr">
              <a:solidFill>
                <a:schemeClr val="lt1">
                  <a:lumMod val="90200"/>
                </a:schemeClr>
              </a:solidFill>
              <a:round/>
            </a:ln>
            <a:effectLst/>
          </c:spPr>
        </c:majorGridlines>
        <c:numFmt formatCode="#,##0.00" sourceLinked="true"/>
        <c:majorTickMark val="out"/>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98606846"/>
        <c:crosses val="autoZero"/>
        <c:crossBetween val="between"/>
      </c:valAx>
      <c:dTable>
        <c:showHorzBorder val="true"/>
        <c:showVertBorder val="true"/>
        <c:showOutline val="true"/>
        <c:showKeys val="true"/>
        <c:spPr>
          <a:noFill/>
          <a:ln w="9525" cap="flat" cmpd="sng" algn="ctr">
            <a:solidFill>
              <a:schemeClr val="tx1">
                <a:lumMod val="15000"/>
                <a:lumOff val="85000"/>
              </a:schemeClr>
            </a:solidFill>
            <a:round/>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true"/>
    <c:plotArea>
      <c:layout/>
      <c:pieChart>
        <c:varyColors val="true"/>
        <c:ser>
          <c:idx val="1"/>
          <c:order val="0"/>
          <c:tx>
            <c:strRef>
              <c:f>Sheet1!$B$1</c:f>
              <c:strCache>
                <c:ptCount val="1"/>
                <c:pt idx="0">
                  <c:v>金额</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Pt>
            <c:idx val="4"/>
            <c:bubble3D val="false"/>
            <c:spPr>
              <a:solidFill>
                <a:schemeClr val="accent5"/>
              </a:solidFill>
              <a:ln>
                <a:solidFill>
                  <a:schemeClr val="bg1"/>
                </a:solidFill>
              </a:ln>
              <a:effectLst/>
            </c:spPr>
          </c:dPt>
          <c:dLbls>
            <c:dLbl>
              <c:idx val="0"/>
              <c:layout>
                <c:manualLayout>
                  <c:x val="-0.546525675908134"/>
                  <c:y val="-0.155913410887223"/>
                </c:manualLayout>
              </c:layout>
              <c:dLblPos val="bestFit"/>
              <c:showLegendKey val="false"/>
              <c:showVal val="false"/>
              <c:showCatName val="true"/>
              <c:showSerName val="false"/>
              <c:showPercent val="true"/>
              <c:showBubbleSize val="false"/>
              <c:separator>
</c:separator>
              <c:extLst>
                <c:ext xmlns:c15="http://schemas.microsoft.com/office/drawing/2012/chart" uri="{CE6537A1-D6FC-4f65-9D91-7224C49458BB}">
                  <c15:layout/>
                </c:ext>
              </c:extLst>
            </c:dLbl>
            <c:dLbl>
              <c:idx val="1"/>
              <c:layout>
                <c:manualLayout>
                  <c:x val="0"/>
                  <c:y val="0.360244550647094"/>
                </c:manualLayout>
              </c:layout>
              <c:dLblPos val="bestFit"/>
              <c:showLegendKey val="false"/>
              <c:showVal val="false"/>
              <c:showCatName val="true"/>
              <c:showSerName val="false"/>
              <c:showPercent val="true"/>
              <c:showBubbleSize val="false"/>
              <c:separator>
</c:separator>
              <c:extLst>
                <c:ext xmlns:c15="http://schemas.microsoft.com/office/drawing/2012/chart" uri="{CE6537A1-D6FC-4f65-9D91-7224C49458BB}">
                  <c15:layout/>
                </c:ext>
              </c:extLst>
            </c:dLbl>
            <c:dLbl>
              <c:idx val="2"/>
              <c:layout>
                <c:manualLayout>
                  <c:x val="-0.0647059236497049"/>
                  <c:y val="0.0425828962985448"/>
                </c:manualLayout>
              </c:layout>
              <c:dLblPos val="bestFit"/>
              <c:showLegendKey val="false"/>
              <c:showVal val="false"/>
              <c:showCatName val="true"/>
              <c:showSerName val="false"/>
              <c:showPercent val="true"/>
              <c:showBubbleSize val="false"/>
              <c:separator>
</c:separator>
              <c:extLst>
                <c:ext xmlns:c15="http://schemas.microsoft.com/office/drawing/2012/chart" uri="{CE6537A1-D6FC-4f65-9D91-7224C49458BB}">
                  <c15:layout/>
                </c:ext>
              </c:extLst>
            </c:dLbl>
            <c:dLbl>
              <c:idx val="3"/>
              <c:layout>
                <c:manualLayout>
                  <c:x val="-0.127510331506309"/>
                  <c:y val="0.310255083727143"/>
                </c:manualLayout>
              </c:layout>
              <c:dLblPos val="bestFit"/>
              <c:showLegendKey val="false"/>
              <c:showVal val="false"/>
              <c:showCatName val="true"/>
              <c:showSerName val="false"/>
              <c:showPercent val="true"/>
              <c:showBubbleSize val="false"/>
              <c:separator>
</c:separator>
              <c:extLst>
                <c:ext xmlns:c15="http://schemas.microsoft.com/office/drawing/2012/chart" uri="{CE6537A1-D6FC-4f65-9D91-7224C49458BB}">
                  <c15:layout/>
                </c:ext>
              </c:extLst>
            </c:dLbl>
            <c:dLbl>
              <c:idx val="4"/>
              <c:layout>
                <c:manualLayout>
                  <c:x val="-0.227136716654117"/>
                  <c:y val="0.178231032189708"/>
                </c:manualLayout>
              </c:layout>
              <c:dLblPos val="bestFit"/>
              <c:showLegendKey val="false"/>
              <c:showVal val="false"/>
              <c:showCatName val="true"/>
              <c:showSerName val="false"/>
              <c:showPercent val="true"/>
              <c:showBubbleSize val="false"/>
              <c:separator>
</c:separator>
              <c:extLst>
                <c:ext xmlns:c15="http://schemas.microsoft.com/office/drawing/2012/chart" uri="{CE6537A1-D6FC-4f65-9D91-7224C49458BB}">
                  <c15:layout/>
                </c:ext>
              </c:extLst>
            </c:dLbl>
            <c:numFmt formatCode="0.00%" sourceLinked="false"/>
            <c:spPr>
              <a:noFill/>
              <a:ln>
                <a:noFill/>
              </a:ln>
              <a:effectLst/>
            </c:spPr>
            <c:txPr>
              <a:bodyPr rot="0" spcFirstLastPara="0" vertOverflow="ellipsis" vert="horz" wrap="square" lIns="38100" tIns="19050" rIns="38100" bIns="19050" anchor="ctr" anchorCtr="true" forceAA="false"/>
              <a:lstStyle/>
              <a:p>
                <a:pPr>
                  <a:defRPr lang="zh-CN" sz="10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inEnd"/>
            <c:showLegendKey val="false"/>
            <c:showVal val="false"/>
            <c:showCatName val="tru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Sheet1!$A$2:$A$6</c:f>
              <c:strCache>
                <c:ptCount val="5"/>
                <c:pt idx="0">
                  <c:v>教育支出</c:v>
                </c:pt>
                <c:pt idx="1">
                  <c:v>社会保障和就业支出</c:v>
                </c:pt>
                <c:pt idx="2">
                  <c:v>卫生健康支出</c:v>
                </c:pt>
                <c:pt idx="3">
                  <c:v>节能环保支出</c:v>
                </c:pt>
                <c:pt idx="4">
                  <c:v>住房保障支出</c:v>
                </c:pt>
              </c:strCache>
            </c:strRef>
          </c:cat>
          <c:val>
            <c:numRef>
              <c:f>Sheet1!$B$2:$B$6</c:f>
              <c:numCache>
                <c:formatCode>General</c:formatCode>
                <c:ptCount val="5"/>
                <c:pt idx="0">
                  <c:v>10401.2</c:v>
                </c:pt>
                <c:pt idx="1">
                  <c:v>1140.39</c:v>
                </c:pt>
                <c:pt idx="2">
                  <c:v>276.93</c:v>
                </c:pt>
                <c:pt idx="3">
                  <c:v>662.18</c:v>
                </c:pt>
                <c:pt idx="4">
                  <c:v>648.69</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r"/>
      <c:layout/>
      <c:overlay val="false"/>
      <c:spPr>
        <a:noFill/>
        <a:ln>
          <a:noFill/>
        </a:ln>
        <a:effectLst/>
      </c:spPr>
      <c:txPr>
        <a:bodyPr rot="0" spcFirstLastPara="0" vertOverflow="ellipsis" vert="horz" wrap="square" anchor="ctr" anchorCtr="true" forceAA="false"/>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
    <c:plotVisOnly val="true"/>
    <c:dispBlanksAs val="gap"/>
    <c:showDLblsOverMax val="false"/>
  </c:chart>
  <c:spPr>
    <a:solidFill>
      <a:schemeClr val="bg1"/>
    </a:solidFill>
    <a:ln w="9525" cap="flat" cmpd="sng" algn="ctr">
      <a:solidFill>
        <a:schemeClr val="tx1">
          <a:lumMod val="50000"/>
          <a:lumOff val="50000"/>
          <a:alpha val="25000"/>
        </a:schemeClr>
      </a:solidFill>
      <a:round/>
    </a:ln>
    <a:effectLst/>
  </c:spPr>
  <c:txPr>
    <a:bodyPr/>
    <a:lstStyle/>
    <a:p>
      <a:pPr>
        <a:defRPr lang="zh-CN">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158639057645399"/>
          <c:y val="0.460640607056323"/>
          <c:w val="0.346587949296753"/>
          <c:h val="0.529162248144221"/>
        </c:manualLayout>
      </c:layout>
      <c:pieChart>
        <c:varyColors val="true"/>
        <c:ser>
          <c:idx val="0"/>
          <c:order val="0"/>
          <c:explosion val="0"/>
          <c:dPt>
            <c:idx val="0"/>
            <c:bubble3D val="false"/>
          </c:dPt>
          <c:dPt>
            <c:idx val="1"/>
            <c:bubble3D val="false"/>
          </c:dPt>
          <c:dPt>
            <c:idx val="2"/>
            <c:bubble3D val="false"/>
          </c:dPt>
          <c:dLbls>
            <c:dLbl>
              <c:idx val="0"/>
              <c:layout>
                <c:manualLayout>
                  <c:x val="-0.0677309711286089"/>
                  <c:y val="-0.0625896762904637"/>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112130139982502"/>
                  <c:y val="-0.0498581948089822"/>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2"/>
              <c:layout>
                <c:manualLayout>
                  <c:x val="0.179491251093613"/>
                  <c:y val="0.0549697433654127"/>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rgbClr val="000000"/>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ext>
            </c:extLst>
          </c:dLbls>
          <c:cat>
            <c:strRef>
              <c:f>[决算公开插图制作示例.xlsx]图7!$A$2:$A$4</c:f>
              <c:strCache>
                <c:ptCount val="3"/>
                <c:pt idx="0">
                  <c:v>因公出国（境）费支出</c:v>
                </c:pt>
                <c:pt idx="1">
                  <c:v>公务用车购置及运行维护费支出</c:v>
                </c:pt>
                <c:pt idx="2">
                  <c:v>公务接待费支出</c:v>
                </c:pt>
              </c:strCache>
            </c:strRef>
          </c:cat>
          <c:val>
            <c:numRef>
              <c:f>[决算公开插图制作示例.xlsx]图7!$B$2:$B$4</c:f>
              <c:numCache>
                <c:formatCode>General</c:formatCode>
                <c:ptCount val="3"/>
                <c:pt idx="0">
                  <c:v>0</c:v>
                </c:pt>
                <c:pt idx="1">
                  <c:v>0</c:v>
                </c:pt>
                <c:pt idx="2">
                  <c:v>0</c:v>
                </c:pt>
              </c:numCache>
            </c:numRef>
          </c:val>
        </c:ser>
        <c:dLbls>
          <c:showLegendKey val="false"/>
          <c:showVal val="true"/>
          <c:showCatName val="false"/>
          <c:showSerName val="false"/>
          <c:showPercent val="false"/>
          <c:showBubbleSize val="false"/>
          <c:showLeaderLines val="true"/>
        </c:dLbls>
        <c:firstSliceAng val="15"/>
      </c:pieChart>
      <c:spPr>
        <a:noFill/>
        <a:ln>
          <a:noFill/>
        </a:ln>
        <a:effectLst/>
      </c:spPr>
    </c:plotArea>
    <c:legend>
      <c:legendPos val="r"/>
      <c:layout>
        <c:manualLayout>
          <c:xMode val="edge"/>
          <c:yMode val="edge"/>
          <c:x val="0.664920094314907"/>
          <c:y val="0.341517389739563"/>
        </c:manualLayout>
      </c:layout>
      <c:overlay val="false"/>
      <c:txPr>
        <a:bodyPr rot="0" spcFirstLastPara="0" vertOverflow="ellipsis" vert="horz" wrap="square" anchor="ctr" anchorCtr="true"/>
        <a:lstStyle/>
        <a:p>
          <a:pPr>
            <a:defRPr lang="zh-CN" sz="1000" b="0" i="0" u="none" strike="noStrike" kern="1200" baseline="0">
              <a:solidFill>
                <a:srgbClr val="000000"/>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4">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cs:styleClr val="auto"/>
    </cs:fontRef>
    <cs:defRPr sz="1000" b="1" i="0" u="none" strike="noStrike" kern="1200" spc="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4">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cs:styleClr val="auto"/>
    </cs:fontRef>
    <cs:defRPr sz="1000" b="1" i="0" u="none" strike="noStrike" kern="1200" spc="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75</Pages>
  <Words>4069</Words>
  <Characters>4563</Characters>
  <Lines>61</Lines>
  <Paragraphs>17</Paragraphs>
  <TotalTime>57</TotalTime>
  <ScaleCrop>false</ScaleCrop>
  <LinksUpToDate>false</LinksUpToDate>
  <CharactersWithSpaces>4624</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2020-08-10T01:49:00Z</dcterms:created>
  <dc:creator>曹颖</dc:creator>
  <cp:lastModifiedBy> </cp:lastModifiedBy>
  <cp:lastPrinted>2025-08-07T09:34:00Z</cp:lastPrinted>
  <dcterms:modified xsi:type="dcterms:W3CDTF">2025-10-11T16:57:38Z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04787F2533EB45DC91BCDE4AB213247F</vt:lpwstr>
  </property>
  <property fmtid="{D5CDD505-2E9C-101B-9397-08002B2CF9AE}" pid="4" name="KSOTemplateDocerSaveRecord">
    <vt:lpwstr>eyJoZGlkIjoiYTc2ZGZiNzZiNDVlOGViOWVmM2JhOTY0NGJkNjUyYzgiLCJ1c2VySWQiOiIyMjA2OTAwNTAifQ==</vt:lpwstr>
  </property>
</Properties>
</file>