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ascii="Times New Roman" w:hAnsi="Times New Roman" w:eastAsia="方正小标宋简体" w:cs="Times New Roman"/>
          <w:color w:val="auto"/>
          <w:kern w:val="2"/>
          <w:sz w:val="72"/>
          <w:szCs w:val="72"/>
          <w:highlight w:val="none"/>
          <w:lang w:val="en-US" w:eastAsia="zh-CN" w:bidi="ar-SA"/>
        </w:rPr>
      </w:pPr>
      <w:bookmarkStart w:id="0" w:name="_Toc15396475"/>
      <w:bookmarkStart w:id="1" w:name="_Toc15377425"/>
      <w:bookmarkStart w:id="2" w:name="_Toc15377193"/>
      <w:bookmarkStart w:id="3" w:name="_Toc15306267"/>
      <w:bookmarkStart w:id="4" w:name="_Toc15396597"/>
      <w:bookmarkStart w:id="5" w:name="_Toc15378441"/>
    </w:p>
    <w:p>
      <w:pPr>
        <w:pStyle w:val="7"/>
        <w:rPr>
          <w:rFonts w:hint="eastAsia" w:ascii="Times New Roman" w:hAnsi="Times New Roman" w:eastAsia="方正小标宋简体" w:cs="Times New Roman"/>
          <w:color w:val="auto"/>
          <w:kern w:val="2"/>
          <w:sz w:val="72"/>
          <w:szCs w:val="72"/>
          <w:highlight w:val="none"/>
          <w:lang w:val="en-US" w:eastAsia="zh-CN" w:bidi="ar-SA"/>
        </w:rPr>
      </w:pPr>
    </w:p>
    <w:p>
      <w:pPr>
        <w:pStyle w:val="7"/>
        <w:rPr>
          <w:rFonts w:hint="eastAsia" w:ascii="Times New Roman" w:hAnsi="Times New Roman" w:eastAsia="方正小标宋简体" w:cs="Times New Roman"/>
          <w:color w:val="auto"/>
          <w:kern w:val="2"/>
          <w:sz w:val="72"/>
          <w:szCs w:val="72"/>
          <w:highlight w:val="none"/>
          <w:lang w:val="en-US" w:eastAsia="zh-CN" w:bidi="ar-SA"/>
        </w:rPr>
      </w:pPr>
    </w:p>
    <w:p>
      <w:pPr>
        <w:pStyle w:val="7"/>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2024年度广元市文化广播电视和旅游局</w:t>
      </w:r>
    </w:p>
    <w:p>
      <w:pPr>
        <w:spacing w:line="600" w:lineRule="exact"/>
        <w:jc w:val="center"/>
        <w:outlineLvl w:val="0"/>
        <w:rPr>
          <w:rFonts w:ascii="Times New Roman" w:hAnsi="Times New Roman" w:eastAsia="方正小标宋简体"/>
          <w:color w:val="auto"/>
          <w:sz w:val="72"/>
          <w:szCs w:val="72"/>
          <w:highlight w:val="none"/>
        </w:rPr>
      </w:pPr>
      <w:bookmarkStart w:id="6" w:name="_Toc1253"/>
      <w:bookmarkStart w:id="7" w:name="_Toc18021"/>
      <w:bookmarkStart w:id="8" w:name="_Toc23853"/>
      <w:r>
        <w:rPr>
          <w:rFonts w:hint="eastAsia" w:ascii="方正小标宋简体" w:hAnsi="宋体" w:eastAsia="方正小标宋简体" w:cs="Times New Roman"/>
          <w:color w:val="auto"/>
          <w:kern w:val="2"/>
          <w:sz w:val="44"/>
          <w:szCs w:val="44"/>
          <w:highlight w:val="none"/>
          <w:lang w:val="en-US" w:eastAsia="zh-CN" w:bidi="ar-SA"/>
        </w:rPr>
        <w:t>单位决算</w:t>
      </w:r>
      <w:bookmarkEnd w:id="6"/>
      <w:bookmarkEnd w:id="7"/>
      <w:bookmarkEnd w:id="8"/>
    </w:p>
    <w:p>
      <w:pPr>
        <w:pStyle w:val="24"/>
        <w:rPr>
          <w:rFonts w:ascii="Times New Roman" w:hAnsi="Times New Roman"/>
          <w:highlight w:val="none"/>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pStyle w:val="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bookmarkStart w:id="142" w:name="_GoBack"/>
      <w:bookmarkEnd w:id="142"/>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14</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highlight w:val="none"/>
          <w:lang w:val="en-US" w:eastAsia="zh-CN" w:bidi="ar-SA"/>
        </w:rPr>
        <w:id w:val="147478530"/>
        <w15:color w:val="DBDBDB"/>
        <w:docPartObj>
          <w:docPartGallery w:val="Table of Contents"/>
          <w:docPartUnique/>
        </w:docPartObj>
      </w:sdtPr>
      <w:sdtEndPr>
        <w:rPr>
          <w:rFonts w:ascii="Times New Roman" w:hAnsi="Times New Roman" w:eastAsia="宋体" w:cs="Times New Roman"/>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highlight w:val="none"/>
            </w:rPr>
          </w:pPr>
        </w:p>
        <w:p>
          <w:pPr>
            <w:pStyle w:val="2"/>
            <w:tabs>
              <w:tab w:val="right" w:leader="dot" w:pos="8306"/>
              <w:tab w:val="clear" w:pos="8296"/>
            </w:tabs>
          </w:pPr>
          <w:r>
            <w:rPr>
              <w:rFonts w:ascii="Times New Roman" w:hAnsi="Times New Roman"/>
              <w:color w:val="auto"/>
              <w:highlight w:val="none"/>
            </w:rPr>
            <w:fldChar w:fldCharType="begin"/>
          </w:r>
          <w:r>
            <w:rPr>
              <w:rFonts w:ascii="Times New Roman" w:hAnsi="Times New Roman"/>
              <w:color w:val="auto"/>
              <w:highlight w:val="none"/>
            </w:rPr>
            <w:instrText xml:space="preserve">TOC \o "1-3" \h \u </w:instrText>
          </w:r>
          <w:r>
            <w:rPr>
              <w:rFonts w:ascii="Times New Roman" w:hAnsi="Times New Roman"/>
              <w:color w:val="auto"/>
              <w:highlight w:val="none"/>
            </w:rPr>
            <w:fldChar w:fldCharType="separate"/>
          </w:r>
          <w:r>
            <w:rPr>
              <w:rFonts w:hint="eastAsia" w:ascii="Times New Roman" w:hAnsi="Times New Roman" w:eastAsia="黑体"/>
              <w:szCs w:val="44"/>
              <w:highlight w:val="none"/>
            </w:rPr>
            <w:fldChar w:fldCharType="begin"/>
          </w:r>
          <w:r>
            <w:rPr>
              <w:rFonts w:hint="eastAsia" w:ascii="Times New Roman" w:hAnsi="Times New Roman" w:eastAsia="黑体"/>
              <w:szCs w:val="44"/>
              <w:highlight w:val="none"/>
            </w:rPr>
            <w:instrText xml:space="preserve"> HYPERLINK \l _Toc900 </w:instrText>
          </w:r>
          <w:r>
            <w:rPr>
              <w:rFonts w:hint="eastAsia" w:ascii="Times New Roman" w:hAnsi="Times New Roman" w:eastAsia="黑体"/>
              <w:szCs w:val="44"/>
              <w:highlight w:val="none"/>
            </w:rPr>
            <w:fldChar w:fldCharType="separate"/>
          </w:r>
          <w:r>
            <w:rPr>
              <w:rFonts w:hint="eastAsia" w:ascii="Times New Roman" w:hAnsi="Times New Roman" w:eastAsia="黑体"/>
              <w:szCs w:val="44"/>
              <w:highlight w:val="none"/>
            </w:rPr>
            <w:t>第一部分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w:t>
          </w:r>
          <w:r>
            <w:rPr>
              <w:rFonts w:hint="eastAsia" w:ascii="Times New Roman" w:hAnsi="Times New Roman" w:eastAsia="黑体"/>
              <w:szCs w:val="44"/>
              <w:highlight w:val="none"/>
              <w:lang w:val="en-US" w:eastAsia="zh-CN"/>
            </w:rPr>
            <w:t>单位</w:t>
          </w:r>
          <w:r>
            <w:rPr>
              <w:rFonts w:hint="eastAsia" w:ascii="Times New Roman" w:hAnsi="Times New Roman" w:eastAsia="黑体"/>
              <w:szCs w:val="44"/>
              <w:highlight w:val="none"/>
            </w:rPr>
            <w:t>概况</w:t>
          </w:r>
          <w:r>
            <w:rPr>
              <w:rFonts w:hint="eastAsia" w:ascii="Times New Roman" w:hAnsi="Times New Roman" w:eastAsia="黑体"/>
              <w:szCs w:val="44"/>
              <w:highlight w:val="none"/>
            </w:rPr>
            <w:tab/>
          </w:r>
          <w:r>
            <w:rPr>
              <w:rFonts w:hint="eastAsia" w:ascii="Times New Roman" w:hAnsi="Times New Roman" w:eastAsia="黑体"/>
              <w:szCs w:val="44"/>
              <w:highlight w:val="none"/>
            </w:rPr>
            <w:fldChar w:fldCharType="begin"/>
          </w:r>
          <w:r>
            <w:rPr>
              <w:rFonts w:hint="eastAsia" w:ascii="Times New Roman" w:hAnsi="Times New Roman" w:eastAsia="黑体"/>
              <w:szCs w:val="44"/>
              <w:highlight w:val="none"/>
            </w:rPr>
            <w:instrText xml:space="preserve"> PAGEREF _Toc900 \h </w:instrText>
          </w:r>
          <w:r>
            <w:rPr>
              <w:rFonts w:hint="eastAsia" w:ascii="Times New Roman" w:hAnsi="Times New Roman" w:eastAsia="黑体"/>
              <w:szCs w:val="44"/>
              <w:highlight w:val="none"/>
            </w:rPr>
            <w:fldChar w:fldCharType="separate"/>
          </w:r>
          <w:r>
            <w:rPr>
              <w:rFonts w:hint="eastAsia" w:ascii="Times New Roman" w:hAnsi="Times New Roman" w:eastAsia="黑体"/>
              <w:szCs w:val="44"/>
              <w:highlight w:val="none"/>
            </w:rPr>
            <w:t>1</w:t>
          </w:r>
          <w:r>
            <w:rPr>
              <w:rFonts w:hint="eastAsia" w:ascii="Times New Roman" w:hAnsi="Times New Roman" w:eastAsia="黑体"/>
              <w:szCs w:val="44"/>
              <w:highlight w:val="none"/>
            </w:rPr>
            <w:fldChar w:fldCharType="end"/>
          </w:r>
          <w:r>
            <w:rPr>
              <w:rFonts w:hint="eastAsia" w:ascii="Times New Roman" w:hAnsi="Times New Roman" w:eastAsia="黑体"/>
              <w:szCs w:val="44"/>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_Toc11200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一、主要职责</w:t>
          </w:r>
          <w:r>
            <w:tab/>
          </w:r>
          <w:r>
            <w:fldChar w:fldCharType="begin"/>
          </w:r>
          <w:r>
            <w:instrText xml:space="preserve"> PAGEREF _Toc11200 \h </w:instrText>
          </w:r>
          <w:r>
            <w:fldChar w:fldCharType="separate"/>
          </w:r>
          <w:r>
            <w:t>1</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_Toc4491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二、机构设置</w:t>
          </w:r>
          <w:r>
            <w:tab/>
          </w:r>
          <w:r>
            <w:fldChar w:fldCharType="begin"/>
          </w:r>
          <w:r>
            <w:instrText xml:space="preserve"> PAGEREF _Toc4491 \h </w:instrText>
          </w:r>
          <w:r>
            <w:fldChar w:fldCharType="separate"/>
          </w:r>
          <w:r>
            <w:t>3</w:t>
          </w:r>
          <w:r>
            <w:fldChar w:fldCharType="end"/>
          </w:r>
          <w:r>
            <w:rPr>
              <w:rFonts w:ascii="Times New Roman" w:hAnsi="Times New Roman"/>
              <w:color w:val="auto"/>
              <w:highlight w:val="none"/>
            </w:rPr>
            <w:fldChar w:fldCharType="end"/>
          </w:r>
        </w:p>
        <w:p>
          <w:pPr>
            <w:pStyle w:val="2"/>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_Toc24926 </w:instrText>
          </w:r>
          <w:r>
            <w:rPr>
              <w:rFonts w:ascii="Times New Roman" w:hAnsi="Times New Roman"/>
              <w:highlight w:val="none"/>
            </w:rPr>
            <w:fldChar w:fldCharType="separate"/>
          </w:r>
          <w:r>
            <w:rPr>
              <w:rFonts w:hint="eastAsia" w:ascii="Times New Roman" w:hAnsi="Times New Roman" w:eastAsia="黑体"/>
              <w:szCs w:val="44"/>
              <w:highlight w:val="none"/>
            </w:rPr>
            <w:t>第二部分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w:t>
          </w:r>
          <w:r>
            <w:rPr>
              <w:rFonts w:hint="eastAsia" w:ascii="Times New Roman" w:hAnsi="Times New Roman" w:eastAsia="黑体"/>
              <w:szCs w:val="44"/>
              <w:highlight w:val="none"/>
              <w:lang w:val="en-US" w:eastAsia="zh-CN"/>
            </w:rPr>
            <w:t>2024年度单位</w:t>
          </w:r>
          <w:r>
            <w:rPr>
              <w:rFonts w:hint="eastAsia" w:ascii="Times New Roman" w:hAnsi="Times New Roman" w:eastAsia="黑体"/>
              <w:szCs w:val="44"/>
              <w:highlight w:val="none"/>
            </w:rPr>
            <w:t>决算情况说明</w:t>
          </w:r>
          <w:r>
            <w:tab/>
          </w:r>
          <w:r>
            <w:fldChar w:fldCharType="begin"/>
          </w:r>
          <w:r>
            <w:instrText xml:space="preserve"> PAGEREF _Toc24926 \h </w:instrText>
          </w:r>
          <w:r>
            <w:fldChar w:fldCharType="separate"/>
          </w:r>
          <w:r>
            <w:t>4</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_Toc5775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一、收入支出决算总体情况说明</w:t>
          </w:r>
          <w:r>
            <w:tab/>
          </w:r>
          <w:r>
            <w:fldChar w:fldCharType="begin"/>
          </w:r>
          <w:r>
            <w:instrText xml:space="preserve"> PAGEREF _Toc5775 \h </w:instrText>
          </w:r>
          <w:r>
            <w:fldChar w:fldCharType="separate"/>
          </w:r>
          <w:r>
            <w:t>4</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_Toc7707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二、收入决算情况说明</w:t>
          </w:r>
          <w:r>
            <w:tab/>
          </w:r>
          <w:r>
            <w:fldChar w:fldCharType="begin"/>
          </w:r>
          <w:r>
            <w:instrText xml:space="preserve"> PAGEREF _Toc7707 \h </w:instrText>
          </w:r>
          <w:r>
            <w:fldChar w:fldCharType="separate"/>
          </w:r>
          <w:r>
            <w:t>4</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_Toc1645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三、支出决算情况说明</w:t>
          </w:r>
          <w:r>
            <w:tab/>
          </w:r>
          <w:r>
            <w:fldChar w:fldCharType="begin"/>
          </w:r>
          <w:r>
            <w:instrText xml:space="preserve"> PAGEREF _Toc1645 \h </w:instrText>
          </w:r>
          <w:r>
            <w:fldChar w:fldCharType="separate"/>
          </w:r>
          <w:r>
            <w:t>5</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_Toc8995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四、财政拨款收入支出决算总体情况说明</w:t>
          </w:r>
          <w:r>
            <w:tab/>
          </w:r>
          <w:r>
            <w:fldChar w:fldCharType="begin"/>
          </w:r>
          <w:r>
            <w:instrText xml:space="preserve"> PAGEREF _Toc8995 \h </w:instrText>
          </w:r>
          <w:r>
            <w:fldChar w:fldCharType="separate"/>
          </w:r>
          <w:r>
            <w:t>5</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_Toc26509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六、一般公共预算财政拨款基本支出决算情况说明</w:t>
          </w:r>
          <w:r>
            <w:tab/>
          </w:r>
          <w:r>
            <w:fldChar w:fldCharType="begin"/>
          </w:r>
          <w:r>
            <w:instrText xml:space="preserve"> PAGEREF _Toc26509 \h </w:instrText>
          </w:r>
          <w:r>
            <w:fldChar w:fldCharType="separate"/>
          </w:r>
          <w:r>
            <w:t>10</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_Toc14989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七、财政拨款“三公”经费支出决算情况说明</w:t>
          </w:r>
          <w:r>
            <w:tab/>
          </w:r>
          <w:r>
            <w:fldChar w:fldCharType="begin"/>
          </w:r>
          <w:r>
            <w:instrText xml:space="preserve"> PAGEREF _Toc14989 \h </w:instrText>
          </w:r>
          <w:r>
            <w:fldChar w:fldCharType="separate"/>
          </w:r>
          <w:r>
            <w:t>11</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_Toc11534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八、政府性基金预算支出决算情况说明</w:t>
          </w:r>
          <w:r>
            <w:tab/>
          </w:r>
          <w:r>
            <w:fldChar w:fldCharType="begin"/>
          </w:r>
          <w:r>
            <w:instrText xml:space="preserve"> PAGEREF _Toc11534 \h </w:instrText>
          </w:r>
          <w:r>
            <w:fldChar w:fldCharType="separate"/>
          </w:r>
          <w:r>
            <w:t>13</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_Toc22951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九、国有资本经营预算支出决算情况说明</w:t>
          </w:r>
          <w:r>
            <w:tab/>
          </w:r>
          <w:r>
            <w:fldChar w:fldCharType="begin"/>
          </w:r>
          <w:r>
            <w:instrText xml:space="preserve"> PAGEREF _Toc22951 \h </w:instrText>
          </w:r>
          <w:r>
            <w:fldChar w:fldCharType="separate"/>
          </w:r>
          <w:r>
            <w:t>13</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_Toc16101 </w:instrText>
          </w:r>
          <w:r>
            <w:rPr>
              <w:rFonts w:ascii="Times New Roman" w:hAnsi="Times New Roman"/>
              <w:highlight w:val="none"/>
            </w:rPr>
            <w:fldChar w:fldCharType="separate"/>
          </w:r>
          <w:r>
            <w:rPr>
              <w:rFonts w:hint="eastAsia" w:ascii="方正黑体简体" w:hAnsi="方正黑体简体" w:eastAsia="方正黑体简体" w:cs="方正黑体简体"/>
              <w:bCs w:val="0"/>
              <w:kern w:val="2"/>
              <w:szCs w:val="32"/>
              <w:highlight w:val="none"/>
              <w:lang w:val="en-US" w:eastAsia="zh-CN" w:bidi="ar-SA"/>
            </w:rPr>
            <w:t>十、其他重要事项的情况说明</w:t>
          </w:r>
          <w:r>
            <w:tab/>
          </w:r>
          <w:r>
            <w:fldChar w:fldCharType="begin"/>
          </w:r>
          <w:r>
            <w:instrText xml:space="preserve"> PAGEREF _Toc16101 \h </w:instrText>
          </w:r>
          <w:r>
            <w:fldChar w:fldCharType="separate"/>
          </w:r>
          <w:r>
            <w:t>13</w:t>
          </w:r>
          <w:r>
            <w:fldChar w:fldCharType="end"/>
          </w:r>
          <w:r>
            <w:rPr>
              <w:rFonts w:ascii="Times New Roman" w:hAnsi="Times New Roman"/>
              <w:color w:val="auto"/>
              <w:highlight w:val="none"/>
            </w:rPr>
            <w:fldChar w:fldCharType="end"/>
          </w:r>
        </w:p>
        <w:p>
          <w:pPr>
            <w:pStyle w:val="2"/>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_Toc27089 </w:instrText>
          </w:r>
          <w:r>
            <w:rPr>
              <w:rFonts w:ascii="Times New Roman" w:hAnsi="Times New Roman"/>
              <w:highlight w:val="none"/>
            </w:rPr>
            <w:fldChar w:fldCharType="separate"/>
          </w:r>
          <w:r>
            <w:rPr>
              <w:rFonts w:hint="eastAsia" w:ascii="Times New Roman" w:hAnsi="Times New Roman" w:eastAsia="黑体"/>
              <w:szCs w:val="44"/>
              <w:highlight w:val="none"/>
            </w:rPr>
            <w:t>第</w:t>
          </w:r>
          <w:r>
            <w:rPr>
              <w:rFonts w:hint="eastAsia" w:ascii="Times New Roman" w:hAnsi="Times New Roman"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_Toc27089 \h </w:instrText>
          </w:r>
          <w:r>
            <w:fldChar w:fldCharType="separate"/>
          </w:r>
          <w:r>
            <w:t>15</w:t>
          </w:r>
          <w:r>
            <w:fldChar w:fldCharType="end"/>
          </w:r>
          <w:r>
            <w:rPr>
              <w:rFonts w:ascii="Times New Roman" w:hAnsi="Times New Roman"/>
              <w:color w:val="auto"/>
              <w:highlight w:val="none"/>
            </w:rPr>
            <w:fldChar w:fldCharType="end"/>
          </w:r>
        </w:p>
        <w:p>
          <w:pPr>
            <w:pStyle w:val="2"/>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_Toc3123 </w:instrText>
          </w:r>
          <w:r>
            <w:rPr>
              <w:rFonts w:ascii="Times New Roman" w:hAnsi="Times New Roman"/>
              <w:highlight w:val="none"/>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_Toc3123 \h </w:instrText>
          </w:r>
          <w:r>
            <w:fldChar w:fldCharType="separate"/>
          </w:r>
          <w:r>
            <w:t>19</w:t>
          </w:r>
          <w:r>
            <w:fldChar w:fldCharType="end"/>
          </w:r>
          <w:r>
            <w:rPr>
              <w:rFonts w:ascii="Times New Roman" w:hAnsi="Times New Roman"/>
              <w:color w:val="auto"/>
              <w:highlight w:val="none"/>
            </w:rPr>
            <w:fldChar w:fldCharType="end"/>
          </w:r>
        </w:p>
        <w:p>
          <w:pPr>
            <w:pStyle w:val="2"/>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_Toc10026 </w:instrText>
          </w:r>
          <w:r>
            <w:rPr>
              <w:rFonts w:ascii="Times New Roman" w:hAnsi="Times New Roman"/>
              <w:highlight w:val="none"/>
            </w:rP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fldChar w:fldCharType="begin"/>
          </w:r>
          <w:r>
            <w:instrText xml:space="preserve"> PAGEREF _Toc10026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_Toc5694 </w:instrText>
          </w:r>
          <w:r>
            <w:rPr>
              <w:rFonts w:ascii="Times New Roman" w:hAnsi="Times New Roman"/>
              <w:highlight w:val="none"/>
            </w:rPr>
            <w:fldChar w:fldCharType="separate"/>
          </w:r>
          <w:r>
            <w:rPr>
              <w:rFonts w:hint="eastAsia"/>
              <w:bCs w:val="0"/>
              <w:lang w:val="en-US" w:eastAsia="zh-CN"/>
            </w:rPr>
            <w:t>一、收入支出决算总表</w:t>
          </w:r>
          <w:r>
            <w:tab/>
          </w:r>
          <w:r>
            <w:fldChar w:fldCharType="begin"/>
          </w:r>
          <w:r>
            <w:instrText xml:space="preserve"> PAGEREF _Toc5694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_Toc5751 </w:instrText>
          </w:r>
          <w:r>
            <w:rPr>
              <w:rFonts w:ascii="Times New Roman" w:hAnsi="Times New Roman"/>
              <w:highlight w:val="none"/>
            </w:rPr>
            <w:fldChar w:fldCharType="separate"/>
          </w:r>
          <w:r>
            <w:rPr>
              <w:rFonts w:hint="eastAsia"/>
              <w:bCs w:val="0"/>
              <w:lang w:val="en-US" w:eastAsia="zh-CN"/>
            </w:rPr>
            <w:t>二、收入决算表</w:t>
          </w:r>
          <w:r>
            <w:tab/>
          </w:r>
          <w:r>
            <w:fldChar w:fldCharType="begin"/>
          </w:r>
          <w:r>
            <w:instrText xml:space="preserve"> PAGEREF _Toc5751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_Toc8732 </w:instrText>
          </w:r>
          <w:r>
            <w:rPr>
              <w:rFonts w:ascii="Times New Roman" w:hAnsi="Times New Roman"/>
              <w:highlight w:val="none"/>
            </w:rPr>
            <w:fldChar w:fldCharType="separate"/>
          </w:r>
          <w:r>
            <w:rPr>
              <w:rFonts w:hint="eastAsia"/>
              <w:bCs w:val="0"/>
              <w:lang w:val="en-US" w:eastAsia="zh-CN"/>
            </w:rPr>
            <w:t>三、支出决算表</w:t>
          </w:r>
          <w:r>
            <w:tab/>
          </w:r>
          <w:r>
            <w:fldChar w:fldCharType="begin"/>
          </w:r>
          <w:r>
            <w:instrText xml:space="preserve"> PAGEREF _Toc8732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_Toc15406 </w:instrText>
          </w:r>
          <w:r>
            <w:rPr>
              <w:rFonts w:ascii="Times New Roman" w:hAnsi="Times New Roman"/>
              <w:highlight w:val="none"/>
            </w:rPr>
            <w:fldChar w:fldCharType="separate"/>
          </w:r>
          <w:r>
            <w:rPr>
              <w:rFonts w:hint="eastAsia"/>
              <w:bCs w:val="0"/>
              <w:lang w:val="en-US" w:eastAsia="zh-CN"/>
            </w:rPr>
            <w:t>四、财政拨款收入支出决算总表</w:t>
          </w:r>
          <w:r>
            <w:tab/>
          </w:r>
          <w:r>
            <w:fldChar w:fldCharType="begin"/>
          </w:r>
          <w:r>
            <w:instrText xml:space="preserve"> PAGEREF _Toc15406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_Toc20773 </w:instrText>
          </w:r>
          <w:r>
            <w:rPr>
              <w:rFonts w:ascii="Times New Roman" w:hAnsi="Times New Roman"/>
              <w:highlight w:val="none"/>
            </w:rPr>
            <w:fldChar w:fldCharType="separate"/>
          </w:r>
          <w:r>
            <w:rPr>
              <w:rFonts w:hint="eastAsia"/>
              <w:bCs w:val="0"/>
              <w:lang w:val="en-US" w:eastAsia="zh-CN"/>
            </w:rPr>
            <w:t>五、财政拨款支出决算明细表</w:t>
          </w:r>
          <w:r>
            <w:tab/>
          </w:r>
          <w:r>
            <w:fldChar w:fldCharType="begin"/>
          </w:r>
          <w:r>
            <w:instrText xml:space="preserve"> PAGEREF _Toc20773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_Toc23080 </w:instrText>
          </w:r>
          <w:r>
            <w:rPr>
              <w:rFonts w:ascii="Times New Roman" w:hAnsi="Times New Roman"/>
              <w:highlight w:val="none"/>
            </w:rPr>
            <w:fldChar w:fldCharType="separate"/>
          </w:r>
          <w:r>
            <w:rPr>
              <w:rFonts w:hint="eastAsia"/>
              <w:bCs w:val="0"/>
              <w:lang w:val="en-US" w:eastAsia="zh-CN"/>
            </w:rPr>
            <w:t>六、一般公共预算财政拨款支出决算表</w:t>
          </w:r>
          <w:r>
            <w:tab/>
          </w:r>
          <w:r>
            <w:fldChar w:fldCharType="begin"/>
          </w:r>
          <w:r>
            <w:instrText xml:space="preserve"> PAGEREF _Toc23080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_Toc21273 </w:instrText>
          </w:r>
          <w:r>
            <w:rPr>
              <w:rFonts w:ascii="Times New Roman" w:hAnsi="Times New Roman"/>
              <w:highlight w:val="none"/>
            </w:rPr>
            <w:fldChar w:fldCharType="separate"/>
          </w:r>
          <w:r>
            <w:rPr>
              <w:rFonts w:hint="eastAsia"/>
              <w:bCs w:val="0"/>
              <w:lang w:val="en-US" w:eastAsia="zh-CN"/>
            </w:rPr>
            <w:t>七、一般公共预算财政拨款支出决算明细表</w:t>
          </w:r>
          <w:r>
            <w:tab/>
          </w:r>
          <w:r>
            <w:fldChar w:fldCharType="begin"/>
          </w:r>
          <w:r>
            <w:instrText xml:space="preserve"> PAGEREF _Toc21273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_Toc10568 </w:instrText>
          </w:r>
          <w:r>
            <w:rPr>
              <w:rFonts w:ascii="Times New Roman" w:hAnsi="Times New Roman"/>
              <w:highlight w:val="none"/>
            </w:rPr>
            <w:fldChar w:fldCharType="separate"/>
          </w:r>
          <w:r>
            <w:rPr>
              <w:rFonts w:hint="eastAsia"/>
              <w:bCs w:val="0"/>
              <w:lang w:val="en-US" w:eastAsia="zh-CN"/>
            </w:rPr>
            <w:t>八、一般公共预算财政拨款基本支出决算表</w:t>
          </w:r>
          <w:r>
            <w:tab/>
          </w:r>
          <w:r>
            <w:fldChar w:fldCharType="begin"/>
          </w:r>
          <w:r>
            <w:instrText xml:space="preserve"> PAGEREF _Toc10568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_Toc11496 </w:instrText>
          </w:r>
          <w:r>
            <w:rPr>
              <w:rFonts w:ascii="Times New Roman" w:hAnsi="Times New Roman"/>
              <w:highlight w:val="none"/>
            </w:rPr>
            <w:fldChar w:fldCharType="separate"/>
          </w:r>
          <w:r>
            <w:rPr>
              <w:rFonts w:hint="eastAsia"/>
              <w:bCs w:val="0"/>
              <w:lang w:val="en-US" w:eastAsia="zh-CN"/>
            </w:rPr>
            <w:t>九、一般公共预算财政拨款项目支出决算表</w:t>
          </w:r>
          <w:r>
            <w:tab/>
          </w:r>
          <w:r>
            <w:fldChar w:fldCharType="begin"/>
          </w:r>
          <w:r>
            <w:instrText xml:space="preserve"> PAGEREF _Toc11496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_Toc29678 </w:instrText>
          </w:r>
          <w:r>
            <w:rPr>
              <w:rFonts w:ascii="Times New Roman" w:hAnsi="Times New Roman"/>
              <w:highlight w:val="none"/>
            </w:rPr>
            <w:fldChar w:fldCharType="separate"/>
          </w:r>
          <w:r>
            <w:rPr>
              <w:rFonts w:hint="eastAsia"/>
              <w:bCs w:val="0"/>
              <w:lang w:val="en-US" w:eastAsia="zh-CN"/>
            </w:rPr>
            <w:t>十、政府性基金预算财政拨款收入支出决算表</w:t>
          </w:r>
          <w:r>
            <w:tab/>
          </w:r>
          <w:r>
            <w:fldChar w:fldCharType="begin"/>
          </w:r>
          <w:r>
            <w:instrText xml:space="preserve"> PAGEREF _Toc29678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_Toc15324 </w:instrText>
          </w:r>
          <w:r>
            <w:rPr>
              <w:rFonts w:ascii="Times New Roman" w:hAnsi="Times New Roman"/>
              <w:highlight w:val="none"/>
            </w:rPr>
            <w:fldChar w:fldCharType="separate"/>
          </w:r>
          <w:r>
            <w:rPr>
              <w:rFonts w:hint="eastAsia"/>
              <w:bCs w:val="0"/>
              <w:lang w:val="en-US" w:eastAsia="zh-CN"/>
            </w:rPr>
            <w:t>十一、国有资本经营预算财政拨款收入支出决算表</w:t>
          </w:r>
          <w:r>
            <w:tab/>
          </w:r>
          <w:r>
            <w:fldChar w:fldCharType="begin"/>
          </w:r>
          <w:r>
            <w:instrText xml:space="preserve"> PAGEREF _Toc15324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_Toc5375 </w:instrText>
          </w:r>
          <w:r>
            <w:rPr>
              <w:rFonts w:ascii="Times New Roman" w:hAnsi="Times New Roman"/>
              <w:highlight w:val="none"/>
            </w:rPr>
            <w:fldChar w:fldCharType="separate"/>
          </w:r>
          <w:r>
            <w:rPr>
              <w:rFonts w:hint="eastAsia"/>
              <w:bCs w:val="0"/>
              <w:lang w:val="en-US" w:eastAsia="zh-CN"/>
            </w:rPr>
            <w:t>十二、国有资本经营预算财政拨款支出决算表</w:t>
          </w:r>
          <w:r>
            <w:tab/>
          </w:r>
          <w:r>
            <w:fldChar w:fldCharType="begin"/>
          </w:r>
          <w:r>
            <w:instrText xml:space="preserve"> PAGEREF _Toc5375 \h </w:instrText>
          </w:r>
          <w:r>
            <w:fldChar w:fldCharType="separate"/>
          </w:r>
          <w:r>
            <w:t>86</w:t>
          </w:r>
          <w:r>
            <w:fldChar w:fldCharType="end"/>
          </w:r>
          <w:r>
            <w:rPr>
              <w:rFonts w:ascii="Times New Roman" w:hAnsi="Times New Roman"/>
              <w:color w:val="auto"/>
              <w:highlight w:val="none"/>
            </w:rPr>
            <w:fldChar w:fldCharType="end"/>
          </w:r>
        </w:p>
        <w:p>
          <w:pPr>
            <w:pStyle w:val="16"/>
            <w:tabs>
              <w:tab w:val="right" w:leader="dot" w:pos="830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_Toc7938 </w:instrText>
          </w:r>
          <w:r>
            <w:rPr>
              <w:rFonts w:ascii="Times New Roman" w:hAnsi="Times New Roman"/>
              <w:highlight w:val="none"/>
            </w:rPr>
            <w:fldChar w:fldCharType="separate"/>
          </w:r>
          <w:r>
            <w:rPr>
              <w:rFonts w:hint="eastAsia"/>
              <w:bCs w:val="0"/>
              <w:lang w:val="en-US" w:eastAsia="zh-CN"/>
            </w:rPr>
            <w:t>十三、财政拨款“三公”经费支出决算表</w:t>
          </w:r>
          <w:r>
            <w:tab/>
          </w:r>
          <w:r>
            <w:fldChar w:fldCharType="begin"/>
          </w:r>
          <w:r>
            <w:instrText xml:space="preserve"> PAGEREF _Toc7938 \h </w:instrText>
          </w:r>
          <w:r>
            <w:fldChar w:fldCharType="separate"/>
          </w:r>
          <w:r>
            <w:t>86</w:t>
          </w:r>
          <w:r>
            <w:fldChar w:fldCharType="end"/>
          </w:r>
          <w:r>
            <w:rPr>
              <w:rFonts w:ascii="Times New Roman" w:hAnsi="Times New Roman"/>
              <w:color w:val="auto"/>
              <w:highlight w:val="none"/>
            </w:rPr>
            <w:fldChar w:fldCharType="end"/>
          </w:r>
        </w:p>
        <w:p>
          <w:pPr>
            <w:rPr>
              <w:rFonts w:ascii="Times New Roman" w:hAnsi="Times New Roman" w:eastAsia="宋体" w:cs="Times New Roman"/>
              <w:color w:val="auto"/>
              <w:kern w:val="2"/>
              <w:sz w:val="21"/>
              <w:szCs w:val="24"/>
              <w:highlight w:val="none"/>
              <w:lang w:val="en-US" w:eastAsia="zh-CN" w:bidi="ar-SA"/>
            </w:rPr>
          </w:pPr>
          <w:r>
            <w:rPr>
              <w:rFonts w:ascii="Times New Roman" w:hAnsi="Times New Roman"/>
              <w:color w:val="auto"/>
              <w:highlight w:val="none"/>
            </w:rPr>
            <w:fldChar w:fldCharType="end"/>
          </w:r>
        </w:p>
      </w:sdtContent>
    </w:sdt>
    <w:p>
      <w:pPr>
        <w:pStyle w:val="3"/>
        <w:jc w:val="center"/>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bookmarkStart w:id="9" w:name="_Toc15377196"/>
      <w:bookmarkStart w:id="10" w:name="_Toc15396599"/>
    </w:p>
    <w:p>
      <w:pPr>
        <w:pStyle w:val="3"/>
        <w:jc w:val="center"/>
        <w:rPr>
          <w:rStyle w:val="21"/>
          <w:rFonts w:hint="eastAsia" w:ascii="Times New Roman" w:hAnsi="Times New Roman" w:eastAsia="方正小标宋简体" w:cs="方正小标宋简体"/>
          <w:b w:val="0"/>
          <w:bCs w:val="0"/>
          <w:color w:val="auto"/>
          <w:highlight w:val="none"/>
        </w:rPr>
      </w:pPr>
      <w:bookmarkStart w:id="11" w:name="_Toc900"/>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val="en-US" w:eastAsia="zh-CN"/>
        </w:rPr>
        <w:t>单位</w:t>
      </w:r>
      <w:r>
        <w:rPr>
          <w:rStyle w:val="21"/>
          <w:rFonts w:hint="eastAsia" w:ascii="Times New Roman" w:hAnsi="Times New Roman" w:eastAsia="方正小标宋简体" w:cs="方正小标宋简体"/>
          <w:b w:val="0"/>
          <w:bCs w:val="0"/>
          <w:color w:val="auto"/>
          <w:highlight w:val="none"/>
        </w:rPr>
        <w:t>概况</w:t>
      </w:r>
      <w:bookmarkEnd w:id="9"/>
      <w:bookmarkEnd w:id="10"/>
      <w:bookmarkEnd w:id="11"/>
    </w:p>
    <w:p>
      <w:pPr>
        <w:rPr>
          <w:highlight w:val="none"/>
        </w:rPr>
      </w:pPr>
    </w:p>
    <w:p>
      <w:pPr>
        <w:pStyle w:val="4"/>
        <w:rPr>
          <w:rFonts w:hint="eastAsia" w:ascii="方正黑体简体" w:hAnsi="方正黑体简体" w:eastAsia="方正黑体简体" w:cs="方正黑体简体"/>
          <w:b w:val="0"/>
          <w:bCs w:val="0"/>
          <w:kern w:val="2"/>
          <w:sz w:val="32"/>
          <w:szCs w:val="32"/>
          <w:highlight w:val="none"/>
          <w:lang w:val="en-US" w:eastAsia="zh-CN" w:bidi="ar-SA"/>
        </w:rPr>
      </w:pPr>
      <w:bookmarkStart w:id="12" w:name="_Toc15377197"/>
      <w:bookmarkStart w:id="13" w:name="_Toc15396600"/>
      <w:bookmarkStart w:id="14" w:name="_Toc11200"/>
      <w:r>
        <w:rPr>
          <w:rFonts w:hint="eastAsia" w:ascii="方正黑体简体" w:hAnsi="方正黑体简体" w:eastAsia="方正黑体简体" w:cs="方正黑体简体"/>
          <w:b w:val="0"/>
          <w:bCs w:val="0"/>
          <w:kern w:val="2"/>
          <w:sz w:val="32"/>
          <w:szCs w:val="32"/>
          <w:highlight w:val="none"/>
          <w:lang w:val="en-US" w:eastAsia="zh-CN" w:bidi="ar-SA"/>
        </w:rPr>
        <w:t>一、</w:t>
      </w:r>
      <w:bookmarkEnd w:id="12"/>
      <w:bookmarkEnd w:id="13"/>
      <w:r>
        <w:rPr>
          <w:rFonts w:hint="eastAsia" w:ascii="方正黑体简体" w:hAnsi="方正黑体简体" w:eastAsia="方正黑体简体" w:cs="方正黑体简体"/>
          <w:b w:val="0"/>
          <w:bCs w:val="0"/>
          <w:kern w:val="2"/>
          <w:sz w:val="32"/>
          <w:szCs w:val="32"/>
          <w:highlight w:val="none"/>
          <w:lang w:val="en-US" w:eastAsia="zh-CN" w:bidi="ar-SA"/>
        </w:rPr>
        <w:t>主要职责</w:t>
      </w:r>
      <w:bookmarkEnd w:id="14"/>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kern w:val="2"/>
          <w:sz w:val="32"/>
          <w:szCs w:val="32"/>
          <w:highlight w:val="none"/>
          <w:lang w:val="zh-CN" w:eastAsia="zh-CN" w:bidi="ar-SA"/>
        </w:rPr>
        <w:t>贯彻执行党和国家有关文化、旅游、广播电视和文物工作的方针政策和法律法规，拟订相关政策措施并组织实施，起草有关地方性法规、规章草案，负责本部门依法行政工作。制定文化旅游产业发展的地方标准和行业规范并组织实施。</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组织推动全市文化事业、文化产业、旅游业、广播电视事业和文物事业发展，拟订发展规划并组织实施。统筹中国生态康养旅游名市建设工作，推进全域旅游。推进文化和旅游体制机制改革，推进文化和旅游融合发展。</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管理全市性重大文化、旅游、广播电视和文物活动，指导推进相关设施建设。</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指导管理文化艺术事业，推动艺术创作生产，扶持体现社会主义核心价值观、具有导向性代表性示范性的文艺作品，推动各门类艺术、各艺术品种发展，推动中华优秀传统文化、巴蜀文化和广元特色文化传承发展。</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5.</w:t>
      </w:r>
      <w:r>
        <w:rPr>
          <w:rFonts w:hint="eastAsia" w:ascii="仿宋_GB2312" w:hAnsi="仿宋_GB2312" w:eastAsia="仿宋_GB2312" w:cs="仿宋_GB2312"/>
          <w:kern w:val="2"/>
          <w:sz w:val="32"/>
          <w:szCs w:val="32"/>
          <w:highlight w:val="none"/>
          <w:lang w:val="zh-CN" w:eastAsia="zh-CN" w:bidi="ar-SA"/>
        </w:rPr>
        <w:t>负责公共文化和广播电视事业发展，推进全市公共文化和广播电视服务体系建设及旅游公共服务建设，深入实施文化旅游和广播电视惠民工程，统筹推进基本公共服务标准化、均等化。</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6.</w:t>
      </w:r>
      <w:r>
        <w:rPr>
          <w:rFonts w:hint="eastAsia" w:ascii="仿宋_GB2312" w:hAnsi="仿宋_GB2312" w:eastAsia="仿宋_GB2312" w:cs="仿宋_GB2312"/>
          <w:kern w:val="2"/>
          <w:sz w:val="32"/>
          <w:szCs w:val="32"/>
          <w:highlight w:val="none"/>
          <w:lang w:val="zh-CN" w:eastAsia="zh-CN" w:bidi="ar-SA"/>
        </w:rPr>
        <w:t>组织实施文化和旅游资源普查、挖掘、保护与利用工作，监测文化旅游经济运行，促进文化旅游产业发展。推进文化和旅游科技创新发展，推进文化和旅游行业信息化、标准化建设。负责文化旅游科技教育培训和人才培养工作。</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7.</w:t>
      </w:r>
      <w:r>
        <w:rPr>
          <w:rFonts w:hint="eastAsia" w:ascii="仿宋_GB2312" w:hAnsi="仿宋_GB2312" w:eastAsia="仿宋_GB2312" w:cs="仿宋_GB2312"/>
          <w:kern w:val="2"/>
          <w:sz w:val="32"/>
          <w:szCs w:val="32"/>
          <w:highlight w:val="none"/>
          <w:lang w:val="zh-CN" w:eastAsia="zh-CN" w:bidi="ar-SA"/>
        </w:rPr>
        <w:t>负责非物质文化遗产保护，推动非物质文化遗产的保护、传承、普及、弘扬和振兴。</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8.</w:t>
      </w:r>
      <w:r>
        <w:rPr>
          <w:rFonts w:hint="eastAsia" w:ascii="仿宋_GB2312" w:hAnsi="仿宋_GB2312" w:eastAsia="仿宋_GB2312" w:cs="仿宋_GB2312"/>
          <w:kern w:val="2"/>
          <w:sz w:val="32"/>
          <w:szCs w:val="32"/>
          <w:highlight w:val="none"/>
          <w:lang w:val="zh-CN" w:eastAsia="zh-CN" w:bidi="ar-SA"/>
        </w:rPr>
        <w:t>管理和指导全市文物保护利用与考古工作。组织文物资源调查。负责组织遴选、申报市级（含市级）以上文物保护单位，指导地方文物保护单位申报等工作。推动全市文物和博物馆公共服务体系建设，指导监督博物馆和社会文物工作。组织实施申遗及管理工作。</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zh-CN" w:eastAsia="zh-CN" w:bidi="ar-SA"/>
        </w:rPr>
        <w:t>指导文化和旅游市场发展，对文化和旅游市场进行行业监管，推进文化和旅游行业信用体系建设，依法规范文化和旅游市场。</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10.</w:t>
      </w:r>
      <w:r>
        <w:rPr>
          <w:rFonts w:hint="eastAsia" w:ascii="仿宋_GB2312" w:hAnsi="仿宋_GB2312" w:eastAsia="仿宋_GB2312" w:cs="仿宋_GB2312"/>
          <w:kern w:val="2"/>
          <w:sz w:val="32"/>
          <w:szCs w:val="32"/>
          <w:highlight w:val="none"/>
          <w:lang w:val="zh-CN" w:eastAsia="zh-CN" w:bidi="ar-SA"/>
        </w:rPr>
        <w:t>负责文化、旅游、广播电视和文物系统安全生产工作的综合协调与监督管理，对广播电视和文物系统、文化旅游园区、新业态安全生产和职业健康工作实施行业监督管理。制定职责范围内的安全生产年度监督检查计划并组织实施。</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11.</w:t>
      </w:r>
      <w:r>
        <w:rPr>
          <w:rFonts w:hint="eastAsia" w:ascii="仿宋_GB2312" w:hAnsi="仿宋_GB2312" w:eastAsia="仿宋_GB2312" w:cs="仿宋_GB2312"/>
          <w:kern w:val="2"/>
          <w:sz w:val="32"/>
          <w:szCs w:val="32"/>
          <w:highlight w:val="none"/>
          <w:lang w:val="zh-CN" w:eastAsia="zh-CN" w:bidi="ar-SA"/>
        </w:rPr>
        <w:t>统筹全市文化市场综合执法工作，组织查处全市性、跨区域及辖区内文化、旅游、广播电视和文物等市场的违法行为，加强行业监管和督查督办，维护市场秩序。</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12.</w:t>
      </w:r>
      <w:r>
        <w:rPr>
          <w:rFonts w:hint="eastAsia" w:ascii="仿宋_GB2312" w:hAnsi="仿宋_GB2312" w:eastAsia="仿宋_GB2312" w:cs="仿宋_GB2312"/>
          <w:kern w:val="2"/>
          <w:sz w:val="32"/>
          <w:szCs w:val="32"/>
          <w:highlight w:val="none"/>
          <w:lang w:val="zh-CN" w:eastAsia="zh-CN" w:bidi="ar-SA"/>
        </w:rPr>
        <w:t>制订全市文化旅游客源市场开发战略并组织实施，组织广元整体文化旅游形象对外宣传和重大推广活动。</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13.</w:t>
      </w:r>
      <w:r>
        <w:rPr>
          <w:rFonts w:hint="eastAsia" w:ascii="仿宋_GB2312" w:hAnsi="仿宋_GB2312" w:eastAsia="仿宋_GB2312" w:cs="仿宋_GB2312"/>
          <w:kern w:val="2"/>
          <w:sz w:val="32"/>
          <w:szCs w:val="32"/>
          <w:highlight w:val="none"/>
          <w:lang w:val="zh-CN" w:eastAsia="zh-CN" w:bidi="ar-SA"/>
        </w:rPr>
        <w:t>指导全市广播电视宣传和创作题材规划，监督管理全市广播电视节目、信息网络视听节目和公共视听载体播放的视听节目，审查其内容和质量，负责全市广播电视节目的进口和收录管理。负责推进广播电视与新媒体新技术新业态融合发展，推进广电网与电信网、互联网三网融合。</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14.</w:t>
      </w:r>
      <w:r>
        <w:rPr>
          <w:rFonts w:hint="eastAsia" w:ascii="仿宋_GB2312" w:hAnsi="仿宋_GB2312" w:eastAsia="仿宋_GB2312" w:cs="仿宋_GB2312"/>
          <w:kern w:val="2"/>
          <w:sz w:val="32"/>
          <w:szCs w:val="32"/>
          <w:highlight w:val="none"/>
          <w:lang w:val="zh-CN" w:eastAsia="zh-CN" w:bidi="ar-SA"/>
        </w:rPr>
        <w:t>负责对各类广播电视机构进行业务指导和行业监管，会同有关部门对网络视听节目服务机构进行管理。指导全市广播电视科技工作，负责全市广播电视节目传输、监测、安全播出和广播电视、信息网络视听节目服务机构及业务的监管，指导对从事广播电视节目制作民办机构的监管工作。</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15.</w:t>
      </w:r>
      <w:r>
        <w:rPr>
          <w:rFonts w:hint="eastAsia" w:ascii="仿宋_GB2312" w:hAnsi="仿宋_GB2312" w:eastAsia="仿宋_GB2312" w:cs="仿宋_GB2312"/>
          <w:kern w:val="2"/>
          <w:sz w:val="32"/>
          <w:szCs w:val="32"/>
          <w:highlight w:val="none"/>
          <w:lang w:val="zh-CN" w:eastAsia="zh-CN" w:bidi="ar-SA"/>
        </w:rPr>
        <w:t>负责职责范围内的生态环境保护、审批服务便民化等工作。</w:t>
      </w:r>
    </w:p>
    <w:p>
      <w:pPr>
        <w:pStyle w:val="2"/>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16.</w:t>
      </w:r>
      <w:r>
        <w:rPr>
          <w:rFonts w:hint="eastAsia" w:ascii="仿宋_GB2312" w:hAnsi="仿宋_GB2312" w:eastAsia="仿宋_GB2312" w:cs="仿宋_GB2312"/>
          <w:kern w:val="2"/>
          <w:sz w:val="32"/>
          <w:szCs w:val="32"/>
          <w:highlight w:val="none"/>
          <w:lang w:val="zh-CN" w:eastAsia="zh-CN" w:bidi="ar-SA"/>
        </w:rPr>
        <w:t>完成市委、市政府交办的其他任务。</w:t>
      </w:r>
    </w:p>
    <w:p>
      <w:pPr>
        <w:pStyle w:val="7"/>
        <w:adjustRightInd w:val="0"/>
        <w:snapToGrid w:val="0"/>
        <w:spacing w:beforeLines="0" w:line="576" w:lineRule="exact"/>
        <w:ind w:firstLine="640" w:firstLineChars="200"/>
        <w:outlineLvl w:val="2"/>
        <w:rPr>
          <w:rFonts w:hint="eastAsia" w:ascii="仿宋_GB2312" w:hAnsi="仿宋_GB2312" w:eastAsia="仿宋_GB2312" w:cs="仿宋_GB2312"/>
          <w:kern w:val="2"/>
          <w:sz w:val="32"/>
          <w:szCs w:val="32"/>
          <w:highlight w:val="none"/>
          <w:lang w:val="en-US" w:eastAsia="zh-CN" w:bidi="ar-SA"/>
        </w:rPr>
      </w:pPr>
      <w:bookmarkStart w:id="15" w:name="_Toc28752"/>
      <w:bookmarkStart w:id="16" w:name="_Toc4340"/>
      <w:bookmarkStart w:id="17" w:name="_Toc26451"/>
      <w:r>
        <w:rPr>
          <w:rFonts w:hint="eastAsia" w:ascii="仿宋_GB2312" w:hAnsi="仿宋_GB2312" w:eastAsia="仿宋_GB2312" w:cs="仿宋_GB2312"/>
          <w:kern w:val="2"/>
          <w:sz w:val="32"/>
          <w:szCs w:val="32"/>
          <w:highlight w:val="none"/>
          <w:lang w:val="en-US" w:eastAsia="zh-CN" w:bidi="ar-SA"/>
        </w:rPr>
        <w:t>17.</w:t>
      </w:r>
      <w:r>
        <w:rPr>
          <w:rFonts w:hint="eastAsia" w:ascii="仿宋_GB2312" w:hAnsi="仿宋_GB2312" w:eastAsia="仿宋_GB2312" w:cs="仿宋_GB2312"/>
          <w:kern w:val="2"/>
          <w:sz w:val="32"/>
          <w:szCs w:val="32"/>
          <w:highlight w:val="none"/>
          <w:lang w:val="zh-CN" w:eastAsia="zh-CN" w:bidi="ar-SA"/>
        </w:rPr>
        <w:t>职能转变。以人民美好生活为引导，统筹推进文化事业、文化产业、旅游业、广播电视事业融合发展和文物保护利用传承。用好文化创意、科技创新和社会投资等新动能，促进文化、旅游、广播电视和文物与相关产业融合发展。巩固旅游业的战略性支柱产业地位，提升国家文化软实力、国际旅游竞争力。</w:t>
      </w:r>
      <w:bookmarkEnd w:id="15"/>
      <w:bookmarkEnd w:id="16"/>
      <w:bookmarkEnd w:id="17"/>
    </w:p>
    <w:p>
      <w:pPr>
        <w:rPr>
          <w:rFonts w:hint="eastAsia" w:ascii="仿宋_GB2312" w:hAnsi="仿宋_GB2312" w:eastAsia="仿宋_GB2312" w:cs="仿宋_GB2312"/>
          <w:sz w:val="32"/>
          <w:szCs w:val="32"/>
          <w:highlight w:val="none"/>
          <w:lang w:eastAsia="zh-CN"/>
        </w:rPr>
      </w:pPr>
    </w:p>
    <w:p>
      <w:pPr>
        <w:pStyle w:val="4"/>
        <w:rPr>
          <w:rFonts w:hint="eastAsia" w:ascii="方正黑体简体" w:hAnsi="方正黑体简体" w:eastAsia="方正黑体简体" w:cs="方正黑体简体"/>
          <w:b w:val="0"/>
          <w:bCs w:val="0"/>
          <w:kern w:val="2"/>
          <w:sz w:val="32"/>
          <w:szCs w:val="32"/>
          <w:highlight w:val="none"/>
          <w:lang w:val="en-US" w:eastAsia="zh-CN" w:bidi="ar-SA"/>
        </w:rPr>
      </w:pPr>
      <w:bookmarkStart w:id="18" w:name="_Toc4491"/>
      <w:bookmarkStart w:id="19" w:name="_Toc15396601"/>
      <w:bookmarkStart w:id="20" w:name="_Toc15377200"/>
      <w:r>
        <w:rPr>
          <w:rFonts w:hint="eastAsia" w:ascii="方正黑体简体" w:hAnsi="方正黑体简体" w:eastAsia="方正黑体简体" w:cs="方正黑体简体"/>
          <w:b w:val="0"/>
          <w:bCs w:val="0"/>
          <w:kern w:val="2"/>
          <w:sz w:val="32"/>
          <w:szCs w:val="32"/>
          <w:highlight w:val="none"/>
          <w:lang w:val="en-US" w:eastAsia="zh-CN" w:bidi="ar-SA"/>
        </w:rPr>
        <w:t>二、机构设置</w:t>
      </w:r>
      <w:bookmarkEnd w:id="18"/>
      <w:bookmarkEnd w:id="19"/>
      <w:bookmarkEnd w:id="20"/>
    </w:p>
    <w:p>
      <w:pPr>
        <w:pStyle w:val="7"/>
        <w:adjustRightInd w:val="0"/>
        <w:snapToGrid w:val="0"/>
        <w:spacing w:before="93" w:line="600" w:lineRule="exact"/>
        <w:ind w:firstLine="672" w:firstLineChars="21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我单位为广元市文化广播电视和旅游局部门下属二级预算单位，根据单位职责分工，单位内设机构包括办公室、政策法规科、安全监督管理科、产业发展科、规划指导与资源开发科、艺术科、公共服务科、宣传科教科、内部监督与审计科、非物质文化遗产科、市场管理科、文物保护科、传媒管理发展科、安全传输保障科、博物馆管理科、财务科、人事科。本单位下属机构0个。</w:t>
      </w:r>
    </w:p>
    <w:p>
      <w:pPr>
        <w:pStyle w:val="3"/>
        <w:jc w:val="center"/>
        <w:rPr>
          <w:rFonts w:hint="eastAsia" w:ascii="Times New Roman" w:hAnsi="Times New Roman" w:eastAsia="方正小标宋简体" w:cs="方正小标宋简体"/>
          <w:b w:val="0"/>
          <w:color w:val="auto"/>
          <w:highlight w:val="none"/>
        </w:rPr>
      </w:pPr>
      <w:bookmarkStart w:id="21" w:name="_Toc15396602"/>
      <w:bookmarkStart w:id="22" w:name="_Toc15377204"/>
      <w:bookmarkStart w:id="23" w:name="_Toc24926"/>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21"/>
      <w:bookmarkEnd w:id="22"/>
      <w:bookmarkEnd w:id="23"/>
    </w:p>
    <w:p>
      <w:pPr>
        <w:rPr>
          <w:rFonts w:ascii="Times New Roman" w:hAnsi="Times New Roman"/>
          <w:color w:val="auto"/>
          <w:highlight w:val="none"/>
        </w:rPr>
      </w:pPr>
    </w:p>
    <w:p>
      <w:pPr>
        <w:pStyle w:val="4"/>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val="0"/>
          <w:kern w:val="2"/>
          <w:sz w:val="32"/>
          <w:szCs w:val="32"/>
          <w:highlight w:val="none"/>
          <w:lang w:val="en-US" w:eastAsia="zh-CN" w:bidi="ar-SA"/>
        </w:rPr>
      </w:pPr>
      <w:bookmarkStart w:id="24" w:name="_Toc15377205"/>
      <w:bookmarkStart w:id="25" w:name="_Toc15396603"/>
      <w:bookmarkStart w:id="26" w:name="_Toc5775"/>
      <w:r>
        <w:rPr>
          <w:rFonts w:hint="eastAsia" w:ascii="方正黑体简体" w:hAnsi="方正黑体简体" w:eastAsia="方正黑体简体" w:cs="方正黑体简体"/>
          <w:b w:val="0"/>
          <w:bCs w:val="0"/>
          <w:kern w:val="2"/>
          <w:sz w:val="32"/>
          <w:szCs w:val="32"/>
          <w:highlight w:val="none"/>
          <w:lang w:val="en-US" w:eastAsia="zh-CN" w:bidi="ar-SA"/>
        </w:rPr>
        <w:t>一、收入支出决算总体情况说明</w:t>
      </w:r>
      <w:bookmarkEnd w:id="24"/>
      <w:bookmarkEnd w:id="25"/>
      <w:bookmarkEnd w:id="26"/>
    </w:p>
    <w:p>
      <w:pPr>
        <w:pStyle w:val="32"/>
        <w:pageBreakBefore w:val="0"/>
        <w:widowControl w:val="0"/>
        <w:kinsoku/>
        <w:wordWrap/>
        <w:overflowPunct/>
        <w:topLinePunct w:val="0"/>
        <w:autoSpaceDE/>
        <w:autoSpaceDN/>
        <w:bidi w:val="0"/>
        <w:adjustRightInd/>
        <w:snapToGrid/>
        <w:spacing w:line="576" w:lineRule="exact"/>
        <w:ind w:firstLine="640"/>
        <w:textAlignment w:val="auto"/>
        <w:outlineLvl w:val="1"/>
        <w:rPr>
          <w:rFonts w:hint="eastAsia" w:ascii="仿宋_GB2312" w:hAnsi="仿宋_GB2312" w:eastAsia="仿宋_GB2312" w:cs="仿宋_GB2312"/>
          <w:kern w:val="2"/>
          <w:sz w:val="32"/>
          <w:szCs w:val="32"/>
          <w:highlight w:val="none"/>
          <w:lang w:val="en-US" w:eastAsia="zh-CN" w:bidi="ar-SA"/>
        </w:rPr>
      </w:pPr>
      <w:bookmarkStart w:id="27" w:name="_Toc27023"/>
      <w:bookmarkStart w:id="28" w:name="_Toc23725"/>
      <w:bookmarkStart w:id="29" w:name="_Toc31921"/>
      <w:r>
        <w:rPr>
          <w:rFonts w:hint="eastAsia" w:ascii="仿宋_GB2312" w:hAnsi="仿宋_GB2312" w:eastAsia="仿宋_GB2312" w:cs="仿宋_GB2312"/>
          <w:kern w:val="2"/>
          <w:sz w:val="32"/>
          <w:szCs w:val="32"/>
          <w:highlight w:val="none"/>
          <w:lang w:val="en-US" w:eastAsia="zh-CN" w:bidi="ar-SA"/>
        </w:rPr>
        <w:t>2024年度收入、支出总计均为1998万元。与2023年度相比，收入、支出总计各减少8816.72万元，下降81.53%。主要变动原因一是2024年航线轧差项目经费划拨市口岸物流中心，故收支大幅减少；二是2023年市口岸物流中心未单独设账，故2023年收支总计含市口岸物流中心收支；三是人员减少，人员经费和公用经费减少；四是项目经费减少。</w:t>
      </w:r>
      <w:bookmarkEnd w:id="27"/>
      <w:bookmarkEnd w:id="28"/>
      <w:bookmarkEnd w:id="29"/>
    </w:p>
    <w:p>
      <w:pPr>
        <w:keepNext w:val="0"/>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drawing>
          <wp:inline distT="0" distB="0" distL="114300" distR="114300">
            <wp:extent cx="4826000" cy="25527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（图1：收入、支出决算总计变动情况图）</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30" w:name="_Toc15377206"/>
      <w:bookmarkStart w:id="31" w:name="_Toc7707"/>
      <w:bookmarkStart w:id="32" w:name="_Toc15396604"/>
      <w:r>
        <w:rPr>
          <w:rFonts w:hint="eastAsia" w:ascii="方正黑体简体" w:hAnsi="方正黑体简体" w:eastAsia="方正黑体简体" w:cs="方正黑体简体"/>
          <w:b w:val="0"/>
          <w:bCs w:val="0"/>
          <w:kern w:val="2"/>
          <w:sz w:val="32"/>
          <w:szCs w:val="32"/>
          <w:highlight w:val="none"/>
          <w:lang w:val="en-US" w:eastAsia="zh-CN" w:bidi="ar-SA"/>
        </w:rPr>
        <w:t>二、收入决算情况说明</w:t>
      </w:r>
      <w:bookmarkEnd w:id="30"/>
      <w:bookmarkEnd w:id="31"/>
      <w:bookmarkEnd w:id="32"/>
    </w:p>
    <w:p>
      <w:pPr>
        <w:pStyle w:val="32"/>
        <w:pageBreakBefore w:val="0"/>
        <w:widowControl w:val="0"/>
        <w:kinsoku/>
        <w:wordWrap/>
        <w:overflowPunct/>
        <w:topLinePunct w:val="0"/>
        <w:autoSpaceDE/>
        <w:autoSpaceDN/>
        <w:bidi w:val="0"/>
        <w:adjustRightInd/>
        <w:snapToGrid/>
        <w:spacing w:line="576" w:lineRule="exact"/>
        <w:ind w:firstLine="640"/>
        <w:textAlignment w:val="auto"/>
        <w:outlineLvl w:val="1"/>
        <w:rPr>
          <w:rFonts w:hint="eastAsia" w:ascii="仿宋_GB2312" w:hAnsi="仿宋_GB2312" w:eastAsia="仿宋_GB2312" w:cs="仿宋_GB2312"/>
          <w:kern w:val="2"/>
          <w:sz w:val="32"/>
          <w:szCs w:val="32"/>
          <w:highlight w:val="none"/>
          <w:lang w:val="en-US" w:eastAsia="zh-CN" w:bidi="ar-SA"/>
        </w:rPr>
      </w:pPr>
      <w:bookmarkStart w:id="33" w:name="_Toc20374"/>
      <w:bookmarkStart w:id="34" w:name="_Toc16974"/>
      <w:bookmarkStart w:id="35" w:name="_Toc31185"/>
      <w:r>
        <w:rPr>
          <w:rFonts w:hint="eastAsia" w:ascii="仿宋_GB2312" w:hAnsi="仿宋_GB2312" w:eastAsia="仿宋_GB2312" w:cs="仿宋_GB2312"/>
          <w:kern w:val="2"/>
          <w:sz w:val="32"/>
          <w:szCs w:val="32"/>
          <w:highlight w:val="none"/>
          <w:lang w:val="en-US" w:eastAsia="zh-CN" w:bidi="ar-SA"/>
        </w:rPr>
        <w:t>2024年度本年收入合计1990.02万元，其中：一般公共预算财政拨款收入1989.74万元，占99.99%；其他收入0.29万元，占0.01%。</w:t>
      </w:r>
      <w:bookmarkEnd w:id="33"/>
      <w:bookmarkEnd w:id="34"/>
      <w:bookmarkEnd w:id="35"/>
    </w:p>
    <w:p>
      <w:pPr>
        <w:jc w:val="center"/>
        <w:rPr>
          <w:highlight w:val="none"/>
        </w:rPr>
      </w:pPr>
      <w:r>
        <w:rPr>
          <w:highlight w:val="none"/>
        </w:rPr>
        <w:drawing>
          <wp:inline distT="0" distB="0" distL="114300" distR="114300">
            <wp:extent cx="4388485" cy="2524760"/>
            <wp:effectExtent l="4445" t="5080" r="7620" b="22860"/>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7"/>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（图2：收入决算结构图）</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36" w:name="_Toc15377207"/>
      <w:bookmarkStart w:id="37" w:name="_Toc1645"/>
      <w:bookmarkStart w:id="38" w:name="_Toc15396605"/>
      <w:r>
        <w:rPr>
          <w:rFonts w:hint="eastAsia" w:ascii="方正黑体简体" w:hAnsi="方正黑体简体" w:eastAsia="方正黑体简体" w:cs="方正黑体简体"/>
          <w:b w:val="0"/>
          <w:bCs w:val="0"/>
          <w:kern w:val="2"/>
          <w:sz w:val="32"/>
          <w:szCs w:val="32"/>
          <w:highlight w:val="none"/>
          <w:lang w:val="en-US" w:eastAsia="zh-CN" w:bidi="ar-SA"/>
        </w:rPr>
        <w:t>三、支出决算情况说明</w:t>
      </w:r>
      <w:bookmarkEnd w:id="36"/>
      <w:bookmarkEnd w:id="37"/>
      <w:bookmarkEnd w:id="38"/>
    </w:p>
    <w:p>
      <w:pPr>
        <w:pStyle w:val="32"/>
        <w:pageBreakBefore w:val="0"/>
        <w:widowControl w:val="0"/>
        <w:kinsoku/>
        <w:wordWrap/>
        <w:overflowPunct/>
        <w:topLinePunct w:val="0"/>
        <w:autoSpaceDE/>
        <w:autoSpaceDN/>
        <w:bidi w:val="0"/>
        <w:adjustRightInd/>
        <w:snapToGrid/>
        <w:spacing w:line="576" w:lineRule="exact"/>
        <w:ind w:firstLine="640"/>
        <w:textAlignment w:val="auto"/>
        <w:outlineLvl w:val="1"/>
        <w:rPr>
          <w:rFonts w:hint="eastAsia" w:ascii="仿宋_GB2312" w:hAnsi="仿宋_GB2312" w:eastAsia="仿宋_GB2312" w:cs="仿宋_GB2312"/>
          <w:kern w:val="2"/>
          <w:sz w:val="32"/>
          <w:szCs w:val="32"/>
          <w:highlight w:val="none"/>
          <w:lang w:val="en-US" w:eastAsia="zh-CN" w:bidi="ar-SA"/>
        </w:rPr>
      </w:pPr>
      <w:bookmarkStart w:id="39" w:name="_Toc17978"/>
      <w:bookmarkStart w:id="40" w:name="_Toc6850"/>
      <w:r>
        <w:rPr>
          <w:rFonts w:hint="eastAsia" w:ascii="仿宋_GB2312" w:hAnsi="仿宋_GB2312" w:eastAsia="仿宋_GB2312" w:cs="仿宋_GB2312"/>
          <w:kern w:val="2"/>
          <w:sz w:val="32"/>
          <w:szCs w:val="32"/>
          <w:highlight w:val="none"/>
          <w:lang w:val="en-US" w:eastAsia="zh-CN" w:bidi="ar-SA"/>
        </w:rPr>
        <w:t>2024年度本年支出合计1998万元，其中：基本支出1196.18万元，占59.87%；项目支出801.82万元，占40.13%。</w:t>
      </w:r>
      <w:bookmarkEnd w:id="39"/>
      <w:bookmarkEnd w:id="40"/>
    </w:p>
    <w:p>
      <w:pPr>
        <w:ind w:firstLine="525" w:firstLineChars="250"/>
        <w:jc w:val="center"/>
        <w:rPr>
          <w:highlight w:val="none"/>
        </w:rPr>
      </w:pPr>
      <w:r>
        <w:rPr>
          <w:highlight w:val="none"/>
        </w:rPr>
        <w:drawing>
          <wp:inline distT="0" distB="0" distL="114300" distR="114300">
            <wp:extent cx="4131310" cy="2619375"/>
            <wp:effectExtent l="4445" t="4445" r="17145" b="5080"/>
            <wp:docPr id="24"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（图3：支出决算结构图）</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41" w:name="_Toc8995"/>
      <w:bookmarkStart w:id="42" w:name="_Toc15377208"/>
      <w:bookmarkStart w:id="43" w:name="_Toc15396606"/>
      <w:r>
        <w:rPr>
          <w:rFonts w:hint="eastAsia" w:ascii="方正黑体简体" w:hAnsi="方正黑体简体" w:eastAsia="方正黑体简体" w:cs="方正黑体简体"/>
          <w:b w:val="0"/>
          <w:bCs w:val="0"/>
          <w:kern w:val="2"/>
          <w:sz w:val="32"/>
          <w:szCs w:val="32"/>
          <w:highlight w:val="none"/>
          <w:lang w:val="en-US" w:eastAsia="zh-CN" w:bidi="ar-SA"/>
        </w:rPr>
        <w:t>四、财政拨款收入支出决算总体情况说明</w:t>
      </w:r>
      <w:bookmarkEnd w:id="41"/>
      <w:bookmarkEnd w:id="42"/>
      <w:bookmarkEnd w:id="43"/>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财政拨款收入、支出总计均为1997.71万元。与2023年度相比，财政拨款收入总计、支出总计各减少8762.73万元，下降81.43%。主要变动原因一是2024年航线轧差项目经费划拨市口岸物流中心，故收支大幅减少；二是2023年市口岸物流中心未单独设账，故2023年收支总计含市口岸物流中心收支；三是人员减少，人员经费和公用经费减少；四是项目经费减少。</w:t>
      </w:r>
    </w:p>
    <w:p>
      <w:pPr>
        <w:jc w:val="center"/>
        <w:rPr>
          <w:rFonts w:hint="eastAsia" w:ascii="Times New Roman" w:hAnsi="Times New Roman" w:eastAsia="仿宋_GB2312" w:cs="仿宋_GB2312"/>
          <w:color w:val="auto"/>
          <w:kern w:val="2"/>
          <w:sz w:val="32"/>
          <w:szCs w:val="32"/>
          <w:highlight w:val="none"/>
          <w:lang w:val="en-US" w:eastAsia="zh-CN" w:bidi="ar-SA"/>
        </w:rPr>
      </w:pPr>
      <w:r>
        <w:rPr>
          <w:highlight w:val="none"/>
        </w:rPr>
        <w:drawing>
          <wp:inline distT="0" distB="0" distL="114300" distR="114300">
            <wp:extent cx="4862830" cy="2695575"/>
            <wp:effectExtent l="4445" t="5080" r="9525" b="44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（图4：财政拨款收、支决算总计变动情况）</w:t>
      </w:r>
    </w:p>
    <w:p>
      <w:pPr>
        <w:tabs>
          <w:tab w:val="right" w:pos="8306"/>
        </w:tabs>
        <w:spacing w:line="600" w:lineRule="exact"/>
        <w:ind w:firstLine="640"/>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44" w:name="_Toc10772"/>
      <w:bookmarkStart w:id="45" w:name="_Toc15377209"/>
      <w:bookmarkStart w:id="46" w:name="_Toc15396607"/>
      <w:r>
        <w:rPr>
          <w:rFonts w:hint="eastAsia" w:ascii="方正黑体简体" w:hAnsi="方正黑体简体" w:eastAsia="方正黑体简体" w:cs="方正黑体简体"/>
          <w:b w:val="0"/>
          <w:bCs w:val="0"/>
          <w:kern w:val="2"/>
          <w:sz w:val="32"/>
          <w:szCs w:val="32"/>
          <w:highlight w:val="none"/>
          <w:lang w:val="en-US" w:eastAsia="zh-CN" w:bidi="ar-SA"/>
        </w:rPr>
        <w:t>五、一般公共预算财政拨款支出决算情况说明</w:t>
      </w:r>
      <w:bookmarkEnd w:id="44"/>
      <w:bookmarkEnd w:id="45"/>
      <w:bookmarkEnd w:id="46"/>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47" w:name="_Toc15377210"/>
      <w:bookmarkStart w:id="48" w:name="_Toc9330"/>
      <w:bookmarkStart w:id="49" w:name="_Toc11608"/>
      <w:r>
        <w:rPr>
          <w:rFonts w:hint="eastAsia" w:ascii="方正楷体简体" w:hAnsi="方正楷体简体" w:eastAsia="方正楷体简体" w:cs="方正楷体简体"/>
          <w:b w:val="0"/>
          <w:bCs/>
          <w:color w:val="auto"/>
          <w:sz w:val="32"/>
          <w:szCs w:val="32"/>
          <w:highlight w:val="none"/>
        </w:rPr>
        <w:t>（一）一般公共预算财政拨款支出决算总体情况</w:t>
      </w:r>
      <w:bookmarkEnd w:id="47"/>
      <w:bookmarkEnd w:id="48"/>
      <w:bookmarkEnd w:id="49"/>
    </w:p>
    <w:p>
      <w:pPr>
        <w:pStyle w:val="32"/>
        <w:pageBreakBefore w:val="0"/>
        <w:widowControl w:val="0"/>
        <w:kinsoku/>
        <w:wordWrap/>
        <w:overflowPunct/>
        <w:topLinePunct w:val="0"/>
        <w:autoSpaceDE/>
        <w:autoSpaceDN/>
        <w:bidi w:val="0"/>
        <w:adjustRightInd/>
        <w:snapToGrid/>
        <w:spacing w:line="576" w:lineRule="exact"/>
        <w:ind w:firstLine="640"/>
        <w:textAlignment w:val="auto"/>
        <w:outlineLvl w:val="1"/>
        <w:rPr>
          <w:rFonts w:hint="eastAsia" w:ascii="仿宋_GB2312" w:hAnsi="仿宋_GB2312" w:eastAsia="仿宋_GB2312" w:cs="仿宋_GB2312"/>
          <w:kern w:val="2"/>
          <w:sz w:val="32"/>
          <w:szCs w:val="32"/>
          <w:highlight w:val="none"/>
          <w:lang w:val="en-US" w:eastAsia="zh-CN" w:bidi="ar-SA"/>
        </w:rPr>
      </w:pPr>
      <w:bookmarkStart w:id="50" w:name="_Toc31094"/>
      <w:bookmarkStart w:id="51" w:name="_Toc10111"/>
      <w:r>
        <w:rPr>
          <w:rFonts w:hint="eastAsia" w:ascii="仿宋_GB2312" w:hAnsi="仿宋_GB2312" w:eastAsia="仿宋_GB2312" w:cs="仿宋_GB2312"/>
          <w:kern w:val="2"/>
          <w:sz w:val="32"/>
          <w:szCs w:val="32"/>
          <w:highlight w:val="none"/>
          <w:lang w:val="en-US" w:eastAsia="zh-CN" w:bidi="ar-SA"/>
        </w:rPr>
        <w:t>2024年度一般公共预算财政拨款支出1997.71万元，占本年支出合计的99.99%。与2023年度相比，一般公共预算财政拨款支出减少8762.73 万元，下降81.43%。主要变动原因一是2024年航线轧差项目经费划拨市口岸物流中心，故收支大幅减少；二是2023年市口岸物流中心未单独设账，故2023年收支总计含市口岸物流中心收支；三是人员减少，人员经费和公用经费减少；四是项目经费减少。</w:t>
      </w:r>
      <w:bookmarkEnd w:id="50"/>
      <w:bookmarkEnd w:id="51"/>
    </w:p>
    <w:p>
      <w:pPr>
        <w:jc w:val="center"/>
        <w:rPr>
          <w:rFonts w:hint="eastAsia"/>
          <w:highlight w:val="none"/>
          <w:lang w:val="en-US" w:eastAsia="zh-CN"/>
        </w:rPr>
      </w:pPr>
      <w:r>
        <w:rPr>
          <w:highlight w:val="none"/>
        </w:rPr>
        <w:drawing>
          <wp:inline distT="0" distB="0" distL="114300" distR="114300">
            <wp:extent cx="5218430" cy="2736215"/>
            <wp:effectExtent l="5080" t="4445" r="15240" b="2159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（图5：一般公共预算财政拨款支出决算变动情况）</w:t>
      </w:r>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52" w:name="_Toc6401"/>
      <w:bookmarkStart w:id="53" w:name="_Toc15377211"/>
      <w:bookmarkStart w:id="54" w:name="_Toc15370"/>
      <w:r>
        <w:rPr>
          <w:rFonts w:hint="eastAsia" w:ascii="方正楷体简体" w:hAnsi="方正楷体简体" w:eastAsia="方正楷体简体" w:cs="方正楷体简体"/>
          <w:b w:val="0"/>
          <w:bCs/>
          <w:color w:val="auto"/>
          <w:sz w:val="32"/>
          <w:szCs w:val="32"/>
          <w:highlight w:val="none"/>
        </w:rPr>
        <w:t>（二）一般公共预算财政拨款支出决算结构情况</w:t>
      </w:r>
      <w:bookmarkEnd w:id="52"/>
      <w:bookmarkEnd w:id="53"/>
      <w:bookmarkEnd w:id="54"/>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一般公共预算财政拨款支出1997.71万元，主要用于以下方面：文化旅游体育与传媒支出1678.21万元，占84.01%；社会保障和就业支出208.51万元，占10.44%；卫生健康支出34.31万元，占1.72%；住房保障支出76.68万元，占3.84%。</w:t>
      </w:r>
    </w:p>
    <w:p>
      <w:pPr>
        <w:pStyle w:val="7"/>
        <w:jc w:val="center"/>
        <w:rPr>
          <w:rFonts w:hint="eastAsia"/>
          <w:highlight w:val="none"/>
          <w:lang w:val="en-US" w:eastAsia="zh-CN"/>
        </w:rPr>
      </w:pPr>
      <w:r>
        <w:rPr>
          <w:highlight w:val="none"/>
        </w:rPr>
        <w:drawing>
          <wp:inline distT="0" distB="0" distL="114300" distR="114300">
            <wp:extent cx="4744085" cy="2548890"/>
            <wp:effectExtent l="4445" t="5080" r="13970" b="1778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jc w:val="center"/>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（图6：一般公共预算财政拨款支出决算结构）</w:t>
      </w:r>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55" w:name="_Toc5977"/>
      <w:bookmarkStart w:id="56" w:name="_Toc24014"/>
      <w:bookmarkStart w:id="57" w:name="_Toc15377212"/>
      <w:r>
        <w:rPr>
          <w:rFonts w:hint="eastAsia" w:ascii="方正楷体简体" w:hAnsi="方正楷体简体" w:eastAsia="方正楷体简体" w:cs="方正楷体简体"/>
          <w:b w:val="0"/>
          <w:bCs/>
          <w:color w:val="auto"/>
          <w:sz w:val="32"/>
          <w:szCs w:val="32"/>
          <w:highlight w:val="none"/>
        </w:rPr>
        <w:t>（三）一般公共预算财政拨款支出决算具体情况</w:t>
      </w:r>
      <w:bookmarkEnd w:id="55"/>
      <w:bookmarkEnd w:id="56"/>
      <w:bookmarkEnd w:id="57"/>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58" w:name="_Toc15378460"/>
      <w:bookmarkStart w:id="59" w:name="_Toc15377213"/>
      <w:bookmarkStart w:id="60" w:name="_Toc15377444"/>
      <w:r>
        <w:rPr>
          <w:rFonts w:hint="eastAsia" w:ascii="仿宋_GB2312" w:hAnsi="仿宋_GB2312" w:eastAsia="仿宋_GB2312" w:cs="仿宋_GB2312"/>
          <w:kern w:val="2"/>
          <w:sz w:val="32"/>
          <w:szCs w:val="32"/>
          <w:highlight w:val="none"/>
          <w:lang w:val="en-US" w:eastAsia="zh-CN" w:bidi="ar-SA"/>
        </w:rPr>
        <w:t>2024年度一般公共预算财政拨款支出决算数为1997.71，完成预算100%。其中：</w:t>
      </w:r>
      <w:bookmarkEnd w:id="58"/>
      <w:bookmarkEnd w:id="59"/>
      <w:bookmarkEnd w:id="60"/>
    </w:p>
    <w:p>
      <w:pPr>
        <w:spacing w:line="600" w:lineRule="exact"/>
        <w:ind w:firstLine="642" w:firstLineChars="200"/>
        <w:rPr>
          <w:rStyle w:val="19"/>
          <w:rFonts w:hint="eastAsia" w:ascii="仿宋_GB2312" w:hAnsi="仿宋_GB2312" w:eastAsia="仿宋_GB2312" w:cs="仿宋_GB2312"/>
          <w:b w:val="0"/>
          <w:bCs/>
          <w:color w:val="auto"/>
          <w:sz w:val="32"/>
          <w:szCs w:val="32"/>
          <w:highlight w:val="none"/>
          <w:lang w:val="en-US" w:eastAsia="zh-CN"/>
        </w:rPr>
      </w:pPr>
      <w:r>
        <w:rPr>
          <w:rStyle w:val="19"/>
          <w:rFonts w:hint="eastAsia" w:ascii="仿宋_GB2312" w:hAnsi="仿宋_GB2312" w:eastAsia="仿宋_GB2312" w:cs="仿宋_GB2312"/>
          <w:bCs/>
          <w:color w:val="auto"/>
          <w:sz w:val="32"/>
          <w:szCs w:val="32"/>
          <w:highlight w:val="none"/>
          <w:lang w:val="en-US" w:eastAsia="zh-CN"/>
        </w:rPr>
        <w:t>1</w:t>
      </w:r>
      <w:r>
        <w:rPr>
          <w:rStyle w:val="19"/>
          <w:rFonts w:hint="eastAsia" w:ascii="仿宋_GB2312" w:hAnsi="仿宋_GB2312" w:eastAsia="仿宋_GB2312" w:cs="仿宋_GB2312"/>
          <w:bCs/>
          <w:color w:val="auto"/>
          <w:sz w:val="32"/>
          <w:szCs w:val="32"/>
          <w:highlight w:val="none"/>
        </w:rPr>
        <w:t>.文化旅游体育与传媒（类）支出决算为1678.21万元，完成预算</w:t>
      </w:r>
      <w:r>
        <w:rPr>
          <w:rStyle w:val="19"/>
          <w:rFonts w:hint="eastAsia" w:ascii="仿宋_GB2312" w:hAnsi="仿宋_GB2312" w:eastAsia="仿宋_GB2312" w:cs="仿宋_GB2312"/>
          <w:bCs/>
          <w:color w:val="auto"/>
          <w:sz w:val="32"/>
          <w:szCs w:val="32"/>
          <w:highlight w:val="none"/>
          <w:lang w:val="en-US" w:eastAsia="zh-CN"/>
        </w:rPr>
        <w:t>100</w:t>
      </w:r>
      <w:r>
        <w:rPr>
          <w:rStyle w:val="19"/>
          <w:rFonts w:hint="eastAsia" w:ascii="仿宋_GB2312" w:hAnsi="仿宋_GB2312" w:eastAsia="仿宋_GB2312" w:cs="仿宋_GB2312"/>
          <w:bCs/>
          <w:color w:val="auto"/>
          <w:sz w:val="32"/>
          <w:szCs w:val="32"/>
          <w:highlight w:val="none"/>
        </w:rPr>
        <w:t>%。</w:t>
      </w:r>
      <w:r>
        <w:rPr>
          <w:rStyle w:val="19"/>
          <w:rFonts w:hint="eastAsia" w:ascii="仿宋_GB2312" w:hAnsi="仿宋_GB2312" w:eastAsia="仿宋_GB2312" w:cs="仿宋_GB2312"/>
          <w:bCs/>
          <w:color w:val="auto"/>
          <w:sz w:val="32"/>
          <w:szCs w:val="32"/>
          <w:highlight w:val="none"/>
          <w:lang w:val="en-US" w:eastAsia="zh-CN"/>
        </w:rPr>
        <w:t>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（1）文化体育与传媒（类）文化和旅游（款）行政运行（项）支出决算为776.19万元，完成预算100%，决算数与预算数持平。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（2）文化体育与传媒（类）文化和旅游（款）一般行政管理事务（项）支出决算为171.97万元，完成预算100%，决算数与预算数持平。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（3）文化体育与传媒（类）文化和旅游（款）文化活动（项）支出决算为168.60万元，完成预算100%，决算数与预算数持平。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（4）文化体育与传媒（类）文化和旅游（款）群众文化（项）支出决算为20万元，完成预算100%，决算数与预算数持平。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（5）文化体育与传媒（类）文化和旅游（款）文化和旅游交流与合作（项）支出决算为20万元，完成预算100%，决算数与预算数持平。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（6）文化体育与传媒（类）文化和旅游（款）文化和旅游市场管理（项）支出决算为35万元，完成预算100%，决算数与预算数持平。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（7）文化体育与传媒（类）文化和旅游（款）旅游宣传（项）支出决算为23.05万元，完成预算100%，决算数与预算数持平。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（8）文化体育与传媒（类）文化和旅游（款）文化和旅游管理事务（项）支出决算为307.85万元，完成预算100%，决算数与预算数持平。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（9）文化体育与传媒（类）文化和旅游（款）其他文化和旅游支出（项）支出决算为66.84万元，完成预算100%，决算数与预算数持平。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（10）文化体育与传媒（类）文物（款）文物保护（项）支出决算为62.33万元，完成预算100%，决算数与预算数持平。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1" w:name="_Toc5320"/>
      <w:r>
        <w:rPr>
          <w:rFonts w:hint="eastAsia" w:ascii="仿宋_GB2312" w:hAnsi="仿宋_GB2312" w:eastAsia="仿宋_GB2312" w:cs="仿宋_GB2312"/>
          <w:kern w:val="2"/>
          <w:sz w:val="32"/>
          <w:szCs w:val="32"/>
          <w:highlight w:val="none"/>
          <w:lang w:val="en-US" w:eastAsia="zh-CN" w:bidi="ar-SA"/>
        </w:rPr>
        <w:t>（11）文化体育与传媒（类）文物（款）其他文物支出（项）支出决算为26.39万元，完成预算100%，决算数与预算数持平。</w:t>
      </w:r>
      <w:bookmarkEnd w:id="61"/>
    </w:p>
    <w:p>
      <w:pPr>
        <w:pStyle w:val="2"/>
        <w:spacing w:before="0" w:line="576" w:lineRule="exact"/>
        <w:ind w:firstLine="642" w:firstLineChars="200"/>
        <w:jc w:val="both"/>
        <w:rPr>
          <w:rFonts w:ascii="仿宋" w:eastAsia="仿宋"/>
          <w:b/>
          <w:bCs/>
          <w:color w:val="auto"/>
          <w:highlight w:val="none"/>
        </w:rPr>
      </w:pPr>
      <w:r>
        <w:rPr>
          <w:rStyle w:val="19"/>
          <w:rFonts w:hint="eastAsia" w:ascii="仿宋_GB2312" w:hAnsi="仿宋_GB2312" w:eastAsia="仿宋_GB2312" w:cs="仿宋_GB2312"/>
          <w:b/>
          <w:bCs/>
          <w:color w:val="auto"/>
          <w:kern w:val="2"/>
          <w:sz w:val="32"/>
          <w:szCs w:val="32"/>
          <w:highlight w:val="none"/>
          <w:lang w:val="en-US" w:eastAsia="zh-CN" w:bidi="ar-SA"/>
        </w:rPr>
        <w:t>2 .社会保障和就业（类）支出决算为208.51万元，完成预算100%，其中：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2" w:name="_Toc8147"/>
      <w:r>
        <w:rPr>
          <w:rFonts w:hint="eastAsia" w:ascii="仿宋_GB2312" w:hAnsi="仿宋_GB2312" w:eastAsia="仿宋_GB2312" w:cs="仿宋_GB2312"/>
          <w:kern w:val="2"/>
          <w:sz w:val="32"/>
          <w:szCs w:val="32"/>
          <w:highlight w:val="none"/>
          <w:lang w:val="en-US" w:eastAsia="zh-CN" w:bidi="ar-SA"/>
        </w:rPr>
        <w:t>（1）社会保障和就业（类）人力资源和社会保障管理事务（款）引进人才费用（项）支出决算为50.60万元，完成预算100%，决算数与预算数持平。</w:t>
      </w:r>
      <w:bookmarkEnd w:id="62"/>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3" w:name="_Toc8284"/>
      <w:r>
        <w:rPr>
          <w:rFonts w:hint="eastAsia" w:ascii="仿宋_GB2312" w:hAnsi="仿宋_GB2312" w:eastAsia="仿宋_GB2312" w:cs="仿宋_GB2312"/>
          <w:kern w:val="2"/>
          <w:sz w:val="32"/>
          <w:szCs w:val="32"/>
          <w:highlight w:val="none"/>
          <w:lang w:val="en-US" w:eastAsia="zh-CN" w:bidi="ar-SA"/>
        </w:rPr>
        <w:t>（2）社会保障和就业（类）行政事业单位养老支出（款）  行政单位离退休（项）支出决算为50.22万元，完成预算100%，决算数与预算数持平。</w:t>
      </w:r>
      <w:bookmarkEnd w:id="63"/>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4" w:name="_Toc30385"/>
      <w:r>
        <w:rPr>
          <w:rFonts w:hint="eastAsia" w:ascii="仿宋_GB2312" w:hAnsi="仿宋_GB2312" w:eastAsia="仿宋_GB2312" w:cs="仿宋_GB2312"/>
          <w:kern w:val="2"/>
          <w:sz w:val="32"/>
          <w:szCs w:val="32"/>
          <w:highlight w:val="none"/>
          <w:lang w:val="en-US" w:eastAsia="zh-CN" w:bidi="ar-SA"/>
        </w:rPr>
        <w:t>（3）社会保障和就业（类）行政事业单位养老支出（款）  机关事业单位基本养老保险缴费支出（项）支出决算为89.11万元，完成预算100%，决算数与预算数持平。</w:t>
      </w:r>
      <w:bookmarkEnd w:id="64"/>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5" w:name="_Toc29969"/>
      <w:r>
        <w:rPr>
          <w:rFonts w:hint="eastAsia" w:ascii="仿宋_GB2312" w:hAnsi="仿宋_GB2312" w:eastAsia="仿宋_GB2312" w:cs="仿宋_GB2312"/>
          <w:kern w:val="2"/>
          <w:sz w:val="32"/>
          <w:szCs w:val="32"/>
          <w:highlight w:val="none"/>
          <w:lang w:val="en-US" w:eastAsia="zh-CN" w:bidi="ar-SA"/>
        </w:rPr>
        <w:t>（4）社会保障和就业（类）行政事业单位养老支出（款）  机关事业单位职业年金缴费支出（项）支出决算为17.86万元，完成预算100%，决算数与预算数持平。</w:t>
      </w:r>
      <w:bookmarkEnd w:id="65"/>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66" w:name="_Toc6725"/>
      <w:r>
        <w:rPr>
          <w:rFonts w:hint="eastAsia" w:ascii="仿宋_GB2312" w:hAnsi="仿宋_GB2312" w:eastAsia="仿宋_GB2312" w:cs="仿宋_GB2312"/>
          <w:kern w:val="2"/>
          <w:sz w:val="32"/>
          <w:szCs w:val="32"/>
          <w:highlight w:val="none"/>
          <w:lang w:val="en-US" w:eastAsia="zh-CN" w:bidi="ar-SA"/>
        </w:rPr>
        <w:t>（5）社会保障和就业（类）其他社会保障和就业支出（款）其他社会保障和就业支出（项）支出决算为0.72万元，完成预算100%，决算数与预算数持平。</w:t>
      </w:r>
      <w:bookmarkEnd w:id="66"/>
    </w:p>
    <w:p>
      <w:pPr>
        <w:spacing w:line="576" w:lineRule="exact"/>
        <w:ind w:firstLine="626" w:firstLineChars="195"/>
        <w:rPr>
          <w:rFonts w:hint="eastAsia" w:ascii="Times New Roman" w:hAnsi="Times New Roman" w:eastAsia="仿宋_GB2312" w:cs="仿宋_GB2312"/>
          <w:kern w:val="2"/>
          <w:sz w:val="32"/>
          <w:szCs w:val="32"/>
          <w:highlight w:val="none"/>
          <w:lang w:val="en-US" w:eastAsia="zh-CN" w:bidi="ar-SA"/>
        </w:rPr>
      </w:pPr>
      <w:r>
        <w:rPr>
          <w:rStyle w:val="19"/>
          <w:rFonts w:hint="eastAsia" w:ascii="仿宋_GB2312" w:hAnsi="仿宋_GB2312" w:eastAsia="仿宋_GB2312" w:cs="仿宋_GB2312"/>
          <w:b/>
          <w:bCs/>
          <w:color w:val="auto"/>
          <w:kern w:val="2"/>
          <w:sz w:val="32"/>
          <w:szCs w:val="32"/>
          <w:highlight w:val="none"/>
          <w:lang w:val="en-US" w:eastAsia="zh-CN" w:bidi="ar-SA"/>
        </w:rPr>
        <w:t>3.卫生健康（类）行政事业单位医疗（款）行政单位医疗（项）支出决算为34.31万元，完成预算100%，决算数与预算数持平。</w:t>
      </w:r>
    </w:p>
    <w:p>
      <w:pPr>
        <w:spacing w:line="576" w:lineRule="exact"/>
        <w:ind w:firstLine="626" w:firstLineChars="195"/>
        <w:rPr>
          <w:rFonts w:hint="eastAsia" w:ascii="Times New Roman" w:hAnsi="Times New Roman" w:eastAsia="仿宋_GB2312" w:cs="仿宋_GB2312"/>
          <w:kern w:val="2"/>
          <w:sz w:val="32"/>
          <w:szCs w:val="32"/>
          <w:highlight w:val="none"/>
          <w:lang w:val="en-US" w:eastAsia="zh-CN" w:bidi="ar-SA"/>
        </w:rPr>
      </w:pPr>
      <w:r>
        <w:rPr>
          <w:rStyle w:val="19"/>
          <w:rFonts w:hint="eastAsia" w:ascii="仿宋_GB2312" w:hAnsi="仿宋_GB2312" w:eastAsia="仿宋_GB2312" w:cs="仿宋_GB2312"/>
          <w:bCs/>
          <w:color w:val="auto"/>
          <w:kern w:val="2"/>
          <w:sz w:val="32"/>
          <w:szCs w:val="32"/>
          <w:highlight w:val="none"/>
          <w:lang w:val="en-US" w:eastAsia="zh-CN" w:bidi="ar-SA"/>
        </w:rPr>
        <w:t>4.住房保障支出（类）住房改革支出（款）住房公积金（项）支出决算为76.68万元，</w:t>
      </w:r>
      <w:r>
        <w:rPr>
          <w:rStyle w:val="19"/>
          <w:rFonts w:hint="eastAsia" w:ascii="仿宋_GB2312" w:hAnsi="仿宋_GB2312" w:eastAsia="仿宋_GB2312" w:cs="仿宋_GB2312"/>
          <w:b/>
          <w:bCs/>
          <w:color w:val="auto"/>
          <w:kern w:val="2"/>
          <w:sz w:val="32"/>
          <w:szCs w:val="32"/>
          <w:highlight w:val="none"/>
          <w:lang w:val="en-US" w:eastAsia="zh-CN" w:bidi="ar-SA"/>
        </w:rPr>
        <w:t>完成预算100%，决算数与预算数持平。</w:t>
      </w:r>
    </w:p>
    <w:p>
      <w:pPr>
        <w:tabs>
          <w:tab w:val="right" w:pos="8306"/>
        </w:tabs>
        <w:spacing w:line="600" w:lineRule="exact"/>
        <w:ind w:firstLine="640"/>
        <w:outlineLvl w:val="1"/>
        <w:rPr>
          <w:rStyle w:val="22"/>
          <w:rFonts w:ascii="Times New Roman" w:hAnsi="Times New Roman"/>
          <w:color w:val="auto"/>
          <w:highlight w:val="none"/>
        </w:rPr>
      </w:pPr>
      <w:bookmarkStart w:id="67" w:name="_Toc15396608"/>
      <w:bookmarkStart w:id="68" w:name="_Toc15377214"/>
      <w:bookmarkStart w:id="69" w:name="_Toc26509"/>
      <w:r>
        <w:rPr>
          <w:rFonts w:hint="eastAsia" w:ascii="方正黑体简体" w:hAnsi="方正黑体简体" w:eastAsia="方正黑体简体" w:cs="方正黑体简体"/>
          <w:b w:val="0"/>
          <w:bCs w:val="0"/>
          <w:kern w:val="2"/>
          <w:sz w:val="32"/>
          <w:szCs w:val="32"/>
          <w:highlight w:val="none"/>
          <w:lang w:val="en-US" w:eastAsia="zh-CN" w:bidi="ar-SA"/>
        </w:rPr>
        <w:t>六、一般公共预算财政拨款基本支出决算情况说明</w:t>
      </w:r>
      <w:bookmarkEnd w:id="67"/>
      <w:bookmarkEnd w:id="68"/>
      <w:bookmarkEnd w:id="69"/>
      <w:r>
        <w:rPr>
          <w:rStyle w:val="22"/>
          <w:rFonts w:ascii="Times New Roman" w:hAnsi="Times New Roman" w:eastAsia="黑体"/>
          <w:b w:val="0"/>
          <w:color w:val="auto"/>
          <w:highlight w:val="none"/>
        </w:rPr>
        <w:tab/>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70" w:name="_Toc2294"/>
      <w:r>
        <w:rPr>
          <w:rFonts w:hint="eastAsia" w:ascii="仿宋_GB2312" w:hAnsi="仿宋_GB2312" w:eastAsia="仿宋_GB2312" w:cs="仿宋_GB2312"/>
          <w:kern w:val="2"/>
          <w:sz w:val="32"/>
          <w:szCs w:val="32"/>
          <w:highlight w:val="none"/>
          <w:lang w:val="en-US" w:eastAsia="zh-CN" w:bidi="ar-SA"/>
        </w:rPr>
        <w:t>2024年度一般公共预算财政拨款基本支出1195.9万元，其中：</w:t>
      </w:r>
      <w:bookmarkEnd w:id="70"/>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71" w:name="_Toc21183"/>
      <w:r>
        <w:rPr>
          <w:rFonts w:hint="eastAsia" w:ascii="仿宋_GB2312" w:hAnsi="仿宋_GB2312" w:eastAsia="仿宋_GB2312" w:cs="仿宋_GB2312"/>
          <w:kern w:val="2"/>
          <w:sz w:val="32"/>
          <w:szCs w:val="32"/>
          <w:highlight w:val="none"/>
          <w:lang w:val="en-US" w:eastAsia="zh-CN" w:bidi="ar-SA"/>
        </w:rPr>
        <w:t>人员经费1051.47万元，主要包括：基本工资、津贴补贴、奖金、绩效工资、机关事业单位基本养老保险缴费、职业年金缴费、职工基本医疗保险缴费、其他社会保障缴费、住房公积金、生活补助、奖励金、其他对个人和家庭的补助支出等。</w:t>
      </w:r>
      <w:r>
        <w:rPr>
          <w:rFonts w:hint="eastAsia" w:ascii="仿宋_GB2312" w:hAnsi="仿宋_GB2312" w:eastAsia="仿宋_GB2312" w:cs="仿宋_GB2312"/>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w:t>
      </w:r>
      <w:r>
        <w:rPr>
          <w:rFonts w:hint="eastAsia" w:ascii="仿宋_GB2312" w:hAnsi="仿宋_GB2312" w:eastAsia="仿宋_GB2312" w:cs="仿宋_GB2312"/>
          <w:kern w:val="2"/>
          <w:sz w:val="32"/>
          <w:szCs w:val="32"/>
          <w:highlight w:val="none"/>
          <w:lang w:val="en-US" w:eastAsia="zh-CN" w:bidi="ar-SA"/>
        </w:rPr>
        <w:t>　公用经费144.43万元，主要包括：办公费、印刷费、水费、电费、邮电费、物业管理费、差旅费、维修（护）费、培训费、公务接待费、劳务费、工会经费、公务用车运行维护费、其他交通费用、其他商品和服务支出等。</w:t>
      </w:r>
      <w:bookmarkEnd w:id="71"/>
    </w:p>
    <w:p>
      <w:pPr>
        <w:tabs>
          <w:tab w:val="right" w:pos="8306"/>
        </w:tabs>
        <w:spacing w:line="600" w:lineRule="exact"/>
        <w:ind w:firstLine="640"/>
        <w:outlineLvl w:val="1"/>
        <w:rPr>
          <w:rFonts w:hint="eastAsia" w:ascii="Times New Roman" w:hAnsi="Times New Roman" w:eastAsia="仿宋_GB2312" w:cs="仿宋_GB2312"/>
          <w:color w:val="auto"/>
          <w:kern w:val="2"/>
          <w:sz w:val="32"/>
          <w:szCs w:val="32"/>
          <w:highlight w:val="none"/>
          <w:lang w:val="en-US" w:eastAsia="zh-CN" w:bidi="ar-SA"/>
        </w:rPr>
      </w:pPr>
      <w:bookmarkStart w:id="72" w:name="_Toc15396609"/>
      <w:bookmarkStart w:id="73" w:name="_Toc14989"/>
      <w:bookmarkStart w:id="74" w:name="_Toc15377215"/>
      <w:r>
        <w:rPr>
          <w:rFonts w:hint="eastAsia" w:ascii="方正黑体简体" w:hAnsi="方正黑体简体" w:eastAsia="方正黑体简体" w:cs="方正黑体简体"/>
          <w:b w:val="0"/>
          <w:bCs w:val="0"/>
          <w:kern w:val="2"/>
          <w:sz w:val="32"/>
          <w:szCs w:val="32"/>
          <w:highlight w:val="none"/>
          <w:lang w:val="en-US" w:eastAsia="zh-CN" w:bidi="ar-SA"/>
        </w:rPr>
        <w:t>七、财政拨款“三公”经费支出决算情况说明</w:t>
      </w:r>
      <w:bookmarkEnd w:id="72"/>
      <w:bookmarkEnd w:id="73"/>
      <w:bookmarkEnd w:id="74"/>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75" w:name="_Toc31752"/>
      <w:bookmarkStart w:id="76" w:name="_Toc18120"/>
      <w:bookmarkStart w:id="77" w:name="_Toc15377216"/>
      <w:r>
        <w:rPr>
          <w:rFonts w:hint="eastAsia" w:ascii="方正楷体简体" w:hAnsi="方正楷体简体" w:eastAsia="方正楷体简体" w:cs="方正楷体简体"/>
          <w:b w:val="0"/>
          <w:bCs/>
          <w:color w:val="auto"/>
          <w:sz w:val="32"/>
          <w:szCs w:val="32"/>
          <w:highlight w:val="none"/>
        </w:rPr>
        <w:t>（一）“三公”经费财政拨款支出决算总体情况说明</w:t>
      </w:r>
      <w:bookmarkEnd w:id="75"/>
      <w:bookmarkEnd w:id="76"/>
      <w:bookmarkEnd w:id="77"/>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78" w:name="_Toc21874"/>
      <w:r>
        <w:rPr>
          <w:rFonts w:hint="eastAsia" w:ascii="仿宋_GB2312" w:hAnsi="仿宋_GB2312" w:eastAsia="仿宋_GB2312" w:cs="仿宋_GB2312"/>
          <w:kern w:val="2"/>
          <w:sz w:val="32"/>
          <w:szCs w:val="32"/>
          <w:highlight w:val="none"/>
          <w:lang w:val="en-US" w:eastAsia="zh-CN" w:bidi="ar-SA"/>
        </w:rPr>
        <w:t>2024年度“三公”经费财政拨款支出决算为26.52万元，完成预算100%，较上年度减少7.34 万元，下降21.68%。决算数与预算数持平。</w:t>
      </w:r>
      <w:bookmarkEnd w:id="78"/>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79" w:name="_Toc20633"/>
      <w:bookmarkStart w:id="80" w:name="_Toc15377217"/>
      <w:bookmarkStart w:id="81" w:name="_Toc5639"/>
      <w:r>
        <w:rPr>
          <w:rFonts w:hint="eastAsia" w:ascii="方正楷体简体" w:hAnsi="方正楷体简体" w:eastAsia="方正楷体简体" w:cs="方正楷体简体"/>
          <w:b w:val="0"/>
          <w:bCs/>
          <w:color w:val="auto"/>
          <w:sz w:val="32"/>
          <w:szCs w:val="32"/>
          <w:highlight w:val="none"/>
        </w:rPr>
        <w:t>（二）“三公”经费财政拨款支出决算具体情况说明</w:t>
      </w:r>
      <w:bookmarkEnd w:id="79"/>
      <w:bookmarkEnd w:id="80"/>
      <w:bookmarkEnd w:id="81"/>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82" w:name="_Toc18491"/>
      <w:r>
        <w:rPr>
          <w:rFonts w:hint="eastAsia" w:ascii="仿宋_GB2312" w:hAnsi="仿宋_GB2312" w:eastAsia="仿宋_GB2312" w:cs="仿宋_GB2312"/>
          <w:kern w:val="2"/>
          <w:sz w:val="32"/>
          <w:szCs w:val="32"/>
          <w:highlight w:val="none"/>
          <w:lang w:val="en-US" w:eastAsia="zh-CN" w:bidi="ar-SA"/>
        </w:rPr>
        <w:t>2024年度“三公”经费财政拨款支出决算中，因公出国（境）费支出决算0万元，占0%；公务用车购置及运行维护费支出决算24.97万元，占94.16%；公务接待费支出决算1.55万元，占5.84%。具体情况如下：</w:t>
      </w:r>
      <w:bookmarkEnd w:id="82"/>
    </w:p>
    <w:p>
      <w:pPr>
        <w:jc w:val="center"/>
        <w:rPr>
          <w:rFonts w:hint="eastAsia" w:ascii="Times New Roman" w:hAnsi="Times New Roman" w:eastAsia="仿宋_GB2312" w:cs="仿宋_GB2312"/>
          <w:color w:val="auto"/>
          <w:kern w:val="2"/>
          <w:sz w:val="32"/>
          <w:szCs w:val="32"/>
          <w:highlight w:val="none"/>
          <w:lang w:val="en-US" w:eastAsia="zh-CN" w:bidi="ar-SA"/>
        </w:rPr>
      </w:pPr>
      <w:r>
        <w:rPr>
          <w:highlight w:val="none"/>
        </w:rP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jc w:val="center"/>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（图7：“三公”经费财政拨款支出结构）</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eastAsia="仿宋_GB2312" w:cs="仿宋_GB2312"/>
          <w:b/>
          <w:bCs/>
          <w:color w:val="auto"/>
          <w:kern w:val="2"/>
          <w:sz w:val="32"/>
          <w:szCs w:val="32"/>
          <w:highlight w:val="none"/>
          <w:lang w:val="en-US" w:eastAsia="zh-CN" w:bidi="ar-SA"/>
        </w:rPr>
        <w:t>，年初未安排预算。因公出国（境）支出决算较2023年无变化。</w:t>
      </w:r>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24.97万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完成预算100%。</w:t>
      </w:r>
      <w:r>
        <w:rPr>
          <w:rFonts w:hint="eastAsia" w:ascii="仿宋_GB2312" w:hAnsi="仿宋_GB2312" w:eastAsia="仿宋_GB2312" w:cs="仿宋_GB2312"/>
          <w:kern w:val="2"/>
          <w:sz w:val="32"/>
          <w:szCs w:val="32"/>
          <w:highlight w:val="none"/>
          <w:lang w:val="en-US" w:eastAsia="zh-CN" w:bidi="ar-SA"/>
        </w:rPr>
        <w:t>公务用车购置及运行维护费支出决算比2023年度减少6.83万元，下降21.48%。主要原因是公务运行维护费用减少</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其中：公务用车购置支出0万元，未购置公务用车。截至2024年12月31日，单位共有公务用车4辆，其中：轿车2辆、越野车2辆。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公务用车运行维护费支出24.97万元。主要用于公共文化服务体系建设、艺术创作、非物质文化遗产保护利用、旅游行业管理、景区创建及质量评定、文旅资源普查、文化旅游宣传推介、广播电视网络视听行业监管、广播电视信号传输保障、文物保护利用、考古发掘、脱贫攻坚等所需的公务用车燃料费、维修费、过路过桥费、保险费等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1.55万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公务接待费支出决算比2023年度减少0.51 万元，下降24.76%。主要原因是国内接待批次及人数减少。其中：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国内公务接待支出1.55万元，主要用于接待上级行业主管部门检查调研、外市同行业部门开展业务活动、外市同行业集团公司考察交流学习开支的交通费、住宿费、用餐费等。国内公务接待14批次，150人次（不包括陪同人员），共计支出1.55万元，具体内容包括：省委省政府决策咨询委焦伟侠一行来广调研公务接待费用1500元；宣传科教科报接待略阳县文化和旅游局赴广开展活动公务接待费用700元；接待省歌舞剧院《蜀道》主创团队赴广元创作采风用餐费1960元；接待宝鸡市文旅局党组书记、局长一行来广考察公务接待费用1430元；接待三门峡市副市长一行来广考察费用1590元；办公室报公务接待费4500元；国家广电总局来广开展苍溪县应急广播平台有关核查公务接待费2100元；国家文物局副局长解冰一行来广调研与接待费用1720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外事接待支出0万元。</w:t>
      </w:r>
      <w:bookmarkStart w:id="83" w:name="_Toc15396610"/>
      <w:bookmarkStart w:id="84" w:name="_Toc15377218"/>
    </w:p>
    <w:p>
      <w:pPr>
        <w:tabs>
          <w:tab w:val="right" w:pos="8306"/>
        </w:tabs>
        <w:spacing w:line="600" w:lineRule="exact"/>
        <w:ind w:firstLine="640"/>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85" w:name="_Toc11534"/>
      <w:r>
        <w:rPr>
          <w:rFonts w:hint="eastAsia" w:ascii="方正黑体简体" w:hAnsi="方正黑体简体" w:eastAsia="方正黑体简体" w:cs="方正黑体简体"/>
          <w:b w:val="0"/>
          <w:bCs w:val="0"/>
          <w:kern w:val="2"/>
          <w:sz w:val="32"/>
          <w:szCs w:val="32"/>
          <w:highlight w:val="none"/>
          <w:lang w:val="en-US" w:eastAsia="zh-CN" w:bidi="ar-SA"/>
        </w:rPr>
        <w:t>八、政府性基金预算支出决算情况说明</w:t>
      </w:r>
      <w:bookmarkEnd w:id="83"/>
      <w:bookmarkEnd w:id="84"/>
      <w:bookmarkEnd w:id="85"/>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2024年度政府性基金预算财政拨款支出0万元。</w:t>
      </w:r>
    </w:p>
    <w:p>
      <w:pPr>
        <w:tabs>
          <w:tab w:val="right" w:pos="8306"/>
        </w:tabs>
        <w:spacing w:line="600" w:lineRule="exact"/>
        <w:ind w:firstLine="640"/>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86" w:name="_Toc15396611"/>
      <w:bookmarkStart w:id="87" w:name="_Toc15377219"/>
      <w:bookmarkStart w:id="88" w:name="_Toc22951"/>
      <w:r>
        <w:rPr>
          <w:rFonts w:hint="eastAsia" w:ascii="方正黑体简体" w:hAnsi="方正黑体简体" w:eastAsia="方正黑体简体" w:cs="方正黑体简体"/>
          <w:b w:val="0"/>
          <w:bCs w:val="0"/>
          <w:kern w:val="2"/>
          <w:sz w:val="32"/>
          <w:szCs w:val="32"/>
          <w:highlight w:val="none"/>
          <w:lang w:val="en-US" w:eastAsia="zh-CN" w:bidi="ar-SA"/>
        </w:rPr>
        <w:t>九、国有资本经营预算支出决算情况说明</w:t>
      </w:r>
      <w:bookmarkEnd w:id="86"/>
      <w:bookmarkEnd w:id="87"/>
      <w:bookmarkEnd w:id="88"/>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2024年度国有资本经营预算财政拨款支出0万元。</w:t>
      </w:r>
    </w:p>
    <w:p>
      <w:pPr>
        <w:tabs>
          <w:tab w:val="right" w:pos="8306"/>
        </w:tabs>
        <w:spacing w:line="600" w:lineRule="exact"/>
        <w:ind w:firstLine="640"/>
        <w:outlineLvl w:val="1"/>
        <w:rPr>
          <w:rFonts w:hint="eastAsia" w:ascii="方正黑体简体" w:hAnsi="方正黑体简体" w:eastAsia="方正黑体简体" w:cs="方正黑体简体"/>
          <w:b w:val="0"/>
          <w:bCs w:val="0"/>
          <w:kern w:val="2"/>
          <w:sz w:val="32"/>
          <w:szCs w:val="32"/>
          <w:highlight w:val="none"/>
          <w:lang w:val="en-US" w:eastAsia="zh-CN" w:bidi="ar-SA"/>
        </w:rPr>
      </w:pPr>
      <w:bookmarkStart w:id="89" w:name="_Toc16101"/>
      <w:bookmarkStart w:id="90" w:name="_Toc15377221"/>
      <w:bookmarkStart w:id="91" w:name="_Toc15396612"/>
      <w:r>
        <w:rPr>
          <w:rFonts w:hint="eastAsia" w:ascii="方正黑体简体" w:hAnsi="方正黑体简体" w:eastAsia="方正黑体简体" w:cs="方正黑体简体"/>
          <w:b w:val="0"/>
          <w:bCs w:val="0"/>
          <w:kern w:val="2"/>
          <w:sz w:val="32"/>
          <w:szCs w:val="32"/>
          <w:highlight w:val="none"/>
          <w:lang w:val="en-US" w:eastAsia="zh-CN" w:bidi="ar-SA"/>
        </w:rPr>
        <w:t>十、其他重要事项的情况说明</w:t>
      </w:r>
      <w:bookmarkEnd w:id="89"/>
      <w:bookmarkEnd w:id="90"/>
      <w:bookmarkEnd w:id="91"/>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92" w:name="_Toc3730"/>
      <w:bookmarkStart w:id="93" w:name="_Toc31550"/>
      <w:bookmarkStart w:id="94" w:name="_Toc15377222"/>
      <w:r>
        <w:rPr>
          <w:rFonts w:hint="eastAsia" w:ascii="方正楷体简体" w:hAnsi="方正楷体简体" w:eastAsia="方正楷体简体" w:cs="方正楷体简体"/>
          <w:b w:val="0"/>
          <w:bCs/>
          <w:color w:val="auto"/>
          <w:sz w:val="32"/>
          <w:szCs w:val="32"/>
          <w:highlight w:val="none"/>
        </w:rPr>
        <w:t>（一）机关运行经费支出情况</w:t>
      </w:r>
      <w:bookmarkEnd w:id="92"/>
      <w:bookmarkEnd w:id="93"/>
      <w:bookmarkEnd w:id="94"/>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2024年度，广元市文化广播电视和旅游局（本级）机关运行经费支出144.43万元，比2023年度减少48.56 万元，下降25.16%。主要原因一是2023年度局机关补交了2022年2月-12月物业管理费；二是厉行节约，机关运行经费支出较上年减少。</w:t>
      </w:r>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95" w:name="_Toc15377223"/>
      <w:bookmarkStart w:id="96" w:name="_Toc9778"/>
      <w:bookmarkStart w:id="97" w:name="_Toc14951"/>
      <w:r>
        <w:rPr>
          <w:rFonts w:hint="eastAsia" w:ascii="方正楷体简体" w:hAnsi="方正楷体简体" w:eastAsia="方正楷体简体" w:cs="方正楷体简体"/>
          <w:b w:val="0"/>
          <w:bCs/>
          <w:color w:val="auto"/>
          <w:sz w:val="32"/>
          <w:szCs w:val="32"/>
          <w:highlight w:val="none"/>
        </w:rPr>
        <w:t>（二）政府采购支出情况</w:t>
      </w:r>
      <w:bookmarkEnd w:id="95"/>
      <w:bookmarkEnd w:id="96"/>
      <w:bookmarkEnd w:id="97"/>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广元市文化广播电视和旅游局（本级）政府采购支出总额99.67万元，其中：政府采购服务支出99.67万元。主要用于政府向社会力量购买公共文化服务示范项目：“有爱·无碍”公益服务、文艺进街区。授予中小企业合同金额99.67万元，占政府采购支出总额的100%，其中：授予小微企业合同金额99.67万元，占政府采购支出总额的100%。</w:t>
      </w:r>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98" w:name="_Toc15377224"/>
      <w:bookmarkStart w:id="99" w:name="_Toc2041"/>
      <w:bookmarkStart w:id="100" w:name="_Toc14076"/>
      <w:r>
        <w:rPr>
          <w:rFonts w:hint="eastAsia" w:ascii="方正楷体简体" w:hAnsi="方正楷体简体" w:eastAsia="方正楷体简体" w:cs="方正楷体简体"/>
          <w:b w:val="0"/>
          <w:bCs/>
          <w:color w:val="auto"/>
          <w:sz w:val="32"/>
          <w:szCs w:val="32"/>
          <w:highlight w:val="none"/>
        </w:rPr>
        <w:t>（三）国有资产占有使用情况</w:t>
      </w:r>
      <w:bookmarkEnd w:id="98"/>
      <w:bookmarkEnd w:id="99"/>
      <w:bookmarkEnd w:id="100"/>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截至2024年12月31日，广元市文化广播电视和旅游局（本级）共有车辆4辆，其中：其他用车4辆，其他用车主要用于公共文化服务体系建设、艺术创作、非物质文化遗产保护利用、旅游行业管理、景区创建及质量评定、文旅资源普查、文化旅游宣传推介、广播电视网络视听行业监管、广播电视信号传输保障、文物保护利用、考古发掘、脱贫攻坚等工作。单价50万元以上通用设备0台（套），单价100万元以上专用设备（不含车辆）0台（套）。</w:t>
      </w:r>
    </w:p>
    <w:p>
      <w:pPr>
        <w:spacing w:line="600" w:lineRule="exact"/>
        <w:ind w:firstLine="640" w:firstLineChars="200"/>
        <w:outlineLvl w:val="2"/>
        <w:rPr>
          <w:rFonts w:hint="eastAsia" w:ascii="方正楷体简体" w:hAnsi="方正楷体简体" w:eastAsia="方正楷体简体" w:cs="方正楷体简体"/>
          <w:b w:val="0"/>
          <w:bCs/>
          <w:color w:val="auto"/>
          <w:sz w:val="32"/>
          <w:szCs w:val="32"/>
          <w:highlight w:val="none"/>
        </w:rPr>
      </w:pPr>
      <w:bookmarkStart w:id="101" w:name="_Toc3549"/>
      <w:bookmarkStart w:id="102" w:name="_Toc3842"/>
      <w:r>
        <w:rPr>
          <w:rFonts w:hint="eastAsia" w:ascii="方正楷体简体" w:hAnsi="方正楷体简体" w:eastAsia="方正楷体简体" w:cs="方正楷体简体"/>
          <w:b w:val="0"/>
          <w:bCs/>
          <w:color w:val="auto"/>
          <w:sz w:val="32"/>
          <w:szCs w:val="32"/>
          <w:highlight w:val="none"/>
        </w:rPr>
        <w:t>（四）预算绩效管理情况</w:t>
      </w:r>
      <w:bookmarkEnd w:id="101"/>
      <w:bookmarkEnd w:id="102"/>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根据预算绩效管理要求，本部门在2024年度预算编制阶段，组织对2024年广元女儿节暨欢乐文化周活动项目、蜀道文物展开展仪式及研学签约仪式项目、重点文旅企业发展奖补项目、</w:t>
      </w:r>
      <w:r>
        <w:rPr>
          <w:rFonts w:hint="default" w:ascii="仿宋_GB2312" w:hAnsi="仿宋_GB2312" w:eastAsia="仿宋_GB2312" w:cs="仿宋_GB2312"/>
          <w:kern w:val="2"/>
          <w:sz w:val="32"/>
          <w:szCs w:val="32"/>
          <w:highlight w:val="none"/>
          <w:lang w:val="en-US" w:eastAsia="zh-CN" w:bidi="ar-SA"/>
        </w:rPr>
        <w:t>编制《广元“十五五”时期建设大蜀道国际文化旅游目的地和康养度假胜地研究》课题报告项目</w:t>
      </w:r>
      <w:r>
        <w:rPr>
          <w:rFonts w:hint="eastAsia" w:ascii="仿宋_GB2312" w:hAnsi="仿宋_GB2312" w:eastAsia="仿宋_GB2312" w:cs="仿宋_GB2312"/>
          <w:kern w:val="2"/>
          <w:sz w:val="32"/>
          <w:szCs w:val="32"/>
          <w:highlight w:val="none"/>
          <w:lang w:val="en-US" w:eastAsia="zh-CN" w:bidi="ar-SA"/>
        </w:rPr>
        <w:t>、2024年广元市旅游大数据信息服务项目等16个项目开展了预算事前绩效评估，对16个项目编制了绩效目标，预算执行过程中，选取16个项目开展绩效监控。</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绩效自评表详见第四部分附件。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方正小标宋简体" w:hAnsi="方正小标宋简体" w:eastAsia="方正小标宋简体" w:cs="方正小标宋简体"/>
          <w:color w:val="auto"/>
          <w:sz w:val="44"/>
          <w:szCs w:val="44"/>
          <w:highlight w:val="none"/>
        </w:rPr>
      </w:pPr>
      <w:bookmarkStart w:id="103" w:name="_Toc15377225"/>
      <w:bookmarkStart w:id="104" w:name="_Toc27089"/>
      <w:bookmarkStart w:id="105" w:name="_Toc15396613"/>
      <w:r>
        <w:rPr>
          <w:rFonts w:hint="eastAsia" w:ascii="方正小标宋简体" w:hAnsi="方正小标宋简体" w:eastAsia="方正小标宋简体" w:cs="方正小标宋简体"/>
          <w:color w:val="auto"/>
          <w:sz w:val="44"/>
          <w:szCs w:val="44"/>
          <w:highlight w:val="none"/>
        </w:rPr>
        <w:t>第</w:t>
      </w:r>
      <w:r>
        <w:rPr>
          <w:rFonts w:hint="eastAsia" w:ascii="方正小标宋简体" w:hAnsi="方正小标宋简体" w:eastAsia="方正小标宋简体" w:cs="方正小标宋简体"/>
          <w:color w:val="auto"/>
          <w:sz w:val="44"/>
          <w:szCs w:val="44"/>
          <w:highlight w:val="none"/>
          <w:lang w:eastAsia="zh-CN"/>
        </w:rPr>
        <w:t>三</w:t>
      </w:r>
      <w:r>
        <w:rPr>
          <w:rFonts w:hint="eastAsia" w:ascii="方正小标宋简体" w:hAnsi="方正小标宋简体" w:eastAsia="方正小标宋简体" w:cs="方正小标宋简体"/>
          <w:color w:val="auto"/>
          <w:sz w:val="44"/>
          <w:szCs w:val="44"/>
          <w:highlight w:val="none"/>
        </w:rPr>
        <w:t>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名词解释</w:t>
      </w:r>
      <w:bookmarkEnd w:id="103"/>
      <w:bookmarkEnd w:id="104"/>
      <w:bookmarkEnd w:id="105"/>
    </w:p>
    <w:p>
      <w:pPr>
        <w:spacing w:line="600" w:lineRule="exact"/>
        <w:jc w:val="left"/>
        <w:rPr>
          <w:rFonts w:ascii="Times New Roman" w:hAnsi="Times New Roman"/>
          <w:b/>
          <w:color w:val="auto"/>
          <w:sz w:val="44"/>
          <w:szCs w:val="44"/>
          <w:highlight w:val="none"/>
        </w:rPr>
      </w:pP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bookmarkStart w:id="106" w:name="_Toc30220"/>
      <w:bookmarkStart w:id="107" w:name="_Toc11336"/>
      <w:r>
        <w:rPr>
          <w:rFonts w:hint="eastAsia" w:ascii="仿宋_GB2312" w:hAnsi="仿宋_GB2312" w:eastAsia="仿宋_GB2312" w:cs="仿宋_GB2312"/>
          <w:kern w:val="2"/>
          <w:sz w:val="32"/>
          <w:szCs w:val="32"/>
          <w:highlight w:val="none"/>
          <w:lang w:val="en-US" w:eastAsia="zh-CN" w:bidi="ar-SA"/>
        </w:rPr>
        <w:t>财政拨款收入：指单位从同级财政部门取得的财政预算资金。</w:t>
      </w:r>
      <w:bookmarkEnd w:id="106"/>
      <w:bookmarkEnd w:id="107"/>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其他收入：指单位取得的除上述收入以外的各项收入。主要是场地租用单位所付的设备运维费、举办群众文化活动演出收入、利息收入等。</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年初结转和结余：指以前年度尚未完成、结转到本年按有关规定继续使用的资金。</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文化体育与传媒（类）文化和旅游（款）行政运行（项）：反映行政单位（包括实行公务员管理的事业单位）的基本支出。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文化体育与传媒（类）文化和旅游（款）一般行政管理事务（项）：反映行政单位（包括实行公务员管理的事业单位）未单独设置项级科目的其他项目支出。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文化体育与传媒（类）文化和旅游（款）文化活动（项）：反映举办大型文化艺术活动的支出。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文化体育与传媒（类）文化和旅游（款）群众文化（项）：反映群众文化方面的支出，包括基层文化馆（站）、群众艺术馆支出。</w:t>
      </w:r>
    </w:p>
    <w:p>
      <w:pPr>
        <w:numPr>
          <w:ilvl w:val="0"/>
          <w:numId w:val="1"/>
        </w:numPr>
        <w:spacing w:line="600" w:lineRule="exact"/>
        <w:ind w:left="0" w:leftChars="0" w:firstLine="640" w:firstLineChars="200"/>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文化体育与传媒（类）文化和旅游（款）文化和旅游交流与合作（项）反映对外文化和旅游交流与合作活动的支出。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文化体育与传媒（类）文化和旅游（款）文化和旅游市场管理（项）：反映文化和旅游执法检查等文化旅游市场管理方面的支出。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文化体育与传媒（类）文化和旅游（款）旅游宣传（项）：反映在境内外开展各类旅游宣传促销活动的支出。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文化体育与传媒（类）文化和旅游（款）文化和旅游管理事务（项）：反映文化和旅游管理事务支出。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文化体育与传媒（类）文化和旅游（款）其他文化和旅游支出（项）：反映除上述项目以外其他用于文化和旅游方面的支出。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文化体育与传媒（类）文物（款）文物保护（项）：反映考古发掘及文物保护方面的支出。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文化体育与传媒（类）文物（款）其他文物支出（项）：反映除上述项目以外其他用于文物方面的支出。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社会保障和就业（类）人力资源和社会保障管理事务（款）引进人才费用（项）反映用于引进外国专家补助、引智成果推广等方面的支出。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社会保障和就业（类）行政事业单位养老支出（款）  行政单位离退休（项）：反映行政单位（包括实行公务员管理的事业单位）开支的离退休经费。</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社会保障和就业（类）行政事业单位养老支出（款）  机关事业单位基本养老保险缴费支出（项）：反映机关事业单位实施养老保险制度由单位缴纳的基本养老保险支出。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社会保障和就业（类）行政事业单位养老支出（款）  机关事业单位职业年金缴费支出（项）：反映机关事业单位实施养老保险制度由单位实际缴纳的职业年金支出。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社会保障和就业（类）其他社会保障和就业支出（款）其他社会保障和就业支出（项）：反映出上述项目以外其他用于社会保障和就业方面的支出。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卫生健康（类）行政事业单位医疗（款）行政单位医疗（项）：指反映财政部门安排的行政单位(包括实行公务员管理的事业单位，下同)基本医疗保险缴费经费，未参加医疗保险的行政单位的公费医疗经费，按国家规定享受离休人员、红军老战士待遇人员的医疗经费。</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住房保障支出（类）住房改革支出（款）住房公积金（项）：反映行政事业单位按人力资源和社会保障部、财政部规定的基本工资和津贴补贴以及规定比例为职工缴纳的住房公积金。</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基本支出：指为保障机构正常运转、完成日常工作任务而发生的人员支出和公用支出。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项目支出：指在基本支出之外为完成特定行政任务和事业发展目标所发生的支出。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1"/>
        </w:numPr>
        <w:spacing w:line="600" w:lineRule="exact"/>
        <w:ind w:left="0" w:leftChars="0" w:firstLine="640" w:firstLineChars="200"/>
        <w:rPr>
          <w:rFonts w:hint="eastAsia" w:ascii="仿宋_GB2312" w:hAnsi="仿宋_GB2312" w:eastAsia="仿宋_GB2312" w:cs="仿宋_GB2312"/>
          <w:kern w:val="2"/>
          <w:sz w:val="32"/>
          <w:szCs w:val="32"/>
          <w:highlight w:val="none"/>
          <w:lang w:val="en-US" w:eastAsia="zh-CN" w:bidi="ar-SA"/>
        </w:rPr>
      </w:pPr>
      <w:bookmarkStart w:id="108" w:name="_Toc8593"/>
      <w:r>
        <w:rPr>
          <w:rFonts w:hint="eastAsia" w:ascii="仿宋_GB2312" w:hAnsi="仿宋_GB2312" w:eastAsia="仿宋_GB2312" w:cs="仿宋_GB2312"/>
          <w:kern w:val="2"/>
          <w:sz w:val="32"/>
          <w:szCs w:val="32"/>
          <w:highlight w:val="none"/>
          <w:lang w:val="en-US" w:eastAsia="zh-CN" w:bidi="ar-SA"/>
        </w:rPr>
        <w:t>机关运行经费：为保障行政单位（含参照公务员法管理的事业单位）运行用于购买货物和服务的各项资金，包括办公费、印刷费、水费、电费、邮电费、物业管理费、差旅费、维修（护）费、培训费、公务接待费、劳务费、工会经费、公务用车运行维护费、其他交通费、其他商品和服务支出等。</w:t>
      </w:r>
      <w:bookmarkEnd w:id="108"/>
    </w:p>
    <w:p>
      <w:pPr>
        <w:pStyle w:val="3"/>
        <w:bidi w:val="0"/>
        <w:jc w:val="center"/>
        <w:rPr>
          <w:rStyle w:val="21"/>
          <w:rFonts w:hint="eastAsia" w:ascii="Times New Roman" w:hAnsi="Times New Roman" w:eastAsia="黑体"/>
          <w:b w:val="0"/>
          <w:bCs/>
          <w:color w:val="auto"/>
          <w:highlight w:val="none"/>
          <w:lang w:eastAsia="zh-CN"/>
        </w:rPr>
      </w:pPr>
      <w:bookmarkStart w:id="109"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110" w:name="_Toc3123"/>
      <w:bookmarkStart w:id="111"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110"/>
      <w:bookmarkEnd w:id="111"/>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lang w:val="en-US" w:eastAsia="zh-CN"/>
        </w:rPr>
      </w:pPr>
      <w:bookmarkStart w:id="112" w:name="_Toc23785"/>
      <w:bookmarkStart w:id="113" w:name="_Toc14926"/>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w:t>
      </w:r>
      <w:bookmarkEnd w:id="112"/>
      <w:bookmarkEnd w:id="113"/>
    </w:p>
    <w:tbl>
      <w:tblPr>
        <w:tblStyle w:val="1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968"/>
        <w:gridCol w:w="777"/>
        <w:gridCol w:w="18"/>
        <w:gridCol w:w="1174"/>
        <w:gridCol w:w="32"/>
        <w:gridCol w:w="463"/>
        <w:gridCol w:w="60"/>
        <w:gridCol w:w="777"/>
        <w:gridCol w:w="56"/>
        <w:gridCol w:w="342"/>
        <w:gridCol w:w="56"/>
        <w:gridCol w:w="818"/>
        <w:gridCol w:w="77"/>
        <w:gridCol w:w="430"/>
        <w:gridCol w:w="56"/>
        <w:gridCol w:w="397"/>
        <w:gridCol w:w="33"/>
        <w:gridCol w:w="1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auto"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610" w:type="pct"/>
            <w:gridSpan w:val="11"/>
            <w:tcBorders>
              <w:top w:val="single" w:color="auto"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tc>
        <w:tc>
          <w:tcPr>
            <w:tcW w:w="2610" w:type="pct"/>
            <w:gridSpan w:val="11"/>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p>
        </w:tc>
        <w:tc>
          <w:tcPr>
            <w:tcW w:w="5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30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19.80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19.80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p>
        </w:tc>
        <w:tc>
          <w:tcPr>
            <w:tcW w:w="2645" w:type="pct"/>
            <w:gridSpan w:val="12"/>
            <w:tcBorders>
              <w:top w:val="single" w:color="auto"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p>
        </w:tc>
        <w:tc>
          <w:tcPr>
            <w:tcW w:w="2645" w:type="pct"/>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197.98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197.98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 xml:space="preserve">结合自评情况，说明项目自评总分99分，按时发放职工工资并交纳五险一金。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6</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72.81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72.81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 xml:space="preserve">结合自评情况，说明项目自评总分99分，按时发放职工工资并交纳五险一金。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7</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结合自评情况，说明项目自评总分98分，在预算执行过程中，保障单位日常运转，提高预算编制质量，严格执行预算。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8</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结合自评情况，说明项目自评总分98分，在预算执行过程中，保障单位日常运转，提高预算编制质量，严格执行预算。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9</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10</w:t>
            </w:r>
          </w:p>
        </w:tc>
        <w:tc>
          <w:tcPr>
            <w:tcW w:w="2645" w:type="pct"/>
            <w:gridSpan w:val="1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11</w:t>
            </w:r>
          </w:p>
        </w:tc>
        <w:tc>
          <w:tcPr>
            <w:tcW w:w="2610" w:type="pct"/>
            <w:gridSpan w:val="11"/>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319.00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319.00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12</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13</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14</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70.20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70.20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15</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16</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51080025T000012322582-送文化下乡活动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24"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37"/>
                <w:highlight w:val="none"/>
                <w:lang w:val="en-US" w:eastAsia="zh-CN" w:bidi="ar"/>
              </w:rPr>
              <w:t>（盖章）</w:t>
            </w:r>
          </w:p>
        </w:tc>
        <w:tc>
          <w:tcPr>
            <w:tcW w:w="1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2024年开展送文化进基层文化活动，让公共文化服务发展成果惠及更多群众，着力推进广元“文旅塑市”，助推我市全力打造大蜀道国际文化旅游目的地和康养度假胜地。</w:t>
            </w:r>
          </w:p>
        </w:tc>
        <w:tc>
          <w:tcPr>
            <w:tcW w:w="18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w:t>
            </w:r>
            <w:r>
              <w:rPr>
                <w:rFonts w:ascii="黑体" w:hAnsi="黑体" w:eastAsia="黑体" w:cs="黑体"/>
                <w:i w:val="0"/>
                <w:iCs w:val="0"/>
                <w:color w:val="000000"/>
                <w:kern w:val="0"/>
                <w:sz w:val="18"/>
                <w:szCs w:val="18"/>
                <w:highlight w:val="none"/>
                <w:u w:val="none"/>
                <w:lang w:val="en-US" w:eastAsia="zh-CN" w:bidi="ar"/>
              </w:rPr>
              <w:t>2024</w:t>
            </w:r>
            <w:r>
              <w:rPr>
                <w:rStyle w:val="37"/>
                <w:highlight w:val="none"/>
                <w:lang w:val="en-US" w:eastAsia="zh-CN" w:bidi="ar"/>
              </w:rPr>
              <w:t>年开展送文化进基层文化活动，让公共文化服务发展成果惠及更多群众，着力推进广元</w:t>
            </w:r>
            <w:r>
              <w:rPr>
                <w:rFonts w:ascii="黑体" w:hAnsi="黑体" w:eastAsia="黑体" w:cs="黑体"/>
                <w:i w:val="0"/>
                <w:iCs w:val="0"/>
                <w:color w:val="000000"/>
                <w:kern w:val="0"/>
                <w:sz w:val="18"/>
                <w:szCs w:val="18"/>
                <w:highlight w:val="none"/>
                <w:u w:val="none"/>
                <w:lang w:val="en-US" w:eastAsia="zh-CN" w:bidi="ar"/>
              </w:rPr>
              <w:t>“</w:t>
            </w:r>
            <w:r>
              <w:rPr>
                <w:rStyle w:val="37"/>
                <w:highlight w:val="none"/>
                <w:lang w:val="en-US" w:eastAsia="zh-CN" w:bidi="ar"/>
              </w:rPr>
              <w:t>文旅塑市</w:t>
            </w:r>
            <w:r>
              <w:rPr>
                <w:rFonts w:ascii="黑体" w:hAnsi="黑体" w:eastAsia="黑体" w:cs="黑体"/>
                <w:i w:val="0"/>
                <w:iCs w:val="0"/>
                <w:color w:val="000000"/>
                <w:kern w:val="0"/>
                <w:sz w:val="18"/>
                <w:szCs w:val="18"/>
                <w:highlight w:val="none"/>
                <w:u w:val="none"/>
                <w:lang w:val="en-US" w:eastAsia="zh-CN" w:bidi="ar"/>
              </w:rPr>
              <w:t>”</w:t>
            </w:r>
            <w:r>
              <w:rPr>
                <w:rStyle w:val="37"/>
                <w:highlight w:val="none"/>
                <w:lang w:val="en-US" w:eastAsia="zh-CN" w:bidi="ar"/>
              </w:rPr>
              <w:t>，助推我市全力打造大蜀道国际文化旅游目的地和康养度假胜地。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2024年开展送文化进基层文化活动，让公共文化服务发展成果惠及更多群众，着力推进广元“文旅塑市”，助推我市全力打造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10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每场观众人数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活动场次</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节目个数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每场演职人员数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线上线下宣传次数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每场文艺精品个数</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推动优秀文化的传承，促进文化繁荣发展，展示公共文化服务新成就。</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指标2：群众评价</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指标1：群众满意度</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送文化下乡活动经费</w:t>
            </w:r>
          </w:p>
        </w:tc>
        <w:tc>
          <w:tcPr>
            <w:tcW w:w="3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3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6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17</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51080022T000004940531-向上争取项目资金工作经费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主要领导对接国家部委次数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主要领导对接省厅局次数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向上争取项目资金任务完成率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增加财政转移支付项目收入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带动广元经济发展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基层单位满意度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18</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51080022T000004940604-文化旅游行业管理工作经费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规范文旅市场，提升服务质量，督导安全生产市场主体覆盖率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组织培育文旅企业参加省、市品牌创建类别</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类</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开展文旅市场行业整治、安全检查等活动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开展行业技能相关培训、比赛、活动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优化营商环境，促进文旅行业经济健康发展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通过规范文旅市场行业监管，提升服务质量，加大市场培育，成功创建省、市文旅品牌，助推我市建设为大蜀道国际文化旅游目的地。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文旅市场主体满意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19</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51080022T000004940606-公共文化服务体系建设工作经费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指导全市旅游厕所标准化建设达标率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督导文化广电民生实事（公共文化场馆免费开放）</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督促指导全市开展第六次全国文化馆评估定级达标率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督导广播电视户户通工程运行维护</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14808</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14808</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指导和开展省“四个一批”品牌创建和政府向社会力量购买服务等项目申报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类</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开展“我们的中国梦”文化进万家系列惠民活动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通过交流提升业务水平</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广播电视安全播出重大事故控制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进一步传播推广广元文化艺术作品</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公共文化服务效能不断提升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持续提升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全国广播电视基本公共服务县级标准化试点、智慧广电乡村工程试点建设取得阶段成效</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人民群众对公共文化服务的满意度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eastAsia"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20</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51080022T000004940610-文化旅游宣传推广工作经费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在目的地城市或客源地城市设置固定广告</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处</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培育优化已开通航线</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参加文旅行业内知名博览会或节会</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开展一次全市非遗资源大普查、参加各级组织的非遗宣传展示活动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在客源地城市举办推介活动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非遗项目参与率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通过开展“春踏青赏百花、夏避暑玩漂流、秋采摘赏红叶、冬滑雪泡温泉”季季有主题，月月有活动，形成一年四季皆可游的格局</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促进文化旅游综合收入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持续增长</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持续增长</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减少航线轧差财政投入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组织筹办第十三届大蜀道文化旅游节、2023年中国（广元）女儿节，提升节会知名度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建立健全四级非遗体系</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新增一批市、县非遗项目</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新增一批市、县非遗项目</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为进一步提升“剑门蜀道.女皇故里”知名度、美誉度和影响力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行业经营主体与来广游客满意度；传承人对非遗工作满意度。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21</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51080022T000005638210-市局文旅局公共文化服务体系建设专项资金之政府购买服务示范项目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有爱·无碍公益服务：每场讲座受益群众数量不低于100人，每次培训受益群众数量不低于30人，每场讲座或培训时长不低于60分钟，全年举办讲座或培训场次不低于50场。</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中华传统经典诵读公益服务：每场讲座受益群众数量不低于100人，每次培训受益群众数量不低于30人，每场讲座或培训时长不低于60分钟，全年举办讲座或培训场次不低于50场。</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1.有爱·无碍公益服务： 1.讲座计划受益人次≥100人；实际受益396人次；2.每场讲座或培训时长≥60分钟；实际按指标达成；3.每次培训受益人次≥30人；实际完成31人；4.举办讲座或培训≥50场；实际已完成50场；整体指标完成率较高，后续项目项进度完全可控。                                  2.中华传统经典诵读公益服务：1.每场讲座受益群众数量不低于100人，实际受益665人次；2.每次培训受益群众数量不低于30人，实际每次培训受益群众数达到35-100人不等；3.每场讲座或培训时长不低于60分钟，实际每次活动时长在90分钟以上。受疫情封控影响，全年举办讲座或培训场次已达到30场。整体指标完成率较高，后续项目结项进度完全可控。</w:t>
            </w:r>
            <w:r>
              <w:rPr>
                <w:rFonts w:hint="default" w:ascii="黑体" w:hAnsi="黑体" w:eastAsia="黑体" w:cs="黑体"/>
                <w:i w:val="0"/>
                <w:iCs w:val="0"/>
                <w:color w:val="000000"/>
                <w:kern w:val="0"/>
                <w:sz w:val="18"/>
                <w:szCs w:val="18"/>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xml:space="preserve">1.有爱·无碍公益服务： 1.讲座计划受益人次≥100人；实际受益396人次；2.每场讲座或培训时长≥60分钟；实际按指标达成；3.每次培训受益人次≥30人；实际完成31人；4.举办讲座或培训≥50场；实际已完成50场；整体指标完成率较高，后续项目项进度完全可控。                                  2.中华传统经典诵读公益服务：1.每场讲座受益群众数量不低于100人，实际受益665人次；2.每次培训受益群众数量不低于30人，实际每次培训受益群众数达到35-100人不等；3.每场讲座或培训时长不低于60分钟，实际每次活动时长在90分钟以上。受疫情封控影响，全年举办讲座或培训场次已达到30场。整体指标完成率较高，后续项目结项进度完全可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74.51%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74.51%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举办讲座或培训</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每场讲座受益人次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每次培训受益人次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每场讲座或培训时长</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分钟</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传承弘扬中华优秀传统文化</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助推广元全民阅读</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助推特殊群体享受公共文化服务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助推现代公共文化服务体系建设</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22</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51080022T000006830272-文旅融合发展专项资金-旅游营销奖励金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严格按照《广元市旅游营销奖励政策实施办法》规定审核</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是否提升“剑门蜀道，女皇故里，红色热土，康养胜地”城市品牌影响力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2024年预算资金控制数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454254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454254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23</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51080022T000007251017-中央文化人才专项经费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开展“三区计划”文旅人才选派（招募）服务；开展文旅人才培育。</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开展“三区计划”文旅人才选派（招募）服务；开展文旅人才培育。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开展“三区计划”文旅人才选派（招募）服务；开展文旅人才培育。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14.10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48.94%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14.10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48.94%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自主招募人数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“红色旅游”人才支持选派人数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“两项改革”涉改乡镇“文旅能人”扶持选派人数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“文旅资源开发”人才支持选派人数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“广元市文旅体融合发展专题培训班”培训人数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“广元市文旅体融合发展专题培训班”培训天数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天</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选派人员考核合格率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选派人员服务期限</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支持乡村振兴重点帮扶县文化旅游发展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支持艰苦边远地区和基层一线文旅工作"</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提升文旅服务能力和水平</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接收选派人才的单位满意度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培训学员满意度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24</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51080022T000007254569-文旅融合发展专项资金-系列文化旅游活动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2022年我们将继续以广泛宣传、文旅融合，基础保障，能力提升等为资金使用的主要方向，以建设中国生态康养旅游名市，打造康养旅游胜地为工作重点，确保旅游人数、旅游收入双增长。</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以广泛宣传、文旅融合，基础保障，能力提升等为资金使用的主要方向，以建设中国生态康养旅游名市，打造康养旅游胜地为工作重点，确保旅游人数、旅游收入双增长。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以广泛宣传、文旅融合，基础保障，能力提升等为资金使用的主要方向，以建设中国生态康养旅游名市，打造康养旅游胜地为工作重点，确保旅游人数、旅游收入双增长。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34.39</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178.48</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160.71</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34.39</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178.48</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160.71</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"开展全省星级饭店行业 服务技能竞赛选拔培训赛等能力提升活动"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开展康养旅游胜地专题研究报告编制等基础保障活动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开展微信朋友圈精准宣传、高铁视频宣传等文化旅游宣传、艺术创作活动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按期完成</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东西部交流协作促进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成渝双城经济圈融入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传承中华优秀传统文化坚定文化自信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净化文旅市场环境，提升服务质量和服务效果</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擦亮“剑门蜀道﹒女皇故里”广元文化旅游核心品牌</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活动预算安排</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58.11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58.11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25</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51080023T000008419090-文物保护及非物质文化遗产传承利用经费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加强文物保护利用，让文物活起来,提升文物安全水平,传承中华优秀文化,促进文物事业与经济社会和谐发展。提升非遗保护传承水平, 推动非物质文化遗产创造性转化和创新性发展，通过有效的非遗保护措施，促进非遗连接现代生活，绽放迷人光彩，推动非遗向人民提供高品质物质产品和精神食粮。</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加强文物保护利用，让文物活起来,提升文物安全水平,传承中华优秀文化,促进文物事业与经济社会和谐发展。提升非遗保护传承水平, 推动非物质文化遗产创造性转化和创新性发展，通过有效的非遗保护措施，促进非遗连接现代生活，绽放迷人光彩，推动非遗向人民提供高品质物质产品和精神食粮。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加强文物保护利用，让文物活起来,提升文物安全水平,传承中华优秀文化,促进文物事业与经济社会和谐发展。提升非遗保护传承水平, 推动非物质文化遗产创造性转化和创新性发展，通过有效的非遗保护措施，促进非遗连接现代生活，绽放迷人光彩，推动非遗向人民提供高品质物质产品和精神食粮。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开展博物馆馆藏文物资源调查、项目督导、参加省局相关培训。</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抽查县级文物保护单位、不可移动文物</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全覆盖检查全国重点文物保护单位</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检查文物保护工程、考古发掘工地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全覆盖检查市级文物保护单位</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全覆盖检查省级文物保护单位</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组织文物保护单位向上申报项目</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文物安全重大事故控</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全市18家备案博物</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中华优秀传统文化不断发扬光大；普及文博知识，传承弘扬中华优秀传统文化</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增强民族自尊和文化自信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26</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51080023T000008557091-市本级两新组织党建工作经费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组建行业党委，推进两新组织标准化，加强党在文广旅行业的覆盖面和影响力。</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完成对广元万安博物馆党支部、广元文化旅游协会党支部两个两新党组织的党建工作经费转拨及党建工作监督指导。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完成对广元万安博物馆党支部、广元文化旅游协会党支部两个两新党组织的党建工作经费转拨及党建工作监督指导。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两新组织个数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组建行业党委</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两新组织达标率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加强党在文广旅行业的覆盖面和影响力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进一步加强</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进一步加强</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预算执行成本</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102000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102000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27</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高层次人才安家补助和工作补助资金项目（科技拔尖人才2022年度岗位激励资金）</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按照市委组织部人才工作要求及相关标准，转拨高层次人才安家补助和工作补助资金。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按照市委组织部人才工作要求及相关标准，转拨高层次人才安家补助和工作补助资金。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在职引进人才人数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新引进人才人数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促进人才高质量增长</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奖励对象满意度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28</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51080023T000008686974-首批“蜀道英才工程”入选者岗位激励资金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Style w:val="38"/>
                <w:highlight w:val="none"/>
                <w:lang w:val="en-US" w:eastAsia="zh-CN" w:bidi="ar"/>
              </w:rPr>
              <w:t>为深入贯彻落实习近平新时代人才工作重要论述及中央和省委、市委人才工作会议重要精神，切实增强优秀人才的获得感、归属感和幸福感，根据市委组织部、市财政局等11部门《关于印发〈广元市“蜀道英才工程”实施办法〉的通知》（广组通〔2018〕87号）规定，对“蜀道英才工程”入选者在管理期内，给予每人每月500元岗位激励资金。</w:t>
            </w:r>
            <w:r>
              <w:rPr>
                <w:rStyle w:val="39"/>
                <w:rFonts w:eastAsia="宋体"/>
                <w:highlight w:val="none"/>
                <w:lang w:val="en-US" w:eastAsia="zh-CN" w:bidi="ar"/>
              </w:rPr>
              <w:t xml:space="preserve">                       </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按照市委组织部“蜀道英才工程”工作要求及标准，对满足条件的人员转拨激励资金。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按照市委组织部“蜀道英才工程”工作要求及标准，对满足条件的人员转拨激励资金。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89.74%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89.74%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首批“蜀道英才工程”入选者</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岗位激励资金兑现率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兑现时间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增强人才获得感、归宿感、幸福感，调动各类优秀人才干事创业积极性力度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各类优秀人才满意度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岗位激励资金</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29</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51080023T000008786921-科技拔尖人才2022年度岗位激励资金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发放科技拔尖人才2022年度岗位激励资金</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发放科技拔尖人才2024年度岗位激励资金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发放科技拔尖人才2024年度岗位激励资金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科技拔尖人才数量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奖励时间段</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促进科技人才发展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奖励对象满意度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21600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21600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30</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51080023T000009740122-文旅康养产业专班工作经费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文旅康养产业专班调度会</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项目拉练比武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项目招商洽谈</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项目督办、企业调研</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产业培训</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推进文旅经济高质量发展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高效推进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高效推进</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带动就业</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有效带动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有效带动</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持续推进大蜀道国际文化旅游目的地和康养度假胜地建设</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服务企业满意度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项目业主满意度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51080023T000009908255-《司马错入蜀重大历史意义研究》重点课题研究费用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形成《司马错入蜀重大历史意义研究》高质量学术专著一部。</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形成《司马错入蜀重大历史意义研究》高质量学术专著一部。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形成《司马错入蜀重大历史意义研究》高质量学术专著一部。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出版《司马错入蜀重大历史意义研究》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本</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《司马错入蜀重大历史意义研究》出版文字</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《司马错入蜀重大历史意义研究》包含图片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幅</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出版刊物错字率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1年</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通过对历史文化的梳理，进一步宣传广元、宣传蜀道，丰富蜀道文化内涵、讲好蜀道文化故事、提升蜀道文旅品质。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助推我市建设大蜀道国际文化旅游目的地和康养度假胜地，打造大蜀道世界文化名城</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人民政府满意度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51080024T000010054820-茶产业推介活动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在成都、重庆、兰州、西安4个城市举办“游大美蜀道  品广元好茶”文化旅游和茶产业推介活动。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4月完成4个城市的“游大美蜀道  品广元好茶”文化旅游和茶产业推介活动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4个</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4个</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文化旅游影响力明显提升，资金使用无重大违规违纪问题</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通过宣传推介活动，有效提升城市品牌在川陕甘结合部、四大省会城市的知名度和影响力，进一步突出广元川陕甘结合部文化旅游集散服务中心、大蜀道国际文化旅游目的地印象。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33</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51080024T000010981134-文旅资源规划及产业发展工作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生态价值转化试点项目建设</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创建各类旅游品牌3个以上</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重点文旅项目投资</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亿元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旅游品牌质量全面提升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计划投资额度完成时间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2024年12月底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2024年12月底</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旅游接待人次同比增长</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旅游产品带动经济增长和群众增收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文旅业态及配套设施</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进一步丰富提升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进一步丰富提升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34</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51080024T000011947490-重点文旅企业发展奖补项目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严格按照《促进消费恢复发展十条措施》规定审核</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是否帮助企业减轻部分经营压力，提高企业经济效益</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对限上演艺企业新创作演艺作品，年商业化演出达 20 场次以上的，给予一次性补助</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对年营业收入首次超过6000 万元的规上文化、体育和娱乐、旅游企业，给予一次性奖励</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由于重点企业的认定标准较高，很多新兴但快速发展的企业被排除在外；补贴的资金可能被挪作他用等问题也时有出现。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一是建立多种标准的评估模型。对不同类型的企业进行不同标准的认定，但需注意公平性。</w:t>
            </w:r>
            <w:r>
              <w:rPr>
                <w:rFonts w:hint="eastAsia" w:ascii="微软雅黑" w:hAnsi="微软雅黑" w:eastAsia="微软雅黑" w:cs="微软雅黑"/>
                <w:i/>
                <w:iCs/>
                <w:color w:val="000000"/>
                <w:kern w:val="0"/>
                <w:sz w:val="16"/>
                <w:szCs w:val="16"/>
                <w:highlight w:val="none"/>
                <w:u w:val="none"/>
                <w:lang w:val="en-US" w:eastAsia="zh-CN" w:bidi="ar"/>
              </w:rPr>
              <w:br w:type="textWrapping"/>
            </w:r>
            <w:r>
              <w:rPr>
                <w:rFonts w:hint="eastAsia" w:ascii="微软雅黑" w:hAnsi="微软雅黑" w:eastAsia="微软雅黑" w:cs="微软雅黑"/>
                <w:i/>
                <w:iCs/>
                <w:color w:val="000000"/>
                <w:kern w:val="0"/>
                <w:sz w:val="16"/>
                <w:szCs w:val="16"/>
                <w:highlight w:val="none"/>
                <w:u w:val="none"/>
                <w:lang w:val="en-US" w:eastAsia="zh-CN" w:bidi="ar"/>
              </w:rPr>
              <w:t>二是设置负面清单。在项目实施过程中，若发现企业将补贴用作其他途径，则将该企业拉入负面清单，不再纳入下一次的补贴名单。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35</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51080024T000011947687-媒体宣传项目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42.91</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93.49%</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42.91</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93.49%</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文旅宣传入境短信发送数量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上榜省文旅厅发布的各市（州）文化和旅游行政主管部门新媒体传播力指数月度榜单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全年任务完成时间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是否提升“剑门蜀道，女皇故里，红色热土，康养胜地”城市品牌影响力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社会公众对广元文旅宣传的满意度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2354" w:type="pct"/>
            <w:gridSpan w:val="7"/>
            <w:tcBorders>
              <w:top w:val="single" w:color="auto" w:sz="4" w:space="0"/>
              <w:left w:val="nil"/>
              <w:bottom w:val="nil"/>
              <w:right w:val="nil"/>
            </w:tcBorders>
            <w:shd w:val="clear" w:color="auto" w:fill="auto"/>
            <w:vAlign w:val="center"/>
          </w:tcPr>
          <w:p>
            <w:pPr>
              <w:pStyle w:val="2"/>
              <w:jc w:val="both"/>
              <w:rPr>
                <w:rFonts w:hint="eastAsia"/>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36</w:t>
            </w:r>
          </w:p>
        </w:tc>
        <w:tc>
          <w:tcPr>
            <w:tcW w:w="2645" w:type="pct"/>
            <w:gridSpan w:val="12"/>
            <w:tcBorders>
              <w:top w:val="single" w:color="auto"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51080024T000011947721-广元市旅游大数据信息服务合同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游客+本地）消费）。</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游客+本地）消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游客+本地）消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16.62</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16.62</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2024年“春节”、“五一”、“国庆”节假日游客接待人次与旅游消费数据</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2024年“春节”、“五一”、“国庆”节假日期间广元市游客客源地分析</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2024年广元市旅游大数据分析报告</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项目实施时间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为广元市旅游市场管理提供有效数据支撑和决策依据。</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市级行政部门、县区文旅主管部门对广元旅游市场恢复情况的满意度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37</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51080024T000011947753-广元市导游员、讲解员、研学旅行指导师技能大赛活动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3.更好发挥协会作用。</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3.更好发挥协会作用。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3.更好发挥协会作用。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导游员、讲解员、研学旅行指导师比赛次数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导游员、讲解员、研学旅行指导师报名人数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导游员、讲解员、研学旅行指导师获奖选手</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项目实施时间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发挥以点带面的示范引领作用，提升旅游从业人员队伍服务水平</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全市从事文旅工作的群众、社会各方满意度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38</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51080025T000012229181-蜀道文物展开展仪式及研学签约仪式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2.今年7月-11月将在四川博物院举办《中国蜀道文物展》，高质量举办开展仪式和研学签约仪式，推动蜀道走出去，向世界讲好广元故事、蜀道故事、中国故事。</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2.2024年7月-11月将在四川博物院举办《中国蜀道文物展》，高质量举办开展仪式和研学签约仪式，推动蜀道走出去，向世界讲好广元故事、蜀道故事、中国故事。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2.2024年7月-11月将在四川博物院举办《中国蜀道文物展》，高质量举办开展仪式和研学签约仪式，推动蜀道走出去，向世界讲好广元故事、蜀道故事、中国故事。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举办开展仪式和研学签约仪式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高质量完成</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任务完成时间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天</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是否进一步加强我市蜀道文化传播，打响广元文旅品牌，助力大蜀道国际文化旅游目的地建设</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参加开展仪式和研学签约仪式的领导和嘉宾对活动现场的满意度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39</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51080025T000012229271-广元市首届街舞大赛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1.举办广元市首届街舞大赛；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2.为我市参加四川省第二届街舞大赛选拔队员。</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1.举办广元市首届街舞大赛；</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2.为我市参加四川省第二届街舞大赛选拔队员。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1.举办广元市首届街舞大赛；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2.为我市参加四川省第二届街舞大赛选拔队员。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设置比赛项目类别</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举办街舞大赛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组织参赛人数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配置裁判人数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设置奖项</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完成项目时间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1个月</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1个月</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展现年轻人的活力与激情，推广街舞文化，丰富广大市民精神文化生活</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参赛人员满意度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预算控制成本</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提前宣传不足，与市体育局、市商务局街舞比赛时间临近，影响了参赛规模。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提前谋划，加强与市体育局、市商务局对接，整合资源举办赛事，提升街舞赛事影响力。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40</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51080025T000012242823-2024年中国（广元）女儿节开幕式舞美音响经费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主演区P3 LED户外屏12mx6mx2块</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观众区喷绘背景18mx6mx1块，4mx6mx2块</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4座凤凰造型舞美景片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36</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舞美设计制作、舞台搭建和演区地面装饰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1240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1240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音响、话筒、耳麦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音响28只、话筒及耳麦若干</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音响28只、话筒及耳麦若干</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一台升降台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表面积4平方米，行程高度4米</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表面积4平方米，行程高度4米</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一个月</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一个月</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推广广元优质文化旅游产品，持续提升女儿节品牌价值。</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指标2：群众评价</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指标1：群众满意度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活动经费</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41</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51080025T000012317211-广元市第四次全国文物普查2024年工作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26.39</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87.98%</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26.39</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87.98%</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采购智能手持采集终端、航拍无人机</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套</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采购移动工作站、图形工作站</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套</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培训人次</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开展市级四普培训、试点培训实训</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开展实地调查指导，确保系统录入信息与实际情况吻合</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年度目标完成时间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有序推进文物普查重大国情国力调查，确认国家文物资源总量、保障国家文物安全。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预算控制成本</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42</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51080025T000012847141-2024年广元女儿节暨欢乐文化周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举办欢乐文化周系列活动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媒体宣传报道</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家</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抖音、微信、快手、小红书、B站各类平台在线观看人数</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万次</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推送新闻稿件</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篇</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举办欢乐文化周系列活动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结合广元地域文化特色和大蜀道文化内涵，挖掘地方特色文化闪光点，策划并执行欢乐文化周活动。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结合广元地域文化特色和大蜀道文化内涵，挖掘地方特色文化闪光点，策划并执行欢乐文化周活动。</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举办女儿节开幕式及其配套活动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活动圆满完成</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活动圆满完成</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提升形象、扩大消费，进一步擦亮“剑门蜀道 女皇故里 红色热土 康养胜地”城市文化品牌。</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擦亮广元城市文化品牌，提升广元城市知名度和影响力。</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2024年广元女儿节暨欢乐文化周</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334610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334610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43</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51080025T000012855075-省级文化和旅游发展专项资金2024年“引客入川”奖补项目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四川省文化和旅游厅关于旅行社引客入川奖补政策，对满足申报条件的旅行社严格审核、尽快兑现奖励资金，进一步扩大“剑门蜀道，女皇故里，红色热土，康养胜地”文旅品牌知名度和影响力，提高旅行社组织游客来广旅游积极性。</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四川省文化和旅游厅关于旅行社引客入川奖补政策，对满足申报条件的旅行社严格审核、尽快兑现奖励资金，进一步扩大“剑门蜀道，女皇故里，红色热土，康养胜地”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家</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是否严格按照《关于印发旅行社“引客入川”奖补实施方案的通知》规定审核</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是否提升广元旅游综合收入</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是否提升“剑门蜀道，女皇故里，红色热土，康养胜地”城市品牌知名度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组织旅游团队来川的旅行社人均奖励标准</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元/人</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sz w:val="32"/>
                <w:szCs w:val="32"/>
                <w:highlight w:val="none"/>
              </w:rPr>
            </w:pPr>
          </w:p>
          <w:p>
            <w:pPr>
              <w:keepNext w:val="0"/>
              <w:keepLines w:val="0"/>
              <w:widowControl/>
              <w:suppressLineNumbers w:val="0"/>
              <w:jc w:val="left"/>
              <w:textAlignment w:val="center"/>
              <w:rPr>
                <w:rFonts w:hint="default" w:ascii="宋体" w:hAnsi="宋体" w:eastAsia="黑体" w:cs="宋体"/>
                <w:i w:val="0"/>
                <w:iCs w:val="0"/>
                <w:color w:val="000000"/>
                <w:kern w:val="0"/>
                <w:sz w:val="18"/>
                <w:szCs w:val="18"/>
                <w:highlight w:val="none"/>
                <w:u w:val="none"/>
                <w:lang w:val="en-US" w:eastAsia="zh-CN" w:bidi="ar"/>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44</w:t>
            </w:r>
          </w:p>
        </w:tc>
        <w:tc>
          <w:tcPr>
            <w:tcW w:w="2645" w:type="pct"/>
            <w:gridSpan w:val="1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51080025T000012964195-编制《广元“十五五”时期建设大蜀道国际文化旅游目的地和康养度假胜地研究》课题报告项目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51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4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c>
          <w:tcPr>
            <w:tcW w:w="19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9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课题研究报告</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份</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课题编制质量</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助力广元文旅产业高质量发展</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预算执行经费</w:t>
            </w:r>
          </w:p>
        </w:tc>
        <w:tc>
          <w:tcPr>
            <w:tcW w:w="2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30000</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64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bl>
    <w:p>
      <w:pPr>
        <w:pStyle w:val="3"/>
        <w:bidi w:val="0"/>
        <w:jc w:val="center"/>
        <w:rPr>
          <w:rFonts w:hint="eastAsia" w:ascii="Times New Roman" w:hAnsi="Times New Roman" w:eastAsia="仿宋"/>
          <w:b w:val="0"/>
          <w:color w:val="auto"/>
          <w:highlight w:val="none"/>
        </w:rPr>
      </w:pPr>
      <w:bookmarkStart w:id="114" w:name="_Toc15396618"/>
      <w:bookmarkStart w:id="115" w:name="_Toc10026"/>
      <w:r>
        <w:rPr>
          <w:rFonts w:hint="eastAsia" w:ascii="Times New Roman" w:hAnsi="Times New Roman" w:eastAsia="黑体"/>
          <w:color w:val="auto"/>
          <w:sz w:val="44"/>
          <w:szCs w:val="44"/>
          <w:highlight w:val="none"/>
        </w:rPr>
        <w:t>第</w:t>
      </w:r>
      <w:r>
        <w:rPr>
          <w:rStyle w:val="21"/>
          <w:rFonts w:hint="eastAsia" w:ascii="Times New Roman" w:hAnsi="Times New Roman" w:eastAsia="黑体"/>
          <w:b w:val="0"/>
          <w:bCs/>
          <w:color w:val="auto"/>
          <w:highlight w:val="none"/>
        </w:rPr>
        <w:t>五部分 附表</w:t>
      </w:r>
      <w:bookmarkEnd w:id="109"/>
      <w:bookmarkEnd w:id="114"/>
      <w:bookmarkEnd w:id="115"/>
      <w:bookmarkStart w:id="116" w:name="_Toc1539661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4"/>
        <w:bidi w:val="0"/>
        <w:jc w:val="left"/>
        <w:rPr>
          <w:rFonts w:hint="eastAsia"/>
          <w:b w:val="0"/>
          <w:bCs w:val="0"/>
          <w:lang w:val="en-US" w:eastAsia="zh-CN"/>
        </w:rPr>
      </w:pPr>
      <w:bookmarkStart w:id="117" w:name="_Toc5694"/>
      <w:r>
        <w:rPr>
          <w:rFonts w:hint="eastAsia"/>
          <w:b w:val="0"/>
          <w:bCs w:val="0"/>
          <w:lang w:val="en-US" w:eastAsia="zh-CN"/>
        </w:rPr>
        <w:t>一、收入支出决算总表</w:t>
      </w:r>
      <w:bookmarkEnd w:id="116"/>
      <w:bookmarkEnd w:id="117"/>
    </w:p>
    <w:p>
      <w:pPr>
        <w:pStyle w:val="4"/>
        <w:bidi w:val="0"/>
        <w:jc w:val="left"/>
        <w:rPr>
          <w:rFonts w:hint="eastAsia"/>
          <w:b w:val="0"/>
          <w:bCs w:val="0"/>
          <w:lang w:val="en-US" w:eastAsia="zh-CN"/>
        </w:rPr>
      </w:pPr>
      <w:bookmarkStart w:id="118" w:name="_Toc5751"/>
      <w:bookmarkStart w:id="119" w:name="_Toc15396620"/>
      <w:r>
        <w:rPr>
          <w:rFonts w:hint="eastAsia"/>
          <w:b w:val="0"/>
          <w:bCs w:val="0"/>
          <w:lang w:val="en-US" w:eastAsia="zh-CN"/>
        </w:rPr>
        <w:t>二、收入决算表</w:t>
      </w:r>
      <w:bookmarkEnd w:id="118"/>
      <w:bookmarkEnd w:id="119"/>
    </w:p>
    <w:p>
      <w:pPr>
        <w:pStyle w:val="4"/>
        <w:bidi w:val="0"/>
        <w:jc w:val="left"/>
        <w:rPr>
          <w:rFonts w:hint="eastAsia"/>
          <w:b w:val="0"/>
          <w:bCs w:val="0"/>
          <w:lang w:val="en-US" w:eastAsia="zh-CN"/>
        </w:rPr>
      </w:pPr>
      <w:bookmarkStart w:id="120" w:name="_Toc15396621"/>
      <w:bookmarkStart w:id="121" w:name="_Toc8732"/>
      <w:r>
        <w:rPr>
          <w:rFonts w:hint="eastAsia"/>
          <w:b w:val="0"/>
          <w:bCs w:val="0"/>
          <w:lang w:val="en-US" w:eastAsia="zh-CN"/>
        </w:rPr>
        <w:t>三、支出决算表</w:t>
      </w:r>
      <w:bookmarkEnd w:id="120"/>
      <w:bookmarkEnd w:id="121"/>
    </w:p>
    <w:p>
      <w:pPr>
        <w:pStyle w:val="4"/>
        <w:bidi w:val="0"/>
        <w:jc w:val="left"/>
        <w:rPr>
          <w:rFonts w:hint="eastAsia"/>
          <w:b w:val="0"/>
          <w:bCs w:val="0"/>
          <w:lang w:val="en-US" w:eastAsia="zh-CN"/>
        </w:rPr>
      </w:pPr>
      <w:bookmarkStart w:id="122" w:name="_Toc15406"/>
      <w:bookmarkStart w:id="123" w:name="_Toc15396622"/>
      <w:r>
        <w:rPr>
          <w:rFonts w:hint="eastAsia"/>
          <w:b w:val="0"/>
          <w:bCs w:val="0"/>
          <w:lang w:val="en-US" w:eastAsia="zh-CN"/>
        </w:rPr>
        <w:t>四、财政拨款收入支出决算总表</w:t>
      </w:r>
      <w:bookmarkEnd w:id="122"/>
      <w:bookmarkEnd w:id="123"/>
    </w:p>
    <w:p>
      <w:pPr>
        <w:pStyle w:val="4"/>
        <w:bidi w:val="0"/>
        <w:jc w:val="left"/>
        <w:rPr>
          <w:rFonts w:hint="eastAsia"/>
          <w:b w:val="0"/>
          <w:bCs w:val="0"/>
          <w:lang w:val="en-US" w:eastAsia="zh-CN"/>
        </w:rPr>
      </w:pPr>
      <w:bookmarkStart w:id="124" w:name="_Toc15396623"/>
      <w:bookmarkStart w:id="125" w:name="_Toc20773"/>
      <w:r>
        <w:rPr>
          <w:rFonts w:hint="eastAsia"/>
          <w:b w:val="0"/>
          <w:bCs w:val="0"/>
          <w:lang w:val="en-US" w:eastAsia="zh-CN"/>
        </w:rPr>
        <w:t>五、财政拨款支出决算明细表</w:t>
      </w:r>
      <w:bookmarkEnd w:id="124"/>
      <w:bookmarkEnd w:id="125"/>
      <w:bookmarkStart w:id="126" w:name="_Toc15396624"/>
    </w:p>
    <w:p>
      <w:pPr>
        <w:pStyle w:val="4"/>
        <w:bidi w:val="0"/>
        <w:jc w:val="left"/>
        <w:rPr>
          <w:rFonts w:hint="eastAsia"/>
          <w:b w:val="0"/>
          <w:bCs w:val="0"/>
          <w:lang w:val="en-US" w:eastAsia="zh-CN"/>
        </w:rPr>
      </w:pPr>
      <w:bookmarkStart w:id="127" w:name="_Toc23080"/>
      <w:r>
        <w:rPr>
          <w:rFonts w:hint="eastAsia"/>
          <w:b w:val="0"/>
          <w:bCs w:val="0"/>
          <w:lang w:val="en-US" w:eastAsia="zh-CN"/>
        </w:rPr>
        <w:t>六、一般公共预算财政拨款支出决算表</w:t>
      </w:r>
      <w:bookmarkEnd w:id="126"/>
      <w:bookmarkEnd w:id="127"/>
    </w:p>
    <w:p>
      <w:pPr>
        <w:pStyle w:val="4"/>
        <w:bidi w:val="0"/>
        <w:jc w:val="left"/>
        <w:rPr>
          <w:rFonts w:hint="eastAsia"/>
          <w:b w:val="0"/>
          <w:bCs w:val="0"/>
          <w:lang w:val="en-US" w:eastAsia="zh-CN"/>
        </w:rPr>
      </w:pPr>
      <w:bookmarkStart w:id="128" w:name="_Toc15396625"/>
      <w:bookmarkStart w:id="129" w:name="_Toc21273"/>
      <w:r>
        <w:rPr>
          <w:rFonts w:hint="eastAsia"/>
          <w:b w:val="0"/>
          <w:bCs w:val="0"/>
          <w:lang w:val="en-US" w:eastAsia="zh-CN"/>
        </w:rPr>
        <w:t>七、一般公共预算财政拨款支出决算明细表</w:t>
      </w:r>
      <w:bookmarkEnd w:id="128"/>
      <w:bookmarkEnd w:id="129"/>
    </w:p>
    <w:p>
      <w:pPr>
        <w:pStyle w:val="4"/>
        <w:bidi w:val="0"/>
        <w:jc w:val="left"/>
        <w:rPr>
          <w:rFonts w:hint="eastAsia"/>
          <w:b w:val="0"/>
          <w:bCs w:val="0"/>
          <w:lang w:val="en-US" w:eastAsia="zh-CN"/>
        </w:rPr>
      </w:pPr>
      <w:bookmarkStart w:id="130" w:name="_Toc10568"/>
      <w:bookmarkStart w:id="131" w:name="_Toc15396626"/>
      <w:r>
        <w:rPr>
          <w:rFonts w:hint="eastAsia"/>
          <w:b w:val="0"/>
          <w:bCs w:val="0"/>
          <w:lang w:val="en-US" w:eastAsia="zh-CN"/>
        </w:rPr>
        <w:t>八、一般公共预算财政拨款基本支出决算表</w:t>
      </w:r>
      <w:bookmarkEnd w:id="130"/>
      <w:bookmarkEnd w:id="131"/>
    </w:p>
    <w:p>
      <w:pPr>
        <w:pStyle w:val="4"/>
        <w:bidi w:val="0"/>
        <w:jc w:val="left"/>
        <w:rPr>
          <w:rFonts w:hint="eastAsia"/>
          <w:b w:val="0"/>
          <w:bCs w:val="0"/>
          <w:lang w:val="en-US" w:eastAsia="zh-CN"/>
        </w:rPr>
      </w:pPr>
      <w:bookmarkStart w:id="132" w:name="_Toc15396627"/>
      <w:bookmarkStart w:id="133" w:name="_Toc11496"/>
      <w:r>
        <w:rPr>
          <w:rFonts w:hint="eastAsia"/>
          <w:b w:val="0"/>
          <w:bCs w:val="0"/>
          <w:lang w:val="en-US" w:eastAsia="zh-CN"/>
        </w:rPr>
        <w:t>九、一般公共预算财政拨款项目支出决算表</w:t>
      </w:r>
      <w:bookmarkEnd w:id="132"/>
      <w:bookmarkEnd w:id="133"/>
    </w:p>
    <w:p>
      <w:pPr>
        <w:pStyle w:val="4"/>
        <w:bidi w:val="0"/>
        <w:jc w:val="left"/>
        <w:rPr>
          <w:rFonts w:hint="eastAsia"/>
          <w:b w:val="0"/>
          <w:bCs w:val="0"/>
          <w:lang w:val="en-US" w:eastAsia="zh-CN"/>
        </w:rPr>
      </w:pPr>
      <w:bookmarkStart w:id="134" w:name="_Toc15396628"/>
      <w:bookmarkStart w:id="135" w:name="_Toc29678"/>
      <w:r>
        <w:rPr>
          <w:rFonts w:hint="eastAsia"/>
          <w:b w:val="0"/>
          <w:bCs w:val="0"/>
          <w:lang w:val="en-US" w:eastAsia="zh-CN"/>
        </w:rPr>
        <w:t>十、</w:t>
      </w:r>
      <w:bookmarkEnd w:id="134"/>
      <w:r>
        <w:rPr>
          <w:rFonts w:hint="eastAsia"/>
          <w:b w:val="0"/>
          <w:bCs w:val="0"/>
          <w:lang w:val="en-US" w:eastAsia="zh-CN"/>
        </w:rPr>
        <w:t>政府性基金预算财政拨款收入支出决算表</w:t>
      </w:r>
      <w:bookmarkEnd w:id="135"/>
    </w:p>
    <w:p>
      <w:pPr>
        <w:pStyle w:val="4"/>
        <w:bidi w:val="0"/>
        <w:jc w:val="left"/>
        <w:rPr>
          <w:rFonts w:hint="eastAsia"/>
          <w:b w:val="0"/>
          <w:bCs w:val="0"/>
          <w:lang w:val="en-US" w:eastAsia="zh-CN"/>
        </w:rPr>
      </w:pPr>
      <w:bookmarkStart w:id="136" w:name="_Toc15396629"/>
      <w:bookmarkStart w:id="137" w:name="_Toc15324"/>
      <w:r>
        <w:rPr>
          <w:rFonts w:hint="eastAsia"/>
          <w:b w:val="0"/>
          <w:bCs w:val="0"/>
          <w:lang w:val="en-US" w:eastAsia="zh-CN"/>
        </w:rPr>
        <w:t>十一、</w:t>
      </w:r>
      <w:bookmarkEnd w:id="136"/>
      <w:r>
        <w:rPr>
          <w:rFonts w:hint="eastAsia"/>
          <w:b w:val="0"/>
          <w:bCs w:val="0"/>
          <w:lang w:val="en-US" w:eastAsia="zh-CN"/>
        </w:rPr>
        <w:t>国有资本经营预算财政拨款收入支出决算表</w:t>
      </w:r>
      <w:bookmarkEnd w:id="137"/>
    </w:p>
    <w:p>
      <w:pPr>
        <w:pStyle w:val="4"/>
        <w:bidi w:val="0"/>
        <w:jc w:val="left"/>
        <w:rPr>
          <w:rFonts w:hint="eastAsia"/>
          <w:b w:val="0"/>
          <w:bCs w:val="0"/>
          <w:lang w:val="en-US" w:eastAsia="zh-CN"/>
        </w:rPr>
      </w:pPr>
      <w:bookmarkStart w:id="138" w:name="_Toc15396630"/>
      <w:bookmarkStart w:id="139" w:name="_Toc5375"/>
      <w:r>
        <w:rPr>
          <w:rFonts w:hint="eastAsia"/>
          <w:b w:val="0"/>
          <w:bCs w:val="0"/>
          <w:lang w:val="en-US" w:eastAsia="zh-CN"/>
        </w:rPr>
        <w:t>十二、</w:t>
      </w:r>
      <w:bookmarkEnd w:id="138"/>
      <w:r>
        <w:rPr>
          <w:rFonts w:hint="eastAsia"/>
          <w:b w:val="0"/>
          <w:bCs w:val="0"/>
          <w:lang w:val="en-US" w:eastAsia="zh-CN"/>
        </w:rPr>
        <w:t>国有资本经营预算财政拨款支出决算表</w:t>
      </w:r>
      <w:bookmarkEnd w:id="139"/>
    </w:p>
    <w:p>
      <w:pPr>
        <w:pStyle w:val="4"/>
        <w:bidi w:val="0"/>
        <w:jc w:val="left"/>
        <w:rPr>
          <w:rFonts w:hint="eastAsia"/>
          <w:b w:val="0"/>
          <w:bCs w:val="0"/>
          <w:lang w:val="en-US" w:eastAsia="zh-CN"/>
        </w:rPr>
      </w:pPr>
      <w:bookmarkStart w:id="140" w:name="_Toc15396631"/>
      <w:bookmarkStart w:id="141" w:name="_Toc7938"/>
      <w:r>
        <w:rPr>
          <w:rFonts w:hint="eastAsia"/>
          <w:b w:val="0"/>
          <w:bCs w:val="0"/>
          <w:lang w:val="en-US" w:eastAsia="zh-CN"/>
        </w:rPr>
        <w:t>十三、</w:t>
      </w:r>
      <w:bookmarkEnd w:id="140"/>
      <w:r>
        <w:rPr>
          <w:rFonts w:hint="eastAsia"/>
          <w:b w:val="0"/>
          <w:bCs w:val="0"/>
          <w:lang w:val="en-US" w:eastAsia="zh-CN"/>
        </w:rPr>
        <w:t>财政拨款“三公”经费支出决算表</w:t>
      </w:r>
      <w:bookmarkEnd w:id="141"/>
    </w:p>
    <w:p>
      <w:pPr>
        <w:rPr>
          <w:rFonts w:hint="eastAsia" w:ascii="Times New Roman" w:hAnsi="Times New Roman"/>
          <w:highlight w:val="none"/>
          <w:lang w:eastAsia="zh-CN"/>
        </w:rPr>
      </w:pPr>
    </w:p>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黑体简体">
    <w:altName w:val="方正小标宋简体"/>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A9211"/>
    <w:multiLevelType w:val="singleLevel"/>
    <w:tmpl w:val="21BA9211"/>
    <w:lvl w:ilvl="0" w:tentative="0">
      <w:start w:val="1"/>
      <w:numFmt w:val="decimal"/>
      <w:suff w:val="nothing"/>
      <w:lvlText w:val="%1．"/>
      <w:lvlJc w:val="left"/>
      <w:pPr>
        <w:ind w:left="0" w:firstLine="39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450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A1AF0"/>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737E5A"/>
    <w:rsid w:val="02907F85"/>
    <w:rsid w:val="02FEBE30"/>
    <w:rsid w:val="03C74493"/>
    <w:rsid w:val="03EF10DC"/>
    <w:rsid w:val="03F55B9E"/>
    <w:rsid w:val="04916F1E"/>
    <w:rsid w:val="061E35DE"/>
    <w:rsid w:val="066E0107"/>
    <w:rsid w:val="06EE525E"/>
    <w:rsid w:val="07996F6E"/>
    <w:rsid w:val="07DFD8BA"/>
    <w:rsid w:val="0819664F"/>
    <w:rsid w:val="08FA6F9A"/>
    <w:rsid w:val="093E463B"/>
    <w:rsid w:val="09867E8F"/>
    <w:rsid w:val="0A2032A3"/>
    <w:rsid w:val="0AEB73DB"/>
    <w:rsid w:val="0BD223C9"/>
    <w:rsid w:val="0C4317E5"/>
    <w:rsid w:val="0C504748"/>
    <w:rsid w:val="0CA8290A"/>
    <w:rsid w:val="0D35B1ED"/>
    <w:rsid w:val="0DEC33DE"/>
    <w:rsid w:val="0E254B6B"/>
    <w:rsid w:val="0E625C06"/>
    <w:rsid w:val="0ECD7164"/>
    <w:rsid w:val="0F851480"/>
    <w:rsid w:val="0F876CAA"/>
    <w:rsid w:val="0F98263C"/>
    <w:rsid w:val="10036F74"/>
    <w:rsid w:val="101860EC"/>
    <w:rsid w:val="101F47CC"/>
    <w:rsid w:val="108807AD"/>
    <w:rsid w:val="10C055FF"/>
    <w:rsid w:val="1151507A"/>
    <w:rsid w:val="11694EBD"/>
    <w:rsid w:val="11772AA4"/>
    <w:rsid w:val="118107EC"/>
    <w:rsid w:val="12E24EE2"/>
    <w:rsid w:val="13D50BC4"/>
    <w:rsid w:val="14B17F78"/>
    <w:rsid w:val="14CB4A5B"/>
    <w:rsid w:val="14FE258A"/>
    <w:rsid w:val="156E6E03"/>
    <w:rsid w:val="15C76D6F"/>
    <w:rsid w:val="165E0673"/>
    <w:rsid w:val="16985F3D"/>
    <w:rsid w:val="16B831D5"/>
    <w:rsid w:val="16BB723D"/>
    <w:rsid w:val="178F6412"/>
    <w:rsid w:val="17E01949"/>
    <w:rsid w:val="17E50567"/>
    <w:rsid w:val="186504BB"/>
    <w:rsid w:val="18B0756E"/>
    <w:rsid w:val="19A445FC"/>
    <w:rsid w:val="19C459C6"/>
    <w:rsid w:val="1A5572CF"/>
    <w:rsid w:val="1BE8440E"/>
    <w:rsid w:val="1D155CEE"/>
    <w:rsid w:val="1D1638FE"/>
    <w:rsid w:val="1DA75A0A"/>
    <w:rsid w:val="1DCA4CE1"/>
    <w:rsid w:val="1E312DEB"/>
    <w:rsid w:val="1E740ACF"/>
    <w:rsid w:val="1E7E0E78"/>
    <w:rsid w:val="1ECD0A72"/>
    <w:rsid w:val="1F83702D"/>
    <w:rsid w:val="1FDF221A"/>
    <w:rsid w:val="1FF35744"/>
    <w:rsid w:val="1FF6BC77"/>
    <w:rsid w:val="20680372"/>
    <w:rsid w:val="2186353C"/>
    <w:rsid w:val="22A40F0C"/>
    <w:rsid w:val="23860B96"/>
    <w:rsid w:val="240371BF"/>
    <w:rsid w:val="244F3473"/>
    <w:rsid w:val="24C97D99"/>
    <w:rsid w:val="256169E0"/>
    <w:rsid w:val="25A718F0"/>
    <w:rsid w:val="25BB59F6"/>
    <w:rsid w:val="260F557C"/>
    <w:rsid w:val="26970054"/>
    <w:rsid w:val="27B44246"/>
    <w:rsid w:val="281408E2"/>
    <w:rsid w:val="29FD04D3"/>
    <w:rsid w:val="2BC3581B"/>
    <w:rsid w:val="2BFF7BC6"/>
    <w:rsid w:val="2C441985"/>
    <w:rsid w:val="2C8A61B5"/>
    <w:rsid w:val="2CAB3B93"/>
    <w:rsid w:val="2DDC4E5C"/>
    <w:rsid w:val="2DF04E50"/>
    <w:rsid w:val="2E065293"/>
    <w:rsid w:val="2E586DFA"/>
    <w:rsid w:val="2E9F5815"/>
    <w:rsid w:val="2F040D46"/>
    <w:rsid w:val="2F6B035B"/>
    <w:rsid w:val="2FAE5751"/>
    <w:rsid w:val="2FB1A395"/>
    <w:rsid w:val="2FD9A7D8"/>
    <w:rsid w:val="2FDBF714"/>
    <w:rsid w:val="30AB6865"/>
    <w:rsid w:val="319F7F4E"/>
    <w:rsid w:val="326D2DDA"/>
    <w:rsid w:val="32BD1EF1"/>
    <w:rsid w:val="3304709D"/>
    <w:rsid w:val="33A773CB"/>
    <w:rsid w:val="345614B9"/>
    <w:rsid w:val="34601D40"/>
    <w:rsid w:val="34647FB1"/>
    <w:rsid w:val="349D6851"/>
    <w:rsid w:val="358F6D5E"/>
    <w:rsid w:val="36AA5135"/>
    <w:rsid w:val="36B560C5"/>
    <w:rsid w:val="36BE0DA7"/>
    <w:rsid w:val="376B6AA6"/>
    <w:rsid w:val="376D39B2"/>
    <w:rsid w:val="37E16F03"/>
    <w:rsid w:val="37F53A3B"/>
    <w:rsid w:val="389B6C89"/>
    <w:rsid w:val="38D469F0"/>
    <w:rsid w:val="39627CCD"/>
    <w:rsid w:val="397BAF1F"/>
    <w:rsid w:val="3AA51AB6"/>
    <w:rsid w:val="3AB10CC7"/>
    <w:rsid w:val="3AB79AF3"/>
    <w:rsid w:val="3AE834C0"/>
    <w:rsid w:val="3B7EF35A"/>
    <w:rsid w:val="3B9FDB6C"/>
    <w:rsid w:val="3BEC13F9"/>
    <w:rsid w:val="3BF5BC2F"/>
    <w:rsid w:val="3CB44C6F"/>
    <w:rsid w:val="3CEBA265"/>
    <w:rsid w:val="3D98207C"/>
    <w:rsid w:val="3DEE7CF3"/>
    <w:rsid w:val="3E740A63"/>
    <w:rsid w:val="3E78745D"/>
    <w:rsid w:val="3EAC1ECD"/>
    <w:rsid w:val="3EC21282"/>
    <w:rsid w:val="3EE17838"/>
    <w:rsid w:val="3F177A97"/>
    <w:rsid w:val="3F55381A"/>
    <w:rsid w:val="3F7F7599"/>
    <w:rsid w:val="3FF4CAE0"/>
    <w:rsid w:val="3FF7B227"/>
    <w:rsid w:val="406114CC"/>
    <w:rsid w:val="41466F18"/>
    <w:rsid w:val="43C47F05"/>
    <w:rsid w:val="44BC12AB"/>
    <w:rsid w:val="44E268DA"/>
    <w:rsid w:val="450D13D7"/>
    <w:rsid w:val="45506656"/>
    <w:rsid w:val="457F63EC"/>
    <w:rsid w:val="4618037D"/>
    <w:rsid w:val="46441597"/>
    <w:rsid w:val="486A6C7A"/>
    <w:rsid w:val="48F0258B"/>
    <w:rsid w:val="492139EC"/>
    <w:rsid w:val="496F5CDB"/>
    <w:rsid w:val="49FB2649"/>
    <w:rsid w:val="4A627F82"/>
    <w:rsid w:val="4B0E749A"/>
    <w:rsid w:val="4B2477C4"/>
    <w:rsid w:val="4B4F25DA"/>
    <w:rsid w:val="4B510E31"/>
    <w:rsid w:val="4BE068DB"/>
    <w:rsid w:val="4C39729F"/>
    <w:rsid w:val="4D577224"/>
    <w:rsid w:val="4DBF1CEB"/>
    <w:rsid w:val="4DF0007C"/>
    <w:rsid w:val="4EAB630A"/>
    <w:rsid w:val="4ECE2238"/>
    <w:rsid w:val="4F833267"/>
    <w:rsid w:val="4FE9BD67"/>
    <w:rsid w:val="4FFB052F"/>
    <w:rsid w:val="50485D02"/>
    <w:rsid w:val="509A5B6D"/>
    <w:rsid w:val="51676299"/>
    <w:rsid w:val="52A25C20"/>
    <w:rsid w:val="537E6D0A"/>
    <w:rsid w:val="53F74C96"/>
    <w:rsid w:val="54434118"/>
    <w:rsid w:val="54E55F18"/>
    <w:rsid w:val="55170BA8"/>
    <w:rsid w:val="553218C9"/>
    <w:rsid w:val="56256E6F"/>
    <w:rsid w:val="567E1AA5"/>
    <w:rsid w:val="56E47B74"/>
    <w:rsid w:val="57175D52"/>
    <w:rsid w:val="57BD3DD4"/>
    <w:rsid w:val="58482819"/>
    <w:rsid w:val="594B0611"/>
    <w:rsid w:val="59923010"/>
    <w:rsid w:val="59DB3743"/>
    <w:rsid w:val="5AF92295"/>
    <w:rsid w:val="5B250254"/>
    <w:rsid w:val="5B5714EF"/>
    <w:rsid w:val="5BDD79E6"/>
    <w:rsid w:val="5BF561CA"/>
    <w:rsid w:val="5BFF5DFC"/>
    <w:rsid w:val="5CD71FC4"/>
    <w:rsid w:val="5D1F11B5"/>
    <w:rsid w:val="5D695134"/>
    <w:rsid w:val="5DAE1B18"/>
    <w:rsid w:val="5DE7D9E5"/>
    <w:rsid w:val="5ECEC941"/>
    <w:rsid w:val="5FBE036F"/>
    <w:rsid w:val="5FBF9FF3"/>
    <w:rsid w:val="5FCD4E2C"/>
    <w:rsid w:val="5FEF394A"/>
    <w:rsid w:val="5FF67715"/>
    <w:rsid w:val="600A6C33"/>
    <w:rsid w:val="601B6F8F"/>
    <w:rsid w:val="60225C47"/>
    <w:rsid w:val="614A0FCE"/>
    <w:rsid w:val="61FF5A3D"/>
    <w:rsid w:val="62231FF6"/>
    <w:rsid w:val="62BF3928"/>
    <w:rsid w:val="63121B08"/>
    <w:rsid w:val="63B3701E"/>
    <w:rsid w:val="63D73106"/>
    <w:rsid w:val="647F5392"/>
    <w:rsid w:val="64B13D6E"/>
    <w:rsid w:val="65E66580"/>
    <w:rsid w:val="664B1D71"/>
    <w:rsid w:val="664B4E8E"/>
    <w:rsid w:val="67277B67"/>
    <w:rsid w:val="67917192"/>
    <w:rsid w:val="67AA3209"/>
    <w:rsid w:val="684D1064"/>
    <w:rsid w:val="68827AA7"/>
    <w:rsid w:val="698D0931"/>
    <w:rsid w:val="6A453DAF"/>
    <w:rsid w:val="6A7FE5F3"/>
    <w:rsid w:val="6ACA583A"/>
    <w:rsid w:val="6B053271"/>
    <w:rsid w:val="6BDD78B3"/>
    <w:rsid w:val="6C4A05C8"/>
    <w:rsid w:val="6C8742B8"/>
    <w:rsid w:val="6CA415E9"/>
    <w:rsid w:val="6DBF5E93"/>
    <w:rsid w:val="6DD62748"/>
    <w:rsid w:val="6DDC0B81"/>
    <w:rsid w:val="6DFF077E"/>
    <w:rsid w:val="6E714EF0"/>
    <w:rsid w:val="6E7E3605"/>
    <w:rsid w:val="6E7FDCC7"/>
    <w:rsid w:val="6ED6A62E"/>
    <w:rsid w:val="6EE00B15"/>
    <w:rsid w:val="6F030322"/>
    <w:rsid w:val="6F6FB3EB"/>
    <w:rsid w:val="6F717E51"/>
    <w:rsid w:val="6F8731EA"/>
    <w:rsid w:val="6FCE6052"/>
    <w:rsid w:val="6FD57C00"/>
    <w:rsid w:val="6FEB4F99"/>
    <w:rsid w:val="6FEFFFD8"/>
    <w:rsid w:val="6FF5CC65"/>
    <w:rsid w:val="6FFB47EC"/>
    <w:rsid w:val="6FFF034A"/>
    <w:rsid w:val="70484440"/>
    <w:rsid w:val="704977F1"/>
    <w:rsid w:val="712A28F1"/>
    <w:rsid w:val="715C0E4B"/>
    <w:rsid w:val="71992E7C"/>
    <w:rsid w:val="72233669"/>
    <w:rsid w:val="72734D90"/>
    <w:rsid w:val="73007180"/>
    <w:rsid w:val="73160E6D"/>
    <w:rsid w:val="7332FE48"/>
    <w:rsid w:val="735A0B46"/>
    <w:rsid w:val="73AB61DA"/>
    <w:rsid w:val="73AD73D5"/>
    <w:rsid w:val="73B6EB34"/>
    <w:rsid w:val="73FA497D"/>
    <w:rsid w:val="742645DD"/>
    <w:rsid w:val="744731E5"/>
    <w:rsid w:val="74BBD01D"/>
    <w:rsid w:val="74ED5379"/>
    <w:rsid w:val="75262C13"/>
    <w:rsid w:val="75464731"/>
    <w:rsid w:val="75DEEEC2"/>
    <w:rsid w:val="75E32345"/>
    <w:rsid w:val="768E239C"/>
    <w:rsid w:val="76E3355F"/>
    <w:rsid w:val="76FF5125"/>
    <w:rsid w:val="772558CB"/>
    <w:rsid w:val="776F6FFA"/>
    <w:rsid w:val="778769C8"/>
    <w:rsid w:val="77A75DCA"/>
    <w:rsid w:val="77DC22F5"/>
    <w:rsid w:val="783E271A"/>
    <w:rsid w:val="785F548B"/>
    <w:rsid w:val="78616DE9"/>
    <w:rsid w:val="78E875D7"/>
    <w:rsid w:val="790545CC"/>
    <w:rsid w:val="79086DAD"/>
    <w:rsid w:val="79D7FD79"/>
    <w:rsid w:val="79EE5BA4"/>
    <w:rsid w:val="7A0805B1"/>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E21E4"/>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6">
    <w:name w:val="Salutation"/>
    <w:basedOn w:val="1"/>
    <w:next w:val="1"/>
    <w:qFormat/>
    <w:uiPriority w:val="99"/>
    <w:pPr>
      <w:widowControl w:val="0"/>
      <w:jc w:val="both"/>
    </w:pPr>
    <w:rPr>
      <w:rFonts w:ascii="Calibri" w:hAnsi="Calibri" w:eastAsia="仿宋_GB2312" w:cs="宋体"/>
      <w:kern w:val="2"/>
      <w:sz w:val="32"/>
      <w:szCs w:val="24"/>
      <w:lang w:val="en-US" w:eastAsia="zh-CN" w:bidi="ar-SA"/>
    </w:rPr>
  </w:style>
  <w:style w:type="paragraph" w:styleId="7">
    <w:name w:val="Body Text"/>
    <w:basedOn w:val="1"/>
    <w:next w:val="1"/>
    <w:link w:val="30"/>
    <w:qFormat/>
    <w:uiPriority w:val="99"/>
    <w:pPr>
      <w:spacing w:beforeLines="30"/>
    </w:pPr>
    <w:rPr>
      <w:rFonts w:ascii="仿宋_GB2312" w:eastAsia="仿宋_GB2312"/>
      <w:kern w:val="0"/>
      <w:sz w:val="30"/>
    </w:rPr>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4"/>
    <w:semiHidden/>
    <w:unhideWhenUsed/>
    <w:qFormat/>
    <w:uiPriority w:val="99"/>
    <w:rPr>
      <w:sz w:val="18"/>
      <w:szCs w:val="18"/>
    </w:rPr>
  </w:style>
  <w:style w:type="paragraph" w:styleId="12">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footnote text"/>
    <w:basedOn w:val="1"/>
    <w:next w:val="9"/>
    <w:semiHidden/>
    <w:qFormat/>
    <w:uiPriority w:val="0"/>
    <w:pPr>
      <w:snapToGrid w:val="0"/>
      <w:jc w:val="left"/>
    </w:pPr>
    <w:rPr>
      <w:sz w:val="18"/>
      <w:szCs w:val="18"/>
    </w:rPr>
  </w:style>
  <w:style w:type="paragraph" w:styleId="15">
    <w:name w:val="table of figures"/>
    <w:basedOn w:val="1"/>
    <w:next w:val="1"/>
    <w:qFormat/>
    <w:uiPriority w:val="0"/>
    <w:pPr>
      <w:ind w:left="200" w:leftChars="200" w:hanging="200" w:hangingChars="200"/>
    </w:p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5">
    <w:name w:val="Header Char"/>
    <w:basedOn w:val="18"/>
    <w:semiHidden/>
    <w:qFormat/>
    <w:uiPriority w:val="99"/>
    <w:rPr>
      <w:rFonts w:ascii="Times New Roman" w:hAnsi="Times New Roman"/>
      <w:sz w:val="18"/>
      <w:szCs w:val="18"/>
    </w:rPr>
  </w:style>
  <w:style w:type="character" w:customStyle="1" w:styleId="26">
    <w:name w:val="页眉 Char"/>
    <w:link w:val="13"/>
    <w:semiHidden/>
    <w:qFormat/>
    <w:locked/>
    <w:uiPriority w:val="99"/>
    <w:rPr>
      <w:sz w:val="18"/>
    </w:rPr>
  </w:style>
  <w:style w:type="character" w:customStyle="1" w:styleId="27">
    <w:name w:val="Footer Char"/>
    <w:basedOn w:val="18"/>
    <w:semiHidden/>
    <w:qFormat/>
    <w:uiPriority w:val="99"/>
    <w:rPr>
      <w:rFonts w:ascii="Times New Roman" w:hAnsi="Times New Roman"/>
      <w:sz w:val="18"/>
      <w:szCs w:val="18"/>
    </w:rPr>
  </w:style>
  <w:style w:type="character" w:customStyle="1" w:styleId="28">
    <w:name w:val="页脚 Char"/>
    <w:link w:val="12"/>
    <w:qFormat/>
    <w:locked/>
    <w:uiPriority w:val="99"/>
    <w:rPr>
      <w:sz w:val="18"/>
    </w:rPr>
  </w:style>
  <w:style w:type="character" w:customStyle="1" w:styleId="29">
    <w:name w:val="Body Text Char"/>
    <w:basedOn w:val="18"/>
    <w:semiHidden/>
    <w:qFormat/>
    <w:uiPriority w:val="99"/>
    <w:rPr>
      <w:rFonts w:ascii="Times New Roman" w:hAnsi="Times New Roman"/>
      <w:szCs w:val="24"/>
    </w:rPr>
  </w:style>
  <w:style w:type="character" w:customStyle="1" w:styleId="30">
    <w:name w:val="正文文本 Char"/>
    <w:link w:val="7"/>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8"/>
    <w:link w:val="11"/>
    <w:semiHidden/>
    <w:qFormat/>
    <w:uiPriority w:val="99"/>
    <w:rPr>
      <w:rFonts w:ascii="Times New Roman" w:hAnsi="Times New Roman"/>
      <w:kern w:val="2"/>
      <w:sz w:val="18"/>
      <w:szCs w:val="18"/>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7">
    <w:name w:val="font51"/>
    <w:basedOn w:val="18"/>
    <w:qFormat/>
    <w:uiPriority w:val="0"/>
    <w:rPr>
      <w:rFonts w:hint="eastAsia" w:ascii="宋体" w:hAnsi="宋体" w:eastAsia="宋体" w:cs="宋体"/>
      <w:color w:val="000000"/>
      <w:sz w:val="18"/>
      <w:szCs w:val="18"/>
      <w:u w:val="none"/>
    </w:rPr>
  </w:style>
  <w:style w:type="character" w:customStyle="1" w:styleId="38">
    <w:name w:val="font31"/>
    <w:basedOn w:val="18"/>
    <w:qFormat/>
    <w:uiPriority w:val="0"/>
    <w:rPr>
      <w:rFonts w:ascii="宋体" w:hAnsi="宋体" w:eastAsia="宋体" w:cs="宋体"/>
      <w:color w:val="000000"/>
      <w:sz w:val="18"/>
      <w:szCs w:val="18"/>
      <w:u w:val="none"/>
    </w:rPr>
  </w:style>
  <w:style w:type="character" w:customStyle="1" w:styleId="39">
    <w:name w:val="font122"/>
    <w:basedOn w:val="18"/>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Desktop\&#35745;&#31639;&#33609;&#312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35745;&#31639;&#33609;&#31295;.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5745;&#31639;&#33609;&#31295;.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35745;&#31639;&#33609;&#31295;.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35745;&#31639;&#33609;&#31295;.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35745;&#31639;&#33609;&#31295;.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35745;&#31639;&#33609;&#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[计算草稿.xlsx]Sheet1!$D$886:$D$887</c:f>
              <c:strCache>
                <c:ptCount val="2"/>
                <c:pt idx="0">
                  <c:v>2023年度</c:v>
                </c:pt>
                <c:pt idx="1">
                  <c:v>2024年度</c:v>
                </c:pt>
              </c:strCache>
            </c:strRef>
          </c:cat>
          <c:val>
            <c:numRef>
              <c:f>[计算草稿.xlsx]Sheet1!$E$886:$E$887</c:f>
              <c:numCache>
                <c:formatCode>#,##0.00</c:formatCode>
                <c:ptCount val="2"/>
                <c:pt idx="0">
                  <c:v>10814.72</c:v>
                </c:pt>
                <c:pt idx="1" c:formatCode="General">
                  <c:v>1998</c:v>
                </c:pt>
              </c:numCache>
            </c:numRef>
          </c:val>
        </c:ser>
        <c:dLbls>
          <c:showLegendKey val="false"/>
          <c:showVal val="true"/>
          <c:showCatName val="false"/>
          <c:showSerName val="false"/>
          <c:showPercent val="false"/>
          <c:showBubbleSize val="false"/>
        </c:dLbls>
        <c:gapWidth val="246"/>
        <c:overlap val="-28"/>
        <c:axId val="593501762"/>
        <c:axId val="523389337"/>
      </c:barChart>
      <c:catAx>
        <c:axId val="59350176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23389337"/>
        <c:crosses val="autoZero"/>
        <c:auto val="true"/>
        <c:lblAlgn val="ctr"/>
        <c:lblOffset val="100"/>
        <c:noMultiLvlLbl val="false"/>
      </c:catAx>
      <c:valAx>
        <c:axId val="523389337"/>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9350176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收入决算结构图（单位：万元）</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[计算草稿.xlsx]Sheet3!$B$788:$B$789</c:f>
              <c:strCache>
                <c:ptCount val="2"/>
                <c:pt idx="0">
                  <c:v>一般公共预算财政拨款收入</c:v>
                </c:pt>
                <c:pt idx="1">
                  <c:v>其他收入</c:v>
                </c:pt>
              </c:strCache>
            </c:strRef>
          </c:cat>
          <c:val>
            <c:numRef>
              <c:f>[计算草稿.xlsx]Sheet3!$C$788:$C$789</c:f>
              <c:numCache>
                <c:formatCode>General</c:formatCode>
                <c:ptCount val="2"/>
                <c:pt idx="0">
                  <c:v>1989.74</c:v>
                </c:pt>
                <c:pt idx="1">
                  <c:v>0.29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支出决算结构图（单位：万元）</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[计算草稿.xlsx]Sheet3!$B$808:$B$809</c:f>
              <c:strCache>
                <c:ptCount val="2"/>
                <c:pt idx="0">
                  <c:v>基本支出</c:v>
                </c:pt>
                <c:pt idx="1">
                  <c:v>项目支出</c:v>
                </c:pt>
              </c:strCache>
            </c:strRef>
          </c:cat>
          <c:val>
            <c:numRef>
              <c:f>[计算草稿.xlsx]Sheet3!$C$808:$C$809</c:f>
              <c:numCache>
                <c:formatCode>General</c:formatCode>
                <c:ptCount val="2"/>
                <c:pt idx="0">
                  <c:v>1196.18</c:v>
                </c:pt>
                <c:pt idx="1">
                  <c:v>801.82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[计算草稿.xlsx]Sheet3!$B$821:$B$822</c:f>
              <c:strCache>
                <c:ptCount val="2"/>
                <c:pt idx="0">
                  <c:v>2023年度财政拨款收、支总计</c:v>
                </c:pt>
                <c:pt idx="1">
                  <c:v>2024年度财政拨款收、支总计</c:v>
                </c:pt>
              </c:strCache>
            </c:strRef>
          </c:cat>
          <c:val>
            <c:numRef>
              <c:f>[计算草稿.xlsx]Sheet3!$C$821:$C$822</c:f>
              <c:numCache>
                <c:formatCode>#,##0.00</c:formatCode>
                <c:ptCount val="2"/>
                <c:pt idx="0">
                  <c:v>10760.44</c:v>
                </c:pt>
                <c:pt idx="1" c:formatCode="General">
                  <c:v>1997.71</c:v>
                </c:pt>
              </c:numCache>
            </c:numRef>
          </c:val>
        </c:ser>
        <c:dLbls>
          <c:showLegendKey val="false"/>
          <c:showVal val="true"/>
          <c:showCatName val="false"/>
          <c:showSerName val="false"/>
          <c:showPercent val="false"/>
          <c:showBubbleSize val="false"/>
        </c:dLbls>
        <c:gapWidth val="246"/>
        <c:overlap val="-28"/>
        <c:axId val="615502632"/>
        <c:axId val="685984481"/>
      </c:barChart>
      <c:catAx>
        <c:axId val="61550263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85984481"/>
        <c:crosses val="autoZero"/>
        <c:auto val="true"/>
        <c:lblAlgn val="ctr"/>
        <c:lblOffset val="100"/>
        <c:noMultiLvlLbl val="false"/>
      </c:catAx>
      <c:valAx>
        <c:axId val="685984481"/>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1550263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Lbl>
              <c:idx val="0"/>
              <c:layout>
                <c:manualLayout>
                  <c:x val="0.00365052324166464"/>
                  <c:y val="-0.013924344395451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[计算草稿.xlsx]Sheet1!$D$923:$D$924</c:f>
              <c:strCache>
                <c:ptCount val="2"/>
                <c:pt idx="0">
                  <c:v>2023年度一般公共预算财政拨款支出</c:v>
                </c:pt>
                <c:pt idx="1">
                  <c:v>2024年度一般公共预算财政拨款支出</c:v>
                </c:pt>
              </c:strCache>
            </c:strRef>
          </c:cat>
          <c:val>
            <c:numRef>
              <c:f>[计算草稿.xlsx]Sheet1!$E$923:$E$924</c:f>
              <c:numCache>
                <c:formatCode>#,##0.00</c:formatCode>
                <c:ptCount val="2"/>
                <c:pt idx="0">
                  <c:v>10760.44</c:v>
                </c:pt>
                <c:pt idx="1" c:formatCode="General">
                  <c:v>1997.71</c:v>
                </c:pt>
              </c:numCache>
            </c:numRef>
          </c:val>
        </c:ser>
        <c:dLbls>
          <c:showLegendKey val="false"/>
          <c:showVal val="true"/>
          <c:showCatName val="false"/>
          <c:showSerName val="false"/>
          <c:showPercent val="false"/>
          <c:showBubbleSize val="false"/>
        </c:dLbls>
        <c:gapWidth val="246"/>
        <c:overlap val="-28"/>
        <c:axId val="197950011"/>
        <c:axId val="763036894"/>
      </c:barChart>
      <c:catAx>
        <c:axId val="19795001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63036894"/>
        <c:crosses val="autoZero"/>
        <c:auto val="true"/>
        <c:lblAlgn val="ctr"/>
        <c:lblOffset val="100"/>
        <c:noMultiLvlLbl val="false"/>
      </c:catAx>
      <c:valAx>
        <c:axId val="763036894"/>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795001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一般公共预算财政拨款支出决算结构（单位：万元）</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2"/>
              <c:layout>
                <c:manualLayout>
                  <c:x val="-0.00512328813470001"/>
                  <c:y val="-0.014016241873917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603508236820925"/>
                  <c:y val="-0.010197606035612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[计算草稿.xlsx]Sheet1!$D$945:$D$948</c:f>
              <c:strCache>
                <c:ptCount val="4"/>
                <c:pt idx="0">
                  <c:v>文化旅游体育与传媒支出</c:v>
                </c:pt>
                <c:pt idx="1">
                  <c:v>社会保障和就业支出</c:v>
                </c:pt>
                <c:pt idx="2">
                  <c:v>卫生健康支出</c:v>
                </c:pt>
                <c:pt idx="3">
                  <c:v>住房保障支出</c:v>
                </c:pt>
              </c:strCache>
            </c:strRef>
          </c:cat>
          <c:val>
            <c:numRef>
              <c:f>[计算草稿.xlsx]Sheet1!$E$945:$E$948</c:f>
              <c:numCache>
                <c:formatCode>General</c:formatCode>
                <c:ptCount val="4"/>
                <c:pt idx="0">
                  <c:v>1678.21</c:v>
                </c:pt>
                <c:pt idx="1">
                  <c:v>208.51</c:v>
                </c:pt>
                <c:pt idx="2">
                  <c:v>34.31</c:v>
                </c:pt>
                <c:pt idx="3">
                  <c:v>76.68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“三公”经费财政拨款支出结构（单位：万元）</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[计算草稿.xlsx]Sheet1!$B$963:$B$964</c:f>
              <c:strCache>
                <c:ptCount val="2"/>
                <c:pt idx="0">
                  <c:v>公务用车购置及运行维护费支出决算</c:v>
                </c:pt>
                <c:pt idx="1">
                  <c:v>公务接待费支出决算</c:v>
                </c:pt>
              </c:strCache>
            </c:strRef>
          </c:cat>
          <c:val>
            <c:numRef>
              <c:f>[计算草稿.xlsx]Sheet1!$C$963:$C$964</c:f>
              <c:numCache>
                <c:formatCode>General</c:formatCode>
                <c:ptCount val="2"/>
                <c:pt idx="0">
                  <c:v>24.97</c:v>
                </c:pt>
                <c:pt idx="1">
                  <c:v>1.55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89</Pages>
  <Words>560</Words>
  <Characters>593</Characters>
  <Lines>61</Lines>
  <Paragraphs>17</Paragraphs>
  <TotalTime>13</TotalTime>
  <ScaleCrop>false</ScaleCrop>
  <LinksUpToDate>false</LinksUpToDate>
  <CharactersWithSpaces>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2025-10-11T17:05:59Z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