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hAnsi="宋体" w:eastAsia="方正小标宋简体"/>
          <w:w w:val="90"/>
          <w:sz w:val="44"/>
          <w:szCs w:val="44"/>
        </w:rPr>
      </w:pPr>
    </w:p>
    <w:p>
      <w:pPr>
        <w:widowControl/>
        <w:jc w:val="center"/>
        <w:rPr>
          <w:rFonts w:ascii="方正小标宋简体" w:hAnsi="宋体" w:eastAsia="方正小标宋简体"/>
          <w:w w:val="90"/>
          <w:sz w:val="44"/>
          <w:szCs w:val="44"/>
        </w:rPr>
      </w:pPr>
    </w:p>
    <w:p>
      <w:pPr>
        <w:widowControl/>
        <w:jc w:val="center"/>
        <w:rPr>
          <w:rFonts w:hint="eastAsia" w:ascii="方正小标宋简体" w:hAnsi="宋体" w:eastAsia="方正小标宋简体"/>
          <w:sz w:val="44"/>
          <w:szCs w:val="44"/>
        </w:rPr>
      </w:pPr>
      <w:r>
        <w:rPr>
          <w:rFonts w:hint="eastAsia" w:ascii="方正小标宋简体" w:hAnsi="宋体" w:eastAsia="方正小标宋简体"/>
          <w:w w:val="90"/>
          <w:sz w:val="44"/>
          <w:szCs w:val="44"/>
        </w:rPr>
        <w:t>2024年度</w:t>
      </w:r>
      <w:r>
        <w:rPr>
          <w:rFonts w:hint="eastAsia" w:ascii="方正小标宋简体" w:hAnsi="宋体" w:eastAsia="方正小标宋简体"/>
          <w:sz w:val="44"/>
          <w:szCs w:val="44"/>
        </w:rPr>
        <w:t>广元市公安局宝珠寺公安分局</w:t>
      </w:r>
    </w:p>
    <w:p>
      <w:pPr>
        <w:widowControl/>
        <w:jc w:val="center"/>
        <w:rPr>
          <w:rFonts w:ascii="方正小标宋简体" w:hAnsi="宋体" w:eastAsia="方正小标宋简体"/>
          <w:w w:val="90"/>
          <w:sz w:val="44"/>
          <w:szCs w:val="44"/>
        </w:rPr>
      </w:pPr>
      <w:r>
        <w:rPr>
          <w:rFonts w:hint="eastAsia" w:ascii="方正小标宋简体" w:hAnsi="宋体" w:eastAsia="方正小标宋简体"/>
          <w:sz w:val="44"/>
          <w:szCs w:val="44"/>
          <w:lang w:val="en-US" w:eastAsia="zh-CN"/>
        </w:rPr>
        <w:t>单位</w:t>
      </w:r>
      <w:r>
        <w:rPr>
          <w:rFonts w:hint="eastAsia" w:ascii="方正小标宋简体" w:hAnsi="宋体" w:eastAsia="方正小标宋简体"/>
          <w:w w:val="90"/>
          <w:sz w:val="44"/>
          <w:szCs w:val="44"/>
        </w:rPr>
        <w:t>决算</w:t>
      </w:r>
    </w:p>
    <w:p>
      <w:pPr>
        <w:widowControl/>
        <w:jc w:val="center"/>
        <w:rPr>
          <w:rFonts w:ascii="黑体" w:hAnsi="黑体" w:eastAsia="黑体"/>
          <w:sz w:val="28"/>
          <w:szCs w:val="28"/>
        </w:rPr>
      </w:pPr>
      <w:r>
        <w:rPr>
          <w:rFonts w:hint="eastAsia" w:ascii="仿宋_GB2312" w:hAnsi="仿宋_GB2312" w:eastAsia="仿宋_GB2312" w:cs="仿宋_GB2312"/>
          <w:sz w:val="32"/>
          <w:szCs w:val="32"/>
        </w:rPr>
        <w:br w:type="page"/>
      </w:r>
      <w:r>
        <w:rPr>
          <w:rFonts w:hint="eastAsia" w:ascii="黑体" w:hAnsi="黑体" w:eastAsia="黑体"/>
          <w:sz w:val="48"/>
          <w:szCs w:val="48"/>
        </w:rPr>
        <w:t>目录</w:t>
      </w:r>
    </w:p>
    <w:p>
      <w:pPr>
        <w:pStyle w:val="11"/>
      </w:pPr>
      <w:r>
        <w:rPr>
          <w:rFonts w:hint="eastAsia"/>
        </w:rPr>
        <w:t>公开时间：2025年10月</w:t>
      </w:r>
      <w:r>
        <w:rPr>
          <w:rFonts w:hint="default"/>
          <w:highlight w:val="none"/>
          <w:lang w:val="en-US"/>
        </w:rPr>
        <w:t>14</w:t>
      </w:r>
      <w:r>
        <w:rPr>
          <w:rFonts w:hint="eastAsia"/>
        </w:rPr>
        <w:t>日</w:t>
      </w:r>
    </w:p>
    <w:sdt>
      <w:sdtPr>
        <w:rPr>
          <w:rFonts w:ascii="宋体" w:hAnsi="宋体" w:eastAsia="宋体" w:cs="Times New Roman"/>
          <w:kern w:val="2"/>
          <w:sz w:val="21"/>
          <w:szCs w:val="24"/>
          <w:lang w:val="en-US" w:eastAsia="zh-CN" w:bidi="ar-SA"/>
        </w:rPr>
        <w:id w:val="147482443"/>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bookmarkStart w:id="0" w:name="_Toc15396599"/>
          <w:bookmarkStart w:id="1" w:name="_Toc15377196"/>
        </w:p>
        <w:p>
          <w:pPr>
            <w:pStyle w:val="11"/>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_Toc31503 </w:instrText>
          </w:r>
          <w:r>
            <w:fldChar w:fldCharType="separate"/>
          </w:r>
          <w:r>
            <w:rPr>
              <w:rFonts w:hint="eastAsia" w:ascii="黑体" w:hAnsi="黑体" w:eastAsia="黑体"/>
            </w:rPr>
            <w:t>第一部分 单位</w:t>
          </w:r>
          <w:r>
            <w:rPr>
              <w:rFonts w:hint="eastAsia" w:ascii="黑体" w:hAnsi="黑体" w:eastAsia="黑体"/>
              <w:bCs w:val="0"/>
            </w:rPr>
            <w:t>概况</w:t>
          </w:r>
          <w:r>
            <w:tab/>
          </w:r>
          <w:r>
            <w:fldChar w:fldCharType="begin"/>
          </w:r>
          <w:r>
            <w:instrText xml:space="preserve"> PAGEREF _Toc31503 \h </w:instrText>
          </w:r>
          <w:r>
            <w:fldChar w:fldCharType="separate"/>
          </w:r>
          <w:r>
            <w:t>3</w:t>
          </w:r>
          <w:r>
            <w:fldChar w:fldCharType="end"/>
          </w:r>
          <w:r>
            <w:fldChar w:fldCharType="end"/>
          </w:r>
        </w:p>
        <w:p>
          <w:pPr>
            <w:pStyle w:val="14"/>
            <w:tabs>
              <w:tab w:val="right" w:leader="dot" w:pos="8306"/>
              <w:tab w:val="clear" w:pos="8296"/>
            </w:tabs>
          </w:pPr>
          <w:r>
            <w:fldChar w:fldCharType="begin"/>
          </w:r>
          <w:r>
            <w:instrText xml:space="preserve"> HYPERLINK \l _Toc22409 </w:instrText>
          </w:r>
          <w:r>
            <w:fldChar w:fldCharType="separate"/>
          </w:r>
          <w:r>
            <w:rPr>
              <w:rFonts w:hint="eastAsia" w:ascii="黑体" w:hAnsi="黑体" w:eastAsia="黑体"/>
            </w:rPr>
            <w:t>一、 主要职责</w:t>
          </w:r>
          <w:r>
            <w:tab/>
          </w:r>
          <w:r>
            <w:fldChar w:fldCharType="begin"/>
          </w:r>
          <w:r>
            <w:instrText xml:space="preserve"> PAGEREF _Toc22409 \h </w:instrText>
          </w:r>
          <w:r>
            <w:fldChar w:fldCharType="separate"/>
          </w:r>
          <w:r>
            <w:t>3</w:t>
          </w:r>
          <w:r>
            <w:fldChar w:fldCharType="end"/>
          </w:r>
          <w:r>
            <w:fldChar w:fldCharType="end"/>
          </w:r>
        </w:p>
        <w:p>
          <w:pPr>
            <w:pStyle w:val="14"/>
            <w:tabs>
              <w:tab w:val="right" w:leader="dot" w:pos="8306"/>
              <w:tab w:val="clear" w:pos="8296"/>
            </w:tabs>
          </w:pPr>
          <w:r>
            <w:fldChar w:fldCharType="begin"/>
          </w:r>
          <w:r>
            <w:instrText xml:space="preserve"> HYPERLINK \l _Toc26105 </w:instrText>
          </w:r>
          <w:r>
            <w:fldChar w:fldCharType="separate"/>
          </w:r>
          <w:r>
            <w:rPr>
              <w:rFonts w:hint="eastAsia" w:ascii="黑体" w:hAnsi="黑体" w:eastAsia="黑体"/>
            </w:rPr>
            <w:t>二、机构设置</w:t>
          </w:r>
          <w:r>
            <w:tab/>
          </w:r>
          <w:r>
            <w:fldChar w:fldCharType="begin"/>
          </w:r>
          <w:r>
            <w:instrText xml:space="preserve"> PAGEREF _Toc26105 \h </w:instrText>
          </w:r>
          <w:r>
            <w:fldChar w:fldCharType="separate"/>
          </w:r>
          <w:r>
            <w:t>4</w:t>
          </w:r>
          <w:r>
            <w:fldChar w:fldCharType="end"/>
          </w:r>
          <w:r>
            <w:fldChar w:fldCharType="end"/>
          </w:r>
        </w:p>
        <w:p>
          <w:pPr>
            <w:pStyle w:val="11"/>
            <w:tabs>
              <w:tab w:val="right" w:leader="dot" w:pos="8306"/>
              <w:tab w:val="clear" w:pos="8296"/>
            </w:tabs>
          </w:pPr>
          <w:r>
            <w:fldChar w:fldCharType="begin"/>
          </w:r>
          <w:r>
            <w:instrText xml:space="preserve"> HYPERLINK \l _Toc17699 </w:instrText>
          </w:r>
          <w:r>
            <w:fldChar w:fldCharType="separate"/>
          </w:r>
          <w:r>
            <w:rPr>
              <w:rFonts w:hint="eastAsia" w:ascii="黑体" w:hAnsi="黑体" w:eastAsia="黑体"/>
            </w:rPr>
            <w:t>第二部分 2024年度单位决算情况说明</w:t>
          </w:r>
          <w:r>
            <w:tab/>
          </w:r>
          <w:r>
            <w:fldChar w:fldCharType="begin"/>
          </w:r>
          <w:r>
            <w:instrText xml:space="preserve"> PAGEREF _Toc17699 \h </w:instrText>
          </w:r>
          <w:r>
            <w:fldChar w:fldCharType="separate"/>
          </w:r>
          <w:r>
            <w:t>5</w:t>
          </w:r>
          <w:r>
            <w:fldChar w:fldCharType="end"/>
          </w:r>
          <w:r>
            <w:fldChar w:fldCharType="end"/>
          </w:r>
        </w:p>
        <w:p>
          <w:pPr>
            <w:pStyle w:val="14"/>
            <w:tabs>
              <w:tab w:val="right" w:leader="dot" w:pos="8306"/>
              <w:tab w:val="clear" w:pos="8296"/>
            </w:tabs>
          </w:pPr>
          <w:r>
            <w:fldChar w:fldCharType="begin"/>
          </w:r>
          <w:r>
            <w:instrText xml:space="preserve"> HYPERLINK \l _Toc14069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_Toc14069 \h </w:instrText>
          </w:r>
          <w:r>
            <w:fldChar w:fldCharType="separate"/>
          </w:r>
          <w:r>
            <w:t>5</w:t>
          </w:r>
          <w:r>
            <w:fldChar w:fldCharType="end"/>
          </w:r>
          <w:r>
            <w:fldChar w:fldCharType="end"/>
          </w:r>
        </w:p>
        <w:p>
          <w:pPr>
            <w:pStyle w:val="14"/>
            <w:tabs>
              <w:tab w:val="right" w:leader="dot" w:pos="8306"/>
              <w:tab w:val="clear" w:pos="8296"/>
            </w:tabs>
          </w:pPr>
          <w:r>
            <w:fldChar w:fldCharType="begin"/>
          </w:r>
          <w:r>
            <w:instrText xml:space="preserve"> HYPERLINK \l _Toc27582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_Toc27582 \h </w:instrText>
          </w:r>
          <w:r>
            <w:fldChar w:fldCharType="separate"/>
          </w:r>
          <w:r>
            <w:t>5</w:t>
          </w:r>
          <w:r>
            <w:fldChar w:fldCharType="end"/>
          </w:r>
          <w:r>
            <w:fldChar w:fldCharType="end"/>
          </w:r>
        </w:p>
        <w:p>
          <w:pPr>
            <w:pStyle w:val="14"/>
            <w:tabs>
              <w:tab w:val="right" w:leader="dot" w:pos="8306"/>
              <w:tab w:val="clear" w:pos="8296"/>
            </w:tabs>
          </w:pPr>
          <w:r>
            <w:fldChar w:fldCharType="begin"/>
          </w:r>
          <w:r>
            <w:instrText xml:space="preserve"> HYPERLINK \l _Toc18089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_Toc18089 \h </w:instrText>
          </w:r>
          <w:r>
            <w:fldChar w:fldCharType="separate"/>
          </w:r>
          <w:r>
            <w:t>6</w:t>
          </w:r>
          <w:r>
            <w:fldChar w:fldCharType="end"/>
          </w:r>
          <w:r>
            <w:fldChar w:fldCharType="end"/>
          </w:r>
        </w:p>
        <w:p>
          <w:pPr>
            <w:pStyle w:val="14"/>
            <w:tabs>
              <w:tab w:val="right" w:leader="dot" w:pos="8306"/>
              <w:tab w:val="clear" w:pos="8296"/>
            </w:tabs>
          </w:pPr>
          <w:r>
            <w:fldChar w:fldCharType="begin"/>
          </w:r>
          <w:r>
            <w:instrText xml:space="preserve"> HYPERLINK \l _Toc23688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_Toc23688 \h </w:instrText>
          </w:r>
          <w:r>
            <w:fldChar w:fldCharType="separate"/>
          </w:r>
          <w:r>
            <w:t>6</w:t>
          </w:r>
          <w:r>
            <w:fldChar w:fldCharType="end"/>
          </w:r>
          <w:r>
            <w:fldChar w:fldCharType="end"/>
          </w:r>
        </w:p>
        <w:p>
          <w:pPr>
            <w:pStyle w:val="14"/>
            <w:tabs>
              <w:tab w:val="right" w:leader="dot" w:pos="8306"/>
              <w:tab w:val="clear" w:pos="8296"/>
            </w:tabs>
          </w:pPr>
          <w:r>
            <w:fldChar w:fldCharType="begin"/>
          </w:r>
          <w:r>
            <w:instrText xml:space="preserve"> HYPERLINK \l _Toc23671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_Toc23671 \h </w:instrText>
          </w:r>
          <w:r>
            <w:fldChar w:fldCharType="separate"/>
          </w:r>
          <w:r>
            <w:t>7</w:t>
          </w:r>
          <w:r>
            <w:fldChar w:fldCharType="end"/>
          </w:r>
          <w:r>
            <w:fldChar w:fldCharType="end"/>
          </w:r>
        </w:p>
        <w:p>
          <w:pPr>
            <w:pStyle w:val="14"/>
            <w:tabs>
              <w:tab w:val="right" w:leader="dot" w:pos="8306"/>
              <w:tab w:val="clear" w:pos="8296"/>
            </w:tabs>
          </w:pPr>
          <w:r>
            <w:fldChar w:fldCharType="begin"/>
          </w:r>
          <w:r>
            <w:instrText xml:space="preserve"> HYPERLINK \l _Toc20098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_Toc20098 \h </w:instrText>
          </w:r>
          <w:r>
            <w:fldChar w:fldCharType="separate"/>
          </w:r>
          <w:r>
            <w:t>9</w:t>
          </w:r>
          <w:r>
            <w:fldChar w:fldCharType="end"/>
          </w:r>
          <w:r>
            <w:fldChar w:fldCharType="end"/>
          </w:r>
        </w:p>
        <w:p>
          <w:pPr>
            <w:pStyle w:val="14"/>
            <w:tabs>
              <w:tab w:val="right" w:leader="dot" w:pos="8306"/>
              <w:tab w:val="clear" w:pos="8296"/>
            </w:tabs>
          </w:pPr>
          <w:r>
            <w:fldChar w:fldCharType="begin"/>
          </w:r>
          <w:r>
            <w:instrText xml:space="preserve"> HYPERLINK \l _Toc24781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_Toc24781 \h </w:instrText>
          </w:r>
          <w:r>
            <w:fldChar w:fldCharType="separate"/>
          </w:r>
          <w:r>
            <w:t>9</w:t>
          </w:r>
          <w:r>
            <w:fldChar w:fldCharType="end"/>
          </w:r>
          <w:r>
            <w:fldChar w:fldCharType="end"/>
          </w:r>
        </w:p>
        <w:p>
          <w:pPr>
            <w:pStyle w:val="14"/>
            <w:tabs>
              <w:tab w:val="right" w:leader="dot" w:pos="8306"/>
              <w:tab w:val="clear" w:pos="8296"/>
            </w:tabs>
          </w:pPr>
          <w:r>
            <w:fldChar w:fldCharType="begin"/>
          </w:r>
          <w:r>
            <w:instrText xml:space="preserve"> HYPERLINK \l _Toc30423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_Toc30423 \h </w:instrText>
          </w:r>
          <w:r>
            <w:fldChar w:fldCharType="separate"/>
          </w:r>
          <w:r>
            <w:t>11</w:t>
          </w:r>
          <w:r>
            <w:fldChar w:fldCharType="end"/>
          </w:r>
          <w:r>
            <w:fldChar w:fldCharType="end"/>
          </w:r>
        </w:p>
        <w:p>
          <w:pPr>
            <w:pStyle w:val="14"/>
            <w:tabs>
              <w:tab w:val="right" w:leader="dot" w:pos="8306"/>
              <w:tab w:val="clear" w:pos="8296"/>
            </w:tabs>
          </w:pPr>
          <w:r>
            <w:fldChar w:fldCharType="begin"/>
          </w:r>
          <w:r>
            <w:instrText xml:space="preserve"> HYPERLINK \l _Toc31589 </w:instrText>
          </w:r>
          <w:r>
            <w:fldChar w:fldCharType="separate"/>
          </w:r>
          <w:r>
            <w:rPr>
              <w:rFonts w:hint="eastAsia" w:ascii="黑体" w:hAnsi="黑体" w:eastAsia="黑体"/>
            </w:rPr>
            <w:t>九、 国有资本经营预算支出决算情况说明</w:t>
          </w:r>
          <w:r>
            <w:tab/>
          </w:r>
          <w:r>
            <w:fldChar w:fldCharType="begin"/>
          </w:r>
          <w:r>
            <w:instrText xml:space="preserve"> PAGEREF _Toc31589 \h </w:instrText>
          </w:r>
          <w:r>
            <w:fldChar w:fldCharType="separate"/>
          </w:r>
          <w:r>
            <w:t>11</w:t>
          </w:r>
          <w:r>
            <w:fldChar w:fldCharType="end"/>
          </w:r>
          <w:r>
            <w:fldChar w:fldCharType="end"/>
          </w:r>
        </w:p>
        <w:p>
          <w:pPr>
            <w:pStyle w:val="14"/>
            <w:tabs>
              <w:tab w:val="right" w:leader="dot" w:pos="8306"/>
              <w:tab w:val="clear" w:pos="8296"/>
            </w:tabs>
          </w:pPr>
          <w:r>
            <w:fldChar w:fldCharType="begin"/>
          </w:r>
          <w:r>
            <w:instrText xml:space="preserve"> HYPERLINK \l _Toc20845 </w:instrText>
          </w:r>
          <w:r>
            <w:fldChar w:fldCharType="separate"/>
          </w:r>
          <w:r>
            <w:rPr>
              <w:rFonts w:hint="eastAsia" w:ascii="黑体" w:hAnsi="黑体" w:eastAsia="黑体"/>
            </w:rPr>
            <w:t>十、 其他重要事项的情况说明</w:t>
          </w:r>
          <w:r>
            <w:tab/>
          </w:r>
          <w:r>
            <w:fldChar w:fldCharType="begin"/>
          </w:r>
          <w:r>
            <w:instrText xml:space="preserve"> PAGEREF _Toc20845 \h </w:instrText>
          </w:r>
          <w:r>
            <w:fldChar w:fldCharType="separate"/>
          </w:r>
          <w:r>
            <w:t>11</w:t>
          </w:r>
          <w:r>
            <w:fldChar w:fldCharType="end"/>
          </w:r>
          <w:r>
            <w:fldChar w:fldCharType="end"/>
          </w:r>
        </w:p>
        <w:p>
          <w:pPr>
            <w:pStyle w:val="11"/>
            <w:tabs>
              <w:tab w:val="right" w:leader="dot" w:pos="8306"/>
              <w:tab w:val="clear" w:pos="8296"/>
            </w:tabs>
          </w:pPr>
          <w:r>
            <w:fldChar w:fldCharType="begin"/>
          </w:r>
          <w:r>
            <w:instrText xml:space="preserve"> HYPERLINK \l _Toc15665 </w:instrText>
          </w:r>
          <w:r>
            <w:fldChar w:fldCharType="separate"/>
          </w:r>
          <w:r>
            <w:rPr>
              <w:rFonts w:hint="eastAsia" w:ascii="黑体" w:hAnsi="黑体" w:eastAsia="黑体"/>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_Toc15665 \h </w:instrText>
          </w:r>
          <w:r>
            <w:fldChar w:fldCharType="separate"/>
          </w:r>
          <w:r>
            <w:t>13</w:t>
          </w:r>
          <w:r>
            <w:fldChar w:fldCharType="end"/>
          </w:r>
          <w:r>
            <w:fldChar w:fldCharType="end"/>
          </w:r>
        </w:p>
        <w:p>
          <w:pPr>
            <w:pStyle w:val="11"/>
            <w:tabs>
              <w:tab w:val="right" w:leader="dot" w:pos="8306"/>
              <w:tab w:val="clear" w:pos="8296"/>
            </w:tabs>
          </w:pPr>
          <w:r>
            <w:fldChar w:fldCharType="begin"/>
          </w:r>
          <w:r>
            <w:instrText xml:space="preserve"> HYPERLINK \l _Toc9602 </w:instrText>
          </w:r>
          <w:r>
            <w:fldChar w:fldCharType="separate"/>
          </w:r>
          <w:r>
            <w:rPr>
              <w:rFonts w:hint="eastAsia" w:ascii="黑体" w:hAnsi="黑体" w:eastAsia="黑体"/>
              <w:szCs w:val="44"/>
            </w:rPr>
            <w:t>第</w:t>
          </w:r>
          <w:r>
            <w:rPr>
              <w:rFonts w:hint="eastAsia" w:ascii="黑体" w:hAnsi="黑体" w:eastAsia="黑体"/>
            </w:rPr>
            <w:t>四部分 附件</w:t>
          </w:r>
          <w:r>
            <w:tab/>
          </w:r>
          <w:r>
            <w:fldChar w:fldCharType="begin"/>
          </w:r>
          <w:r>
            <w:instrText xml:space="preserve"> PAGEREF _Toc9602 \h </w:instrText>
          </w:r>
          <w:r>
            <w:fldChar w:fldCharType="separate"/>
          </w:r>
          <w:r>
            <w:t>15</w:t>
          </w:r>
          <w:r>
            <w:fldChar w:fldCharType="end"/>
          </w:r>
          <w:r>
            <w:fldChar w:fldCharType="end"/>
          </w:r>
        </w:p>
        <w:p>
          <w:pPr>
            <w:pStyle w:val="11"/>
            <w:tabs>
              <w:tab w:val="right" w:leader="dot" w:pos="8306"/>
              <w:tab w:val="clear" w:pos="8296"/>
            </w:tabs>
          </w:pPr>
          <w:r>
            <w:fldChar w:fldCharType="begin"/>
          </w:r>
          <w:r>
            <w:instrText xml:space="preserve"> HYPERLINK \l _Toc18983 </w:instrText>
          </w:r>
          <w:r>
            <w:fldChar w:fldCharType="separate"/>
          </w:r>
          <w:r>
            <w:rPr>
              <w:rFonts w:hint="eastAsia" w:ascii="黑体" w:hAnsi="黑体" w:eastAsia="黑体"/>
              <w:szCs w:val="44"/>
            </w:rPr>
            <w:t>第</w:t>
          </w:r>
          <w:r>
            <w:rPr>
              <w:rFonts w:hint="eastAsia" w:ascii="黑体" w:hAnsi="黑体" w:eastAsia="黑体"/>
              <w:bCs/>
            </w:rPr>
            <w:t>五部分 附表</w:t>
          </w:r>
          <w:r>
            <w:tab/>
          </w:r>
          <w:r>
            <w:fldChar w:fldCharType="begin"/>
          </w:r>
          <w:r>
            <w:instrText xml:space="preserve"> PAGEREF _Toc18983 \h </w:instrText>
          </w:r>
          <w:r>
            <w:fldChar w:fldCharType="separate"/>
          </w:r>
          <w:r>
            <w:t>35</w:t>
          </w:r>
          <w:r>
            <w:fldChar w:fldCharType="end"/>
          </w:r>
          <w:r>
            <w:fldChar w:fldCharType="end"/>
          </w:r>
        </w:p>
        <w:p>
          <w:pPr>
            <w:pStyle w:val="14"/>
            <w:tabs>
              <w:tab w:val="right" w:leader="dot" w:pos="8306"/>
              <w:tab w:val="clear" w:pos="8296"/>
            </w:tabs>
          </w:pPr>
          <w:r>
            <w:fldChar w:fldCharType="begin"/>
          </w:r>
          <w:r>
            <w:instrText xml:space="preserve"> HYPERLINK \l _Toc25119 </w:instrText>
          </w:r>
          <w:r>
            <w:fldChar w:fldCharType="separate"/>
          </w:r>
          <w:r>
            <w:rPr>
              <w:rFonts w:hint="eastAsia" w:ascii="仿宋_GB2312" w:hAnsi="仿宋_GB2312" w:eastAsia="仿宋_GB2312" w:cs="仿宋_GB2312"/>
            </w:rPr>
            <w:t>一、收</w:t>
          </w:r>
          <w:r>
            <w:rPr>
              <w:rFonts w:hint="eastAsia" w:ascii="仿宋_GB2312" w:hAnsi="仿宋_GB2312" w:eastAsia="仿宋_GB2312" w:cs="仿宋_GB2312"/>
              <w:bCs w:val="0"/>
            </w:rPr>
            <w:t>入支出决算总表</w:t>
          </w:r>
          <w:r>
            <w:tab/>
          </w:r>
          <w:r>
            <w:fldChar w:fldCharType="begin"/>
          </w:r>
          <w:r>
            <w:instrText xml:space="preserve"> PAGEREF _Toc25119 \h </w:instrText>
          </w:r>
          <w:r>
            <w:fldChar w:fldCharType="separate"/>
          </w:r>
          <w:r>
            <w:t>35</w:t>
          </w:r>
          <w:r>
            <w:fldChar w:fldCharType="end"/>
          </w:r>
          <w:r>
            <w:fldChar w:fldCharType="end"/>
          </w:r>
        </w:p>
        <w:p>
          <w:pPr>
            <w:pStyle w:val="14"/>
            <w:tabs>
              <w:tab w:val="right" w:leader="dot" w:pos="8306"/>
              <w:tab w:val="clear" w:pos="8296"/>
            </w:tabs>
          </w:pPr>
          <w:r>
            <w:fldChar w:fldCharType="begin"/>
          </w:r>
          <w:r>
            <w:instrText xml:space="preserve"> HYPERLINK \l _Toc27759 </w:instrText>
          </w:r>
          <w:r>
            <w:fldChar w:fldCharType="separate"/>
          </w:r>
          <w:r>
            <w:rPr>
              <w:rFonts w:hint="eastAsia" w:ascii="仿宋_GB2312" w:hAnsi="仿宋_GB2312" w:eastAsia="仿宋_GB2312" w:cs="仿宋_GB2312"/>
            </w:rPr>
            <w:t>二、收</w:t>
          </w:r>
          <w:r>
            <w:rPr>
              <w:rFonts w:hint="eastAsia" w:ascii="仿宋_GB2312" w:hAnsi="仿宋_GB2312" w:eastAsia="仿宋_GB2312" w:cs="仿宋_GB2312"/>
              <w:bCs w:val="0"/>
            </w:rPr>
            <w:t>入决算表</w:t>
          </w:r>
          <w:r>
            <w:tab/>
          </w:r>
          <w:r>
            <w:fldChar w:fldCharType="begin"/>
          </w:r>
          <w:r>
            <w:instrText xml:space="preserve"> PAGEREF _Toc27759 \h </w:instrText>
          </w:r>
          <w:r>
            <w:fldChar w:fldCharType="separate"/>
          </w:r>
          <w:r>
            <w:t>35</w:t>
          </w:r>
          <w:r>
            <w:fldChar w:fldCharType="end"/>
          </w:r>
          <w:r>
            <w:fldChar w:fldCharType="end"/>
          </w:r>
        </w:p>
        <w:p>
          <w:pPr>
            <w:pStyle w:val="14"/>
            <w:tabs>
              <w:tab w:val="right" w:leader="dot" w:pos="8306"/>
              <w:tab w:val="clear" w:pos="8296"/>
            </w:tabs>
          </w:pPr>
          <w:r>
            <w:fldChar w:fldCharType="begin"/>
          </w:r>
          <w:r>
            <w:instrText xml:space="preserve"> HYPERLINK \l _Toc27400 </w:instrText>
          </w:r>
          <w:r>
            <w:fldChar w:fldCharType="separate"/>
          </w:r>
          <w:r>
            <w:rPr>
              <w:rFonts w:hint="eastAsia" w:ascii="仿宋_GB2312" w:hAnsi="仿宋_GB2312" w:eastAsia="仿宋_GB2312" w:cs="仿宋_GB2312"/>
              <w:bCs w:val="0"/>
            </w:rPr>
            <w:t>三、</w:t>
          </w:r>
          <w:r>
            <w:rPr>
              <w:rFonts w:hint="eastAsia" w:ascii="仿宋_GB2312" w:hAnsi="仿宋_GB2312" w:eastAsia="仿宋_GB2312" w:cs="仿宋_GB2312"/>
            </w:rPr>
            <w:t>支</w:t>
          </w:r>
          <w:r>
            <w:rPr>
              <w:rFonts w:hint="eastAsia" w:ascii="仿宋_GB2312" w:hAnsi="仿宋_GB2312" w:eastAsia="仿宋_GB2312" w:cs="仿宋_GB2312"/>
              <w:bCs w:val="0"/>
            </w:rPr>
            <w:t>出决算表</w:t>
          </w:r>
          <w:r>
            <w:tab/>
          </w:r>
          <w:r>
            <w:fldChar w:fldCharType="begin"/>
          </w:r>
          <w:r>
            <w:instrText xml:space="preserve"> PAGEREF _Toc27400 \h </w:instrText>
          </w:r>
          <w:r>
            <w:fldChar w:fldCharType="separate"/>
          </w:r>
          <w:r>
            <w:t>35</w:t>
          </w:r>
          <w:r>
            <w:fldChar w:fldCharType="end"/>
          </w:r>
          <w:r>
            <w:fldChar w:fldCharType="end"/>
          </w:r>
        </w:p>
        <w:p>
          <w:pPr>
            <w:pStyle w:val="14"/>
            <w:tabs>
              <w:tab w:val="right" w:leader="dot" w:pos="8306"/>
              <w:tab w:val="clear" w:pos="8296"/>
            </w:tabs>
          </w:pPr>
          <w:r>
            <w:fldChar w:fldCharType="begin"/>
          </w:r>
          <w:r>
            <w:instrText xml:space="preserve"> HYPERLINK \l _Toc6670 </w:instrText>
          </w:r>
          <w:r>
            <w:fldChar w:fldCharType="separate"/>
          </w:r>
          <w:r>
            <w:rPr>
              <w:rFonts w:hint="eastAsia" w:ascii="仿宋_GB2312" w:hAnsi="仿宋_GB2312" w:eastAsia="仿宋_GB2312" w:cs="仿宋_GB2312"/>
              <w:bCs w:val="0"/>
            </w:rPr>
            <w:t>四、</w:t>
          </w:r>
          <w:r>
            <w:rPr>
              <w:rFonts w:hint="eastAsia" w:ascii="仿宋_GB2312" w:hAnsi="仿宋_GB2312" w:eastAsia="仿宋_GB2312" w:cs="仿宋_GB2312"/>
            </w:rPr>
            <w:t>财</w:t>
          </w:r>
          <w:r>
            <w:rPr>
              <w:rFonts w:hint="eastAsia" w:ascii="仿宋_GB2312" w:hAnsi="仿宋_GB2312" w:eastAsia="仿宋_GB2312" w:cs="仿宋_GB2312"/>
              <w:bCs w:val="0"/>
            </w:rPr>
            <w:t>政拨款收入支出决算总表</w:t>
          </w:r>
          <w:r>
            <w:tab/>
          </w:r>
          <w:r>
            <w:fldChar w:fldCharType="begin"/>
          </w:r>
          <w:r>
            <w:instrText xml:space="preserve"> PAGEREF _Toc6670 \h </w:instrText>
          </w:r>
          <w:r>
            <w:fldChar w:fldCharType="separate"/>
          </w:r>
          <w:r>
            <w:t>35</w:t>
          </w:r>
          <w:r>
            <w:fldChar w:fldCharType="end"/>
          </w:r>
          <w:r>
            <w:fldChar w:fldCharType="end"/>
          </w:r>
        </w:p>
        <w:p>
          <w:pPr>
            <w:pStyle w:val="14"/>
            <w:tabs>
              <w:tab w:val="right" w:leader="dot" w:pos="8306"/>
              <w:tab w:val="clear" w:pos="8296"/>
            </w:tabs>
          </w:pPr>
          <w:r>
            <w:fldChar w:fldCharType="begin"/>
          </w:r>
          <w:r>
            <w:instrText xml:space="preserve"> HYPERLINK \l _Toc16952 </w:instrText>
          </w:r>
          <w:r>
            <w:fldChar w:fldCharType="separate"/>
          </w:r>
          <w:r>
            <w:rPr>
              <w:rFonts w:hint="eastAsia" w:ascii="仿宋_GB2312" w:hAnsi="仿宋_GB2312" w:eastAsia="仿宋_GB2312" w:cs="仿宋_GB2312"/>
              <w:bCs w:val="0"/>
            </w:rPr>
            <w:t>五、</w:t>
          </w:r>
          <w:r>
            <w:rPr>
              <w:rFonts w:hint="eastAsia" w:ascii="仿宋_GB2312" w:hAnsi="仿宋_GB2312" w:eastAsia="仿宋_GB2312" w:cs="仿宋_GB2312"/>
            </w:rPr>
            <w:t>财</w:t>
          </w:r>
          <w:r>
            <w:rPr>
              <w:rFonts w:hint="eastAsia" w:ascii="仿宋_GB2312" w:hAnsi="仿宋_GB2312" w:eastAsia="仿宋_GB2312" w:cs="仿宋_GB2312"/>
              <w:bCs w:val="0"/>
            </w:rPr>
            <w:t>政拨款支出决算明细表</w:t>
          </w:r>
          <w:r>
            <w:tab/>
          </w:r>
          <w:r>
            <w:fldChar w:fldCharType="begin"/>
          </w:r>
          <w:r>
            <w:instrText xml:space="preserve"> PAGEREF _Toc16952 \h </w:instrText>
          </w:r>
          <w:r>
            <w:fldChar w:fldCharType="separate"/>
          </w:r>
          <w:r>
            <w:t>35</w:t>
          </w:r>
          <w:r>
            <w:fldChar w:fldCharType="end"/>
          </w:r>
          <w:r>
            <w:fldChar w:fldCharType="end"/>
          </w:r>
        </w:p>
        <w:p>
          <w:pPr>
            <w:pStyle w:val="14"/>
            <w:tabs>
              <w:tab w:val="right" w:leader="dot" w:pos="8306"/>
              <w:tab w:val="clear" w:pos="8296"/>
            </w:tabs>
          </w:pPr>
          <w:r>
            <w:fldChar w:fldCharType="begin"/>
          </w:r>
          <w:r>
            <w:instrText xml:space="preserve"> HYPERLINK \l _Toc18682 </w:instrText>
          </w:r>
          <w:r>
            <w:fldChar w:fldCharType="separate"/>
          </w:r>
          <w:r>
            <w:rPr>
              <w:rFonts w:hint="eastAsia" w:ascii="仿宋_GB2312" w:hAnsi="仿宋_GB2312" w:eastAsia="仿宋_GB2312" w:cs="仿宋_GB2312"/>
              <w:bCs w:val="0"/>
            </w:rPr>
            <w:t>六、</w:t>
          </w:r>
          <w:r>
            <w:rPr>
              <w:rFonts w:hint="eastAsia" w:ascii="仿宋_GB2312" w:hAnsi="仿宋_GB2312" w:eastAsia="仿宋_GB2312" w:cs="仿宋_GB2312"/>
            </w:rPr>
            <w:t>一</w:t>
          </w:r>
          <w:r>
            <w:rPr>
              <w:rFonts w:hint="eastAsia" w:ascii="仿宋_GB2312" w:hAnsi="仿宋_GB2312" w:eastAsia="仿宋_GB2312" w:cs="仿宋_GB2312"/>
              <w:bCs w:val="0"/>
            </w:rPr>
            <w:t>般公共预算财政拨款支出决算表</w:t>
          </w:r>
          <w:r>
            <w:tab/>
          </w:r>
          <w:r>
            <w:fldChar w:fldCharType="begin"/>
          </w:r>
          <w:r>
            <w:instrText xml:space="preserve"> PAGEREF _Toc18682 \h </w:instrText>
          </w:r>
          <w:r>
            <w:fldChar w:fldCharType="separate"/>
          </w:r>
          <w:r>
            <w:t>35</w:t>
          </w:r>
          <w:r>
            <w:fldChar w:fldCharType="end"/>
          </w:r>
          <w:r>
            <w:fldChar w:fldCharType="end"/>
          </w:r>
        </w:p>
        <w:p>
          <w:pPr>
            <w:pStyle w:val="14"/>
            <w:tabs>
              <w:tab w:val="right" w:leader="dot" w:pos="8306"/>
              <w:tab w:val="clear" w:pos="8296"/>
            </w:tabs>
          </w:pPr>
          <w:r>
            <w:fldChar w:fldCharType="begin"/>
          </w:r>
          <w:r>
            <w:instrText xml:space="preserve"> HYPERLINK \l _Toc6695 </w:instrText>
          </w:r>
          <w:r>
            <w:fldChar w:fldCharType="separate"/>
          </w:r>
          <w:r>
            <w:rPr>
              <w:rFonts w:hint="eastAsia" w:ascii="仿宋_GB2312" w:hAnsi="仿宋_GB2312" w:eastAsia="仿宋_GB2312" w:cs="仿宋_GB2312"/>
              <w:bCs w:val="0"/>
            </w:rPr>
            <w:t>七、</w:t>
          </w:r>
          <w:r>
            <w:rPr>
              <w:rFonts w:hint="eastAsia" w:ascii="仿宋_GB2312" w:hAnsi="仿宋_GB2312" w:eastAsia="仿宋_GB2312" w:cs="仿宋_GB2312"/>
            </w:rPr>
            <w:t>一</w:t>
          </w:r>
          <w:r>
            <w:rPr>
              <w:rFonts w:hint="eastAsia" w:ascii="仿宋_GB2312" w:hAnsi="仿宋_GB2312" w:eastAsia="仿宋_GB2312" w:cs="仿宋_GB2312"/>
              <w:bCs w:val="0"/>
            </w:rPr>
            <w:t>般公共预算财政拨款支出决算明细表</w:t>
          </w:r>
          <w:r>
            <w:tab/>
          </w:r>
          <w:r>
            <w:fldChar w:fldCharType="begin"/>
          </w:r>
          <w:r>
            <w:instrText xml:space="preserve"> PAGEREF _Toc6695 \h </w:instrText>
          </w:r>
          <w:r>
            <w:fldChar w:fldCharType="separate"/>
          </w:r>
          <w:r>
            <w:t>35</w:t>
          </w:r>
          <w:r>
            <w:fldChar w:fldCharType="end"/>
          </w:r>
          <w:r>
            <w:fldChar w:fldCharType="end"/>
          </w:r>
        </w:p>
        <w:p>
          <w:pPr>
            <w:pStyle w:val="14"/>
            <w:tabs>
              <w:tab w:val="right" w:leader="dot" w:pos="8306"/>
              <w:tab w:val="clear" w:pos="8296"/>
            </w:tabs>
          </w:pPr>
          <w:r>
            <w:fldChar w:fldCharType="begin"/>
          </w:r>
          <w:r>
            <w:instrText xml:space="preserve"> HYPERLINK \l _Toc3253 </w:instrText>
          </w:r>
          <w:r>
            <w:fldChar w:fldCharType="separate"/>
          </w:r>
          <w:r>
            <w:rPr>
              <w:rFonts w:hint="eastAsia" w:ascii="仿宋_GB2312" w:hAnsi="仿宋_GB2312" w:eastAsia="仿宋_GB2312" w:cs="仿宋_GB2312"/>
              <w:bCs w:val="0"/>
            </w:rPr>
            <w:t>八、</w:t>
          </w:r>
          <w:r>
            <w:rPr>
              <w:rFonts w:hint="eastAsia" w:ascii="仿宋_GB2312" w:hAnsi="仿宋_GB2312" w:eastAsia="仿宋_GB2312" w:cs="仿宋_GB2312"/>
            </w:rPr>
            <w:t>一</w:t>
          </w:r>
          <w:r>
            <w:rPr>
              <w:rFonts w:hint="eastAsia" w:ascii="仿宋_GB2312" w:hAnsi="仿宋_GB2312" w:eastAsia="仿宋_GB2312" w:cs="仿宋_GB2312"/>
              <w:bCs w:val="0"/>
            </w:rPr>
            <w:t>般公共预算财政拨款基本支出决算表</w:t>
          </w:r>
          <w:r>
            <w:tab/>
          </w:r>
          <w:r>
            <w:fldChar w:fldCharType="begin"/>
          </w:r>
          <w:r>
            <w:instrText xml:space="preserve"> PAGEREF _Toc3253 \h </w:instrText>
          </w:r>
          <w:r>
            <w:fldChar w:fldCharType="separate"/>
          </w:r>
          <w:r>
            <w:t>35</w:t>
          </w:r>
          <w:r>
            <w:fldChar w:fldCharType="end"/>
          </w:r>
          <w:r>
            <w:fldChar w:fldCharType="end"/>
          </w:r>
        </w:p>
        <w:p>
          <w:pPr>
            <w:pStyle w:val="14"/>
            <w:tabs>
              <w:tab w:val="right" w:leader="dot" w:pos="8306"/>
              <w:tab w:val="clear" w:pos="8296"/>
            </w:tabs>
          </w:pPr>
          <w:r>
            <w:fldChar w:fldCharType="begin"/>
          </w:r>
          <w:r>
            <w:instrText xml:space="preserve"> HYPERLINK \l _Toc32630 </w:instrText>
          </w:r>
          <w:r>
            <w:fldChar w:fldCharType="separate"/>
          </w:r>
          <w:r>
            <w:rPr>
              <w:rFonts w:hint="eastAsia" w:ascii="仿宋_GB2312" w:hAnsi="仿宋_GB2312" w:eastAsia="仿宋_GB2312" w:cs="仿宋_GB2312"/>
              <w:bCs w:val="0"/>
            </w:rPr>
            <w:t>九、</w:t>
          </w:r>
          <w:r>
            <w:rPr>
              <w:rFonts w:hint="eastAsia" w:ascii="仿宋_GB2312" w:hAnsi="仿宋_GB2312" w:eastAsia="仿宋_GB2312" w:cs="仿宋_GB2312"/>
            </w:rPr>
            <w:t>一</w:t>
          </w:r>
          <w:r>
            <w:rPr>
              <w:rFonts w:hint="eastAsia" w:ascii="仿宋_GB2312" w:hAnsi="仿宋_GB2312" w:eastAsia="仿宋_GB2312" w:cs="仿宋_GB2312"/>
              <w:bCs w:val="0"/>
            </w:rPr>
            <w:t>般公共预算财政拨款项目支出决算表</w:t>
          </w:r>
          <w:r>
            <w:tab/>
          </w:r>
          <w:r>
            <w:fldChar w:fldCharType="begin"/>
          </w:r>
          <w:r>
            <w:instrText xml:space="preserve"> PAGEREF _Toc32630 \h </w:instrText>
          </w:r>
          <w:r>
            <w:fldChar w:fldCharType="separate"/>
          </w:r>
          <w:r>
            <w:t>35</w:t>
          </w:r>
          <w:r>
            <w:fldChar w:fldCharType="end"/>
          </w:r>
          <w:r>
            <w:fldChar w:fldCharType="end"/>
          </w:r>
        </w:p>
        <w:p>
          <w:pPr>
            <w:pStyle w:val="14"/>
            <w:tabs>
              <w:tab w:val="right" w:leader="dot" w:pos="8306"/>
              <w:tab w:val="clear" w:pos="8296"/>
            </w:tabs>
          </w:pPr>
          <w:r>
            <w:fldChar w:fldCharType="begin"/>
          </w:r>
          <w:r>
            <w:instrText xml:space="preserve"> HYPERLINK \l _Toc4583 </w:instrText>
          </w:r>
          <w:r>
            <w:fldChar w:fldCharType="separate"/>
          </w:r>
          <w:r>
            <w:rPr>
              <w:rFonts w:hint="eastAsia" w:ascii="仿宋_GB2312" w:hAnsi="仿宋_GB2312" w:eastAsia="仿宋_GB2312" w:cs="仿宋_GB2312"/>
              <w:bCs w:val="0"/>
            </w:rPr>
            <w:t>十、</w:t>
          </w:r>
          <w:r>
            <w:rPr>
              <w:rFonts w:hint="eastAsia" w:ascii="仿宋_GB2312" w:hAnsi="仿宋_GB2312" w:eastAsia="仿宋_GB2312" w:cs="仿宋_GB2312"/>
            </w:rPr>
            <w:t>政</w:t>
          </w:r>
          <w:r>
            <w:rPr>
              <w:rFonts w:hint="eastAsia" w:ascii="仿宋_GB2312" w:hAnsi="仿宋_GB2312" w:eastAsia="仿宋_GB2312" w:cs="仿宋_GB2312"/>
              <w:bCs w:val="0"/>
            </w:rPr>
            <w:t>府性基金预算财政拨款收入支出决算表</w:t>
          </w:r>
          <w:r>
            <w:tab/>
          </w:r>
          <w:r>
            <w:fldChar w:fldCharType="begin"/>
          </w:r>
          <w:r>
            <w:instrText xml:space="preserve"> PAGEREF _Toc4583 \h </w:instrText>
          </w:r>
          <w:r>
            <w:fldChar w:fldCharType="separate"/>
          </w:r>
          <w:r>
            <w:t>35</w:t>
          </w:r>
          <w:r>
            <w:fldChar w:fldCharType="end"/>
          </w:r>
          <w:r>
            <w:fldChar w:fldCharType="end"/>
          </w:r>
        </w:p>
        <w:p>
          <w:pPr>
            <w:pStyle w:val="14"/>
            <w:tabs>
              <w:tab w:val="right" w:leader="dot" w:pos="8306"/>
              <w:tab w:val="clear" w:pos="8296"/>
            </w:tabs>
          </w:pPr>
          <w:r>
            <w:fldChar w:fldCharType="begin"/>
          </w:r>
          <w:r>
            <w:instrText xml:space="preserve"> HYPERLINK \l _Toc31915 </w:instrText>
          </w:r>
          <w:r>
            <w:fldChar w:fldCharType="separate"/>
          </w:r>
          <w:r>
            <w:rPr>
              <w:rFonts w:hint="eastAsia" w:ascii="仿宋_GB2312" w:hAnsi="仿宋_GB2312" w:eastAsia="仿宋_GB2312" w:cs="仿宋_GB2312"/>
              <w:bCs w:val="0"/>
            </w:rPr>
            <w:t>十一、</w:t>
          </w:r>
          <w:r>
            <w:rPr>
              <w:rFonts w:hint="eastAsia" w:ascii="仿宋_GB2312" w:hAnsi="仿宋_GB2312" w:eastAsia="仿宋_GB2312" w:cs="仿宋_GB2312"/>
            </w:rPr>
            <w:t>国</w:t>
          </w:r>
          <w:r>
            <w:rPr>
              <w:rFonts w:hint="eastAsia" w:ascii="仿宋_GB2312" w:hAnsi="仿宋_GB2312" w:eastAsia="仿宋_GB2312" w:cs="仿宋_GB2312"/>
              <w:bCs w:val="0"/>
            </w:rPr>
            <w:t>有资本经营预算财政拨款收入支出决算表</w:t>
          </w:r>
          <w:r>
            <w:tab/>
          </w:r>
          <w:r>
            <w:fldChar w:fldCharType="begin"/>
          </w:r>
          <w:r>
            <w:instrText xml:space="preserve"> PAGEREF _Toc31915 \h </w:instrText>
          </w:r>
          <w:r>
            <w:fldChar w:fldCharType="separate"/>
          </w:r>
          <w:r>
            <w:t>35</w:t>
          </w:r>
          <w:r>
            <w:fldChar w:fldCharType="end"/>
          </w:r>
          <w:r>
            <w:fldChar w:fldCharType="end"/>
          </w:r>
        </w:p>
        <w:p>
          <w:pPr>
            <w:pStyle w:val="14"/>
            <w:tabs>
              <w:tab w:val="right" w:leader="dot" w:pos="8306"/>
              <w:tab w:val="clear" w:pos="8296"/>
            </w:tabs>
          </w:pPr>
          <w:r>
            <w:fldChar w:fldCharType="begin"/>
          </w:r>
          <w:r>
            <w:instrText xml:space="preserve"> HYPERLINK \l _Toc28551 </w:instrText>
          </w:r>
          <w:r>
            <w:fldChar w:fldCharType="separate"/>
          </w:r>
          <w:r>
            <w:rPr>
              <w:rFonts w:hint="eastAsia" w:ascii="仿宋_GB2312" w:hAnsi="仿宋_GB2312" w:eastAsia="仿宋_GB2312" w:cs="仿宋_GB2312"/>
              <w:bCs w:val="0"/>
            </w:rPr>
            <w:t>十二、国有资本经营预算财政拨款支出决算表</w:t>
          </w:r>
          <w:r>
            <w:tab/>
          </w:r>
          <w:r>
            <w:fldChar w:fldCharType="begin"/>
          </w:r>
          <w:r>
            <w:instrText xml:space="preserve"> PAGEREF _Toc28551 \h </w:instrText>
          </w:r>
          <w:r>
            <w:fldChar w:fldCharType="separate"/>
          </w:r>
          <w:r>
            <w:t>35</w:t>
          </w:r>
          <w:r>
            <w:fldChar w:fldCharType="end"/>
          </w:r>
          <w:r>
            <w:fldChar w:fldCharType="end"/>
          </w:r>
        </w:p>
        <w:p>
          <w:pPr>
            <w:pStyle w:val="14"/>
            <w:tabs>
              <w:tab w:val="right" w:leader="dot" w:pos="8306"/>
              <w:tab w:val="clear" w:pos="8296"/>
            </w:tabs>
          </w:pPr>
          <w:r>
            <w:fldChar w:fldCharType="begin"/>
          </w:r>
          <w:r>
            <w:instrText xml:space="preserve"> HYPERLINK \l _Toc28968 </w:instrText>
          </w:r>
          <w:r>
            <w:fldChar w:fldCharType="separate"/>
          </w:r>
          <w:r>
            <w:rPr>
              <w:rFonts w:hint="eastAsia" w:ascii="仿宋_GB2312" w:hAnsi="仿宋_GB2312" w:eastAsia="仿宋_GB2312" w:cs="仿宋_GB2312"/>
              <w:bCs w:val="0"/>
            </w:rPr>
            <w:t>十三、财政拨款“三公”经费支出决算表</w:t>
          </w:r>
          <w:r>
            <w:tab/>
          </w:r>
          <w:r>
            <w:fldChar w:fldCharType="begin"/>
          </w:r>
          <w:r>
            <w:instrText xml:space="preserve"> PAGEREF _Toc28968 \h </w:instrText>
          </w:r>
          <w:r>
            <w:fldChar w:fldCharType="separate"/>
          </w:r>
          <w:r>
            <w:t>35</w:t>
          </w:r>
          <w:r>
            <w:fldChar w:fldCharType="end"/>
          </w:r>
          <w:r>
            <w:fldChar w:fldCharType="end"/>
          </w:r>
        </w:p>
        <w:p>
          <w:r>
            <w:fldChar w:fldCharType="end"/>
          </w:r>
        </w:p>
      </w:sdtContent>
    </w:sdt>
    <w:p/>
    <w:p>
      <w:pPr>
        <w:widowControl/>
        <w:adjustRightInd w:val="0"/>
        <w:snapToGrid w:val="0"/>
        <w:spacing w:line="440" w:lineRule="exact"/>
        <w:jc w:val="left"/>
        <w:rPr>
          <w:rFonts w:ascii="仿宋" w:hAnsi="仿宋" w:eastAsia="仿宋"/>
          <w:bCs/>
          <w:kern w:val="44"/>
          <w:sz w:val="24"/>
        </w:rPr>
      </w:pPr>
      <w:r>
        <w:rPr>
          <w:rFonts w:ascii="仿宋" w:hAnsi="仿宋" w:eastAsia="仿宋"/>
          <w:b/>
          <w:sz w:val="30"/>
          <w:szCs w:val="30"/>
        </w:rPr>
        <w:br w:type="page"/>
      </w:r>
    </w:p>
    <w:p>
      <w:pPr>
        <w:pStyle w:val="3"/>
        <w:jc w:val="center"/>
        <w:rPr>
          <w:rFonts w:ascii="黑体" w:eastAsia="黑体"/>
          <w:sz w:val="32"/>
          <w:szCs w:val="32"/>
        </w:rPr>
      </w:pPr>
      <w:bookmarkStart w:id="2" w:name="_Toc31503"/>
      <w:r>
        <w:rPr>
          <w:rFonts w:hint="eastAsia" w:ascii="黑体" w:hAnsi="黑体" w:eastAsia="黑体"/>
          <w:b w:val="0"/>
        </w:rPr>
        <w:t>第一部分 单位</w:t>
      </w:r>
      <w:r>
        <w:rPr>
          <w:rStyle w:val="19"/>
          <w:rFonts w:hint="eastAsia" w:ascii="黑体" w:hAnsi="黑体" w:eastAsia="黑体"/>
          <w:b w:val="0"/>
          <w:bCs w:val="0"/>
        </w:rPr>
        <w:t>概况</w:t>
      </w:r>
      <w:bookmarkEnd w:id="0"/>
      <w:bookmarkEnd w:id="1"/>
      <w:bookmarkEnd w:id="2"/>
    </w:p>
    <w:p>
      <w:pPr>
        <w:pStyle w:val="4"/>
        <w:numPr>
          <w:ilvl w:val="0"/>
          <w:numId w:val="1"/>
        </w:numPr>
        <w:rPr>
          <w:rFonts w:ascii="黑体" w:hAnsi="黑体" w:eastAsia="黑体"/>
          <w:b w:val="0"/>
        </w:rPr>
      </w:pPr>
      <w:bookmarkStart w:id="3" w:name="_Toc22409"/>
      <w:r>
        <w:rPr>
          <w:rFonts w:hint="eastAsia" w:ascii="黑体" w:hAnsi="黑体" w:eastAsia="黑体"/>
          <w:b w:val="0"/>
        </w:rPr>
        <w:t>主要职责</w:t>
      </w:r>
      <w:bookmarkEnd w:id="3"/>
    </w:p>
    <w:p>
      <w:pPr>
        <w:pStyle w:val="27"/>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宝珠寺公安分局是广元市公安局直属分局，二级预算单位，实行独立的会计核算。分局在市公安局的领导下，履行县级公安机关职能，主要负责中核四川环保工程有限公司（</w:t>
      </w:r>
      <w:r>
        <w:rPr>
          <w:rFonts w:ascii="仿宋_GB2312" w:hAnsi="仿宋" w:eastAsia="仿宋_GB2312"/>
          <w:sz w:val="32"/>
          <w:szCs w:val="32"/>
        </w:rPr>
        <w:t>821</w:t>
      </w:r>
      <w:r>
        <w:rPr>
          <w:rFonts w:hint="eastAsia" w:ascii="仿宋_GB2312" w:hAnsi="仿宋" w:eastAsia="仿宋_GB2312"/>
          <w:sz w:val="32"/>
          <w:szCs w:val="32"/>
        </w:rPr>
        <w:t>厂）生产区、仓储区以及三堆镇、金洞乡的治安行政管理、预防和打击各类违法犯罪活动。</w:t>
      </w:r>
    </w:p>
    <w:p>
      <w:pPr>
        <w:pStyle w:val="3"/>
        <w:keepNext w:val="0"/>
        <w:keepLines w:val="0"/>
        <w:spacing w:before="0" w:after="0" w:line="560" w:lineRule="exact"/>
        <w:ind w:firstLine="640" w:firstLineChars="200"/>
        <w:rPr>
          <w:rFonts w:ascii="仿宋_GB2312" w:hAnsi="仿宋_GB2312" w:eastAsia="仿宋_GB2312" w:cs="仿宋_GB2312"/>
          <w:b w:val="0"/>
          <w:bCs w:val="0"/>
          <w:kern w:val="2"/>
          <w:sz w:val="32"/>
          <w:szCs w:val="32"/>
        </w:rPr>
      </w:pPr>
      <w:bookmarkStart w:id="4" w:name="_Toc12278"/>
      <w:bookmarkStart w:id="5" w:name="_Toc26989"/>
      <w:r>
        <w:rPr>
          <w:rFonts w:ascii="仿宋_GB2312" w:hAnsi="仿宋_GB2312" w:eastAsia="仿宋_GB2312" w:cs="仿宋_GB2312"/>
          <w:b w:val="0"/>
          <w:bCs w:val="0"/>
          <w:kern w:val="2"/>
          <w:sz w:val="32"/>
          <w:szCs w:val="32"/>
        </w:rPr>
        <w:t>1</w:t>
      </w:r>
      <w:r>
        <w:rPr>
          <w:rFonts w:hint="eastAsia" w:ascii="仿宋_GB2312" w:hAnsi="仿宋_GB2312" w:eastAsia="仿宋_GB2312" w:cs="仿宋_GB2312"/>
          <w:b w:val="0"/>
          <w:bCs w:val="0"/>
          <w:kern w:val="2"/>
          <w:sz w:val="32"/>
          <w:szCs w:val="32"/>
        </w:rPr>
        <w:t>、贯彻执行党和国家公安工作的方针、政策和法律、法规、规章；部署、指导、监督、检查全镇公安工作；负责依法行政工作，落实行政执法责任制。</w:t>
      </w:r>
      <w:bookmarkEnd w:id="4"/>
      <w:bookmarkEnd w:id="5"/>
    </w:p>
    <w:p>
      <w:pPr>
        <w:pStyle w:val="3"/>
        <w:keepNext w:val="0"/>
        <w:keepLines w:val="0"/>
        <w:spacing w:before="0" w:after="0" w:line="560" w:lineRule="exact"/>
        <w:ind w:firstLine="640" w:firstLineChars="200"/>
        <w:rPr>
          <w:rFonts w:ascii="仿宋_GB2312" w:hAnsi="仿宋_GB2312" w:eastAsia="仿宋_GB2312" w:cs="仿宋_GB2312"/>
          <w:b w:val="0"/>
          <w:bCs w:val="0"/>
          <w:kern w:val="2"/>
          <w:sz w:val="32"/>
          <w:szCs w:val="32"/>
        </w:rPr>
      </w:pPr>
      <w:bookmarkStart w:id="6" w:name="_Toc31744"/>
      <w:bookmarkStart w:id="7" w:name="_Toc29997"/>
      <w:r>
        <w:rPr>
          <w:rFonts w:ascii="仿宋_GB2312" w:hAnsi="仿宋_GB2312" w:eastAsia="仿宋_GB2312" w:cs="仿宋_GB2312"/>
          <w:b w:val="0"/>
          <w:bCs w:val="0"/>
          <w:kern w:val="2"/>
          <w:sz w:val="32"/>
          <w:szCs w:val="32"/>
        </w:rPr>
        <w:t>2</w:t>
      </w:r>
      <w:r>
        <w:rPr>
          <w:rFonts w:hint="eastAsia" w:ascii="仿宋_GB2312" w:hAnsi="仿宋_GB2312" w:eastAsia="仿宋_GB2312" w:cs="仿宋_GB2312"/>
          <w:b w:val="0"/>
          <w:bCs w:val="0"/>
          <w:kern w:val="2"/>
          <w:sz w:val="32"/>
          <w:szCs w:val="32"/>
        </w:rPr>
        <w:t>、组织、指导、协调全镇公安机关应急管理、抢险救援工作和社会公共突发事件的处置工作。</w:t>
      </w:r>
      <w:bookmarkEnd w:id="6"/>
      <w:bookmarkEnd w:id="7"/>
    </w:p>
    <w:p>
      <w:pPr>
        <w:pStyle w:val="3"/>
        <w:keepNext w:val="0"/>
        <w:keepLines w:val="0"/>
        <w:spacing w:before="0" w:after="0" w:line="560" w:lineRule="exact"/>
        <w:ind w:firstLine="640" w:firstLineChars="200"/>
        <w:rPr>
          <w:rFonts w:ascii="仿宋_GB2312" w:hAnsi="仿宋_GB2312" w:eastAsia="仿宋_GB2312" w:cs="仿宋_GB2312"/>
          <w:b w:val="0"/>
          <w:bCs w:val="0"/>
          <w:kern w:val="2"/>
          <w:sz w:val="32"/>
          <w:szCs w:val="32"/>
        </w:rPr>
      </w:pPr>
      <w:bookmarkStart w:id="8" w:name="_Toc9157"/>
      <w:bookmarkStart w:id="9" w:name="_Toc15217"/>
      <w:r>
        <w:rPr>
          <w:rFonts w:ascii="仿宋_GB2312" w:hAnsi="仿宋_GB2312" w:eastAsia="仿宋_GB2312" w:cs="仿宋_GB2312"/>
          <w:b w:val="0"/>
          <w:bCs w:val="0"/>
          <w:kern w:val="2"/>
          <w:sz w:val="32"/>
          <w:szCs w:val="32"/>
        </w:rPr>
        <w:t>3</w:t>
      </w:r>
      <w:r>
        <w:rPr>
          <w:rFonts w:hint="eastAsia" w:ascii="仿宋_GB2312" w:hAnsi="仿宋_GB2312" w:eastAsia="仿宋_GB2312" w:cs="仿宋_GB2312"/>
          <w:b w:val="0"/>
          <w:bCs w:val="0"/>
          <w:kern w:val="2"/>
          <w:sz w:val="32"/>
          <w:szCs w:val="32"/>
        </w:rPr>
        <w:t>、收集掌握影响稳定、危害国家安全和社会治安的情况，分析研判形势，制定对策。</w:t>
      </w:r>
      <w:bookmarkEnd w:id="8"/>
      <w:bookmarkEnd w:id="9"/>
    </w:p>
    <w:p>
      <w:pPr>
        <w:pStyle w:val="3"/>
        <w:keepNext w:val="0"/>
        <w:keepLines w:val="0"/>
        <w:spacing w:before="0" w:after="0" w:line="560" w:lineRule="exact"/>
        <w:ind w:firstLine="640" w:firstLineChars="200"/>
        <w:rPr>
          <w:rFonts w:ascii="仿宋_GB2312" w:hAnsi="仿宋_GB2312" w:eastAsia="仿宋_GB2312" w:cs="仿宋_GB2312"/>
          <w:b w:val="0"/>
          <w:bCs w:val="0"/>
          <w:kern w:val="2"/>
          <w:sz w:val="32"/>
          <w:szCs w:val="32"/>
        </w:rPr>
      </w:pPr>
      <w:bookmarkStart w:id="10" w:name="_Toc27749"/>
      <w:bookmarkStart w:id="11" w:name="_Toc821"/>
      <w:r>
        <w:rPr>
          <w:rFonts w:ascii="仿宋_GB2312" w:hAnsi="仿宋_GB2312" w:eastAsia="仿宋_GB2312" w:cs="仿宋_GB2312"/>
          <w:b w:val="0"/>
          <w:bCs w:val="0"/>
          <w:kern w:val="2"/>
          <w:sz w:val="32"/>
          <w:szCs w:val="32"/>
        </w:rPr>
        <w:t>4</w:t>
      </w:r>
      <w:r>
        <w:rPr>
          <w:rFonts w:hint="eastAsia" w:ascii="仿宋_GB2312" w:hAnsi="仿宋_GB2312" w:eastAsia="仿宋_GB2312" w:cs="仿宋_GB2312"/>
          <w:b w:val="0"/>
          <w:bCs w:val="0"/>
          <w:kern w:val="2"/>
          <w:sz w:val="32"/>
          <w:szCs w:val="32"/>
        </w:rPr>
        <w:t>、组织实施侦查工作，协调或直接侦办重大刑事案件、国内危害国家安全的犯罪案件及重大经济犯罪案件。</w:t>
      </w:r>
      <w:bookmarkEnd w:id="10"/>
      <w:bookmarkEnd w:id="11"/>
    </w:p>
    <w:p>
      <w:pPr>
        <w:pStyle w:val="3"/>
        <w:keepNext w:val="0"/>
        <w:keepLines w:val="0"/>
        <w:spacing w:before="0" w:after="0" w:line="560" w:lineRule="exact"/>
        <w:ind w:firstLine="640" w:firstLineChars="200"/>
        <w:rPr>
          <w:rFonts w:ascii="仿宋_GB2312" w:hAnsi="仿宋_GB2312" w:eastAsia="仿宋_GB2312" w:cs="仿宋_GB2312"/>
          <w:b w:val="0"/>
          <w:bCs w:val="0"/>
          <w:kern w:val="2"/>
          <w:sz w:val="32"/>
          <w:szCs w:val="32"/>
        </w:rPr>
      </w:pPr>
      <w:bookmarkStart w:id="12" w:name="_Toc10219"/>
      <w:bookmarkStart w:id="13" w:name="_Toc15843"/>
      <w:r>
        <w:rPr>
          <w:rFonts w:ascii="仿宋_GB2312" w:hAnsi="仿宋_GB2312" w:eastAsia="仿宋_GB2312" w:cs="仿宋_GB2312"/>
          <w:b w:val="0"/>
          <w:bCs w:val="0"/>
          <w:kern w:val="2"/>
          <w:sz w:val="32"/>
          <w:szCs w:val="32"/>
        </w:rPr>
        <w:t>5</w:t>
      </w:r>
      <w:r>
        <w:rPr>
          <w:rFonts w:hint="eastAsia" w:ascii="仿宋_GB2312" w:hAnsi="仿宋_GB2312" w:eastAsia="仿宋_GB2312" w:cs="仿宋_GB2312"/>
          <w:b w:val="0"/>
          <w:bCs w:val="0"/>
          <w:kern w:val="2"/>
          <w:sz w:val="32"/>
          <w:szCs w:val="32"/>
        </w:rPr>
        <w:t>、负责治安管理工作并承担相应责任。协调处置重大治安案件和群体事件，依法查处破坏社会治安秩序行为，依法开展治安行政管理工作。</w:t>
      </w:r>
      <w:bookmarkEnd w:id="12"/>
      <w:bookmarkEnd w:id="13"/>
    </w:p>
    <w:p>
      <w:pPr>
        <w:pStyle w:val="3"/>
        <w:keepNext w:val="0"/>
        <w:keepLines w:val="0"/>
        <w:spacing w:before="0" w:after="0" w:line="560" w:lineRule="exact"/>
        <w:ind w:firstLine="640" w:firstLineChars="200"/>
        <w:rPr>
          <w:rFonts w:ascii="仿宋_GB2312" w:hAnsi="仿宋_GB2312" w:eastAsia="仿宋_GB2312" w:cs="仿宋_GB2312"/>
          <w:b w:val="0"/>
          <w:bCs w:val="0"/>
          <w:kern w:val="2"/>
          <w:sz w:val="32"/>
          <w:szCs w:val="32"/>
        </w:rPr>
      </w:pPr>
      <w:bookmarkStart w:id="14" w:name="_Toc17864"/>
      <w:bookmarkStart w:id="15" w:name="_Toc8876"/>
      <w:r>
        <w:rPr>
          <w:rFonts w:ascii="仿宋_GB2312" w:hAnsi="仿宋_GB2312" w:eastAsia="仿宋_GB2312" w:cs="仿宋_GB2312"/>
          <w:b w:val="0"/>
          <w:bCs w:val="0"/>
          <w:kern w:val="2"/>
          <w:sz w:val="32"/>
          <w:szCs w:val="32"/>
        </w:rPr>
        <w:t>6</w:t>
      </w:r>
      <w:r>
        <w:rPr>
          <w:rFonts w:hint="eastAsia" w:ascii="仿宋_GB2312" w:hAnsi="仿宋_GB2312" w:eastAsia="仿宋_GB2312" w:cs="仿宋_GB2312"/>
          <w:b w:val="0"/>
          <w:bCs w:val="0"/>
          <w:kern w:val="2"/>
          <w:sz w:val="32"/>
          <w:szCs w:val="32"/>
        </w:rPr>
        <w:t>、组织实施公共信息网络的安全保护工作，负责信息安全等级保护工作。</w:t>
      </w:r>
      <w:bookmarkEnd w:id="14"/>
      <w:bookmarkEnd w:id="15"/>
    </w:p>
    <w:p>
      <w:pPr>
        <w:pStyle w:val="3"/>
        <w:keepNext w:val="0"/>
        <w:keepLines w:val="0"/>
        <w:spacing w:before="0" w:after="0" w:line="560" w:lineRule="exact"/>
        <w:ind w:firstLine="640" w:firstLineChars="200"/>
        <w:rPr>
          <w:rFonts w:ascii="仿宋_GB2312" w:hAnsi="仿宋_GB2312" w:eastAsia="仿宋_GB2312" w:cs="仿宋_GB2312"/>
          <w:b w:val="0"/>
          <w:bCs w:val="0"/>
          <w:kern w:val="2"/>
          <w:sz w:val="32"/>
          <w:szCs w:val="32"/>
        </w:rPr>
      </w:pPr>
      <w:bookmarkStart w:id="16" w:name="_Toc31920"/>
      <w:bookmarkStart w:id="17" w:name="_Toc8682"/>
      <w:r>
        <w:rPr>
          <w:rFonts w:ascii="仿宋_GB2312" w:hAnsi="仿宋_GB2312" w:eastAsia="仿宋_GB2312" w:cs="仿宋_GB2312"/>
          <w:b w:val="0"/>
          <w:bCs w:val="0"/>
          <w:kern w:val="2"/>
          <w:sz w:val="32"/>
          <w:szCs w:val="32"/>
        </w:rPr>
        <w:t>7</w:t>
      </w:r>
      <w:r>
        <w:rPr>
          <w:rFonts w:hint="eastAsia" w:ascii="仿宋_GB2312" w:hAnsi="仿宋_GB2312" w:eastAsia="仿宋_GB2312" w:cs="仿宋_GB2312"/>
          <w:b w:val="0"/>
          <w:bCs w:val="0"/>
          <w:kern w:val="2"/>
          <w:sz w:val="32"/>
          <w:szCs w:val="32"/>
        </w:rPr>
        <w:t>、防范、处置邪教及有害气功组织的违法犯罪活动。</w:t>
      </w:r>
      <w:bookmarkEnd w:id="16"/>
      <w:bookmarkEnd w:id="17"/>
    </w:p>
    <w:p>
      <w:pPr>
        <w:pStyle w:val="3"/>
        <w:keepNext w:val="0"/>
        <w:keepLines w:val="0"/>
        <w:spacing w:before="0" w:after="0" w:line="560" w:lineRule="exact"/>
        <w:ind w:firstLine="640" w:firstLineChars="200"/>
        <w:rPr>
          <w:rFonts w:ascii="仿宋_GB2312" w:hAnsi="仿宋_GB2312" w:eastAsia="仿宋_GB2312" w:cs="仿宋_GB2312"/>
          <w:b w:val="0"/>
          <w:bCs w:val="0"/>
          <w:kern w:val="2"/>
          <w:sz w:val="32"/>
          <w:szCs w:val="32"/>
        </w:rPr>
      </w:pPr>
      <w:bookmarkStart w:id="18" w:name="_Toc5916"/>
      <w:bookmarkStart w:id="19" w:name="_Toc24862"/>
      <w:r>
        <w:rPr>
          <w:rFonts w:ascii="仿宋_GB2312" w:hAnsi="仿宋_GB2312" w:eastAsia="仿宋_GB2312" w:cs="仿宋_GB2312"/>
          <w:b w:val="0"/>
          <w:bCs w:val="0"/>
          <w:kern w:val="2"/>
          <w:sz w:val="32"/>
          <w:szCs w:val="32"/>
        </w:rPr>
        <w:t>8</w:t>
      </w:r>
      <w:r>
        <w:rPr>
          <w:rFonts w:hint="eastAsia" w:ascii="仿宋_GB2312" w:hAnsi="仿宋_GB2312" w:eastAsia="仿宋_GB2312" w:cs="仿宋_GB2312"/>
          <w:b w:val="0"/>
          <w:bCs w:val="0"/>
          <w:kern w:val="2"/>
          <w:sz w:val="32"/>
          <w:szCs w:val="32"/>
        </w:rPr>
        <w:t>、组织、指导、协调对恐怖活动的情报、防范、侦察和应急处置工作。</w:t>
      </w:r>
      <w:bookmarkEnd w:id="18"/>
      <w:bookmarkEnd w:id="19"/>
    </w:p>
    <w:p>
      <w:pPr>
        <w:pStyle w:val="3"/>
        <w:keepNext w:val="0"/>
        <w:keepLines w:val="0"/>
        <w:spacing w:before="0" w:after="0" w:line="560" w:lineRule="exact"/>
        <w:ind w:firstLine="640" w:firstLineChars="200"/>
        <w:rPr>
          <w:rFonts w:ascii="仿宋_GB2312" w:hAnsi="仿宋_GB2312" w:eastAsia="仿宋_GB2312" w:cs="仿宋_GB2312"/>
          <w:b w:val="0"/>
          <w:bCs w:val="0"/>
          <w:kern w:val="2"/>
          <w:sz w:val="32"/>
          <w:szCs w:val="32"/>
        </w:rPr>
      </w:pPr>
      <w:bookmarkStart w:id="20" w:name="_Toc31120"/>
      <w:bookmarkStart w:id="21" w:name="_Toc23155"/>
      <w:r>
        <w:rPr>
          <w:rFonts w:ascii="仿宋_GB2312" w:hAnsi="仿宋_GB2312" w:eastAsia="仿宋_GB2312" w:cs="仿宋_GB2312"/>
          <w:b w:val="0"/>
          <w:bCs w:val="0"/>
          <w:kern w:val="2"/>
          <w:sz w:val="32"/>
          <w:szCs w:val="32"/>
        </w:rPr>
        <w:t>9</w:t>
      </w:r>
      <w:r>
        <w:rPr>
          <w:rFonts w:hint="eastAsia" w:ascii="仿宋_GB2312" w:hAnsi="仿宋_GB2312" w:eastAsia="仿宋_GB2312" w:cs="仿宋_GB2312"/>
          <w:b w:val="0"/>
          <w:bCs w:val="0"/>
          <w:kern w:val="2"/>
          <w:sz w:val="32"/>
          <w:szCs w:val="32"/>
        </w:rPr>
        <w:t>、拟订公安机关装备、被装和经费等警务保障计划及管理制度，组织协调公安机关重大任务的警务保障工作。</w:t>
      </w:r>
      <w:bookmarkEnd w:id="20"/>
      <w:bookmarkEnd w:id="21"/>
    </w:p>
    <w:p>
      <w:pPr>
        <w:pStyle w:val="3"/>
        <w:keepNext w:val="0"/>
        <w:keepLines w:val="0"/>
        <w:spacing w:before="0" w:after="0" w:line="560" w:lineRule="exact"/>
        <w:ind w:firstLine="640" w:firstLineChars="200"/>
        <w:rPr>
          <w:rFonts w:ascii="仿宋_GB2312" w:hAnsi="仿宋_GB2312" w:eastAsia="仿宋_GB2312" w:cs="仿宋_GB2312"/>
          <w:b w:val="0"/>
          <w:bCs w:val="0"/>
          <w:kern w:val="2"/>
          <w:sz w:val="32"/>
          <w:szCs w:val="32"/>
        </w:rPr>
      </w:pPr>
      <w:bookmarkStart w:id="22" w:name="_Toc31606"/>
      <w:bookmarkStart w:id="23" w:name="_Toc29843"/>
      <w:r>
        <w:rPr>
          <w:rFonts w:ascii="仿宋_GB2312" w:hAnsi="仿宋_GB2312" w:eastAsia="仿宋_GB2312" w:cs="仿宋_GB2312"/>
          <w:b w:val="0"/>
          <w:bCs w:val="0"/>
          <w:kern w:val="2"/>
          <w:sz w:val="32"/>
          <w:szCs w:val="32"/>
        </w:rPr>
        <w:t>10</w:t>
      </w:r>
      <w:r>
        <w:rPr>
          <w:rFonts w:hint="eastAsia" w:ascii="仿宋_GB2312" w:hAnsi="仿宋_GB2312" w:eastAsia="仿宋_GB2312" w:cs="仿宋_GB2312"/>
          <w:b w:val="0"/>
          <w:bCs w:val="0"/>
          <w:kern w:val="2"/>
          <w:sz w:val="32"/>
          <w:szCs w:val="32"/>
        </w:rPr>
        <w:t>、负责公安队伍建设和公安机关党风廉政建设，承担公安机关人事管理、民警教育训练和宣传等相关工作，拟订公安队伍监督管理工作规章制度，承担公安机关督察、审计、信访工作，监督公安机关及人民警察的执法活动。</w:t>
      </w:r>
      <w:bookmarkEnd w:id="22"/>
      <w:bookmarkEnd w:id="23"/>
    </w:p>
    <w:p>
      <w:pPr>
        <w:pStyle w:val="3"/>
        <w:keepNext w:val="0"/>
        <w:keepLines w:val="0"/>
        <w:widowControl/>
        <w:spacing w:before="0" w:after="0" w:line="560" w:lineRule="exact"/>
        <w:ind w:firstLine="645"/>
        <w:textAlignment w:val="baseline"/>
        <w:rPr>
          <w:rFonts w:ascii="仿宋_GB2312" w:hAnsi="仿宋_GB2312" w:eastAsia="仿宋_GB2312" w:cs="仿宋_GB2312"/>
          <w:b w:val="0"/>
          <w:bCs w:val="0"/>
          <w:kern w:val="2"/>
          <w:sz w:val="32"/>
          <w:szCs w:val="32"/>
        </w:rPr>
      </w:pPr>
      <w:bookmarkStart w:id="24" w:name="_Toc32453"/>
      <w:bookmarkStart w:id="25" w:name="_Toc21237"/>
      <w:r>
        <w:rPr>
          <w:rFonts w:ascii="仿宋_GB2312" w:hAnsi="仿宋_GB2312" w:eastAsia="仿宋_GB2312" w:cs="仿宋_GB2312"/>
          <w:b w:val="0"/>
          <w:bCs w:val="0"/>
          <w:kern w:val="2"/>
          <w:sz w:val="32"/>
          <w:szCs w:val="32"/>
        </w:rPr>
        <w:t>11</w:t>
      </w:r>
      <w:r>
        <w:rPr>
          <w:rFonts w:hint="eastAsia" w:ascii="仿宋_GB2312" w:hAnsi="仿宋_GB2312" w:eastAsia="仿宋_GB2312" w:cs="仿宋_GB2312"/>
          <w:b w:val="0"/>
          <w:bCs w:val="0"/>
          <w:kern w:val="2"/>
          <w:sz w:val="32"/>
          <w:szCs w:val="32"/>
        </w:rPr>
        <w:t>、</w:t>
      </w:r>
      <w:bookmarkEnd w:id="24"/>
      <w:bookmarkStart w:id="26" w:name="_Toc23060"/>
      <w:r>
        <w:rPr>
          <w:rFonts w:hint="eastAsia" w:ascii="仿宋_GB2312" w:hAnsi="仿宋_GB2312" w:eastAsia="仿宋_GB2312" w:cs="仿宋_GB2312"/>
          <w:b w:val="0"/>
          <w:bCs w:val="0"/>
          <w:kern w:val="2"/>
          <w:sz w:val="32"/>
          <w:szCs w:val="32"/>
        </w:rPr>
        <w:t>承办市公安局交办的事项。</w:t>
      </w:r>
      <w:bookmarkEnd w:id="25"/>
      <w:bookmarkEnd w:id="26"/>
    </w:p>
    <w:p/>
    <w:p>
      <w:pPr>
        <w:pStyle w:val="4"/>
        <w:rPr>
          <w:rFonts w:ascii="黑体" w:hAnsi="黑体" w:eastAsia="黑体"/>
          <w:b w:val="0"/>
        </w:rPr>
      </w:pPr>
      <w:bookmarkStart w:id="27" w:name="_Toc26105"/>
      <w:bookmarkStart w:id="28" w:name="_Toc15396601"/>
      <w:bookmarkStart w:id="29" w:name="_Toc15377200"/>
      <w:r>
        <w:rPr>
          <w:rFonts w:hint="eastAsia" w:ascii="黑体" w:hAnsi="黑体" w:eastAsia="黑体"/>
          <w:b w:val="0"/>
        </w:rPr>
        <w:t>二、机构设置</w:t>
      </w:r>
      <w:bookmarkEnd w:id="27"/>
      <w:bookmarkEnd w:id="28"/>
      <w:bookmarkEnd w:id="29"/>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我单位为广元市公安局</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下属二级预算单位，本单位无下属机构，设有内设机构8个（指挥中心（办公室）、政工监督室、情报信息大队、政治安全保卫大队、治安管理大队、刑事侦查大队，平溪河派出所、三堆派出所）。</w:t>
      </w:r>
    </w:p>
    <w:p>
      <w:pPr>
        <w:ind w:firstLine="800" w:firstLineChars="250"/>
        <w:rPr>
          <w:rFonts w:ascii="仿宋_GB2312" w:hAnsi="仿宋_GB2312" w:eastAsia="仿宋_GB2312" w:cs="仿宋_GB2312"/>
          <w:sz w:val="32"/>
          <w:szCs w:val="32"/>
        </w:rPr>
      </w:pPr>
    </w:p>
    <w:p>
      <w:pPr>
        <w:widowControl/>
        <w:jc w:val="center"/>
        <w:rPr>
          <w:rStyle w:val="19"/>
          <w:rFonts w:ascii="黑体" w:hAnsi="黑体" w:eastAsia="黑体"/>
          <w:b w:val="0"/>
        </w:rPr>
      </w:pPr>
      <w:r>
        <w:rPr>
          <w:rFonts w:hint="eastAsia" w:ascii="仿宋_GB2312" w:hAnsi="仿宋_GB2312" w:eastAsia="仿宋_GB2312" w:cs="仿宋_GB2312"/>
          <w:sz w:val="32"/>
          <w:szCs w:val="32"/>
        </w:rPr>
        <w:br w:type="page"/>
      </w:r>
      <w:bookmarkStart w:id="30" w:name="_Toc15396602"/>
      <w:bookmarkStart w:id="31" w:name="_Toc15377204"/>
      <w:bookmarkStart w:id="32" w:name="_Toc17699"/>
      <w:r>
        <w:rPr>
          <w:rStyle w:val="19"/>
          <w:rFonts w:hint="eastAsia" w:ascii="黑体" w:hAnsi="黑体" w:eastAsia="黑体"/>
          <w:b w:val="0"/>
        </w:rPr>
        <w:t>第二部分 2024年度单位决算情况说明</w:t>
      </w:r>
      <w:bookmarkEnd w:id="30"/>
      <w:bookmarkEnd w:id="31"/>
    </w:p>
    <w:bookmarkEnd w:id="32"/>
    <w:p>
      <w:pPr>
        <w:widowControl/>
        <w:jc w:val="left"/>
        <w:rPr>
          <w:rStyle w:val="19"/>
          <w:rFonts w:ascii="黑体" w:hAnsi="黑体" w:eastAsia="黑体"/>
          <w:b w:val="0"/>
        </w:rPr>
      </w:pPr>
    </w:p>
    <w:p>
      <w:pPr>
        <w:pStyle w:val="24"/>
        <w:numPr>
          <w:ilvl w:val="0"/>
          <w:numId w:val="2"/>
        </w:numPr>
        <w:spacing w:line="600" w:lineRule="exact"/>
        <w:ind w:firstLineChars="0"/>
        <w:outlineLvl w:val="1"/>
        <w:rPr>
          <w:rStyle w:val="20"/>
          <w:rFonts w:ascii="黑体" w:hAnsi="黑体" w:eastAsia="黑体"/>
          <w:b w:val="0"/>
        </w:rPr>
      </w:pPr>
      <w:bookmarkStart w:id="33" w:name="_Toc14069"/>
      <w:bookmarkStart w:id="34" w:name="_Toc15377205"/>
      <w:bookmarkStart w:id="35" w:name="_Toc15396603"/>
      <w:r>
        <w:rPr>
          <w:rFonts w:hint="eastAsia" w:ascii="黑体" w:hAnsi="黑体" w:eastAsia="黑体"/>
          <w:sz w:val="32"/>
          <w:szCs w:val="32"/>
        </w:rPr>
        <w:t>收</w:t>
      </w:r>
      <w:r>
        <w:rPr>
          <w:rStyle w:val="20"/>
          <w:rFonts w:hint="eastAsia" w:ascii="黑体" w:hAnsi="黑体" w:eastAsia="黑体"/>
          <w:b w:val="0"/>
        </w:rPr>
        <w:t>入支出决算总体情况说明</w:t>
      </w:r>
      <w:bookmarkEnd w:id="33"/>
      <w:bookmarkEnd w:id="34"/>
      <w:bookmarkEnd w:id="35"/>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sz w:val="32"/>
          <w:szCs w:val="32"/>
        </w:rPr>
        <w:t>2024年度收、支总计均为1315.06万元。与2023年度相比，收、支总计各减少44.49万</w:t>
      </w:r>
      <w:r>
        <w:rPr>
          <w:rFonts w:hint="eastAsia" w:ascii="仿宋_GB2312" w:hAnsi="仿宋_GB2312" w:eastAsia="仿宋_GB2312" w:cs="仿宋_GB2312"/>
          <w:color w:val="auto"/>
          <w:sz w:val="32"/>
          <w:szCs w:val="32"/>
        </w:rPr>
        <w:t>元，下降3%。主要变动原因是2024年退休人员增加，导致人员减少。</w:t>
      </w:r>
    </w:p>
    <w:p>
      <w:pPr>
        <w:pStyle w:val="2"/>
        <w:jc w:val="center"/>
      </w:pPr>
      <w:r>
        <w:drawing>
          <wp:inline distT="0" distB="0" distL="0" distR="0">
            <wp:extent cx="3917950" cy="1790065"/>
            <wp:effectExtent l="3609" t="2901" r="11858" b="9532"/>
            <wp:docPr id="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spacing w:line="600" w:lineRule="exact"/>
        <w:ind w:firstLine="640" w:firstLineChars="200"/>
        <w:rPr>
          <w:rFonts w:ascii="仿宋_GB2312" w:hAnsi="仿宋_GB2312" w:eastAsia="仿宋_GB2312" w:cs="仿宋_GB2312"/>
          <w:strike/>
          <w:dstrike w:val="0"/>
          <w:sz w:val="32"/>
          <w:szCs w:val="32"/>
          <w:highlight w:val="yellow"/>
        </w:rPr>
      </w:pPr>
      <w:r>
        <w:rPr>
          <w:rFonts w:hint="eastAsia" w:ascii="仿宋_GB2312" w:hAnsi="仿宋_GB2312" w:eastAsia="仿宋_GB2312" w:cs="仿宋_GB2312"/>
          <w:sz w:val="32"/>
          <w:szCs w:val="32"/>
        </w:rPr>
        <w:t>（图1：收、支决算总计变动情况图）</w:t>
      </w:r>
    </w:p>
    <w:p>
      <w:pPr>
        <w:pStyle w:val="24"/>
        <w:numPr>
          <w:ilvl w:val="0"/>
          <w:numId w:val="2"/>
        </w:numPr>
        <w:spacing w:line="600" w:lineRule="exact"/>
        <w:ind w:firstLineChars="0"/>
        <w:outlineLvl w:val="1"/>
        <w:rPr>
          <w:rStyle w:val="20"/>
          <w:rFonts w:ascii="黑体" w:hAnsi="黑体" w:eastAsia="黑体"/>
          <w:b w:val="0"/>
        </w:rPr>
      </w:pPr>
      <w:bookmarkStart w:id="36" w:name="_Toc15377206"/>
      <w:bookmarkStart w:id="37" w:name="_Toc27582"/>
      <w:bookmarkStart w:id="38" w:name="_Toc15396604"/>
      <w:r>
        <w:rPr>
          <w:rFonts w:hint="eastAsia" w:ascii="黑体" w:hAnsi="黑体" w:eastAsia="黑体"/>
          <w:sz w:val="32"/>
          <w:szCs w:val="32"/>
        </w:rPr>
        <w:t>收</w:t>
      </w:r>
      <w:r>
        <w:rPr>
          <w:rStyle w:val="20"/>
          <w:rFonts w:hint="eastAsia" w:ascii="黑体" w:hAnsi="黑体" w:eastAsia="黑体"/>
          <w:b w:val="0"/>
        </w:rPr>
        <w:t>入决算情况说明</w:t>
      </w:r>
      <w:bookmarkEnd w:id="36"/>
      <w:bookmarkEnd w:id="37"/>
      <w:bookmarkEnd w:id="38"/>
    </w:p>
    <w:p>
      <w:pPr>
        <w:spacing w:line="600" w:lineRule="exact"/>
        <w:ind w:firstLine="640" w:firstLineChars="200"/>
        <w:outlineLvl w:val="1"/>
        <w:rPr>
          <w:rFonts w:ascii="仿宋" w:hAnsi="仿宋" w:eastAsia="仿宋"/>
          <w:sz w:val="32"/>
          <w:szCs w:val="32"/>
        </w:rPr>
      </w:pPr>
      <w:bookmarkStart w:id="39" w:name="_Toc17941"/>
      <w:r>
        <w:rPr>
          <w:rFonts w:hint="eastAsia" w:ascii="仿宋_GB2312" w:hAnsi="仿宋_GB2312" w:eastAsia="仿宋_GB2312" w:cs="仿宋_GB2312"/>
          <w:sz w:val="32"/>
          <w:szCs w:val="32"/>
        </w:rPr>
        <w:t>2024年度本年收入合计1315.06万元，其中：一般公共预算财政拨款收入1315.06万元，占100%。</w:t>
      </w:r>
      <w:bookmarkEnd w:id="39"/>
    </w:p>
    <w:p>
      <w:pPr>
        <w:pStyle w:val="2"/>
        <w:jc w:val="center"/>
        <w:rPr>
          <w:rFonts w:ascii="仿宋" w:hAnsi="仿宋" w:eastAsia="仿宋"/>
          <w:sz w:val="32"/>
          <w:szCs w:val="32"/>
        </w:rPr>
      </w:pPr>
      <w:r>
        <w:drawing>
          <wp:inline distT="0" distB="0" distL="0" distR="0">
            <wp:extent cx="4287520" cy="2218055"/>
            <wp:effectExtent l="3949" t="3595" r="12976" b="11812"/>
            <wp:docPr id="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jc w:val="center"/>
        <w:rPr>
          <w:rFonts w:ascii="仿宋_GB2312" w:eastAsia="仿宋_GB2312"/>
          <w:strike/>
          <w:dstrike w:val="0"/>
          <w:color w:val="auto"/>
          <w:sz w:val="32"/>
          <w:szCs w:val="32"/>
          <w:highlight w:val="yellow"/>
        </w:rPr>
      </w:pPr>
      <w:r>
        <w:rPr>
          <w:rFonts w:hint="eastAsia" w:ascii="仿宋" w:hAnsi="仿宋" w:eastAsia="仿宋"/>
          <w:color w:val="auto"/>
          <w:sz w:val="32"/>
          <w:szCs w:val="32"/>
        </w:rPr>
        <w:t>（图2：收入决算结构图）</w:t>
      </w:r>
    </w:p>
    <w:p>
      <w:pPr>
        <w:pStyle w:val="24"/>
        <w:numPr>
          <w:ilvl w:val="0"/>
          <w:numId w:val="2"/>
        </w:numPr>
        <w:spacing w:line="600" w:lineRule="exact"/>
        <w:ind w:firstLineChars="0"/>
        <w:outlineLvl w:val="1"/>
        <w:rPr>
          <w:rStyle w:val="20"/>
          <w:rFonts w:ascii="黑体" w:hAnsi="黑体" w:eastAsia="黑体"/>
          <w:b w:val="0"/>
        </w:rPr>
      </w:pPr>
      <w:bookmarkStart w:id="40" w:name="_Toc15396605"/>
      <w:bookmarkStart w:id="41" w:name="_Toc15377207"/>
      <w:bookmarkStart w:id="42" w:name="_Toc18089"/>
      <w:r>
        <w:rPr>
          <w:rFonts w:hint="eastAsia" w:ascii="黑体" w:hAnsi="黑体" w:eastAsia="黑体"/>
          <w:sz w:val="32"/>
          <w:szCs w:val="32"/>
        </w:rPr>
        <w:t>支</w:t>
      </w:r>
      <w:r>
        <w:rPr>
          <w:rStyle w:val="20"/>
          <w:rFonts w:hint="eastAsia" w:ascii="黑体" w:hAnsi="黑体" w:eastAsia="黑体"/>
          <w:b w:val="0"/>
        </w:rPr>
        <w:t>出决算情况说明</w:t>
      </w:r>
      <w:bookmarkEnd w:id="40"/>
      <w:bookmarkEnd w:id="41"/>
      <w:bookmarkEnd w:id="42"/>
    </w:p>
    <w:p>
      <w:pPr>
        <w:spacing w:line="600" w:lineRule="exact"/>
        <w:ind w:firstLine="640" w:firstLineChars="200"/>
        <w:outlineLvl w:val="1"/>
        <w:rPr>
          <w:rFonts w:ascii="仿宋" w:hAnsi="仿宋" w:eastAsia="仿宋"/>
          <w:sz w:val="32"/>
          <w:szCs w:val="32"/>
          <w:shd w:val="pct10" w:color="auto" w:fill="FFFFFF"/>
        </w:rPr>
      </w:pPr>
      <w:bookmarkStart w:id="43" w:name="_Toc26901"/>
      <w:r>
        <w:rPr>
          <w:rFonts w:hint="eastAsia" w:ascii="仿宋_GB2312" w:hAnsi="仿宋_GB2312" w:eastAsia="仿宋_GB2312" w:cs="仿宋_GB2312"/>
          <w:sz w:val="32"/>
          <w:szCs w:val="32"/>
        </w:rPr>
        <w:t>2024年度本年支出合计1315.06万元，其中：基本支出1046.7</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rPr>
        <w:t>万元，占</w:t>
      </w:r>
      <w:r>
        <w:rPr>
          <w:rFonts w:hint="eastAsia" w:ascii="仿宋_GB2312" w:hAnsi="仿宋_GB2312" w:eastAsia="仿宋_GB2312" w:cs="仿宋_GB2312"/>
          <w:color w:val="auto"/>
          <w:sz w:val="32"/>
          <w:szCs w:val="32"/>
          <w:lang w:val="en-US" w:eastAsia="zh-CN"/>
        </w:rPr>
        <w:t>79.6</w:t>
      </w:r>
      <w:r>
        <w:rPr>
          <w:rFonts w:hint="eastAsia" w:ascii="仿宋_GB2312" w:hAnsi="仿宋_GB2312" w:eastAsia="仿宋_GB2312" w:cs="仿宋_GB2312"/>
          <w:color w:val="auto"/>
          <w:sz w:val="32"/>
          <w:szCs w:val="32"/>
        </w:rPr>
        <w:t>%；项目支出268.3</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万元，占20</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z w:val="32"/>
          <w:szCs w:val="32"/>
        </w:rPr>
        <w:t>。</w:t>
      </w:r>
      <w:bookmarkEnd w:id="43"/>
    </w:p>
    <w:p>
      <w:pPr>
        <w:pStyle w:val="2"/>
        <w:jc w:val="center"/>
        <w:rPr>
          <w:rFonts w:ascii="仿宋" w:hAnsi="仿宋" w:eastAsia="仿宋"/>
          <w:sz w:val="32"/>
          <w:szCs w:val="32"/>
          <w:shd w:val="pct10" w:color="auto" w:fill="FFFFFF"/>
        </w:rPr>
      </w:pPr>
      <w:r>
        <w:drawing>
          <wp:inline distT="0" distB="0" distL="0" distR="0">
            <wp:extent cx="4313555" cy="2073275"/>
            <wp:effectExtent l="3973" t="3360" r="13055" b="11039"/>
            <wp:docPr id="3"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1280" w:firstLineChars="400"/>
        <w:rPr>
          <w:rFonts w:ascii="仿宋_GB2312" w:hAnsi="仿宋_GB2312" w:eastAsia="仿宋_GB2312" w:cs="仿宋_GB2312"/>
          <w:strike/>
          <w:dstrike w:val="0"/>
          <w:color w:val="auto"/>
          <w:sz w:val="32"/>
          <w:szCs w:val="32"/>
          <w:highlight w:val="yellow"/>
        </w:rPr>
      </w:pPr>
      <w:r>
        <w:rPr>
          <w:rFonts w:hint="eastAsia" w:ascii="仿宋_GB2312" w:hAnsi="仿宋_GB2312" w:eastAsia="仿宋_GB2312" w:cs="仿宋_GB2312"/>
          <w:color w:val="auto"/>
          <w:sz w:val="32"/>
          <w:szCs w:val="32"/>
        </w:rPr>
        <w:t>（图3：支出决算结构图）</w:t>
      </w:r>
    </w:p>
    <w:p>
      <w:pPr>
        <w:spacing w:line="600" w:lineRule="exact"/>
        <w:ind w:firstLine="640" w:firstLineChars="200"/>
        <w:outlineLvl w:val="1"/>
        <w:rPr>
          <w:rStyle w:val="20"/>
          <w:rFonts w:ascii="黑体" w:hAnsi="黑体" w:eastAsia="黑体"/>
          <w:b w:val="0"/>
        </w:rPr>
      </w:pPr>
      <w:bookmarkStart w:id="44" w:name="_Toc15377208"/>
      <w:bookmarkStart w:id="45" w:name="_Toc15396606"/>
      <w:bookmarkStart w:id="46" w:name="_Toc23688"/>
      <w:r>
        <w:rPr>
          <w:rFonts w:hint="eastAsia" w:ascii="黑体" w:hAnsi="黑体" w:eastAsia="黑体"/>
          <w:sz w:val="32"/>
          <w:szCs w:val="32"/>
        </w:rPr>
        <w:t>四、财</w:t>
      </w:r>
      <w:r>
        <w:rPr>
          <w:rStyle w:val="20"/>
          <w:rFonts w:hint="eastAsia" w:ascii="黑体" w:hAnsi="黑体" w:eastAsia="黑体"/>
          <w:b w:val="0"/>
        </w:rPr>
        <w:t>政拨款收入支出决算总体情况说明</w:t>
      </w:r>
      <w:bookmarkEnd w:id="44"/>
      <w:bookmarkEnd w:id="45"/>
      <w:bookmarkEnd w:id="46"/>
    </w:p>
    <w:p>
      <w:pPr>
        <w:spacing w:line="600" w:lineRule="exact"/>
        <w:ind w:firstLine="640"/>
        <w:rPr>
          <w:rFonts w:ascii="仿宋" w:hAnsi="仿宋" w:eastAsia="仿宋"/>
          <w:sz w:val="32"/>
          <w:szCs w:val="32"/>
        </w:rPr>
      </w:pPr>
      <w:r>
        <w:rPr>
          <w:rFonts w:hint="eastAsia" w:ascii="仿宋_GB2312" w:hAnsi="仿宋_GB2312" w:eastAsia="仿宋_GB2312" w:cs="仿宋_GB2312"/>
          <w:sz w:val="32"/>
          <w:szCs w:val="32"/>
        </w:rPr>
        <w:t>2024年度财政拨款收、支总计均为1315.06万元。与2023年度相比，财政拨款收、支总计各减少44.49万元，下降</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val="en-US" w:eastAsia="zh-CN"/>
        </w:rPr>
        <w:t>.38</w:t>
      </w:r>
      <w:r>
        <w:rPr>
          <w:rFonts w:hint="eastAsia" w:ascii="仿宋_GB2312" w:hAnsi="仿宋_GB2312" w:eastAsia="仿宋_GB2312" w:cs="仿宋_GB2312"/>
          <w:sz w:val="32"/>
          <w:szCs w:val="32"/>
        </w:rPr>
        <w:t>%。主要变动原因是2024年退休人员增加，导致人员减少。</w:t>
      </w:r>
    </w:p>
    <w:p>
      <w:pPr>
        <w:pStyle w:val="2"/>
        <w:jc w:val="center"/>
        <w:rPr>
          <w:rFonts w:ascii="仿宋" w:hAnsi="仿宋" w:eastAsia="仿宋"/>
          <w:sz w:val="32"/>
          <w:szCs w:val="32"/>
        </w:rPr>
      </w:pPr>
      <w:r>
        <w:drawing>
          <wp:inline distT="0" distB="0" distL="0" distR="0">
            <wp:extent cx="4459605" cy="2372995"/>
            <wp:effectExtent l="4108" t="3845" r="13497" b="12634"/>
            <wp:docPr id="4" name="图片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320" w:firstLineChars="100"/>
        <w:rPr>
          <w:rFonts w:ascii="仿宋" w:hAnsi="仿宋" w:eastAsia="仿宋"/>
          <w:b/>
          <w:strike/>
          <w:dstrike w:val="0"/>
          <w:sz w:val="32"/>
          <w:szCs w:val="32"/>
          <w:highlight w:val="yellow"/>
        </w:rPr>
      </w:pPr>
      <w:r>
        <w:rPr>
          <w:rFonts w:hint="eastAsia" w:ascii="仿宋" w:hAnsi="仿宋" w:eastAsia="仿宋"/>
          <w:sz w:val="32"/>
          <w:szCs w:val="32"/>
        </w:rPr>
        <w:t>（图4：财政拨款收、支决算总计变动情况）</w:t>
      </w:r>
    </w:p>
    <w:p>
      <w:pPr>
        <w:spacing w:line="600" w:lineRule="exact"/>
        <w:ind w:firstLine="640" w:firstLineChars="200"/>
        <w:outlineLvl w:val="1"/>
        <w:rPr>
          <w:rStyle w:val="20"/>
          <w:rFonts w:ascii="黑体" w:hAnsi="黑体" w:eastAsia="黑体"/>
          <w:b w:val="0"/>
        </w:rPr>
      </w:pPr>
      <w:bookmarkStart w:id="47" w:name="_Toc15396607"/>
      <w:bookmarkStart w:id="48" w:name="_Toc23671"/>
      <w:bookmarkStart w:id="49" w:name="_Toc15377209"/>
      <w:r>
        <w:rPr>
          <w:rFonts w:hint="eastAsia" w:ascii="黑体" w:hAnsi="黑体" w:eastAsia="黑体"/>
          <w:sz w:val="32"/>
          <w:szCs w:val="32"/>
        </w:rPr>
        <w:t>五、</w:t>
      </w:r>
      <w:r>
        <w:rPr>
          <w:rFonts w:hint="eastAsia" w:ascii="黑体" w:hAnsi="黑体" w:eastAsia="黑体"/>
          <w:b/>
          <w:sz w:val="32"/>
          <w:szCs w:val="32"/>
        </w:rPr>
        <w:t>一</w:t>
      </w:r>
      <w:r>
        <w:rPr>
          <w:rStyle w:val="20"/>
          <w:rFonts w:hint="eastAsia" w:ascii="黑体" w:hAnsi="黑体" w:eastAsia="黑体"/>
          <w:b w:val="0"/>
        </w:rPr>
        <w:t>般公共预算财政拨款支出决算情况说明</w:t>
      </w:r>
      <w:bookmarkEnd w:id="47"/>
      <w:bookmarkEnd w:id="48"/>
      <w:bookmarkEnd w:id="49"/>
    </w:p>
    <w:p>
      <w:pPr>
        <w:spacing w:line="600" w:lineRule="exact"/>
        <w:ind w:firstLine="642" w:firstLineChars="200"/>
        <w:outlineLvl w:val="2"/>
        <w:rPr>
          <w:rFonts w:ascii="仿宋_GB2312" w:hAnsi="仿宋_GB2312" w:eastAsia="仿宋_GB2312" w:cs="仿宋_GB2312"/>
          <w:b/>
          <w:sz w:val="32"/>
          <w:szCs w:val="32"/>
        </w:rPr>
      </w:pPr>
      <w:bookmarkStart w:id="50" w:name="_Toc15377210"/>
      <w:r>
        <w:rPr>
          <w:rFonts w:hint="eastAsia" w:ascii="仿宋_GB2312" w:hAnsi="仿宋_GB2312" w:eastAsia="仿宋_GB2312" w:cs="仿宋_GB2312"/>
          <w:b/>
          <w:sz w:val="32"/>
          <w:szCs w:val="32"/>
        </w:rPr>
        <w:t>（一）一般公共预算财政拨款支出决算总体情况</w:t>
      </w:r>
      <w:bookmarkEnd w:id="50"/>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2024年度一般公共预算财政拨款支出1315.06万元，占本年支出合计的100%。与2023年度相比，一般公共预算财政拨款支出减少44.49万元，下降</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val="en-US" w:eastAsia="zh-CN"/>
        </w:rPr>
        <w:t>.38</w:t>
      </w:r>
      <w:r>
        <w:rPr>
          <w:rFonts w:hint="eastAsia" w:ascii="仿宋_GB2312" w:hAnsi="仿宋_GB2312" w:eastAsia="仿宋_GB2312" w:cs="仿宋_GB2312"/>
          <w:sz w:val="32"/>
          <w:szCs w:val="32"/>
        </w:rPr>
        <w:t>%。主要变动原因是2024年退休人员增加，导致人员减少。</w:t>
      </w:r>
    </w:p>
    <w:p>
      <w:pPr>
        <w:pStyle w:val="2"/>
      </w:pPr>
    </w:p>
    <w:p>
      <w:pPr>
        <w:pStyle w:val="2"/>
        <w:jc w:val="center"/>
      </w:pPr>
      <w:r>
        <w:drawing>
          <wp:inline distT="0" distB="0" distL="0" distR="0">
            <wp:extent cx="4441825" cy="2535555"/>
            <wp:effectExtent l="4091" t="4109" r="13443" b="13500"/>
            <wp:docPr id="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jc w:val="center"/>
        <w:rPr>
          <w:rFonts w:ascii="仿宋" w:hAnsi="仿宋" w:eastAsia="仿宋"/>
          <w:strike/>
          <w:dstrike w:val="0"/>
          <w:sz w:val="32"/>
          <w:szCs w:val="32"/>
          <w:highlight w:val="yellow"/>
        </w:rPr>
      </w:pPr>
      <w:r>
        <w:rPr>
          <w:rFonts w:hint="eastAsia" w:ascii="仿宋_GB2312" w:hAnsi="仿宋_GB2312" w:eastAsia="仿宋_GB2312" w:cs="仿宋_GB2312"/>
          <w:sz w:val="30"/>
          <w:szCs w:val="30"/>
        </w:rPr>
        <w:t>（图5：一般公共预算财政拨款支出决算变动情况）</w:t>
      </w:r>
    </w:p>
    <w:p>
      <w:pPr>
        <w:spacing w:line="600" w:lineRule="exact"/>
        <w:ind w:firstLine="642" w:firstLineChars="200"/>
        <w:outlineLvl w:val="2"/>
        <w:rPr>
          <w:rFonts w:ascii="仿宋_GB2312" w:hAnsi="仿宋_GB2312" w:eastAsia="仿宋_GB2312" w:cs="仿宋_GB2312"/>
          <w:b/>
          <w:sz w:val="32"/>
          <w:szCs w:val="32"/>
        </w:rPr>
      </w:pPr>
      <w:bookmarkStart w:id="51" w:name="_Toc15377211"/>
      <w:r>
        <w:rPr>
          <w:rFonts w:hint="eastAsia" w:ascii="仿宋_GB2312" w:hAnsi="仿宋_GB2312" w:eastAsia="仿宋_GB2312" w:cs="仿宋_GB2312"/>
          <w:b/>
          <w:sz w:val="32"/>
          <w:szCs w:val="32"/>
        </w:rPr>
        <w:t>（二）一般公共预算财政拨款支出决算结构情况</w:t>
      </w:r>
      <w:bookmarkEnd w:id="51"/>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2024年度一般公共预算财政拨款支出1315.06万元，主要用于以下方面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sz w:val="32"/>
          <w:szCs w:val="32"/>
        </w:rPr>
        <w:t>公共安全支出1056.65万元</w:t>
      </w:r>
      <w:r>
        <w:rPr>
          <w:rFonts w:hint="eastAsia" w:ascii="仿宋_GB2312" w:hAnsi="仿宋_GB2312" w:eastAsia="仿宋_GB2312" w:cs="仿宋_GB2312"/>
          <w:sz w:val="32"/>
          <w:szCs w:val="32"/>
        </w:rPr>
        <w:t>，占80%；</w:t>
      </w:r>
      <w:r>
        <w:rPr>
          <w:rFonts w:hint="eastAsia" w:ascii="仿宋_GB2312" w:hAnsi="仿宋_GB2312" w:eastAsia="仿宋_GB2312" w:cs="仿宋_GB2312"/>
          <w:bCs/>
          <w:sz w:val="32"/>
          <w:szCs w:val="32"/>
        </w:rPr>
        <w:t>社会保障和就业支出136.34万元，占10%；</w:t>
      </w:r>
      <w:r>
        <w:rPr>
          <w:rFonts w:hint="eastAsia" w:ascii="仿宋_GB2312" w:hAnsi="仿宋_GB2312" w:eastAsia="仿宋_GB2312" w:cs="仿宋_GB2312"/>
          <w:sz w:val="32"/>
          <w:szCs w:val="32"/>
        </w:rPr>
        <w:t>卫生健康支出47.62万元，占4%；住房保障支出74.45万元，占6%。</w:t>
      </w:r>
    </w:p>
    <w:p>
      <w:pPr>
        <w:pStyle w:val="2"/>
        <w:rPr>
          <w:rFonts w:ascii="仿宋_GB2312" w:hAnsi="仿宋_GB2312" w:eastAsia="仿宋_GB2312" w:cs="仿宋_GB2312"/>
          <w:color w:val="C00000"/>
          <w:sz w:val="32"/>
          <w:szCs w:val="32"/>
        </w:rPr>
      </w:pPr>
    </w:p>
    <w:p>
      <w:pPr>
        <w:pStyle w:val="2"/>
        <w:jc w:val="center"/>
        <w:rPr>
          <w:rFonts w:ascii="仿宋_GB2312" w:hAnsi="仿宋_GB2312" w:eastAsia="仿宋_GB2312" w:cs="仿宋_GB2312"/>
          <w:color w:val="C00000"/>
          <w:sz w:val="32"/>
          <w:szCs w:val="32"/>
        </w:rPr>
      </w:pPr>
      <w:r>
        <w:drawing>
          <wp:inline distT="0" distB="0" distL="0" distR="0">
            <wp:extent cx="4820285" cy="2741295"/>
            <wp:effectExtent l="4440" t="4442" r="14588" b="14595"/>
            <wp:docPr id="6" name="图表 16"/>
            <wp:cNvGraphicFramePr>
              <a:graphicFrameLocks xmlns:a="http://schemas.openxmlformats.org/drawingml/2006/main" noChangeAspect="tru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rPr>
          <w:rFonts w:ascii="仿宋" w:hAnsi="仿宋" w:eastAsia="仿宋"/>
          <w:sz w:val="32"/>
          <w:szCs w:val="32"/>
        </w:rPr>
      </w:pPr>
      <w:r>
        <w:rPr>
          <w:rFonts w:hint="eastAsia" w:ascii="仿宋_GB2312" w:hAnsi="仿宋_GB2312" w:eastAsia="仿宋_GB2312" w:cs="仿宋_GB2312"/>
          <w:color w:val="000000"/>
          <w:sz w:val="32"/>
          <w:szCs w:val="32"/>
        </w:rPr>
        <w:t>（图6：一般公共预算财政拨款支出决算结构）</w:t>
      </w:r>
    </w:p>
    <w:p>
      <w:pPr>
        <w:spacing w:line="600" w:lineRule="exact"/>
        <w:ind w:firstLine="642" w:firstLineChars="200"/>
        <w:outlineLvl w:val="2"/>
        <w:rPr>
          <w:rFonts w:ascii="仿宋_GB2312" w:hAnsi="仿宋_GB2312" w:eastAsia="仿宋_GB2312" w:cs="仿宋_GB2312"/>
          <w:b/>
          <w:sz w:val="32"/>
          <w:szCs w:val="32"/>
        </w:rPr>
      </w:pPr>
      <w:bookmarkStart w:id="52" w:name="_Toc15377212"/>
      <w:r>
        <w:rPr>
          <w:rFonts w:hint="eastAsia" w:ascii="仿宋_GB2312" w:hAnsi="仿宋_GB2312" w:eastAsia="仿宋_GB2312" w:cs="仿宋_GB2312"/>
          <w:b/>
          <w:sz w:val="32"/>
          <w:szCs w:val="32"/>
        </w:rPr>
        <w:t>（三）一般公共预算财政拨款支出决算具体情况</w:t>
      </w:r>
      <w:bookmarkEnd w:id="52"/>
    </w:p>
    <w:p>
      <w:pPr>
        <w:spacing w:line="600" w:lineRule="exact"/>
        <w:ind w:firstLine="640" w:firstLineChars="200"/>
        <w:outlineLvl w:val="2"/>
        <w:rPr>
          <w:rFonts w:ascii="仿宋_GB2312" w:hAnsi="仿宋_GB2312" w:eastAsia="仿宋_GB2312" w:cs="仿宋_GB2312"/>
          <w:bCs/>
          <w:sz w:val="32"/>
          <w:szCs w:val="32"/>
        </w:rPr>
      </w:pPr>
      <w:bookmarkStart w:id="53" w:name="_Toc15378460"/>
      <w:bookmarkStart w:id="54" w:name="_Toc15377444"/>
      <w:bookmarkStart w:id="55" w:name="_Toc15377213"/>
      <w:r>
        <w:rPr>
          <w:rFonts w:hint="eastAsia" w:ascii="仿宋_GB2312" w:hAnsi="仿宋_GB2312" w:eastAsia="仿宋_GB2312" w:cs="仿宋_GB2312"/>
          <w:bCs/>
          <w:sz w:val="32"/>
          <w:szCs w:val="32"/>
        </w:rPr>
        <w:t>2024年度一般公共预算支出决算数为1315.06万元，</w:t>
      </w:r>
      <w:r>
        <w:rPr>
          <w:rStyle w:val="17"/>
          <w:rFonts w:hint="eastAsia" w:ascii="仿宋_GB2312" w:hAnsi="仿宋_GB2312" w:eastAsia="仿宋_GB2312" w:cs="仿宋_GB2312"/>
          <w:b w:val="0"/>
          <w:bCs/>
          <w:sz w:val="32"/>
          <w:szCs w:val="32"/>
        </w:rPr>
        <w:t>完成预算100%。其中：</w:t>
      </w:r>
      <w:bookmarkEnd w:id="53"/>
      <w:bookmarkEnd w:id="54"/>
      <w:bookmarkEnd w:id="55"/>
    </w:p>
    <w:p>
      <w:pPr>
        <w:spacing w:line="600" w:lineRule="exact"/>
        <w:ind w:firstLine="640" w:firstLineChars="200"/>
        <w:rPr>
          <w:rFonts w:ascii="仿宋_GB2312" w:hAnsi="仿宋_GB2312" w:eastAsia="仿宋_GB2312" w:cs="仿宋_GB2312"/>
          <w:bCs/>
          <w:sz w:val="32"/>
          <w:szCs w:val="32"/>
        </w:rPr>
      </w:pPr>
      <w:r>
        <w:rPr>
          <w:rStyle w:val="17"/>
          <w:rFonts w:hint="eastAsia" w:ascii="仿宋_GB2312" w:hAnsi="仿宋_GB2312" w:eastAsia="仿宋_GB2312" w:cs="仿宋_GB2312"/>
          <w:b w:val="0"/>
          <w:bCs/>
          <w:sz w:val="32"/>
          <w:szCs w:val="32"/>
        </w:rPr>
        <w:t>1.</w:t>
      </w:r>
      <w:r>
        <w:rPr>
          <w:rStyle w:val="17"/>
          <w:rFonts w:hint="eastAsia" w:ascii="仿宋_GB2312" w:hAnsi="仿宋_GB2312" w:eastAsia="仿宋_GB2312" w:cs="仿宋_GB2312"/>
          <w:b w:val="0"/>
          <w:bCs/>
          <w:color w:val="000000"/>
          <w:sz w:val="32"/>
          <w:szCs w:val="32"/>
        </w:rPr>
        <w:t>公共安全（类）公安（款）行政运行（项）：</w:t>
      </w:r>
      <w:r>
        <w:rPr>
          <w:rStyle w:val="17"/>
          <w:rFonts w:hint="eastAsia" w:ascii="仿宋_GB2312" w:hAnsi="仿宋_GB2312" w:eastAsia="仿宋_GB2312" w:cs="仿宋_GB2312"/>
          <w:b w:val="0"/>
          <w:bCs/>
          <w:sz w:val="32"/>
          <w:szCs w:val="32"/>
        </w:rPr>
        <w:t xml:space="preserve"> 支出决算为788.34万元，完成预算100%。</w:t>
      </w:r>
    </w:p>
    <w:p>
      <w:pPr>
        <w:spacing w:line="600" w:lineRule="exact"/>
        <w:ind w:firstLine="640" w:firstLineChars="200"/>
        <w:rPr>
          <w:rStyle w:val="17"/>
          <w:rFonts w:ascii="仿宋_GB2312" w:hAnsi="仿宋_GB2312" w:eastAsia="仿宋_GB2312" w:cs="仿宋_GB2312"/>
          <w:b w:val="0"/>
          <w:bCs/>
          <w:color w:val="000000"/>
          <w:sz w:val="32"/>
          <w:szCs w:val="32"/>
        </w:rPr>
      </w:pPr>
      <w:r>
        <w:rPr>
          <w:rStyle w:val="17"/>
          <w:rFonts w:ascii="仿宋_GB2312" w:hAnsi="仿宋_GB2312" w:eastAsia="仿宋_GB2312" w:cs="仿宋_GB2312"/>
          <w:b w:val="0"/>
          <w:bCs/>
          <w:color w:val="000000"/>
          <w:sz w:val="32"/>
          <w:szCs w:val="32"/>
        </w:rPr>
        <w:t>2.</w:t>
      </w:r>
      <w:r>
        <w:rPr>
          <w:rStyle w:val="17"/>
          <w:rFonts w:hint="eastAsia" w:ascii="仿宋_GB2312" w:hAnsi="仿宋_GB2312" w:eastAsia="仿宋_GB2312" w:cs="仿宋_GB2312"/>
          <w:b w:val="0"/>
          <w:bCs/>
          <w:color w:val="000000"/>
          <w:sz w:val="32"/>
          <w:szCs w:val="32"/>
        </w:rPr>
        <w:t>公共安全（类）公安（款）一般行政管理事务（项）：支出决算为</w:t>
      </w:r>
      <w:r>
        <w:rPr>
          <w:rStyle w:val="17"/>
          <w:rFonts w:hint="eastAsia" w:ascii="仿宋_GB2312" w:hAnsi="仿宋_GB2312" w:eastAsia="仿宋_GB2312" w:cs="仿宋_GB2312"/>
          <w:b w:val="0"/>
          <w:bCs/>
          <w:color w:val="auto"/>
          <w:sz w:val="32"/>
          <w:szCs w:val="32"/>
        </w:rPr>
        <w:t>268.3</w:t>
      </w:r>
      <w:r>
        <w:rPr>
          <w:rStyle w:val="17"/>
          <w:rFonts w:hint="eastAsia" w:ascii="仿宋_GB2312" w:hAnsi="仿宋_GB2312" w:eastAsia="仿宋_GB2312" w:cs="仿宋_GB2312"/>
          <w:b w:val="0"/>
          <w:bCs/>
          <w:color w:val="auto"/>
          <w:sz w:val="32"/>
          <w:szCs w:val="32"/>
          <w:lang w:val="en-US" w:eastAsia="zh-CN"/>
        </w:rPr>
        <w:t>2</w:t>
      </w:r>
      <w:r>
        <w:rPr>
          <w:rStyle w:val="17"/>
          <w:rFonts w:hint="eastAsia" w:ascii="仿宋_GB2312" w:hAnsi="仿宋_GB2312" w:eastAsia="仿宋_GB2312" w:cs="仿宋_GB2312"/>
          <w:b w:val="0"/>
          <w:bCs/>
          <w:color w:val="000000"/>
          <w:sz w:val="32"/>
          <w:szCs w:val="32"/>
        </w:rPr>
        <w:t>万元，完成预算</w:t>
      </w:r>
      <w:r>
        <w:rPr>
          <w:rStyle w:val="17"/>
          <w:rFonts w:ascii="仿宋_GB2312" w:hAnsi="仿宋_GB2312" w:eastAsia="仿宋_GB2312" w:cs="仿宋_GB2312"/>
          <w:b w:val="0"/>
          <w:bCs/>
          <w:color w:val="000000"/>
          <w:sz w:val="32"/>
          <w:szCs w:val="32"/>
        </w:rPr>
        <w:t>100%</w:t>
      </w:r>
      <w:r>
        <w:rPr>
          <w:rStyle w:val="17"/>
          <w:rFonts w:hint="eastAsia" w:ascii="仿宋_GB2312" w:hAnsi="仿宋_GB2312" w:eastAsia="仿宋_GB2312" w:cs="仿宋_GB2312"/>
          <w:b w:val="0"/>
          <w:bCs/>
          <w:color w:val="000000"/>
          <w:sz w:val="32"/>
          <w:szCs w:val="32"/>
        </w:rPr>
        <w:t>。</w:t>
      </w:r>
    </w:p>
    <w:p>
      <w:pPr>
        <w:spacing w:line="600" w:lineRule="exact"/>
        <w:ind w:firstLine="640" w:firstLineChars="200"/>
        <w:rPr>
          <w:rStyle w:val="17"/>
          <w:rFonts w:ascii="仿宋_GB2312" w:hAnsi="仿宋_GB2312" w:eastAsia="仿宋_GB2312" w:cs="仿宋_GB2312"/>
          <w:b w:val="0"/>
          <w:bCs/>
          <w:color w:val="000000"/>
          <w:sz w:val="32"/>
          <w:szCs w:val="32"/>
        </w:rPr>
      </w:pPr>
      <w:r>
        <w:rPr>
          <w:rStyle w:val="17"/>
          <w:rFonts w:ascii="仿宋_GB2312" w:hAnsi="仿宋_GB2312" w:eastAsia="仿宋_GB2312" w:cs="仿宋_GB2312"/>
          <w:b w:val="0"/>
          <w:bCs/>
          <w:color w:val="000000"/>
          <w:sz w:val="32"/>
          <w:szCs w:val="32"/>
        </w:rPr>
        <w:t>3.</w:t>
      </w:r>
      <w:r>
        <w:rPr>
          <w:rStyle w:val="17"/>
          <w:rFonts w:hint="eastAsia" w:ascii="仿宋_GB2312" w:hAnsi="仿宋_GB2312" w:eastAsia="仿宋_GB2312" w:cs="仿宋_GB2312"/>
          <w:b w:val="0"/>
          <w:bCs/>
          <w:color w:val="000000"/>
          <w:sz w:val="32"/>
          <w:szCs w:val="32"/>
        </w:rPr>
        <w:t>社会保障和就业（类）行政事业单位养老支出（款）机关事业单位基本养老保险缴费支出（项）：</w:t>
      </w:r>
      <w:r>
        <w:rPr>
          <w:rFonts w:hint="eastAsia" w:ascii="仿宋_GB2312" w:hAnsi="仿宋_GB2312" w:eastAsia="仿宋_GB2312" w:cs="仿宋_GB2312"/>
          <w:bCs/>
          <w:color w:val="000000"/>
          <w:sz w:val="32"/>
          <w:szCs w:val="32"/>
        </w:rPr>
        <w:t>支出决算为76.77万元，完成预算</w:t>
      </w:r>
      <w:r>
        <w:rPr>
          <w:rFonts w:ascii="仿宋_GB2312" w:hAnsi="仿宋_GB2312" w:eastAsia="仿宋_GB2312" w:cs="仿宋_GB2312"/>
          <w:bCs/>
          <w:color w:val="000000"/>
          <w:sz w:val="32"/>
          <w:szCs w:val="32"/>
        </w:rPr>
        <w:t>100%</w:t>
      </w:r>
      <w:r>
        <w:rPr>
          <w:rFonts w:hint="eastAsia" w:ascii="仿宋_GB2312" w:hAnsi="仿宋_GB2312" w:eastAsia="仿宋_GB2312" w:cs="仿宋_GB2312"/>
          <w:bCs/>
          <w:color w:val="000000"/>
          <w:sz w:val="32"/>
          <w:szCs w:val="32"/>
        </w:rPr>
        <w:t>。</w:t>
      </w:r>
    </w:p>
    <w:p>
      <w:pPr>
        <w:spacing w:line="600" w:lineRule="exact"/>
        <w:ind w:firstLine="640" w:firstLineChars="200"/>
        <w:rPr>
          <w:rFonts w:ascii="仿宋_GB2312" w:hAnsi="仿宋_GB2312" w:eastAsia="仿宋_GB2312" w:cs="仿宋_GB2312"/>
          <w:bCs/>
          <w:color w:val="000000"/>
          <w:sz w:val="32"/>
          <w:szCs w:val="32"/>
        </w:rPr>
      </w:pPr>
      <w:r>
        <w:rPr>
          <w:rStyle w:val="17"/>
          <w:rFonts w:hint="eastAsia" w:ascii="仿宋_GB2312" w:hAnsi="仿宋_GB2312" w:eastAsia="仿宋_GB2312" w:cs="仿宋_GB2312"/>
          <w:b w:val="0"/>
          <w:bCs/>
          <w:color w:val="000000"/>
          <w:sz w:val="32"/>
          <w:szCs w:val="32"/>
        </w:rPr>
        <w:t>4.社会保障和就业（类）行政事业单位养老支出（款）机关事业单位</w:t>
      </w:r>
      <w:r>
        <w:rPr>
          <w:rFonts w:hint="eastAsia" w:ascii="仿宋_GB2312" w:eastAsia="仿宋_GB2312"/>
          <w:bCs/>
          <w:color w:val="000000"/>
          <w:sz w:val="32"/>
          <w:szCs w:val="32"/>
        </w:rPr>
        <w:t>职业年金缴费支出</w:t>
      </w:r>
      <w:r>
        <w:rPr>
          <w:rStyle w:val="17"/>
          <w:rFonts w:hint="eastAsia" w:ascii="仿宋_GB2312" w:hAnsi="仿宋_GB2312" w:eastAsia="仿宋_GB2312" w:cs="仿宋_GB2312"/>
          <w:b w:val="0"/>
          <w:bCs/>
          <w:color w:val="000000"/>
          <w:sz w:val="32"/>
          <w:szCs w:val="32"/>
        </w:rPr>
        <w:t>（项）：</w:t>
      </w:r>
      <w:r>
        <w:rPr>
          <w:rFonts w:hint="eastAsia" w:ascii="仿宋_GB2312" w:hAnsi="仿宋_GB2312" w:eastAsia="仿宋_GB2312" w:cs="仿宋_GB2312"/>
          <w:bCs/>
          <w:color w:val="000000"/>
          <w:sz w:val="32"/>
          <w:szCs w:val="32"/>
        </w:rPr>
        <w:t>支出决算为59.57万元，完成预算</w:t>
      </w:r>
      <w:r>
        <w:rPr>
          <w:rFonts w:ascii="仿宋_GB2312" w:hAnsi="仿宋_GB2312" w:eastAsia="仿宋_GB2312" w:cs="仿宋_GB2312"/>
          <w:bCs/>
          <w:color w:val="000000"/>
          <w:sz w:val="32"/>
          <w:szCs w:val="32"/>
        </w:rPr>
        <w:t>100%</w:t>
      </w:r>
      <w:r>
        <w:rPr>
          <w:rFonts w:hint="eastAsia" w:ascii="仿宋_GB2312" w:hAnsi="仿宋_GB2312" w:eastAsia="仿宋_GB2312" w:cs="仿宋_GB2312"/>
          <w:bCs/>
          <w:color w:val="000000"/>
          <w:sz w:val="32"/>
          <w:szCs w:val="32"/>
        </w:rPr>
        <w:t>。</w:t>
      </w:r>
    </w:p>
    <w:p>
      <w:pPr>
        <w:spacing w:line="600" w:lineRule="exact"/>
        <w:ind w:firstLine="660"/>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5</w:t>
      </w:r>
      <w:r>
        <w:rPr>
          <w:rFonts w:ascii="仿宋_GB2312" w:hAnsi="仿宋_GB2312" w:eastAsia="仿宋_GB2312" w:cs="仿宋_GB2312"/>
          <w:bCs/>
          <w:color w:val="000000"/>
          <w:sz w:val="32"/>
          <w:szCs w:val="32"/>
        </w:rPr>
        <w:t>.</w:t>
      </w:r>
      <w:r>
        <w:rPr>
          <w:rStyle w:val="17"/>
          <w:rFonts w:hint="eastAsia" w:ascii="仿宋_GB2312" w:hAnsi="仿宋_GB2312" w:eastAsia="仿宋_GB2312" w:cs="仿宋_GB2312"/>
          <w:b w:val="0"/>
          <w:bCs/>
          <w:color w:val="000000"/>
          <w:sz w:val="32"/>
          <w:szCs w:val="32"/>
        </w:rPr>
        <w:t>卫生健康（类）行政事业单位医疗（款）行政单位医疗（项）：</w:t>
      </w:r>
      <w:r>
        <w:rPr>
          <w:rFonts w:hint="eastAsia" w:ascii="仿宋_GB2312" w:hAnsi="仿宋_GB2312" w:eastAsia="仿宋_GB2312" w:cs="仿宋_GB2312"/>
          <w:bCs/>
          <w:color w:val="000000"/>
          <w:sz w:val="32"/>
          <w:szCs w:val="32"/>
        </w:rPr>
        <w:t>支出决算为47.62万元，完成预算</w:t>
      </w:r>
      <w:r>
        <w:rPr>
          <w:rFonts w:ascii="仿宋_GB2312" w:hAnsi="仿宋_GB2312" w:eastAsia="仿宋_GB2312" w:cs="仿宋_GB2312"/>
          <w:bCs/>
          <w:color w:val="000000"/>
          <w:sz w:val="32"/>
          <w:szCs w:val="32"/>
        </w:rPr>
        <w:t>100%</w:t>
      </w:r>
      <w:r>
        <w:rPr>
          <w:rFonts w:hint="eastAsia" w:ascii="仿宋_GB2312" w:hAnsi="仿宋_GB2312" w:eastAsia="仿宋_GB2312" w:cs="仿宋_GB2312"/>
          <w:bCs/>
          <w:color w:val="000000"/>
          <w:sz w:val="32"/>
          <w:szCs w:val="32"/>
        </w:rPr>
        <w:t>。</w:t>
      </w:r>
    </w:p>
    <w:p>
      <w:pPr>
        <w:spacing w:line="600" w:lineRule="exact"/>
        <w:ind w:firstLine="660"/>
        <w:rPr>
          <w:rFonts w:ascii="仿宋" w:hAnsi="仿宋" w:eastAsia="仿宋"/>
          <w:bCs/>
          <w:sz w:val="32"/>
          <w:szCs w:val="32"/>
        </w:rPr>
      </w:pPr>
      <w:r>
        <w:rPr>
          <w:rStyle w:val="17"/>
          <w:rFonts w:hint="eastAsia" w:ascii="仿宋_GB2312" w:hAnsi="仿宋_GB2312" w:eastAsia="仿宋_GB2312" w:cs="仿宋_GB2312"/>
          <w:b w:val="0"/>
          <w:bCs/>
          <w:color w:val="000000"/>
          <w:sz w:val="32"/>
          <w:szCs w:val="32"/>
        </w:rPr>
        <w:t>6</w:t>
      </w:r>
      <w:r>
        <w:rPr>
          <w:rStyle w:val="17"/>
          <w:rFonts w:ascii="仿宋_GB2312" w:hAnsi="仿宋_GB2312" w:eastAsia="仿宋_GB2312" w:cs="仿宋_GB2312"/>
          <w:b w:val="0"/>
          <w:bCs/>
          <w:color w:val="000000"/>
          <w:sz w:val="32"/>
          <w:szCs w:val="32"/>
        </w:rPr>
        <w:t>.</w:t>
      </w:r>
      <w:r>
        <w:rPr>
          <w:rStyle w:val="17"/>
          <w:rFonts w:hint="eastAsia" w:ascii="仿宋_GB2312" w:hAnsi="仿宋_GB2312" w:eastAsia="仿宋_GB2312" w:cs="仿宋_GB2312"/>
          <w:b w:val="0"/>
          <w:bCs/>
          <w:color w:val="000000"/>
          <w:sz w:val="32"/>
          <w:szCs w:val="32"/>
        </w:rPr>
        <w:t>住房保障支出（类）住房改革支出（款）住房公积金（项）：</w:t>
      </w:r>
      <w:r>
        <w:rPr>
          <w:rFonts w:hint="eastAsia" w:ascii="仿宋_GB2312" w:hAnsi="仿宋_GB2312" w:eastAsia="仿宋_GB2312" w:cs="仿宋_GB2312"/>
          <w:bCs/>
          <w:color w:val="000000"/>
          <w:sz w:val="32"/>
          <w:szCs w:val="32"/>
        </w:rPr>
        <w:t>支出决算为74.45万元，完成预算</w:t>
      </w:r>
      <w:r>
        <w:rPr>
          <w:rFonts w:ascii="仿宋_GB2312" w:hAnsi="仿宋_GB2312" w:eastAsia="仿宋_GB2312" w:cs="仿宋_GB2312"/>
          <w:bCs/>
          <w:color w:val="000000"/>
          <w:sz w:val="32"/>
          <w:szCs w:val="32"/>
        </w:rPr>
        <w:t>100%</w:t>
      </w:r>
      <w:r>
        <w:rPr>
          <w:rFonts w:hint="eastAsia" w:ascii="仿宋_GB2312" w:hAnsi="仿宋_GB2312" w:eastAsia="仿宋_GB2312" w:cs="仿宋_GB2312"/>
          <w:bCs/>
          <w:color w:val="000000"/>
          <w:sz w:val="32"/>
          <w:szCs w:val="32"/>
        </w:rPr>
        <w:t>。</w:t>
      </w:r>
    </w:p>
    <w:p>
      <w:pPr>
        <w:tabs>
          <w:tab w:val="right" w:pos="8306"/>
        </w:tabs>
        <w:spacing w:line="600" w:lineRule="exact"/>
        <w:ind w:firstLine="640"/>
        <w:outlineLvl w:val="1"/>
        <w:rPr>
          <w:rStyle w:val="20"/>
        </w:rPr>
      </w:pPr>
      <w:bookmarkStart w:id="56" w:name="_Toc15396608"/>
      <w:bookmarkStart w:id="57" w:name="_Toc15377214"/>
      <w:bookmarkStart w:id="58" w:name="_Toc2009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0"/>
          <w:rFonts w:hint="eastAsia" w:ascii="黑体" w:hAnsi="黑体" w:eastAsia="黑体"/>
          <w:b w:val="0"/>
        </w:rPr>
        <w:t>般公共预算财政拨款基本支出决算情况说明</w:t>
      </w:r>
      <w:bookmarkEnd w:id="56"/>
      <w:bookmarkEnd w:id="57"/>
      <w:bookmarkEnd w:id="58"/>
      <w:r>
        <w:rPr>
          <w:rStyle w:val="20"/>
          <w:rFonts w:ascii="黑体" w:hAnsi="黑体" w:eastAsia="黑体"/>
          <w:b w:val="0"/>
        </w:rPr>
        <w:tab/>
      </w:r>
    </w:p>
    <w:p>
      <w:pPr>
        <w:spacing w:line="600" w:lineRule="exact"/>
        <w:ind w:firstLine="645"/>
        <w:rPr>
          <w:rFonts w:ascii="仿宋_GB2312" w:hAnsi="仿宋_GB2312" w:eastAsia="仿宋_GB2312" w:cs="仿宋_GB2312"/>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sz w:val="32"/>
          <w:szCs w:val="32"/>
        </w:rPr>
        <w:t>年度一般公共预算财政拨款基本支出1046.7</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万元，其中：</w:t>
      </w:r>
    </w:p>
    <w:p>
      <w:pPr>
        <w:spacing w:line="60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人员经费947.73万元，主要包括：基本工资、津贴补贴、奖金、机关事业单位基本养老保险缴费、职业年金缴费、</w:t>
      </w:r>
      <w:r>
        <w:rPr>
          <w:rFonts w:hint="eastAsia" w:ascii="仿宋_GB2312" w:hAnsi="仿宋_GB2312" w:eastAsia="仿宋_GB2312" w:cs="仿宋_GB2312"/>
          <w:sz w:val="32"/>
          <w:szCs w:val="32"/>
          <w:lang w:val="en-US" w:eastAsia="zh-CN"/>
        </w:rPr>
        <w:t>行政事业单位医疗、</w:t>
      </w:r>
      <w:r>
        <w:rPr>
          <w:rFonts w:hint="eastAsia" w:ascii="仿宋_GB2312" w:hAnsi="仿宋_GB2312" w:eastAsia="仿宋_GB2312" w:cs="仿宋_GB2312"/>
          <w:sz w:val="32"/>
          <w:szCs w:val="32"/>
        </w:rPr>
        <w:t>其他社会保障缴费、住房公积金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其他工资福利支出、生活补助、奖励金。</w:t>
      </w:r>
    </w:p>
    <w:p>
      <w:pPr>
        <w:spacing w:line="600" w:lineRule="exact"/>
        <w:rPr>
          <w:rFonts w:ascii="仿宋_GB2312" w:hAnsi="仿宋_GB2312" w:eastAsia="仿宋_GB2312" w:cs="仿宋_GB2312"/>
          <w:b/>
          <w:sz w:val="32"/>
          <w:szCs w:val="32"/>
        </w:rPr>
      </w:pPr>
      <w:r>
        <w:rPr>
          <w:rFonts w:hint="eastAsia" w:ascii="仿宋_GB2312" w:hAnsi="仿宋_GB2312" w:eastAsia="仿宋_GB2312" w:cs="仿宋_GB2312"/>
          <w:sz w:val="32"/>
          <w:szCs w:val="32"/>
        </w:rPr>
        <w:t>　　公用经费</w:t>
      </w:r>
      <w:r>
        <w:rPr>
          <w:rFonts w:hint="eastAsia" w:ascii="仿宋_GB2312" w:hAnsi="仿宋_GB2312" w:eastAsia="仿宋_GB2312" w:cs="仿宋_GB2312"/>
          <w:color w:val="auto"/>
          <w:sz w:val="32"/>
          <w:szCs w:val="32"/>
          <w:lang w:val="en-US" w:eastAsia="zh-CN"/>
        </w:rPr>
        <w:t>99.02</w:t>
      </w:r>
      <w:r>
        <w:rPr>
          <w:rFonts w:hint="eastAsia" w:ascii="仿宋_GB2312" w:hAnsi="仿宋_GB2312" w:eastAsia="仿宋_GB2312" w:cs="仿宋_GB2312"/>
          <w:sz w:val="32"/>
          <w:szCs w:val="32"/>
        </w:rPr>
        <w:t>万元，主要包括：办公费、印刷费、水费、电费、邮电费、物业管理费、差旅费、维修（护）费、会议费、培训费、公务接待费、被装购置费、劳务费、委托业务费、工会经费、福利费、公务用车运行维护费、其他交通费、</w:t>
      </w:r>
      <w:r>
        <w:rPr>
          <w:rFonts w:ascii="仿宋_GB2312" w:hAnsi="仿宋_GB2312" w:eastAsia="仿宋_GB2312" w:cs="仿宋_GB2312"/>
          <w:sz w:val="32"/>
          <w:szCs w:val="32"/>
          <w:highlight w:val="none"/>
        </w:rPr>
        <w:t>其他商品和服务支出</w:t>
      </w:r>
      <w:r>
        <w:rPr>
          <w:rFonts w:hint="eastAsia" w:ascii="仿宋_GB2312" w:hAnsi="仿宋_GB2312" w:eastAsia="仿宋_GB2312" w:cs="仿宋_GB2312"/>
          <w:sz w:val="32"/>
          <w:szCs w:val="32"/>
          <w:highlight w:val="none"/>
        </w:rPr>
        <w:t>、</w:t>
      </w:r>
      <w:r>
        <w:rPr>
          <w:rFonts w:ascii="仿宋_GB2312" w:hAnsi="仿宋_GB2312" w:eastAsia="仿宋_GB2312" w:cs="仿宋_GB2312"/>
          <w:sz w:val="32"/>
          <w:szCs w:val="32"/>
          <w:highlight w:val="none"/>
        </w:rPr>
        <w:t>办公设备购置</w:t>
      </w:r>
      <w:r>
        <w:rPr>
          <w:rFonts w:hint="eastAsia" w:ascii="仿宋_GB2312" w:hAnsi="仿宋_GB2312" w:eastAsia="仿宋_GB2312" w:cs="仿宋_GB2312"/>
          <w:sz w:val="32"/>
          <w:szCs w:val="32"/>
          <w:highlight w:val="none"/>
        </w:rPr>
        <w:t>、</w:t>
      </w:r>
      <w:r>
        <w:rPr>
          <w:rFonts w:ascii="仿宋_GB2312" w:hAnsi="仿宋_GB2312" w:eastAsia="仿宋_GB2312" w:cs="仿宋_GB2312"/>
          <w:sz w:val="32"/>
          <w:szCs w:val="32"/>
          <w:highlight w:val="none"/>
        </w:rPr>
        <w:t>专用设备购置</w:t>
      </w:r>
      <w:r>
        <w:rPr>
          <w:rFonts w:hint="eastAsia" w:ascii="仿宋_GB2312" w:hAnsi="仿宋_GB2312" w:eastAsia="仿宋_GB2312" w:cs="仿宋_GB2312"/>
          <w:sz w:val="32"/>
          <w:szCs w:val="32"/>
          <w:highlight w:val="none"/>
          <w:lang w:eastAsia="zh-CN"/>
        </w:rPr>
        <w:t>、公务用车购置</w:t>
      </w:r>
      <w:r>
        <w:rPr>
          <w:rFonts w:hint="eastAsia" w:ascii="仿宋_GB2312" w:hAnsi="仿宋_GB2312" w:eastAsia="仿宋_GB2312" w:cs="仿宋_GB2312"/>
          <w:sz w:val="32"/>
          <w:szCs w:val="32"/>
          <w:highlight w:val="none"/>
        </w:rPr>
        <w:t>。</w:t>
      </w:r>
    </w:p>
    <w:p>
      <w:pPr>
        <w:spacing w:line="600" w:lineRule="exact"/>
        <w:ind w:firstLine="640"/>
        <w:outlineLvl w:val="1"/>
        <w:rPr>
          <w:rStyle w:val="20"/>
          <w:rFonts w:ascii="黑体" w:hAnsi="黑体" w:eastAsia="黑体"/>
          <w:b w:val="0"/>
        </w:rPr>
      </w:pPr>
      <w:bookmarkStart w:id="59" w:name="_Toc15377215"/>
      <w:bookmarkStart w:id="60" w:name="_Toc24781"/>
      <w:bookmarkStart w:id="61" w:name="_Toc15396609"/>
      <w:r>
        <w:rPr>
          <w:rFonts w:hint="eastAsia" w:ascii="黑体" w:eastAsia="黑体"/>
          <w:sz w:val="32"/>
          <w:szCs w:val="32"/>
        </w:rPr>
        <w:t>七、</w:t>
      </w:r>
      <w:r>
        <w:rPr>
          <w:rStyle w:val="20"/>
          <w:rFonts w:hint="eastAsia" w:ascii="黑体" w:hAnsi="黑体" w:eastAsia="黑体"/>
          <w:b w:val="0"/>
        </w:rPr>
        <w:t>财政拨款</w:t>
      </w:r>
      <w:r>
        <w:rPr>
          <w:rStyle w:val="20"/>
          <w:rFonts w:hint="eastAsia" w:ascii="黑体" w:hAnsi="黑体" w:eastAsia="黑体"/>
        </w:rPr>
        <w:t>“</w:t>
      </w:r>
      <w:r>
        <w:rPr>
          <w:rStyle w:val="20"/>
          <w:rFonts w:hint="eastAsia" w:ascii="黑体" w:hAnsi="黑体" w:eastAsia="黑体"/>
          <w:b w:val="0"/>
        </w:rPr>
        <w:t>三公”经费支出决算情况说明</w:t>
      </w:r>
      <w:bookmarkEnd w:id="59"/>
      <w:bookmarkEnd w:id="60"/>
      <w:bookmarkEnd w:id="61"/>
    </w:p>
    <w:p>
      <w:pPr>
        <w:spacing w:line="600" w:lineRule="exact"/>
        <w:ind w:firstLine="640"/>
        <w:outlineLvl w:val="2"/>
        <w:rPr>
          <w:rFonts w:ascii="仿宋_GB2312" w:hAnsi="仿宋_GB2312" w:eastAsia="仿宋_GB2312" w:cs="仿宋_GB2312"/>
          <w:b/>
          <w:sz w:val="32"/>
          <w:szCs w:val="32"/>
        </w:rPr>
      </w:pPr>
      <w:bookmarkStart w:id="62" w:name="_Toc15377216"/>
      <w:r>
        <w:rPr>
          <w:rFonts w:hint="eastAsia" w:ascii="仿宋_GB2312" w:hAnsi="仿宋_GB2312" w:eastAsia="仿宋_GB2312" w:cs="仿宋_GB2312"/>
          <w:b/>
          <w:sz w:val="32"/>
          <w:szCs w:val="32"/>
        </w:rPr>
        <w:t>（一）“三公”经费财政拨款支出决算总体情况说明</w:t>
      </w:r>
      <w:bookmarkEnd w:id="62"/>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sz w:val="32"/>
          <w:szCs w:val="32"/>
        </w:rPr>
        <w:t>年度“三公”经费财政拨款支出决算为33.21万元，完成预算100%，较上年度减少3.85万元，下降10%。决算数与预算数持平。</w:t>
      </w:r>
    </w:p>
    <w:p>
      <w:pPr>
        <w:spacing w:line="600" w:lineRule="exact"/>
        <w:ind w:firstLine="640"/>
        <w:outlineLvl w:val="2"/>
        <w:rPr>
          <w:rFonts w:ascii="仿宋_GB2312" w:hAnsi="仿宋_GB2312" w:eastAsia="仿宋_GB2312" w:cs="仿宋_GB2312"/>
          <w:b/>
          <w:sz w:val="32"/>
          <w:szCs w:val="32"/>
        </w:rPr>
      </w:pPr>
      <w:bookmarkStart w:id="63" w:name="_Toc15377217"/>
      <w:r>
        <w:rPr>
          <w:rFonts w:hint="eastAsia" w:ascii="仿宋_GB2312" w:hAnsi="仿宋_GB2312" w:eastAsia="仿宋_GB2312" w:cs="仿宋_GB2312"/>
          <w:b/>
          <w:sz w:val="32"/>
          <w:szCs w:val="32"/>
        </w:rPr>
        <w:t>（二）“三公”经费财政拨款支出决算具体情况说明</w:t>
      </w:r>
      <w:bookmarkEnd w:id="63"/>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2024年度“三公”经费财政拨款支出决算中，因公出国（境）费支出决算0万元，占0%；公务用车购置及运行维护费支出决算32.73万元，占97%；公务接待费支出决算0.48万元，占3%。具体情况如下：</w:t>
      </w:r>
    </w:p>
    <w:p>
      <w:pPr>
        <w:pStyle w:val="2"/>
      </w:pPr>
    </w:p>
    <w:p>
      <w:pPr>
        <w:pStyle w:val="2"/>
        <w:jc w:val="center"/>
        <w:rPr>
          <w:rFonts w:ascii="仿宋_GB2312" w:hAnsi="仿宋_GB2312" w:eastAsia="仿宋_GB2312" w:cs="仿宋_GB2312"/>
          <w:sz w:val="32"/>
          <w:szCs w:val="32"/>
        </w:rPr>
      </w:pPr>
      <w:r>
        <w:drawing>
          <wp:inline distT="0" distB="0" distL="0" distR="0">
            <wp:extent cx="4820285" cy="2741295"/>
            <wp:effectExtent l="4440" t="4442" r="14588" b="14595"/>
            <wp:docPr id="7" name="图表 17"/>
            <wp:cNvGraphicFramePr>
              <a:graphicFrameLocks xmlns:a="http://schemas.openxmlformats.org/drawingml/2006/main" noChangeAspect="true"/>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（图7：“三公”经费财政拨款支出结构）（饼状图）</w:t>
      </w:r>
    </w:p>
    <w:p>
      <w:pPr>
        <w:spacing w:line="600" w:lineRule="exact"/>
        <w:ind w:firstLine="642" w:firstLineChars="200"/>
        <w:rPr>
          <w:rFonts w:ascii="仿宋" w:hAnsi="仿宋" w:eastAsia="仿宋"/>
          <w:b/>
          <w:sz w:val="32"/>
          <w:szCs w:val="32"/>
          <w:highlight w:val="yellow"/>
        </w:rPr>
      </w:pPr>
      <w:r>
        <w:rPr>
          <w:rFonts w:hint="eastAsia" w:ascii="仿宋" w:hAnsi="仿宋" w:eastAsia="仿宋"/>
          <w:b/>
          <w:sz w:val="32"/>
          <w:szCs w:val="32"/>
        </w:rPr>
        <w:t>1.因公出国</w:t>
      </w:r>
      <w:r>
        <w:rPr>
          <w:rFonts w:hint="eastAsia" w:ascii="仿宋_GB2312" w:eastAsia="仿宋_GB2312"/>
          <w:b/>
          <w:sz w:val="32"/>
          <w:szCs w:val="32"/>
        </w:rPr>
        <w:t>（境）</w:t>
      </w:r>
      <w:r>
        <w:rPr>
          <w:rFonts w:hint="eastAsia" w:ascii="仿宋" w:hAnsi="仿宋" w:eastAsia="仿宋"/>
          <w:b/>
          <w:sz w:val="32"/>
          <w:szCs w:val="32"/>
        </w:rPr>
        <w:t>经费支出</w:t>
      </w:r>
      <w:r>
        <w:rPr>
          <w:rFonts w:hint="eastAsia" w:ascii="仿宋" w:hAnsi="仿宋" w:eastAsia="仿宋"/>
          <w:bCs/>
          <w:sz w:val="32"/>
          <w:szCs w:val="32"/>
        </w:rPr>
        <w:t>0万元，年初未安排预算，较上年无变化。</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b/>
          <w:sz w:val="32"/>
          <w:szCs w:val="32"/>
        </w:rPr>
        <w:t>2.公</w:t>
      </w:r>
      <w:r>
        <w:rPr>
          <w:rFonts w:hint="eastAsia" w:ascii="仿宋_GB2312" w:hAnsi="仿宋_GB2312" w:eastAsia="仿宋_GB2312" w:cs="仿宋_GB2312"/>
          <w:b/>
          <w:bCs/>
          <w:sz w:val="32"/>
          <w:szCs w:val="32"/>
        </w:rPr>
        <w:t>务用车购置及运行维护费支出</w:t>
      </w:r>
      <w:r>
        <w:rPr>
          <w:rFonts w:hint="eastAsia" w:ascii="仿宋_GB2312" w:hAnsi="仿宋_GB2312" w:eastAsia="仿宋_GB2312" w:cs="仿宋_GB2312"/>
          <w:sz w:val="32"/>
          <w:szCs w:val="32"/>
        </w:rPr>
        <w:t>32.73万元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完成预算100%。公务用车购置及运行维护费支出决算比2023年度减少3.76万元，下降10%。主要原因是新购置车辆价格</w:t>
      </w:r>
      <w:r>
        <w:rPr>
          <w:rFonts w:hint="eastAsia" w:ascii="仿宋_GB2312" w:hAnsi="仿宋_GB2312" w:eastAsia="仿宋_GB2312" w:cs="仿宋_GB2312"/>
          <w:sz w:val="32"/>
          <w:szCs w:val="32"/>
          <w:lang w:eastAsia="zh-CN"/>
        </w:rPr>
        <w:t>较低</w:t>
      </w:r>
      <w:r>
        <w:rPr>
          <w:rFonts w:hint="eastAsia" w:ascii="仿宋_GB2312" w:hAnsi="仿宋_GB2312" w:eastAsia="仿宋_GB2312" w:cs="仿宋_GB2312"/>
          <w:sz w:val="32"/>
          <w:szCs w:val="32"/>
        </w:rPr>
        <w:t>。</w:t>
      </w:r>
    </w:p>
    <w:p>
      <w:pPr>
        <w:spacing w:line="600" w:lineRule="exact"/>
        <w:ind w:firstLine="640"/>
      </w:pPr>
      <w:r>
        <w:rPr>
          <w:rFonts w:hint="eastAsia" w:ascii="仿宋_GB2312" w:hAnsi="仿宋_GB2312" w:eastAsia="仿宋_GB2312" w:cs="仿宋_GB2312"/>
          <w:sz w:val="32"/>
          <w:szCs w:val="32"/>
        </w:rPr>
        <w:t>其中：公务用车购置支出</w:t>
      </w:r>
      <w:r>
        <w:rPr>
          <w:rFonts w:hint="eastAsia" w:ascii="仿宋_GB2312" w:hAnsi="仿宋_GB2312" w:eastAsia="仿宋_GB2312" w:cs="仿宋_GB2312"/>
          <w:color w:val="auto"/>
          <w:sz w:val="32"/>
          <w:szCs w:val="32"/>
        </w:rPr>
        <w:t>27.</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sz w:val="32"/>
          <w:szCs w:val="32"/>
        </w:rPr>
        <w:t>万元。全年按规定更新购置公务用车1辆，其中：越野车1辆、金额27.8万元，主要用于执法办案。截至2024年12月31日，单位共有公务用车7辆，其中：轿车1辆、越野车3辆、载客汽车3辆。</w:t>
      </w:r>
    </w:p>
    <w:p>
      <w:pPr>
        <w:spacing w:line="600" w:lineRule="exact"/>
        <w:ind w:firstLine="640"/>
      </w:pPr>
      <w:r>
        <w:rPr>
          <w:rFonts w:hint="eastAsia" w:ascii="仿宋_GB2312" w:hAnsi="仿宋_GB2312" w:eastAsia="仿宋_GB2312" w:cs="仿宋_GB2312"/>
          <w:sz w:val="32"/>
          <w:szCs w:val="32"/>
        </w:rPr>
        <w:t>公务用车运行维护费支出4.93万元。主要用于执法执勤车辆在接处警、办理治安、刑事案件、安保维稳、重点人稳控、反诈宣传、各类法律宣讲等所需的公务用车燃料费、维修费、过路过桥费、保险费等支出。</w:t>
      </w:r>
    </w:p>
    <w:p>
      <w:pPr>
        <w:spacing w:line="600" w:lineRule="exact"/>
        <w:ind w:firstLine="640"/>
        <w:rPr>
          <w:rFonts w:ascii="仿宋_GB2312" w:eastAsia="仿宋_GB2312"/>
          <w:sz w:val="32"/>
          <w:szCs w:val="32"/>
        </w:rPr>
      </w:pPr>
      <w:r>
        <w:rPr>
          <w:rFonts w:ascii="仿宋_GB2312" w:eastAsia="仿宋_GB2312"/>
          <w:bCs/>
          <w:sz w:val="32"/>
          <w:szCs w:val="32"/>
        </w:rPr>
        <w:t>3.</w:t>
      </w:r>
      <w:r>
        <w:rPr>
          <w:rFonts w:hint="eastAsia" w:ascii="仿宋_GB2312" w:eastAsia="仿宋_GB2312"/>
          <w:bCs/>
          <w:sz w:val="32"/>
          <w:szCs w:val="32"/>
        </w:rPr>
        <w:t>公务接待费支出0.48万</w:t>
      </w:r>
      <w:r>
        <w:rPr>
          <w:rFonts w:hint="eastAsia" w:ascii="仿宋_GB2312" w:eastAsia="仿宋_GB2312"/>
          <w:sz w:val="32"/>
          <w:szCs w:val="32"/>
        </w:rPr>
        <w:t>元，</w:t>
      </w:r>
      <w:r>
        <w:rPr>
          <w:rStyle w:val="17"/>
          <w:rFonts w:hint="eastAsia" w:ascii="仿宋" w:hAnsi="仿宋" w:eastAsia="仿宋"/>
          <w:b w:val="0"/>
          <w:bCs/>
          <w:sz w:val="32"/>
          <w:szCs w:val="32"/>
        </w:rPr>
        <w:t>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公务接待费支出决算比2023年度减少0.09万元，下降16</w:t>
      </w:r>
      <w:r>
        <w:rPr>
          <w:rFonts w:ascii="仿宋_GB2312" w:eastAsia="仿宋_GB2312"/>
          <w:sz w:val="32"/>
          <w:szCs w:val="32"/>
        </w:rPr>
        <w:t>%</w:t>
      </w:r>
      <w:r>
        <w:rPr>
          <w:rFonts w:hint="eastAsia" w:ascii="仿宋_GB2312" w:eastAsia="仿宋_GB2312"/>
          <w:sz w:val="32"/>
          <w:szCs w:val="32"/>
        </w:rPr>
        <w:t>。主要原因是接待人次减少。其中：</w:t>
      </w:r>
    </w:p>
    <w:p>
      <w:pPr>
        <w:spacing w:line="600" w:lineRule="exact"/>
        <w:ind w:firstLine="640"/>
        <w:rPr>
          <w:rFonts w:ascii="仿宋_GB2312" w:eastAsia="仿宋_GB2312"/>
          <w:sz w:val="32"/>
          <w:szCs w:val="32"/>
        </w:rPr>
      </w:pPr>
      <w:r>
        <w:rPr>
          <w:rFonts w:hint="eastAsia" w:ascii="仿宋" w:hAnsi="仿宋" w:eastAsia="仿宋"/>
          <w:bCs/>
          <w:sz w:val="32"/>
          <w:szCs w:val="32"/>
        </w:rPr>
        <w:t>国内公务接待支出0.48</w:t>
      </w:r>
      <w:r>
        <w:rPr>
          <w:rFonts w:hint="eastAsia" w:ascii="仿宋_GB2312" w:eastAsia="仿宋_GB2312"/>
          <w:bCs/>
          <w:sz w:val="32"/>
          <w:szCs w:val="32"/>
        </w:rPr>
        <w:t>万元，</w:t>
      </w:r>
      <w:r>
        <w:rPr>
          <w:rFonts w:hint="eastAsia" w:ascii="仿宋_GB2312" w:hAnsi="仿宋_GB2312" w:eastAsia="仿宋_GB2312" w:cs="仿宋_GB2312"/>
          <w:color w:val="000000"/>
          <w:sz w:val="32"/>
          <w:szCs w:val="32"/>
        </w:rPr>
        <w:t>主要用于执行公务、开展业务活动开支的用餐费。</w:t>
      </w:r>
      <w:r>
        <w:rPr>
          <w:rFonts w:hint="eastAsia" w:ascii="仿宋_GB2312" w:eastAsia="仿宋_GB2312"/>
          <w:sz w:val="32"/>
          <w:szCs w:val="32"/>
        </w:rPr>
        <w:t>国内公务接待2批次，37人次（不包括陪同人员），共计支出0.48万元，具体内容包括：</w:t>
      </w:r>
      <w:r>
        <w:rPr>
          <w:rFonts w:hint="eastAsia" w:ascii="仿宋_GB2312" w:hAnsi="仿宋_GB2312" w:eastAsia="仿宋_GB2312" w:cs="仿宋_GB2312"/>
          <w:color w:val="000000"/>
          <w:sz w:val="32"/>
          <w:szCs w:val="32"/>
        </w:rPr>
        <w:t>1、执行公务：市交警支队宣传法制科到分局考察交流冬季道路交通安全宣传工作0.10万元。2、开展业务活动：利州区政法委到分局开展主题党日活动0.38万元。</w:t>
      </w:r>
    </w:p>
    <w:p>
      <w:pPr>
        <w:spacing w:line="600" w:lineRule="exact"/>
        <w:ind w:firstLine="640"/>
        <w:outlineLvl w:val="1"/>
        <w:rPr>
          <w:rStyle w:val="20"/>
          <w:rFonts w:ascii="黑体" w:hAnsi="黑体" w:eastAsia="黑体"/>
        </w:rPr>
      </w:pPr>
      <w:bookmarkStart w:id="64" w:name="_Toc30423"/>
      <w:bookmarkStart w:id="65" w:name="_Toc15396610"/>
      <w:bookmarkStart w:id="66" w:name="_Toc15377218"/>
      <w:r>
        <w:rPr>
          <w:rFonts w:hint="eastAsia" w:ascii="黑体" w:eastAsia="黑体"/>
          <w:sz w:val="32"/>
          <w:szCs w:val="32"/>
        </w:rPr>
        <w:t>八、</w:t>
      </w:r>
      <w:r>
        <w:rPr>
          <w:rStyle w:val="20"/>
          <w:rFonts w:hint="eastAsia" w:ascii="黑体" w:hAnsi="黑体" w:eastAsia="黑体"/>
          <w:b w:val="0"/>
        </w:rPr>
        <w:t>政府性基金预算支出决算情况说明</w:t>
      </w:r>
      <w:bookmarkEnd w:id="64"/>
      <w:bookmarkEnd w:id="65"/>
      <w:bookmarkEnd w:id="66"/>
    </w:p>
    <w:p>
      <w:pPr>
        <w:spacing w:line="600" w:lineRule="exact"/>
        <w:ind w:firstLine="640"/>
        <w:rPr>
          <w:rFonts w:ascii="仿宋_GB2312" w:eastAsia="仿宋_GB2312"/>
          <w:sz w:val="32"/>
          <w:szCs w:val="32"/>
        </w:rPr>
      </w:pPr>
      <w:r>
        <w:rPr>
          <w:rFonts w:hint="eastAsia" w:ascii="仿宋_GB2312" w:eastAsia="仿宋_GB2312"/>
          <w:sz w:val="32"/>
          <w:szCs w:val="32"/>
        </w:rPr>
        <w:t>2024年度政府性基金预算财政拨款支出0万元。</w:t>
      </w:r>
    </w:p>
    <w:p>
      <w:pPr>
        <w:numPr>
          <w:ilvl w:val="0"/>
          <w:numId w:val="3"/>
        </w:numPr>
        <w:spacing w:line="600" w:lineRule="exact"/>
        <w:ind w:firstLine="640"/>
        <w:outlineLvl w:val="1"/>
        <w:rPr>
          <w:rStyle w:val="20"/>
          <w:rFonts w:ascii="黑体" w:hAnsi="黑体" w:eastAsia="黑体"/>
          <w:b w:val="0"/>
        </w:rPr>
      </w:pPr>
      <w:bookmarkStart w:id="67" w:name="_Toc15396611"/>
      <w:bookmarkStart w:id="68" w:name="_Toc15377219"/>
      <w:bookmarkStart w:id="69" w:name="_Toc31589"/>
      <w:r>
        <w:rPr>
          <w:rStyle w:val="20"/>
          <w:rFonts w:hint="eastAsia" w:ascii="黑体" w:hAnsi="黑体" w:eastAsia="黑体"/>
          <w:b w:val="0"/>
        </w:rPr>
        <w:t>国有资本经营预算支出决算情况说明</w:t>
      </w:r>
      <w:bookmarkEnd w:id="67"/>
      <w:bookmarkEnd w:id="68"/>
      <w:bookmarkEnd w:id="69"/>
    </w:p>
    <w:p>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rPr>
        <w:t>2024年度国有资本经营预算财政拨款支出0万元。</w:t>
      </w:r>
    </w:p>
    <w:p>
      <w:pPr>
        <w:numPr>
          <w:ilvl w:val="0"/>
          <w:numId w:val="3"/>
        </w:numPr>
        <w:spacing w:line="600" w:lineRule="exact"/>
        <w:ind w:firstLine="640"/>
        <w:outlineLvl w:val="1"/>
        <w:rPr>
          <w:rStyle w:val="20"/>
          <w:rFonts w:ascii="黑体" w:hAnsi="黑体" w:eastAsia="黑体"/>
          <w:b w:val="0"/>
        </w:rPr>
      </w:pPr>
      <w:bookmarkStart w:id="70" w:name="_Toc15396612"/>
      <w:bookmarkStart w:id="71" w:name="_Toc20845"/>
      <w:bookmarkStart w:id="72" w:name="_Toc15377221"/>
      <w:r>
        <w:rPr>
          <w:rStyle w:val="20"/>
          <w:rFonts w:hint="eastAsia" w:ascii="黑体" w:hAnsi="黑体" w:eastAsia="黑体"/>
          <w:b w:val="0"/>
        </w:rPr>
        <w:t>其他重要事项的情况说明</w:t>
      </w:r>
      <w:bookmarkEnd w:id="70"/>
      <w:bookmarkEnd w:id="71"/>
      <w:bookmarkEnd w:id="72"/>
    </w:p>
    <w:p>
      <w:pPr>
        <w:spacing w:line="600" w:lineRule="exact"/>
        <w:ind w:firstLine="642" w:firstLineChars="200"/>
        <w:outlineLvl w:val="2"/>
        <w:rPr>
          <w:rFonts w:ascii="仿宋" w:hAnsi="仿宋" w:eastAsia="仿宋"/>
          <w:sz w:val="32"/>
          <w:szCs w:val="32"/>
        </w:rPr>
      </w:pPr>
      <w:bookmarkStart w:id="73" w:name="_Toc15377222"/>
      <w:r>
        <w:rPr>
          <w:rFonts w:hint="eastAsia" w:ascii="仿宋" w:hAnsi="仿宋" w:eastAsia="仿宋"/>
          <w:b/>
          <w:sz w:val="32"/>
          <w:szCs w:val="32"/>
        </w:rPr>
        <w:t>（一）机关运行经费支出情况</w:t>
      </w:r>
      <w:bookmarkEnd w:id="73"/>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2024年度，宝珠寺公安分局机关运行经费支出99.0</w:t>
      </w:r>
      <w:r>
        <w:rPr>
          <w:rFonts w:hint="eastAsia" w:ascii="仿宋_GB2312" w:eastAsia="仿宋_GB2312"/>
          <w:sz w:val="32"/>
          <w:szCs w:val="32"/>
          <w:lang w:val="en-US" w:eastAsia="zh-CN"/>
        </w:rPr>
        <w:t>2</w:t>
      </w:r>
      <w:r>
        <w:rPr>
          <w:rFonts w:hint="eastAsia" w:ascii="仿宋_GB2312" w:eastAsia="仿宋_GB2312"/>
          <w:sz w:val="32"/>
          <w:szCs w:val="32"/>
        </w:rPr>
        <w:t>万元，比2023年度减少22.5</w:t>
      </w:r>
      <w:r>
        <w:rPr>
          <w:rFonts w:hint="eastAsia" w:ascii="仿宋_GB2312" w:eastAsia="仿宋_GB2312"/>
          <w:sz w:val="32"/>
          <w:szCs w:val="32"/>
          <w:lang w:val="en-US" w:eastAsia="zh-CN"/>
        </w:rPr>
        <w:t>3</w:t>
      </w:r>
      <w:r>
        <w:rPr>
          <w:rFonts w:hint="eastAsia" w:ascii="仿宋_GB2312" w:eastAsia="仿宋_GB2312"/>
          <w:sz w:val="32"/>
          <w:szCs w:val="32"/>
        </w:rPr>
        <w:t>万元，下降19</w:t>
      </w:r>
      <w:r>
        <w:rPr>
          <w:rFonts w:ascii="仿宋_GB2312" w:eastAsia="仿宋_GB2312"/>
          <w:sz w:val="32"/>
          <w:szCs w:val="32"/>
        </w:rPr>
        <w:t>%</w:t>
      </w:r>
      <w:r>
        <w:rPr>
          <w:rFonts w:hint="eastAsia" w:ascii="仿宋_GB2312" w:eastAsia="仿宋_GB2312"/>
          <w:sz w:val="32"/>
          <w:szCs w:val="32"/>
        </w:rPr>
        <w:t>。主要原因是：一是人员减少、二是厉行节约常态化。</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74" w:name="_Toc15377223"/>
      <w:r>
        <w:rPr>
          <w:rFonts w:hint="eastAsia" w:ascii="仿宋" w:hAnsi="仿宋" w:eastAsia="仿宋"/>
          <w:b/>
          <w:sz w:val="32"/>
          <w:szCs w:val="32"/>
        </w:rPr>
        <w:t>（二）政府采购支出情况</w:t>
      </w:r>
      <w:bookmarkEnd w:id="74"/>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2024年度，宝珠寺公安分局政府采购支出总额0万元。</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75" w:name="_Toc15377224"/>
      <w:r>
        <w:rPr>
          <w:rFonts w:hint="eastAsia" w:ascii="仿宋" w:hAnsi="仿宋" w:eastAsia="仿宋"/>
          <w:b/>
          <w:sz w:val="32"/>
          <w:szCs w:val="32"/>
        </w:rPr>
        <w:t>（三）国有资产占有使用情况</w:t>
      </w:r>
      <w:bookmarkEnd w:id="75"/>
    </w:p>
    <w:p>
      <w:pPr>
        <w:autoSpaceDE w:val="0"/>
        <w:autoSpaceDN w:val="0"/>
        <w:adjustRightInd w:val="0"/>
        <w:spacing w:line="600" w:lineRule="exact"/>
        <w:ind w:firstLine="640" w:firstLineChars="200"/>
        <w:jc w:val="left"/>
        <w:rPr>
          <w:rFonts w:ascii="仿宋" w:hAnsi="仿宋" w:eastAsia="仿宋"/>
          <w:b/>
          <w:sz w:val="32"/>
          <w:szCs w:val="32"/>
        </w:rPr>
      </w:pPr>
      <w:r>
        <w:rPr>
          <w:rFonts w:hint="eastAsia" w:ascii="仿宋_GB2312" w:eastAsia="仿宋_GB2312"/>
          <w:sz w:val="32"/>
          <w:szCs w:val="32"/>
        </w:rPr>
        <w:t>截至2024年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日，宝珠寺公安分局共有车辆7辆，其中：执法执勤用车7辆。单价</w:t>
      </w:r>
      <w:r>
        <w:rPr>
          <w:rFonts w:ascii="仿宋_GB2312" w:eastAsia="仿宋_GB2312"/>
          <w:sz w:val="32"/>
          <w:szCs w:val="32"/>
        </w:rPr>
        <w:t>100</w:t>
      </w:r>
      <w:r>
        <w:rPr>
          <w:rFonts w:hint="eastAsia" w:ascii="仿宋_GB2312" w:eastAsia="仿宋_GB2312"/>
          <w:sz w:val="32"/>
          <w:szCs w:val="32"/>
        </w:rPr>
        <w:t>万元以上设备（不含车辆）0台（套）。</w:t>
      </w:r>
    </w:p>
    <w:p>
      <w:pPr>
        <w:autoSpaceDE w:val="0"/>
        <w:autoSpaceDN w:val="0"/>
        <w:adjustRightInd w:val="0"/>
        <w:spacing w:line="600" w:lineRule="exact"/>
        <w:ind w:firstLine="642"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spacing w:line="600" w:lineRule="exact"/>
        <w:ind w:firstLine="640" w:firstLineChars="200"/>
        <w:rPr>
          <w:rFonts w:hint="eastAsia" w:ascii="仿宋_GB2312" w:hAnsi="Times New Roman" w:eastAsia="仿宋_GB2312"/>
          <w:sz w:val="32"/>
          <w:szCs w:val="32"/>
          <w:highlight w:val="none"/>
        </w:rPr>
      </w:pPr>
      <w:r>
        <w:rPr>
          <w:rFonts w:hint="eastAsia" w:ascii="仿宋_GB2312" w:hAnsi="仿宋_GB2312" w:eastAsia="仿宋_GB2312" w:cs="仿宋_GB2312"/>
          <w:sz w:val="32"/>
          <w:szCs w:val="32"/>
        </w:rPr>
        <w:t>根据预算绩效管理要求，本单位在2024年度预算编制阶段，组织对工资性支出项目等18个项目开展了预算事前绩效评估，对18个项目编制了绩效目标，预算执行过程中，选取18个项目开展绩效监控</w:t>
      </w:r>
      <w:r>
        <w:rPr>
          <w:rFonts w:hint="eastAsia" w:ascii="仿宋_GB2312" w:hAnsi="仿宋_GB2312" w:eastAsia="仿宋_GB2312" w:cs="仿宋_GB2312"/>
          <w:sz w:val="32"/>
          <w:szCs w:val="32"/>
          <w:highlight w:val="none"/>
        </w:rPr>
        <w:t>。</w:t>
      </w:r>
      <w:r>
        <w:rPr>
          <w:rFonts w:hint="eastAsia" w:ascii="仿宋_GB2312" w:hAnsi="Times New Roman" w:eastAsia="仿宋_GB2312"/>
          <w:sz w:val="32"/>
          <w:szCs w:val="32"/>
          <w:highlight w:val="none"/>
        </w:rPr>
        <w:t>部门预算项目支出绩效自评表详见第四部分附件。</w:t>
      </w:r>
    </w:p>
    <w:p>
      <w:pPr>
        <w:spacing w:line="580" w:lineRule="exact"/>
        <w:ind w:firstLine="640" w:firstLineChars="200"/>
        <w:rPr>
          <w:rFonts w:ascii="仿宋_GB2312" w:hAnsi="仿宋_GB2312" w:eastAsia="仿宋_GB2312" w:cs="仿宋_GB2312"/>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spacing w:line="600" w:lineRule="exact"/>
        <w:outlineLvl w:val="0"/>
        <w:rPr>
          <w:rStyle w:val="19"/>
          <w:rFonts w:ascii="黑体" w:hAnsi="黑体" w:eastAsia="黑体"/>
          <w:b w:val="0"/>
        </w:rPr>
      </w:pPr>
      <w:bookmarkStart w:id="76" w:name="_Toc15377225"/>
      <w:bookmarkStart w:id="77" w:name="_Toc15396613"/>
      <w:r>
        <w:rPr>
          <w:rStyle w:val="19"/>
          <w:rFonts w:hint="eastAsia" w:ascii="黑体" w:hAnsi="黑体" w:eastAsia="黑体"/>
          <w:b w:val="0"/>
        </w:rPr>
        <w:t xml:space="preserve">                                                                               </w:t>
      </w:r>
    </w:p>
    <w:p>
      <w:pPr>
        <w:numPr>
          <w:ilvl w:val="0"/>
          <w:numId w:val="4"/>
        </w:numPr>
        <w:spacing w:line="600" w:lineRule="exact"/>
        <w:ind w:firstLine="660" w:firstLineChars="150"/>
        <w:jc w:val="center"/>
        <w:outlineLvl w:val="0"/>
        <w:rPr>
          <w:rStyle w:val="19"/>
          <w:rFonts w:ascii="黑体" w:hAnsi="黑体" w:eastAsia="黑体"/>
          <w:b w:val="0"/>
        </w:rPr>
      </w:pPr>
      <w:bookmarkStart w:id="78" w:name="_Toc15665"/>
      <w:r>
        <w:rPr>
          <w:rFonts w:hint="eastAsia" w:ascii="黑体" w:hAnsi="黑体" w:eastAsia="黑体"/>
          <w:sz w:val="44"/>
          <w:szCs w:val="44"/>
        </w:rPr>
        <w:t>名</w:t>
      </w:r>
      <w:r>
        <w:rPr>
          <w:rStyle w:val="19"/>
          <w:rFonts w:hint="eastAsia" w:ascii="黑体" w:hAnsi="黑体" w:eastAsia="黑体"/>
          <w:b w:val="0"/>
        </w:rPr>
        <w:t>词解释</w:t>
      </w:r>
      <w:bookmarkEnd w:id="76"/>
      <w:bookmarkEnd w:id="77"/>
      <w:bookmarkEnd w:id="78"/>
    </w:p>
    <w:p>
      <w:pPr>
        <w:spacing w:line="600" w:lineRule="exact"/>
        <w:jc w:val="left"/>
        <w:rPr>
          <w:rFonts w:ascii="宋体"/>
          <w:b/>
          <w:sz w:val="44"/>
          <w:szCs w:val="44"/>
        </w:rPr>
      </w:pPr>
    </w:p>
    <w:p>
      <w:pPr>
        <w:pStyle w:val="25"/>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1、财政拨款收入：</w:t>
      </w:r>
      <w:r>
        <w:rPr>
          <w:rFonts w:hint="eastAsia" w:ascii="仿宋_GB2312" w:eastAsia="仿宋_GB2312"/>
          <w:color w:val="auto"/>
          <w:sz w:val="32"/>
          <w:szCs w:val="32"/>
        </w:rPr>
        <w:t>指单位从同级财政部门取得的财政预算资金。</w:t>
      </w:r>
    </w:p>
    <w:p>
      <w:pPr>
        <w:ind w:firstLine="640" w:firstLineChars="200"/>
        <w:rPr>
          <w:rFonts w:ascii="仿宋_GB2312" w:eastAsia="仿宋_GB2312"/>
          <w:sz w:val="32"/>
          <w:szCs w:val="32"/>
        </w:rPr>
      </w:pPr>
      <w:r>
        <w:rPr>
          <w:rFonts w:hint="eastAsia" w:ascii="仿宋_GB2312" w:hAnsi="仿宋_GB2312" w:eastAsia="仿宋_GB2312" w:cs="仿宋_GB2312"/>
          <w:sz w:val="32"/>
          <w:szCs w:val="32"/>
        </w:rPr>
        <w:t>2、</w:t>
      </w:r>
      <w:r>
        <w:rPr>
          <w:rFonts w:hint="eastAsia" w:ascii="仿宋_GB2312" w:eastAsia="仿宋_GB2312"/>
          <w:sz w:val="32"/>
          <w:szCs w:val="32"/>
        </w:rPr>
        <w:t>公共安全（类）公安（款）行政运行（项）：指公安机关及参公管理事业单位用于保障机构正常运行、开展日常工作的基本支出。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3、公共安全（类）公安（款）一般行政管理事务（项）：指公安机关及参公管理事业单位开展公安综合业务等未单独设置项级科目的专门性公安管理工作的项目支出。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4、社会保障和就业（类）行政事业单位养老支出（款）机关事业单位基本养老保险缴费支出（项）：反映机关事业单位实施养老保险制度由单位缴纳的基本养老保险费支出。</w:t>
      </w:r>
    </w:p>
    <w:p>
      <w:pPr>
        <w:pStyle w:val="25"/>
        <w:spacing w:line="560" w:lineRule="exact"/>
        <w:ind w:firstLine="640" w:firstLineChars="200"/>
        <w:rPr>
          <w:rFonts w:ascii="仿宋_GB2312" w:eastAsia="仿宋_GB2312"/>
          <w:color w:val="auto"/>
          <w:sz w:val="32"/>
          <w:szCs w:val="32"/>
        </w:rPr>
      </w:pPr>
      <w:r>
        <w:rPr>
          <w:rFonts w:hint="eastAsia" w:ascii="仿宋_GB2312" w:eastAsia="仿宋_GB2312"/>
          <w:sz w:val="32"/>
          <w:szCs w:val="32"/>
        </w:rPr>
        <w:t>5、</w:t>
      </w:r>
      <w:r>
        <w:rPr>
          <w:rStyle w:val="17"/>
          <w:rFonts w:hint="eastAsia" w:ascii="仿宋_GB2312" w:hAnsi="仿宋_GB2312" w:eastAsia="仿宋_GB2312" w:cs="仿宋_GB2312"/>
          <w:b w:val="0"/>
          <w:bCs/>
          <w:sz w:val="32"/>
          <w:szCs w:val="32"/>
        </w:rPr>
        <w:t>社会保障和就业（类）行政事业单位养老支出（款）机关事业单位</w:t>
      </w:r>
      <w:r>
        <w:rPr>
          <w:rFonts w:hint="eastAsia" w:ascii="仿宋_GB2312" w:eastAsia="仿宋_GB2312"/>
          <w:sz w:val="32"/>
          <w:szCs w:val="32"/>
        </w:rPr>
        <w:t>职业年金缴费支出</w:t>
      </w:r>
      <w:r>
        <w:rPr>
          <w:rStyle w:val="17"/>
          <w:rFonts w:hint="eastAsia" w:ascii="仿宋_GB2312" w:hAnsi="仿宋_GB2312" w:eastAsia="仿宋_GB2312" w:cs="仿宋_GB2312"/>
          <w:b w:val="0"/>
          <w:bCs/>
          <w:sz w:val="32"/>
          <w:szCs w:val="32"/>
        </w:rPr>
        <w:t>（项）</w:t>
      </w:r>
      <w:r>
        <w:rPr>
          <w:rFonts w:hint="eastAsia" w:ascii="仿宋_GB2312" w:eastAsia="仿宋_GB2312"/>
          <w:b/>
          <w:color w:val="auto"/>
          <w:sz w:val="32"/>
          <w:szCs w:val="32"/>
        </w:rPr>
        <w:t>：</w:t>
      </w:r>
      <w:r>
        <w:rPr>
          <w:rFonts w:hint="eastAsia" w:ascii="仿宋_GB2312" w:eastAsia="仿宋_GB2312"/>
          <w:color w:val="auto"/>
          <w:sz w:val="32"/>
          <w:szCs w:val="32"/>
        </w:rPr>
        <w:t>反映机关事业单位职业年金缴费支出。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6、卫生健康（类）行政事业单位医疗（款）行政单位医疗（项）：指机关及参公管理事业单位用于单位应缴纳基本医疗保险支出。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7、住房保障（类）住房改革支出（款）住房公积金（项）：指按照《住房公积金管理条例》的规定，由单位及其在职职工缴存的长期住房储金。</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8、基本支出：指为保证机构正常运转，完成日常工作任务而发生的人员支出和公用支出。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9、项目支出：指在基本支出之外为完成特定行政任务和事业发展目标所发生的支出。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10、“三公”经费：纳入市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11、机关运行经费：为保障行政单位（包括参照公务员法管理的事业单位）运行用于购买货物和服务的各项资金，包括</w:t>
      </w:r>
      <w:r>
        <w:rPr>
          <w:rFonts w:hint="eastAsia" w:ascii="仿宋_GB2312" w:hAnsi="仿宋_GB2312" w:eastAsia="仿宋_GB2312" w:cs="仿宋_GB2312"/>
          <w:sz w:val="32"/>
          <w:szCs w:val="32"/>
        </w:rPr>
        <w:t>办公费、印刷费、水费、电费、邮电费、物业管理费、差旅费、维修（护）费、会议费、培训费、公务接待费、被装购置费、劳务费、委托业务费、工会经费、福利费、公务用车运行维护费、其他交通费、其他商品和服务支出、办公设备购置。</w:t>
      </w:r>
    </w:p>
    <w:p>
      <w:pPr>
        <w:spacing w:line="600" w:lineRule="exact"/>
        <w:jc w:val="center"/>
        <w:outlineLvl w:val="0"/>
        <w:rPr>
          <w:rStyle w:val="19"/>
          <w:rFonts w:ascii="黑体" w:hAnsi="黑体" w:eastAsia="黑体"/>
          <w:b w:val="0"/>
        </w:rPr>
      </w:pPr>
      <w:bookmarkStart w:id="79" w:name="_Toc15377226"/>
      <w:r>
        <w:rPr>
          <w:rFonts w:ascii="宋体"/>
          <w:b/>
          <w:sz w:val="44"/>
          <w:szCs w:val="44"/>
        </w:rPr>
        <w:br w:type="page"/>
      </w:r>
      <w:bookmarkStart w:id="80" w:name="_Toc15396614"/>
      <w:bookmarkStart w:id="81" w:name="_Toc9602"/>
      <w:r>
        <w:rPr>
          <w:rFonts w:hint="eastAsia" w:ascii="黑体" w:hAnsi="黑体" w:eastAsia="黑体"/>
          <w:sz w:val="44"/>
          <w:szCs w:val="44"/>
        </w:rPr>
        <w:t>第</w:t>
      </w:r>
      <w:r>
        <w:rPr>
          <w:rStyle w:val="19"/>
          <w:rFonts w:hint="eastAsia" w:ascii="黑体" w:hAnsi="黑体" w:eastAsia="黑体"/>
          <w:b w:val="0"/>
        </w:rPr>
        <w:t>四部分 附件</w:t>
      </w:r>
      <w:bookmarkEnd w:id="80"/>
      <w:bookmarkEnd w:id="81"/>
    </w:p>
    <w:tbl>
      <w:tblPr>
        <w:tblStyle w:val="15"/>
        <w:tblpPr w:leftFromText="180" w:rightFromText="180" w:vertAnchor="text" w:horzAnchor="page" w:tblpX="1186" w:tblpY="618"/>
        <w:tblOverlap w:val="never"/>
        <w:tblW w:w="10140" w:type="dxa"/>
        <w:tblInd w:w="0" w:type="dxa"/>
        <w:tblLayout w:type="autofit"/>
        <w:tblCellMar>
          <w:top w:w="0" w:type="dxa"/>
          <w:left w:w="108" w:type="dxa"/>
          <w:bottom w:w="0" w:type="dxa"/>
          <w:right w:w="108" w:type="dxa"/>
        </w:tblCellMar>
      </w:tblPr>
      <w:tblGrid>
        <w:gridCol w:w="576"/>
        <w:gridCol w:w="1064"/>
        <w:gridCol w:w="1132"/>
        <w:gridCol w:w="1656"/>
        <w:gridCol w:w="520"/>
        <w:gridCol w:w="936"/>
        <w:gridCol w:w="756"/>
        <w:gridCol w:w="936"/>
        <w:gridCol w:w="500"/>
        <w:gridCol w:w="486"/>
        <w:gridCol w:w="1578"/>
      </w:tblGrid>
      <w:tr>
        <w:tblPrEx>
          <w:tblCellMar>
            <w:top w:w="0" w:type="dxa"/>
            <w:left w:w="108" w:type="dxa"/>
            <w:bottom w:w="0" w:type="dxa"/>
            <w:right w:w="108" w:type="dxa"/>
          </w:tblCellMar>
        </w:tblPrEx>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51000021R000000019951-工资性支出</w:t>
            </w:r>
          </w:p>
        </w:tc>
      </w:tr>
      <w:tr>
        <w:tblPrEx>
          <w:tblCellMar>
            <w:top w:w="0" w:type="dxa"/>
            <w:left w:w="108" w:type="dxa"/>
            <w:bottom w:w="0" w:type="dxa"/>
            <w:right w:w="108" w:type="dxa"/>
          </w:tblCellMar>
        </w:tblPrEx>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严格执行相关政策，保障工资及时、足额发放或社保及时、足额缴纳，预算编制科学合理，减少结余资金</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保障工资及时、足额发放或社保及时、足额缴纳，预算编制科学合理，无结余资金。</w:t>
            </w:r>
          </w:p>
        </w:tc>
      </w:tr>
      <w:tr>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保障工资及时、足额发放或社保及时、足额缴纳。</w:t>
            </w:r>
          </w:p>
        </w:tc>
      </w:tr>
      <w:tr>
        <w:tblPrEx>
          <w:tblCellMar>
            <w:top w:w="0" w:type="dxa"/>
            <w:left w:w="108" w:type="dxa"/>
            <w:bottom w:w="0" w:type="dxa"/>
            <w:right w:w="108" w:type="dxa"/>
          </w:tblCellMar>
        </w:tblPrEx>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28.81</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28.81</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5"/>
                <w:szCs w:val="15"/>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5"/>
                <w:szCs w:val="15"/>
                <w:lang w:eastAsia="zh-CN"/>
              </w:rPr>
              <w:t>，</w:t>
            </w:r>
            <w:r>
              <w:rPr>
                <w:rFonts w:hint="eastAsia" w:ascii="黑体" w:hAnsi="黑体" w:eastAsia="黑体" w:cs="黑体"/>
                <w:i/>
                <w:iCs/>
                <w:color w:val="000000"/>
                <w:kern w:val="0"/>
                <w:sz w:val="15"/>
                <w:szCs w:val="15"/>
              </w:rPr>
              <w:t>应单独说明理由；3.其他资金包括：社会投入资金、银行贷款.</w:t>
            </w:r>
          </w:p>
        </w:tc>
      </w:tr>
      <w:tr>
        <w:tblPrEx>
          <w:tblCellMar>
            <w:top w:w="0" w:type="dxa"/>
            <w:left w:w="108" w:type="dxa"/>
            <w:bottom w:w="0" w:type="dxa"/>
            <w:right w:w="108" w:type="dxa"/>
          </w:tblCellMar>
        </w:tblPrEx>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28.81</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28.81</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5"/>
                <w:szCs w:val="15"/>
              </w:rPr>
            </w:pPr>
            <w:r>
              <w:rPr>
                <w:rFonts w:ascii="宋体" w:hAnsi="宋体" w:cs="宋体"/>
                <w:color w:val="000000"/>
                <w:kern w:val="0"/>
                <w:sz w:val="15"/>
                <w:szCs w:val="15"/>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5"/>
                <w:szCs w:val="15"/>
              </w:rPr>
            </w:pPr>
            <w:r>
              <w:rPr>
                <w:rFonts w:ascii="宋体" w:hAnsi="宋体" w:cs="宋体"/>
                <w:color w:val="000000"/>
                <w:kern w:val="0"/>
                <w:sz w:val="15"/>
                <w:szCs w:val="15"/>
              </w:rPr>
              <w:t>发放（缴纳）覆盖率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5"/>
                <w:szCs w:val="15"/>
              </w:rPr>
            </w:pPr>
            <w:r>
              <w:rPr>
                <w:rFonts w:ascii="宋体" w:hAnsi="宋体" w:cs="宋体"/>
                <w:color w:val="000000"/>
                <w:kern w:val="0"/>
                <w:sz w:val="15"/>
                <w:szCs w:val="15"/>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5"/>
                <w:szCs w:val="15"/>
              </w:rPr>
            </w:pPr>
            <w:r>
              <w:rPr>
                <w:rFonts w:ascii="宋体" w:hAnsi="宋体" w:cs="宋体"/>
                <w:color w:val="000000"/>
                <w:kern w:val="0"/>
                <w:sz w:val="15"/>
                <w:szCs w:val="15"/>
              </w:rPr>
              <w:t>足额保障率（参保率）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2024年已经完成民警基本工资、各类津补贴的正常发放，保障民警各类保险、公积金的缴纳，达到预期效果，完成预算执行。</w:t>
            </w:r>
          </w:p>
        </w:tc>
      </w:tr>
      <w:tr>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blPrEx>
          <w:tblCellMar>
            <w:top w:w="0" w:type="dxa"/>
            <w:left w:w="108" w:type="dxa"/>
            <w:bottom w:w="0" w:type="dxa"/>
            <w:right w:w="108" w:type="dxa"/>
          </w:tblCellMar>
        </w:tblPrEx>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51080022R000006844873-退休“中人”一次性退休补贴</w:t>
            </w:r>
          </w:p>
        </w:tc>
      </w:tr>
      <w:tr>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blPrEx>
          <w:tblCellMar>
            <w:top w:w="0" w:type="dxa"/>
            <w:left w:w="108" w:type="dxa"/>
            <w:bottom w:w="0" w:type="dxa"/>
            <w:right w:w="108" w:type="dxa"/>
          </w:tblCellMar>
        </w:tblPrEx>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严格执行相关政策，保障工资及时、足额发放或社保及时、足额缴纳，预算编制科学合理，减少结余资金</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严格执行相关政策，保障工资及时、足额发放或社保及时、足额缴纳，预算编制科学合理，无结余资金</w:t>
            </w:r>
          </w:p>
        </w:tc>
      </w:tr>
      <w:tr>
        <w:tblPrEx>
          <w:tblCellMar>
            <w:top w:w="0" w:type="dxa"/>
            <w:left w:w="108" w:type="dxa"/>
            <w:bottom w:w="0" w:type="dxa"/>
            <w:right w:w="108" w:type="dxa"/>
          </w:tblCellMar>
        </w:tblPrEx>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保障工资及时、足额发放或社保及时、足额缴纳，预算编制科学合理。</w:t>
            </w:r>
          </w:p>
        </w:tc>
      </w:tr>
      <w:tr>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10.88</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10.88</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10.88</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10.88</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发放（缴纳）覆盖率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足额保障率（参保率）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保障退休“中人”一次性退休补贴</w:t>
            </w:r>
          </w:p>
        </w:tc>
      </w:tr>
      <w:tr>
        <w:tblPrEx>
          <w:tblCellMar>
            <w:top w:w="0" w:type="dxa"/>
            <w:left w:w="108" w:type="dxa"/>
            <w:bottom w:w="0" w:type="dxa"/>
            <w:right w:w="108" w:type="dxa"/>
          </w:tblCellMar>
        </w:tblPrEx>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51080022T000004926760-经常性业务费</w:t>
            </w:r>
          </w:p>
        </w:tc>
      </w:tr>
      <w:tr>
        <w:tblPrEx>
          <w:tblCellMar>
            <w:top w:w="0" w:type="dxa"/>
            <w:left w:w="108" w:type="dxa"/>
            <w:bottom w:w="0" w:type="dxa"/>
            <w:right w:w="108" w:type="dxa"/>
          </w:tblCellMar>
        </w:tblPrEx>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保障经常性业务工作，包括业务会议、印刷、差旅、劳务、咨询、教育培训、公安民警立功授奖表彰奖励等</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保障经常性业务工作，包括业务会议、印刷、差旅、劳务、咨询、教育培训、公安民警立功授奖表彰奖励等</w:t>
            </w:r>
          </w:p>
        </w:tc>
      </w:tr>
      <w:tr>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保障经常性业务工作，包括业务会议、印刷、差旅、劳务、咨询、教育培训、公安民警立功授奖表彰奖励等</w:t>
            </w:r>
          </w:p>
        </w:tc>
      </w:tr>
      <w:tr>
        <w:tblPrEx>
          <w:tblCellMar>
            <w:top w:w="0" w:type="dxa"/>
            <w:left w:w="108" w:type="dxa"/>
            <w:bottom w:w="0" w:type="dxa"/>
            <w:right w:w="108" w:type="dxa"/>
          </w:tblCellMar>
        </w:tblPrEx>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23.34</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23.34</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23.34</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23.34</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23.34</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23.34</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教育培训人次</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540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人次</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540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教育培训合格率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95</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95</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月</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可持续影响指标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辖区社会治安环境</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优</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级</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优</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452"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民警满意度</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67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25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表彰奖励</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元/人·次</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452"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教育培训成本</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人/次</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保障业务会议、印刷、差旅、劳务、咨询、教育培训、公安民警立功授奖表彰奖励等</w:t>
            </w:r>
          </w:p>
        </w:tc>
      </w:tr>
      <w:tr>
        <w:tblPrEx>
          <w:tblCellMar>
            <w:top w:w="0" w:type="dxa"/>
            <w:left w:w="108" w:type="dxa"/>
            <w:bottom w:w="0" w:type="dxa"/>
            <w:right w:w="108" w:type="dxa"/>
          </w:tblCellMar>
        </w:tblPrEx>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51080023R000009698970-单位年度考核奖</w:t>
            </w:r>
          </w:p>
        </w:tc>
      </w:tr>
      <w:tr>
        <w:tblPrEx>
          <w:tblCellMar>
            <w:top w:w="0" w:type="dxa"/>
            <w:left w:w="108" w:type="dxa"/>
            <w:bottom w:w="0" w:type="dxa"/>
            <w:right w:w="108" w:type="dxa"/>
          </w:tblCellMar>
        </w:tblPrEx>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严格执行相关政策，保障工资及时、足额发放或社保及时、足额缴纳，预算编制科学合理，减少结余资金。</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完成民警2024年度考核奖发放</w:t>
            </w:r>
          </w:p>
        </w:tc>
      </w:tr>
      <w:tr>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保障民警2024年度考核奖发放</w:t>
            </w:r>
          </w:p>
        </w:tc>
      </w:tr>
      <w:tr>
        <w:tblPrEx>
          <w:tblCellMar>
            <w:top w:w="0" w:type="dxa"/>
            <w:left w:w="108" w:type="dxa"/>
            <w:bottom w:w="0" w:type="dxa"/>
            <w:right w:w="108" w:type="dxa"/>
          </w:tblCellMar>
        </w:tblPrEx>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36.00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67.52</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67.52</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36.00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67.52</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67.52</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发放（缴纳）覆盖率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足额保障率（参保率）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完成民警2024年度考核奖发放</w:t>
            </w:r>
          </w:p>
        </w:tc>
      </w:tr>
      <w:tr>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blPrEx>
          <w:tblCellMar>
            <w:top w:w="0" w:type="dxa"/>
            <w:left w:w="108" w:type="dxa"/>
            <w:bottom w:w="0" w:type="dxa"/>
            <w:right w:w="108" w:type="dxa"/>
          </w:tblCellMar>
        </w:tblPrEx>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51080023T000008409172-派出所民警免费工作午餐</w:t>
            </w:r>
          </w:p>
        </w:tc>
      </w:tr>
      <w:tr>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blPrEx>
          <w:tblCellMar>
            <w:top w:w="0" w:type="dxa"/>
            <w:left w:w="108" w:type="dxa"/>
            <w:bottom w:w="0" w:type="dxa"/>
            <w:right w:w="108" w:type="dxa"/>
          </w:tblCellMar>
        </w:tblPrEx>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基层派出所担负着维护法律尊严和社会秩序、打击各种违法犯罪行为。全天候化解矛盾、防范治安、监管安全、办证办照等工作。保障基层派出所民警午餐，提高派出所执法办案效率。营造良好的生活和工作环境。</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保障基层派出所民警免费午餐，有效提高派出所执法办案效率</w:t>
            </w:r>
          </w:p>
        </w:tc>
      </w:tr>
      <w:tr>
        <w:tblPrEx>
          <w:tblCellMar>
            <w:top w:w="0" w:type="dxa"/>
            <w:left w:w="108" w:type="dxa"/>
            <w:bottom w:w="0" w:type="dxa"/>
            <w:right w:w="108" w:type="dxa"/>
          </w:tblCellMar>
        </w:tblPrEx>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按照《广元市人民政府办公室批转 市公安局市财政局关于解决公安派出所民警免费工作午餐经费意见的通知》相关规定，按照330元.人/月的标准保障派出所民警免费午餐。</w:t>
            </w:r>
          </w:p>
        </w:tc>
      </w:tr>
      <w:tr>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11.88</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11.88</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11.88</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11.88</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11.88</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11.88</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免费工作午餐保障人数</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人</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重点人员管控率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处警事务完成率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月</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452"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促进工作积极性，确保社会治安稳定</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优</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级</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优</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452"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民警满意度</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67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免费工作午餐月均保障经费</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元/人*月</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派出所完成全年接处警、重点人稳控，矛盾纠纷排查化解，安全监管，证照办理等，有效提高了派出所执法办案效率，免费午餐保障率100%</w:t>
            </w:r>
          </w:p>
        </w:tc>
      </w:tr>
      <w:tr>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blPrEx>
          <w:tblCellMar>
            <w:top w:w="0" w:type="dxa"/>
            <w:left w:w="108" w:type="dxa"/>
            <w:bottom w:w="0" w:type="dxa"/>
            <w:right w:w="108" w:type="dxa"/>
          </w:tblCellMar>
        </w:tblPrEx>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51080023T000008409265-民警法定工作日之外加班补贴</w:t>
            </w:r>
          </w:p>
        </w:tc>
      </w:tr>
      <w:tr>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blPrEx>
          <w:tblCellMar>
            <w:top w:w="0" w:type="dxa"/>
            <w:left w:w="108" w:type="dxa"/>
            <w:bottom w:w="0" w:type="dxa"/>
            <w:right w:w="108" w:type="dxa"/>
          </w:tblCellMar>
        </w:tblPrEx>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根据民警法定工作日之外加班情况，发放法定工作日之外加班补贴。</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完成2024年民警法定工作日之外加班补贴发放</w:t>
            </w:r>
          </w:p>
        </w:tc>
      </w:tr>
      <w:tr>
        <w:tblPrEx>
          <w:tblCellMar>
            <w:top w:w="0" w:type="dxa"/>
            <w:left w:w="108" w:type="dxa"/>
            <w:bottom w:w="0" w:type="dxa"/>
            <w:right w:w="108" w:type="dxa"/>
          </w:tblCellMar>
        </w:tblPrEx>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《人力资源部 财政部 关于执行人民警察法定工作日之外加班补贴有关问题的通知》（人社部规〔2017〕9号）文件相关规定，民警法定工作日之外加班补贴按照710元.人/月发放。</w:t>
            </w:r>
          </w:p>
        </w:tc>
      </w:tr>
      <w:tr>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38.34</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38.34</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37.35</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97.42%</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38.34</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38.34</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37.35</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97.42%</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452"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法定节假日处警人均数</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8</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人/月</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8</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接处警到位率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处警事务完成率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资金支付完成时间</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月</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社会治安秩序进一步改善</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优</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级</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优</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452"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群众满意度</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67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人员经费</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710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元/人*月</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710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完成2024年民警法定工作日之外加班补贴按照710元.人/月发放，保障率100%，有效提高公安机关执法办案效率。</w:t>
            </w:r>
          </w:p>
        </w:tc>
      </w:tr>
      <w:tr>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blPrEx>
          <w:tblCellMar>
            <w:top w:w="0" w:type="dxa"/>
            <w:left w:w="108" w:type="dxa"/>
            <w:bottom w:w="0" w:type="dxa"/>
            <w:right w:w="108" w:type="dxa"/>
          </w:tblCellMar>
        </w:tblPrEx>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51080023T000008423519-办案业务经费</w:t>
            </w:r>
          </w:p>
        </w:tc>
      </w:tr>
      <w:tr>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blPrEx>
          <w:tblCellMar>
            <w:top w:w="0" w:type="dxa"/>
            <w:left w:w="108" w:type="dxa"/>
            <w:bottom w:w="0" w:type="dxa"/>
            <w:right w:w="108" w:type="dxa"/>
          </w:tblCellMar>
        </w:tblPrEx>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保障民辅警执法办案、维稳、法律宣讲等日常工作的正常开展。</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有效保障2024年度民辅警执法办案、安保维稳、等级勤务、重点人员稳控、反诈宣传、法律宣讲等工作的正常开展。</w:t>
            </w:r>
          </w:p>
        </w:tc>
      </w:tr>
      <w:tr>
        <w:tblPrEx>
          <w:tblCellMar>
            <w:top w:w="0" w:type="dxa"/>
            <w:left w:w="108" w:type="dxa"/>
            <w:bottom w:w="0" w:type="dxa"/>
            <w:right w:w="108" w:type="dxa"/>
          </w:tblCellMar>
        </w:tblPrEx>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有效保障2024年度民辅警执法办案、安保维稳、等级勤务、重点人员稳控、反诈宣传、法律宣讲等工作的正常开展。</w:t>
            </w:r>
          </w:p>
        </w:tc>
      </w:tr>
      <w:tr>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22.00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22.00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22.00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22.00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22.00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22.00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案件数</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70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件</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70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重点部位巡逻防控率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重点人员管控率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接处警录入合格率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全年任务完成时间</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月</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有效打击刑事犯罪发生</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优</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级</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优</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452"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群众满意度</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452"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25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法律宣传费</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元/月</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67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办理案事件费用</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750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元/人·次</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750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评价结论 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有效保障2024年度民辅警执法办案、安保维稳、等级勤务、重点人员稳控、反诈宣传、法律宣讲等工作的正常开展。</w:t>
            </w:r>
          </w:p>
        </w:tc>
      </w:tr>
      <w:tr>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blPrEx>
          <w:tblCellMar>
            <w:top w:w="0" w:type="dxa"/>
            <w:left w:w="108" w:type="dxa"/>
            <w:bottom w:w="0" w:type="dxa"/>
            <w:right w:w="108" w:type="dxa"/>
          </w:tblCellMar>
        </w:tblPrEx>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51080023T000008457396-辅警人员经费</w:t>
            </w:r>
          </w:p>
        </w:tc>
      </w:tr>
      <w:tr>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blPrEx>
          <w:tblCellMar>
            <w:top w:w="0" w:type="dxa"/>
            <w:left w:w="108" w:type="dxa"/>
            <w:bottom w:w="0" w:type="dxa"/>
            <w:right w:w="108" w:type="dxa"/>
          </w:tblCellMar>
        </w:tblPrEx>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保障全年辅警人员工资及医保、社保、公积金缴费；教育培训费、服装费、个人装备费、日常办公及生活费用、差旅费、特殊人员奖励补助费等正常发放。</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保障辅警工资、各类保险、公积金缴纳，教育培训，服装装备购置，日常办公及生活费，年终奖励等。</w:t>
            </w:r>
          </w:p>
        </w:tc>
      </w:tr>
      <w:tr>
        <w:tblPrEx>
          <w:tblCellMar>
            <w:top w:w="0" w:type="dxa"/>
            <w:left w:w="108" w:type="dxa"/>
            <w:bottom w:w="0" w:type="dxa"/>
            <w:right w:w="108" w:type="dxa"/>
          </w:tblCellMar>
        </w:tblPrEx>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保障全年辅警人员工资及医保、社保、公积金缴费；教育培训费、服装费、个人装备费、日常办公及生活费用、差旅费、特殊人员奖励补助费等正常发放。</w:t>
            </w:r>
          </w:p>
        </w:tc>
      </w:tr>
      <w:tr>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67.50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67.50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67.50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67.50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67.50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67.50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保障人数</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人</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处警警到位率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月</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对工作促进作用</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优</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级</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优</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452"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辖区群众满意度</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452"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辅警人均经费</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45000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元/年</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45000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2024年足额保障了辅警工资、各类保险、公积金缴纳，教育培训，服装装备购置，日常办公及生活费，年终奖励等。</w:t>
            </w:r>
          </w:p>
        </w:tc>
      </w:tr>
      <w:tr>
        <w:tblPrEx>
          <w:tblCellMar>
            <w:top w:w="0" w:type="dxa"/>
            <w:left w:w="108" w:type="dxa"/>
            <w:bottom w:w="0" w:type="dxa"/>
            <w:right w:w="108" w:type="dxa"/>
          </w:tblCellMar>
        </w:tblPrEx>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51080023T000009802031-退休民警医疗保险单位补缴费用</w:t>
            </w:r>
          </w:p>
        </w:tc>
      </w:tr>
      <w:tr>
        <w:tblPrEx>
          <w:tblCellMar>
            <w:top w:w="0" w:type="dxa"/>
            <w:left w:w="108" w:type="dxa"/>
            <w:bottom w:w="0" w:type="dxa"/>
            <w:right w:w="108" w:type="dxa"/>
          </w:tblCellMar>
        </w:tblPrEx>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保障退休民警医疗保险待遇正常发放</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保障退休民警医疗保险待遇正常缴纳</w:t>
            </w:r>
          </w:p>
        </w:tc>
      </w:tr>
      <w:tr>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保障退休民警医疗保险待遇正常缴纳</w:t>
            </w:r>
          </w:p>
        </w:tc>
      </w:tr>
      <w:tr>
        <w:tblPrEx>
          <w:tblCellMar>
            <w:top w:w="0" w:type="dxa"/>
            <w:left w:w="108" w:type="dxa"/>
            <w:bottom w:w="0" w:type="dxa"/>
            <w:right w:w="108" w:type="dxa"/>
          </w:tblCellMar>
        </w:tblPrEx>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14.26</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14.26</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14.26</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14.26</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保障人数</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人</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退休民警医疗待遇保障率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月</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452"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退休民警服务社会发展，维护社会稳定</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优</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级</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优</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452"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可持续发展指标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保障退休民警待遇，促进公安工作健康发展</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优</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级</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优</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452"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退休人员满意度</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所需资金</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62157.78</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元</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62157.78</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保障退休民警医疗保险待遇正常缴纳</w:t>
            </w:r>
          </w:p>
        </w:tc>
      </w:tr>
      <w:tr>
        <w:tblPrEx>
          <w:tblCellMar>
            <w:top w:w="0" w:type="dxa"/>
            <w:left w:w="108" w:type="dxa"/>
            <w:bottom w:w="0" w:type="dxa"/>
            <w:right w:w="108" w:type="dxa"/>
          </w:tblCellMar>
        </w:tblPrEx>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51080024R000010823060-单位缴费（在职人员五险两金）</w:t>
            </w:r>
          </w:p>
        </w:tc>
      </w:tr>
      <w:tr>
        <w:tblPrEx>
          <w:tblCellMar>
            <w:top w:w="0" w:type="dxa"/>
            <w:left w:w="108" w:type="dxa"/>
            <w:bottom w:w="0" w:type="dxa"/>
            <w:right w:w="108" w:type="dxa"/>
          </w:tblCellMar>
        </w:tblPrEx>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严格执行相关政策，保障工资及时、足额发放或社保及时、足额缴纳，预算编制科学合理，减少结余资金。</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保障民警五险两金正常缴纳</w:t>
            </w:r>
          </w:p>
        </w:tc>
      </w:tr>
      <w:tr>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保障民警五险两金正常缴纳</w:t>
            </w:r>
          </w:p>
        </w:tc>
      </w:tr>
      <w:tr>
        <w:tblPrEx>
          <w:tblCellMar>
            <w:top w:w="0" w:type="dxa"/>
            <w:left w:w="108" w:type="dxa"/>
            <w:bottom w:w="0" w:type="dxa"/>
            <w:right w:w="108" w:type="dxa"/>
          </w:tblCellMar>
        </w:tblPrEx>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200.78</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231.78</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227.37</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98.10%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200.78</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231.78</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227.37</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98.10%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发放（缴纳）覆盖率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足额保障率（参保率）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保障工资及时、足额发放或社保及时、足额缴纳。</w:t>
            </w:r>
          </w:p>
        </w:tc>
      </w:tr>
      <w:tr>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blPrEx>
          <w:tblCellMar>
            <w:top w:w="0" w:type="dxa"/>
            <w:left w:w="108" w:type="dxa"/>
            <w:bottom w:w="0" w:type="dxa"/>
            <w:right w:w="108" w:type="dxa"/>
          </w:tblCellMar>
        </w:tblPrEx>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51080024R000010824550-公务员基础绩效奖</w:t>
            </w:r>
          </w:p>
        </w:tc>
      </w:tr>
      <w:tr>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blPrEx>
          <w:tblCellMar>
            <w:top w:w="0" w:type="dxa"/>
            <w:left w:w="108" w:type="dxa"/>
            <w:bottom w:w="0" w:type="dxa"/>
            <w:right w:w="108" w:type="dxa"/>
          </w:tblCellMar>
        </w:tblPrEx>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严格执行相关政策，保障工资及时、足额发放或社保及时、足额缴纳，预算编制科学合理，减少结余资金。</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保障民警基础绩效正常发放</w:t>
            </w:r>
          </w:p>
        </w:tc>
      </w:tr>
      <w:tr>
        <w:tblPrEx>
          <w:tblCellMar>
            <w:top w:w="0" w:type="dxa"/>
            <w:left w:w="108" w:type="dxa"/>
            <w:bottom w:w="0" w:type="dxa"/>
            <w:right w:w="108" w:type="dxa"/>
          </w:tblCellMar>
        </w:tblPrEx>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保障民警基础绩效正常发放</w:t>
            </w:r>
          </w:p>
        </w:tc>
      </w:tr>
      <w:tr>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150.13</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145.13</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145.13</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150.13</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145.13</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145.13</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发放（缴纳）覆盖率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足额保障率（参保率）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保障工资及时、足额发放或社保及时、足额缴纳。</w:t>
            </w:r>
          </w:p>
        </w:tc>
      </w:tr>
      <w:tr>
        <w:tblPrEx>
          <w:tblCellMar>
            <w:top w:w="0" w:type="dxa"/>
            <w:left w:w="108" w:type="dxa"/>
            <w:bottom w:w="0" w:type="dxa"/>
            <w:right w:w="108" w:type="dxa"/>
          </w:tblCellMar>
        </w:tblPrEx>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51080024R000010825320-退休人员生活补（助）贴</w:t>
            </w:r>
          </w:p>
        </w:tc>
      </w:tr>
      <w:tr>
        <w:tblPrEx>
          <w:tblCellMar>
            <w:top w:w="0" w:type="dxa"/>
            <w:left w:w="108" w:type="dxa"/>
            <w:bottom w:w="0" w:type="dxa"/>
            <w:right w:w="108" w:type="dxa"/>
          </w:tblCellMar>
        </w:tblPrEx>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严格执行相关政策，保障工资及时、足额发放或社保及时、足额缴纳，预算编制科学合理，减少结余资金。</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保障退休人员生活补贴正常发放</w:t>
            </w:r>
          </w:p>
        </w:tc>
      </w:tr>
      <w:tr>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保障退休人员生活补贴正常发放</w:t>
            </w:r>
          </w:p>
        </w:tc>
      </w:tr>
      <w:tr>
        <w:tblPrEx>
          <w:tblCellMar>
            <w:top w:w="0" w:type="dxa"/>
            <w:left w:w="108" w:type="dxa"/>
            <w:bottom w:w="0" w:type="dxa"/>
            <w:right w:w="108" w:type="dxa"/>
          </w:tblCellMar>
        </w:tblPrEx>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47.88</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47.88</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47.88</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47.88</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47.88</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47.88</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发放（缴纳）覆盖率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足额保障率（参保率）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保障工资及时、足额发放或社保及时、足额缴纳。</w:t>
            </w:r>
          </w:p>
        </w:tc>
      </w:tr>
      <w:tr>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blPrEx>
          <w:tblCellMar>
            <w:top w:w="0" w:type="dxa"/>
            <w:left w:w="108" w:type="dxa"/>
            <w:bottom w:w="0" w:type="dxa"/>
            <w:right w:w="108" w:type="dxa"/>
          </w:tblCellMar>
        </w:tblPrEx>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51080024R000010825886-遗属生活补助</w:t>
            </w:r>
          </w:p>
        </w:tc>
      </w:tr>
      <w:tr>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blPrEx>
          <w:tblCellMar>
            <w:top w:w="0" w:type="dxa"/>
            <w:left w:w="108" w:type="dxa"/>
            <w:bottom w:w="0" w:type="dxa"/>
            <w:right w:w="108" w:type="dxa"/>
          </w:tblCellMar>
        </w:tblPrEx>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严格执行相关政策，保障工资及时、足额发放或社保及时、足额缴纳，预算编制科学合理，减少结余资金。</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保障遗属生活补助</w:t>
            </w:r>
          </w:p>
        </w:tc>
      </w:tr>
      <w:tr>
        <w:tblPrEx>
          <w:tblCellMar>
            <w:top w:w="0" w:type="dxa"/>
            <w:left w:w="108" w:type="dxa"/>
            <w:bottom w:w="0" w:type="dxa"/>
            <w:right w:w="108" w:type="dxa"/>
          </w:tblCellMar>
        </w:tblPrEx>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保障遗属生活补助</w:t>
            </w:r>
          </w:p>
        </w:tc>
      </w:tr>
      <w:tr>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1.21</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1.21</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1.21</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1.21</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1.21</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1.21</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发放（缴纳）覆盖率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足额保障率（参保率）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保障工资及时、足额发放或社保及时、足额缴纳。</w:t>
            </w:r>
          </w:p>
        </w:tc>
      </w:tr>
      <w:tr>
        <w:tblPrEx>
          <w:tblCellMar>
            <w:top w:w="0" w:type="dxa"/>
            <w:left w:w="108" w:type="dxa"/>
            <w:bottom w:w="0" w:type="dxa"/>
            <w:right w:w="108" w:type="dxa"/>
          </w:tblCellMar>
        </w:tblPrEx>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51080024R000010828112-行政人员工资性支出</w:t>
            </w:r>
          </w:p>
        </w:tc>
      </w:tr>
      <w:tr>
        <w:tblPrEx>
          <w:tblCellMar>
            <w:top w:w="0" w:type="dxa"/>
            <w:left w:w="108" w:type="dxa"/>
            <w:bottom w:w="0" w:type="dxa"/>
            <w:right w:w="108" w:type="dxa"/>
          </w:tblCellMar>
        </w:tblPrEx>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严格执行相关政策，保障工资及时、足额发放或社保及时、足额缴纳，预算编制科学合理，减少结余资金。</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保障工资及时、足额发放</w:t>
            </w:r>
          </w:p>
        </w:tc>
      </w:tr>
      <w:tr>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保障工资及时、足额发放</w:t>
            </w:r>
          </w:p>
        </w:tc>
      </w:tr>
      <w:tr>
        <w:tblPrEx>
          <w:tblCellMar>
            <w:top w:w="0" w:type="dxa"/>
            <w:left w:w="108" w:type="dxa"/>
            <w:bottom w:w="0" w:type="dxa"/>
            <w:right w:w="108" w:type="dxa"/>
          </w:tblCellMar>
        </w:tblPrEx>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448.45</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394.32</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392.17</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99.46%</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448.45</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394.32</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392.17</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99.46%</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发放（缴纳）覆盖率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足额保障率（参保率）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保障工资及时、足额发放或社保及时、足额缴纳。</w:t>
            </w:r>
          </w:p>
        </w:tc>
      </w:tr>
      <w:tr>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blPrEx>
          <w:tblCellMar>
            <w:top w:w="0" w:type="dxa"/>
            <w:left w:w="108" w:type="dxa"/>
            <w:bottom w:w="0" w:type="dxa"/>
            <w:right w:w="108" w:type="dxa"/>
          </w:tblCellMar>
        </w:tblPrEx>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51080024R000010851755-人员其他支出</w:t>
            </w:r>
          </w:p>
        </w:tc>
      </w:tr>
      <w:tr>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blPrEx>
          <w:tblCellMar>
            <w:top w:w="0" w:type="dxa"/>
            <w:left w:w="108" w:type="dxa"/>
            <w:bottom w:w="0" w:type="dxa"/>
            <w:right w:w="108" w:type="dxa"/>
          </w:tblCellMar>
        </w:tblPrEx>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严格执行相关政策，保障工资及时、足额发放或社保及时、足额缴纳，预算编制科学合理，减少结余资金。</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保障工资及时、足额发放</w:t>
            </w:r>
          </w:p>
        </w:tc>
      </w:tr>
      <w:tr>
        <w:tblPrEx>
          <w:tblCellMar>
            <w:top w:w="0" w:type="dxa"/>
            <w:left w:w="108" w:type="dxa"/>
            <w:bottom w:w="0" w:type="dxa"/>
            <w:right w:w="108" w:type="dxa"/>
          </w:tblCellMar>
        </w:tblPrEx>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保障工资及时、足额发放</w:t>
            </w:r>
          </w:p>
        </w:tc>
      </w:tr>
      <w:tr>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1.28</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1.28</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1.28</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1.28</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1.28</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1.28</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发放（缴纳）覆盖率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足额保障率（参保率）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保障工资及时、足额发放或社保及时、足额缴纳。</w:t>
            </w:r>
          </w:p>
        </w:tc>
      </w:tr>
      <w:tr>
        <w:tblPrEx>
          <w:tblCellMar>
            <w:top w:w="0" w:type="dxa"/>
            <w:left w:w="108" w:type="dxa"/>
            <w:bottom w:w="0" w:type="dxa"/>
            <w:right w:w="108" w:type="dxa"/>
          </w:tblCellMar>
        </w:tblPrEx>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51080024</w:t>
            </w:r>
            <w:bookmarkStart w:id="110" w:name="_GoBack"/>
            <w:r>
              <w:rPr>
                <w:rFonts w:ascii="宋体" w:hAnsi="宋体" w:cs="宋体"/>
                <w:color w:val="000000"/>
                <w:kern w:val="0"/>
                <w:sz w:val="18"/>
                <w:szCs w:val="18"/>
              </w:rPr>
              <w:t>Y</w:t>
            </w:r>
            <w:bookmarkEnd w:id="110"/>
            <w:r>
              <w:rPr>
                <w:rFonts w:ascii="宋体" w:hAnsi="宋体" w:cs="宋体"/>
                <w:color w:val="000000"/>
                <w:kern w:val="0"/>
                <w:sz w:val="18"/>
                <w:szCs w:val="18"/>
              </w:rPr>
              <w:t>000010826991-公用经费1（福利费、工会经费）</w:t>
            </w:r>
          </w:p>
        </w:tc>
      </w:tr>
      <w:tr>
        <w:tblPrEx>
          <w:tblCellMar>
            <w:top w:w="0" w:type="dxa"/>
            <w:left w:w="108" w:type="dxa"/>
            <w:bottom w:w="0" w:type="dxa"/>
            <w:right w:w="108" w:type="dxa"/>
          </w:tblCellMar>
        </w:tblPrEx>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提高预算编制质量，严格执行预算，保障单位日常运转。</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保障民警工会、福利费正常使用。</w:t>
            </w:r>
          </w:p>
        </w:tc>
      </w:tr>
      <w:tr>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民工会、福利费按相关规定正常使用。</w:t>
            </w:r>
          </w:p>
        </w:tc>
      </w:tr>
      <w:tr>
        <w:tblPrEx>
          <w:tblCellMar>
            <w:top w:w="0" w:type="dxa"/>
            <w:left w:w="108" w:type="dxa"/>
            <w:bottom w:w="0" w:type="dxa"/>
            <w:right w:w="108" w:type="dxa"/>
          </w:tblCellMar>
        </w:tblPrEx>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10.35</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10.35</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10.35</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10.35</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10.35</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10.35</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67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预算编制准确率（计算方法为：∣（执行数-预算数）/预算数∣）</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904"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“三公经费”控制率[计算方法为：（三公经费实际支出数/预算安排数]×100%）</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运转保障率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保障单位日常运转。</w:t>
            </w:r>
          </w:p>
        </w:tc>
      </w:tr>
      <w:tr>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blPrEx>
          <w:tblCellMar>
            <w:top w:w="0" w:type="dxa"/>
            <w:left w:w="108" w:type="dxa"/>
            <w:bottom w:w="0" w:type="dxa"/>
            <w:right w:w="108" w:type="dxa"/>
          </w:tblCellMar>
        </w:tblPrEx>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51080024Y000010829138-定额公用经费（行政）</w:t>
            </w:r>
          </w:p>
        </w:tc>
      </w:tr>
      <w:tr>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blPrEx>
          <w:tblCellMar>
            <w:top w:w="0" w:type="dxa"/>
            <w:left w:w="108" w:type="dxa"/>
            <w:bottom w:w="0" w:type="dxa"/>
            <w:right w:w="108" w:type="dxa"/>
          </w:tblCellMar>
        </w:tblPrEx>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提高预算编制质量，严格执行预算，保障单位日常运转。</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保障单位日常运转。</w:t>
            </w:r>
          </w:p>
        </w:tc>
      </w:tr>
      <w:tr>
        <w:tblPrEx>
          <w:tblCellMar>
            <w:top w:w="0" w:type="dxa"/>
            <w:left w:w="108" w:type="dxa"/>
            <w:bottom w:w="0" w:type="dxa"/>
            <w:right w:w="108" w:type="dxa"/>
          </w:tblCellMar>
        </w:tblPrEx>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保障单位日常运转。</w:t>
            </w:r>
          </w:p>
        </w:tc>
      </w:tr>
      <w:tr>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67.50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67.50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67.39</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99.84%</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67.50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67.50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67.39</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99.84%</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67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预算编制准确率（计算方法为：∣（执行数-预算数）/预算数∣）</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904"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“三公经费”控制率[计算方法为：（三公经费实际支出数/预算安排数]×100%）</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运转保障率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保障单位日常运转。</w:t>
            </w:r>
          </w:p>
        </w:tc>
      </w:tr>
      <w:tr>
        <w:tblPrEx>
          <w:tblCellMar>
            <w:top w:w="0" w:type="dxa"/>
            <w:left w:w="108" w:type="dxa"/>
            <w:bottom w:w="0" w:type="dxa"/>
            <w:right w:w="108" w:type="dxa"/>
          </w:tblCellMar>
        </w:tblPrEx>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r>
        <w:trPr>
          <w:trHeight w:val="286" w:hRule="atLeast"/>
        </w:trPr>
        <w:tc>
          <w:tcPr>
            <w:tcW w:w="465" w:type="dxa"/>
            <w:tcBorders>
              <w:top w:val="nil"/>
              <w:left w:val="nil"/>
              <w:bottom w:val="nil"/>
              <w:right w:val="nil"/>
            </w:tcBorders>
            <w:vAlign w:val="center"/>
          </w:tcPr>
          <w:p>
            <w:pPr>
              <w:rPr>
                <w:rFonts w:ascii="宋体" w:hAnsi="宋体" w:cs="宋体"/>
                <w:color w:val="000000"/>
                <w:sz w:val="18"/>
                <w:szCs w:val="18"/>
              </w:rPr>
            </w:pPr>
          </w:p>
        </w:tc>
        <w:tc>
          <w:tcPr>
            <w:tcW w:w="1219" w:type="dxa"/>
            <w:tcBorders>
              <w:top w:val="nil"/>
              <w:left w:val="nil"/>
              <w:bottom w:val="nil"/>
              <w:right w:val="nil"/>
            </w:tcBorders>
            <w:vAlign w:val="center"/>
          </w:tcPr>
          <w:p>
            <w:pPr>
              <w:rPr>
                <w:rFonts w:ascii="宋体" w:hAnsi="宋体" w:cs="宋体"/>
                <w:color w:val="000000"/>
                <w:sz w:val="18"/>
                <w:szCs w:val="18"/>
              </w:rPr>
            </w:pPr>
          </w:p>
        </w:tc>
        <w:tc>
          <w:tcPr>
            <w:tcW w:w="1251" w:type="dxa"/>
            <w:tcBorders>
              <w:top w:val="nil"/>
              <w:left w:val="nil"/>
              <w:bottom w:val="nil"/>
              <w:right w:val="nil"/>
            </w:tcBorders>
            <w:vAlign w:val="center"/>
          </w:tcPr>
          <w:p>
            <w:pPr>
              <w:rPr>
                <w:rFonts w:ascii="宋体" w:hAnsi="宋体" w:cs="宋体"/>
                <w:color w:val="000000"/>
                <w:sz w:val="18"/>
                <w:szCs w:val="18"/>
              </w:rPr>
            </w:pPr>
          </w:p>
        </w:tc>
        <w:tc>
          <w:tcPr>
            <w:tcW w:w="1799" w:type="dxa"/>
            <w:tcBorders>
              <w:top w:val="nil"/>
              <w:left w:val="nil"/>
              <w:bottom w:val="nil"/>
              <w:right w:val="nil"/>
            </w:tcBorders>
            <w:vAlign w:val="center"/>
          </w:tcPr>
          <w:p>
            <w:pPr>
              <w:rPr>
                <w:rFonts w:ascii="宋体" w:hAnsi="宋体" w:cs="宋体"/>
                <w:color w:val="000000"/>
                <w:sz w:val="18"/>
                <w:szCs w:val="18"/>
              </w:rPr>
            </w:pPr>
          </w:p>
        </w:tc>
        <w:tc>
          <w:tcPr>
            <w:tcW w:w="559" w:type="dxa"/>
            <w:tcBorders>
              <w:top w:val="nil"/>
              <w:left w:val="nil"/>
              <w:bottom w:val="nil"/>
              <w:right w:val="nil"/>
            </w:tcBorders>
            <w:vAlign w:val="center"/>
          </w:tcPr>
          <w:p>
            <w:pPr>
              <w:rPr>
                <w:rFonts w:ascii="宋体" w:hAnsi="宋体" w:cs="宋体"/>
                <w:color w:val="000000"/>
                <w:sz w:val="18"/>
                <w:szCs w:val="18"/>
              </w:rPr>
            </w:pPr>
          </w:p>
        </w:tc>
        <w:tc>
          <w:tcPr>
            <w:tcW w:w="724" w:type="dxa"/>
            <w:tcBorders>
              <w:top w:val="nil"/>
              <w:left w:val="nil"/>
              <w:bottom w:val="nil"/>
              <w:right w:val="nil"/>
            </w:tcBorders>
            <w:vAlign w:val="center"/>
          </w:tcPr>
          <w:p>
            <w:pPr>
              <w:rPr>
                <w:rFonts w:ascii="宋体" w:hAnsi="宋体" w:cs="宋体"/>
                <w:color w:val="000000"/>
                <w:sz w:val="18"/>
                <w:szCs w:val="18"/>
              </w:rPr>
            </w:pPr>
          </w:p>
        </w:tc>
        <w:tc>
          <w:tcPr>
            <w:tcW w:w="465" w:type="dxa"/>
            <w:tcBorders>
              <w:top w:val="nil"/>
              <w:left w:val="nil"/>
              <w:bottom w:val="nil"/>
              <w:right w:val="nil"/>
            </w:tcBorders>
            <w:vAlign w:val="center"/>
          </w:tcPr>
          <w:p>
            <w:pPr>
              <w:rPr>
                <w:rFonts w:ascii="宋体" w:hAnsi="宋体" w:cs="宋体"/>
                <w:color w:val="000000"/>
                <w:sz w:val="18"/>
                <w:szCs w:val="18"/>
              </w:rPr>
            </w:pPr>
          </w:p>
        </w:tc>
        <w:tc>
          <w:tcPr>
            <w:tcW w:w="900" w:type="dxa"/>
            <w:tcBorders>
              <w:top w:val="nil"/>
              <w:left w:val="nil"/>
              <w:bottom w:val="nil"/>
              <w:right w:val="nil"/>
            </w:tcBorders>
            <w:vAlign w:val="center"/>
          </w:tcPr>
          <w:p>
            <w:pPr>
              <w:rPr>
                <w:rFonts w:ascii="宋体" w:hAnsi="宋体" w:cs="宋体"/>
                <w:color w:val="000000"/>
                <w:sz w:val="18"/>
                <w:szCs w:val="18"/>
              </w:rPr>
            </w:pPr>
          </w:p>
        </w:tc>
        <w:tc>
          <w:tcPr>
            <w:tcW w:w="505" w:type="dxa"/>
            <w:tcBorders>
              <w:top w:val="nil"/>
              <w:left w:val="nil"/>
              <w:bottom w:val="nil"/>
              <w:right w:val="nil"/>
            </w:tcBorders>
            <w:vAlign w:val="center"/>
          </w:tcPr>
          <w:p>
            <w:pPr>
              <w:rPr>
                <w:rFonts w:ascii="宋体" w:hAnsi="宋体" w:cs="宋体"/>
                <w:color w:val="000000"/>
                <w:sz w:val="18"/>
                <w:szCs w:val="18"/>
              </w:rPr>
            </w:pPr>
          </w:p>
        </w:tc>
        <w:tc>
          <w:tcPr>
            <w:tcW w:w="456" w:type="dxa"/>
            <w:tcBorders>
              <w:top w:val="nil"/>
              <w:left w:val="nil"/>
              <w:bottom w:val="nil"/>
              <w:right w:val="nil"/>
            </w:tcBorders>
            <w:vAlign w:val="center"/>
          </w:tcPr>
          <w:p>
            <w:pPr>
              <w:rPr>
                <w:rFonts w:ascii="宋体" w:hAnsi="宋体" w:cs="宋体"/>
                <w:color w:val="000000"/>
                <w:sz w:val="18"/>
                <w:szCs w:val="18"/>
              </w:rPr>
            </w:pPr>
          </w:p>
        </w:tc>
        <w:tc>
          <w:tcPr>
            <w:tcW w:w="1810" w:type="dxa"/>
            <w:tcBorders>
              <w:top w:val="nil"/>
              <w:left w:val="nil"/>
              <w:bottom w:val="nil"/>
              <w:right w:val="nil"/>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904" w:hRule="atLeast"/>
        </w:trPr>
        <w:tc>
          <w:tcPr>
            <w:tcW w:w="10153"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部门预算项目支出绩效自评表（2024年度）</w:t>
            </w:r>
          </w:p>
        </w:tc>
      </w:tr>
      <w:tr>
        <w:trPr>
          <w:trHeight w:val="286"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51080024Y000010829846-公用经费2（公车补贴、党建、退休活动）</w:t>
            </w:r>
          </w:p>
        </w:tc>
      </w:tr>
      <w:tr>
        <w:tblPrEx>
          <w:tblCellMar>
            <w:top w:w="0" w:type="dxa"/>
            <w:left w:w="108" w:type="dxa"/>
            <w:bottom w:w="0" w:type="dxa"/>
            <w:right w:w="108" w:type="dxa"/>
          </w:tblCellMar>
        </w:tblPrEx>
        <w:trPr>
          <w:trHeight w:val="512" w:hRule="atLeast"/>
        </w:trPr>
        <w:tc>
          <w:tcPr>
            <w:tcW w:w="168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00" w:type="dxa"/>
            <w:tcBorders>
              <w:top w:val="nil"/>
              <w:left w:val="nil"/>
              <w:bottom w:val="nil"/>
              <w:right w:val="nil"/>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w:t>
            </w:r>
            <w:r>
              <w:rPr>
                <w:rFonts w:hint="eastAsia" w:ascii="宋体" w:hAnsi="宋体" w:cs="宋体"/>
                <w:color w:val="000000"/>
                <w:kern w:val="0"/>
                <w:sz w:val="18"/>
                <w:szCs w:val="18"/>
              </w:rPr>
              <w:t>宝珠寺公安分局</w:t>
            </w:r>
          </w:p>
        </w:tc>
      </w:tr>
      <w:tr>
        <w:trPr>
          <w:trHeight w:val="286"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4798"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提高预算编制质量，严格执行预算，保障单位日常运转。</w:t>
            </w:r>
          </w:p>
        </w:tc>
        <w:tc>
          <w:tcPr>
            <w:tcW w:w="367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民警公车补贴每月按标准发放，党建、退休活动经费按相关规定正常使用。</w:t>
            </w:r>
          </w:p>
        </w:tc>
      </w:tr>
      <w:tr>
        <w:trPr>
          <w:trHeight w:val="69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9"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民警公车补贴每月按标准发放，党建、退休活动经费按相关规定正常使用。</w:t>
            </w:r>
          </w:p>
        </w:tc>
      </w:tr>
      <w:tr>
        <w:tblPrEx>
          <w:tblCellMar>
            <w:top w:w="0" w:type="dxa"/>
            <w:left w:w="108" w:type="dxa"/>
            <w:bottom w:w="0" w:type="dxa"/>
            <w:right w:w="108" w:type="dxa"/>
          </w:tblCellMar>
        </w:tblPrEx>
        <w:trPr>
          <w:trHeight w:val="361"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rPr>
          <w:trHeight w:val="346"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47.42</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47.42</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43.75</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92.25%</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w:t>
            </w:r>
            <w:r>
              <w:rPr>
                <w:rFonts w:hint="eastAsia" w:ascii="黑体" w:hAnsi="黑体" w:eastAsia="黑体" w:cs="黑体"/>
                <w:i/>
                <w:iCs/>
                <w:color w:val="000000"/>
                <w:kern w:val="0"/>
                <w:sz w:val="18"/>
                <w:szCs w:val="18"/>
                <w:lang w:eastAsia="zh-CN"/>
              </w:rPr>
              <w:t>，</w:t>
            </w:r>
            <w:r>
              <w:rPr>
                <w:rFonts w:hint="eastAsia" w:ascii="黑体" w:hAnsi="黑体" w:eastAsia="黑体" w:cs="黑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47.42</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47.42</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43.75</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92.25%</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407"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61"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51"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99"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174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90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1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5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67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预算编制准确率（计算方法为：∣（执行数-预算数）/预算数∣）</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904"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“三公经费”控制率[计算方法为：（三公经费实际支出数/预算安排数]×100%）</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7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运转保障率</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i/>
                <w:iCs/>
                <w:color w:val="000000"/>
                <w:sz w:val="16"/>
                <w:szCs w:val="16"/>
              </w:rPr>
            </w:pPr>
          </w:p>
        </w:tc>
      </w:tr>
      <w:tr>
        <w:trPr>
          <w:trHeight w:val="286" w:hRule="atLeast"/>
        </w:trPr>
        <w:tc>
          <w:tcPr>
            <w:tcW w:w="7382"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项目得分100分</w:t>
            </w:r>
            <w:r>
              <w:rPr>
                <w:rFonts w:hint="eastAsia" w:ascii="微软雅黑" w:hAnsi="微软雅黑" w:eastAsia="微软雅黑" w:cs="微软雅黑"/>
                <w:color w:val="000000"/>
                <w:kern w:val="0"/>
                <w:sz w:val="16"/>
                <w:szCs w:val="16"/>
              </w:rPr>
              <w:br w:type="textWrapping"/>
            </w:r>
            <w:r>
              <w:rPr>
                <w:rFonts w:hint="eastAsia" w:ascii="微软雅黑" w:hAnsi="微软雅黑" w:eastAsia="微软雅黑" w:cs="微软雅黑"/>
                <w:color w:val="000000"/>
                <w:kern w:val="0"/>
                <w:sz w:val="16"/>
                <w:szCs w:val="16"/>
              </w:rPr>
              <w:t>保障单位日常运转。</w:t>
            </w:r>
          </w:p>
        </w:tc>
      </w:tr>
      <w:tr>
        <w:trPr>
          <w:trHeight w:val="572"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blPrEx>
          <w:tblCellMar>
            <w:top w:w="0" w:type="dxa"/>
            <w:left w:w="108" w:type="dxa"/>
            <w:bottom w:w="0" w:type="dxa"/>
            <w:right w:w="108" w:type="dxa"/>
          </w:tblCellMar>
        </w:tblPrEx>
        <w:trPr>
          <w:trHeight w:val="633"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88"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无</w:t>
            </w:r>
          </w:p>
        </w:tc>
      </w:tr>
      <w:tr>
        <w:trPr>
          <w:trHeight w:val="286" w:hRule="atLeast"/>
        </w:trPr>
        <w:tc>
          <w:tcPr>
            <w:tcW w:w="5293"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项目负责人：蒲玉文</w:t>
            </w:r>
          </w:p>
        </w:tc>
        <w:tc>
          <w:tcPr>
            <w:tcW w:w="4860"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w:t>
            </w:r>
          </w:p>
        </w:tc>
      </w:tr>
    </w:tbl>
    <w:p>
      <w:pPr>
        <w:spacing w:line="572" w:lineRule="exact"/>
        <w:jc w:val="left"/>
        <w:outlineLvl w:val="0"/>
        <w:rPr>
          <w:rFonts w:ascii="黑体" w:hAnsi="黑体" w:eastAsia="黑体" w:cs="黑体"/>
          <w:color w:val="FF0000"/>
          <w:sz w:val="32"/>
          <w:szCs w:val="32"/>
        </w:rPr>
      </w:pPr>
    </w:p>
    <w:p>
      <w:pPr>
        <w:widowControl/>
        <w:jc w:val="center"/>
        <w:rPr>
          <w:rFonts w:ascii="黑体" w:hAnsi="黑体" w:eastAsia="黑体"/>
          <w:sz w:val="44"/>
          <w:szCs w:val="44"/>
        </w:rPr>
      </w:pPr>
      <w:bookmarkStart w:id="82" w:name="_Toc15396618"/>
    </w:p>
    <w:p>
      <w:pPr>
        <w:widowControl/>
        <w:jc w:val="center"/>
        <w:rPr>
          <w:rFonts w:ascii="黑体" w:hAnsi="黑体" w:eastAsia="黑体"/>
          <w:sz w:val="44"/>
          <w:szCs w:val="44"/>
        </w:rPr>
      </w:pPr>
    </w:p>
    <w:p>
      <w:pPr>
        <w:widowControl/>
        <w:jc w:val="center"/>
        <w:rPr>
          <w:rFonts w:ascii="黑体" w:hAnsi="黑体" w:eastAsia="黑体"/>
          <w:sz w:val="44"/>
          <w:szCs w:val="44"/>
        </w:rPr>
      </w:pPr>
    </w:p>
    <w:p>
      <w:pPr>
        <w:widowControl/>
        <w:jc w:val="center"/>
        <w:rPr>
          <w:rFonts w:ascii="黑体" w:hAnsi="黑体" w:eastAsia="黑体"/>
          <w:sz w:val="44"/>
          <w:szCs w:val="44"/>
        </w:rPr>
      </w:pPr>
    </w:p>
    <w:p>
      <w:pPr>
        <w:pStyle w:val="3"/>
        <w:bidi w:val="0"/>
        <w:jc w:val="center"/>
        <w:rPr>
          <w:rFonts w:ascii="仿宋" w:hAnsi="仿宋" w:eastAsia="仿宋"/>
        </w:rPr>
      </w:pPr>
      <w:bookmarkStart w:id="83" w:name="_Toc18983"/>
      <w:r>
        <w:rPr>
          <w:rFonts w:hint="eastAsia" w:ascii="黑体" w:hAnsi="黑体" w:eastAsia="黑体"/>
          <w:sz w:val="44"/>
          <w:szCs w:val="44"/>
        </w:rPr>
        <w:t>第</w:t>
      </w:r>
      <w:r>
        <w:rPr>
          <w:rStyle w:val="19"/>
          <w:rFonts w:hint="eastAsia" w:ascii="黑体" w:hAnsi="黑体" w:eastAsia="黑体"/>
          <w:b w:val="0"/>
          <w:bCs/>
        </w:rPr>
        <w:t>五部分 附表</w:t>
      </w:r>
      <w:bookmarkEnd w:id="79"/>
      <w:bookmarkEnd w:id="82"/>
      <w:bookmarkEnd w:id="83"/>
      <w:bookmarkStart w:id="84" w:name="_Toc15396619"/>
    </w:p>
    <w:p>
      <w:pPr>
        <w:pStyle w:val="4"/>
        <w:rPr>
          <w:rFonts w:ascii="仿宋_GB2312" w:hAnsi="仿宋_GB2312" w:eastAsia="仿宋_GB2312" w:cs="仿宋_GB2312"/>
        </w:rPr>
      </w:pPr>
      <w:bookmarkStart w:id="85" w:name="_Toc25119"/>
      <w:r>
        <w:rPr>
          <w:rFonts w:hint="eastAsia" w:ascii="仿宋_GB2312" w:hAnsi="仿宋_GB2312" w:eastAsia="仿宋_GB2312" w:cs="仿宋_GB2312"/>
          <w:b w:val="0"/>
        </w:rPr>
        <w:t>一、收</w:t>
      </w:r>
      <w:r>
        <w:rPr>
          <w:rStyle w:val="20"/>
          <w:rFonts w:hint="eastAsia" w:ascii="仿宋_GB2312" w:hAnsi="仿宋_GB2312" w:eastAsia="仿宋_GB2312" w:cs="仿宋_GB2312"/>
          <w:b w:val="0"/>
          <w:bCs w:val="0"/>
        </w:rPr>
        <w:t>入支出决算总表</w:t>
      </w:r>
      <w:bookmarkEnd w:id="84"/>
      <w:bookmarkEnd w:id="85"/>
    </w:p>
    <w:p>
      <w:pPr>
        <w:pStyle w:val="4"/>
        <w:rPr>
          <w:rFonts w:ascii="仿宋_GB2312" w:hAnsi="仿宋_GB2312" w:eastAsia="仿宋_GB2312" w:cs="仿宋_GB2312"/>
        </w:rPr>
      </w:pPr>
      <w:bookmarkStart w:id="86" w:name="_Toc27759"/>
      <w:bookmarkStart w:id="87" w:name="_Toc15396620"/>
      <w:r>
        <w:rPr>
          <w:rFonts w:hint="eastAsia" w:ascii="仿宋_GB2312" w:hAnsi="仿宋_GB2312" w:eastAsia="仿宋_GB2312" w:cs="仿宋_GB2312"/>
          <w:b w:val="0"/>
        </w:rPr>
        <w:t>二、收</w:t>
      </w:r>
      <w:r>
        <w:rPr>
          <w:rStyle w:val="20"/>
          <w:rFonts w:hint="eastAsia" w:ascii="仿宋_GB2312" w:hAnsi="仿宋_GB2312" w:eastAsia="仿宋_GB2312" w:cs="仿宋_GB2312"/>
          <w:b w:val="0"/>
          <w:bCs w:val="0"/>
        </w:rPr>
        <w:t>入决算表</w:t>
      </w:r>
      <w:bookmarkEnd w:id="86"/>
      <w:bookmarkEnd w:id="87"/>
    </w:p>
    <w:p>
      <w:pPr>
        <w:pStyle w:val="4"/>
        <w:rPr>
          <w:rFonts w:ascii="仿宋_GB2312" w:hAnsi="仿宋_GB2312" w:eastAsia="仿宋_GB2312" w:cs="仿宋_GB2312"/>
        </w:rPr>
      </w:pPr>
      <w:bookmarkStart w:id="88" w:name="_Toc27400"/>
      <w:bookmarkStart w:id="89" w:name="_Toc15396621"/>
      <w:r>
        <w:rPr>
          <w:rStyle w:val="20"/>
          <w:rFonts w:hint="eastAsia" w:ascii="仿宋_GB2312" w:hAnsi="仿宋_GB2312" w:eastAsia="仿宋_GB2312" w:cs="仿宋_GB2312"/>
          <w:b w:val="0"/>
          <w:bCs w:val="0"/>
        </w:rPr>
        <w:t>三、</w:t>
      </w:r>
      <w:r>
        <w:rPr>
          <w:rFonts w:hint="eastAsia" w:ascii="仿宋_GB2312" w:hAnsi="仿宋_GB2312" w:eastAsia="仿宋_GB2312" w:cs="仿宋_GB2312"/>
          <w:b w:val="0"/>
        </w:rPr>
        <w:t>支</w:t>
      </w:r>
      <w:r>
        <w:rPr>
          <w:rStyle w:val="20"/>
          <w:rFonts w:hint="eastAsia" w:ascii="仿宋_GB2312" w:hAnsi="仿宋_GB2312" w:eastAsia="仿宋_GB2312" w:cs="仿宋_GB2312"/>
          <w:b w:val="0"/>
          <w:bCs w:val="0"/>
        </w:rPr>
        <w:t>出决算表</w:t>
      </w:r>
      <w:bookmarkEnd w:id="88"/>
      <w:bookmarkEnd w:id="89"/>
    </w:p>
    <w:p>
      <w:pPr>
        <w:pStyle w:val="4"/>
        <w:rPr>
          <w:rFonts w:ascii="仿宋_GB2312" w:hAnsi="仿宋_GB2312" w:eastAsia="仿宋_GB2312" w:cs="仿宋_GB2312"/>
          <w:b w:val="0"/>
        </w:rPr>
      </w:pPr>
      <w:bookmarkStart w:id="90" w:name="_Toc15396622"/>
      <w:bookmarkStart w:id="91" w:name="_Toc6670"/>
      <w:r>
        <w:rPr>
          <w:rStyle w:val="20"/>
          <w:rFonts w:hint="eastAsia" w:ascii="仿宋_GB2312" w:hAnsi="仿宋_GB2312" w:eastAsia="仿宋_GB2312" w:cs="仿宋_GB2312"/>
          <w:b w:val="0"/>
          <w:bCs w:val="0"/>
        </w:rPr>
        <w:t>四、</w:t>
      </w:r>
      <w:r>
        <w:rPr>
          <w:rFonts w:hint="eastAsia" w:ascii="仿宋_GB2312" w:hAnsi="仿宋_GB2312" w:eastAsia="仿宋_GB2312" w:cs="仿宋_GB2312"/>
          <w:b w:val="0"/>
        </w:rPr>
        <w:t>财</w:t>
      </w:r>
      <w:r>
        <w:rPr>
          <w:rStyle w:val="20"/>
          <w:rFonts w:hint="eastAsia" w:ascii="仿宋_GB2312" w:hAnsi="仿宋_GB2312" w:eastAsia="仿宋_GB2312" w:cs="仿宋_GB2312"/>
          <w:b w:val="0"/>
          <w:bCs w:val="0"/>
        </w:rPr>
        <w:t>政拨款收入支出决算总表</w:t>
      </w:r>
      <w:bookmarkEnd w:id="90"/>
      <w:bookmarkEnd w:id="91"/>
    </w:p>
    <w:p>
      <w:pPr>
        <w:pStyle w:val="4"/>
        <w:rPr>
          <w:rStyle w:val="20"/>
          <w:rFonts w:ascii="仿宋_GB2312" w:hAnsi="仿宋_GB2312" w:eastAsia="仿宋_GB2312" w:cs="仿宋_GB2312"/>
          <w:b w:val="0"/>
          <w:bCs w:val="0"/>
        </w:rPr>
      </w:pPr>
      <w:bookmarkStart w:id="92" w:name="_Toc16952"/>
      <w:bookmarkStart w:id="93" w:name="_Toc15396623"/>
      <w:r>
        <w:rPr>
          <w:rStyle w:val="20"/>
          <w:rFonts w:hint="eastAsia" w:ascii="仿宋_GB2312" w:hAnsi="仿宋_GB2312" w:eastAsia="仿宋_GB2312" w:cs="仿宋_GB2312"/>
          <w:b w:val="0"/>
          <w:bCs w:val="0"/>
        </w:rPr>
        <w:t>五、</w:t>
      </w:r>
      <w:r>
        <w:rPr>
          <w:rFonts w:hint="eastAsia" w:ascii="仿宋_GB2312" w:hAnsi="仿宋_GB2312" w:eastAsia="仿宋_GB2312" w:cs="仿宋_GB2312"/>
          <w:b w:val="0"/>
        </w:rPr>
        <w:t>财</w:t>
      </w:r>
      <w:r>
        <w:rPr>
          <w:rStyle w:val="20"/>
          <w:rFonts w:hint="eastAsia" w:ascii="仿宋_GB2312" w:hAnsi="仿宋_GB2312" w:eastAsia="仿宋_GB2312" w:cs="仿宋_GB2312"/>
          <w:b w:val="0"/>
          <w:bCs w:val="0"/>
        </w:rPr>
        <w:t>政拨款支出决算明细表</w:t>
      </w:r>
      <w:bookmarkEnd w:id="92"/>
      <w:bookmarkEnd w:id="93"/>
      <w:bookmarkStart w:id="94" w:name="_Toc15396624"/>
    </w:p>
    <w:p>
      <w:pPr>
        <w:pStyle w:val="4"/>
        <w:rPr>
          <w:rFonts w:ascii="仿宋_GB2312" w:hAnsi="仿宋_GB2312" w:eastAsia="仿宋_GB2312" w:cs="仿宋_GB2312"/>
        </w:rPr>
      </w:pPr>
      <w:bookmarkStart w:id="95" w:name="_Toc18682"/>
      <w:r>
        <w:rPr>
          <w:rStyle w:val="20"/>
          <w:rFonts w:hint="eastAsia" w:ascii="仿宋_GB2312" w:hAnsi="仿宋_GB2312" w:eastAsia="仿宋_GB2312" w:cs="仿宋_GB2312"/>
          <w:b w:val="0"/>
          <w:bCs w:val="0"/>
        </w:rPr>
        <w:t>六、</w:t>
      </w:r>
      <w:r>
        <w:rPr>
          <w:rFonts w:hint="eastAsia" w:ascii="仿宋_GB2312" w:hAnsi="仿宋_GB2312" w:eastAsia="仿宋_GB2312" w:cs="仿宋_GB2312"/>
          <w:b w:val="0"/>
        </w:rPr>
        <w:t>一</w:t>
      </w:r>
      <w:r>
        <w:rPr>
          <w:rStyle w:val="20"/>
          <w:rFonts w:hint="eastAsia" w:ascii="仿宋_GB2312" w:hAnsi="仿宋_GB2312" w:eastAsia="仿宋_GB2312" w:cs="仿宋_GB2312"/>
          <w:b w:val="0"/>
          <w:bCs w:val="0"/>
        </w:rPr>
        <w:t>般公共预算财政拨款支出决算表</w:t>
      </w:r>
      <w:bookmarkEnd w:id="94"/>
      <w:bookmarkEnd w:id="95"/>
    </w:p>
    <w:p>
      <w:pPr>
        <w:pStyle w:val="4"/>
        <w:rPr>
          <w:rFonts w:ascii="仿宋_GB2312" w:hAnsi="仿宋_GB2312" w:eastAsia="仿宋_GB2312" w:cs="仿宋_GB2312"/>
        </w:rPr>
      </w:pPr>
      <w:bookmarkStart w:id="96" w:name="_Toc6695"/>
      <w:bookmarkStart w:id="97" w:name="_Toc15396625"/>
      <w:r>
        <w:rPr>
          <w:rStyle w:val="20"/>
          <w:rFonts w:hint="eastAsia" w:ascii="仿宋_GB2312" w:hAnsi="仿宋_GB2312" w:eastAsia="仿宋_GB2312" w:cs="仿宋_GB2312"/>
          <w:b w:val="0"/>
          <w:bCs w:val="0"/>
        </w:rPr>
        <w:t>七、</w:t>
      </w:r>
      <w:r>
        <w:rPr>
          <w:rFonts w:hint="eastAsia" w:ascii="仿宋_GB2312" w:hAnsi="仿宋_GB2312" w:eastAsia="仿宋_GB2312" w:cs="仿宋_GB2312"/>
          <w:b w:val="0"/>
        </w:rPr>
        <w:t>一</w:t>
      </w:r>
      <w:r>
        <w:rPr>
          <w:rStyle w:val="20"/>
          <w:rFonts w:hint="eastAsia" w:ascii="仿宋_GB2312" w:hAnsi="仿宋_GB2312" w:eastAsia="仿宋_GB2312" w:cs="仿宋_GB2312"/>
          <w:b w:val="0"/>
          <w:bCs w:val="0"/>
        </w:rPr>
        <w:t>般公共预算财政拨款支出决算明细表</w:t>
      </w:r>
      <w:bookmarkEnd w:id="96"/>
      <w:bookmarkEnd w:id="97"/>
    </w:p>
    <w:p>
      <w:pPr>
        <w:pStyle w:val="4"/>
        <w:rPr>
          <w:rFonts w:ascii="仿宋_GB2312" w:hAnsi="仿宋_GB2312" w:eastAsia="仿宋_GB2312" w:cs="仿宋_GB2312"/>
        </w:rPr>
      </w:pPr>
      <w:bookmarkStart w:id="98" w:name="_Toc3253"/>
      <w:bookmarkStart w:id="99" w:name="_Toc15396626"/>
      <w:r>
        <w:rPr>
          <w:rStyle w:val="20"/>
          <w:rFonts w:hint="eastAsia" w:ascii="仿宋_GB2312" w:hAnsi="仿宋_GB2312" w:eastAsia="仿宋_GB2312" w:cs="仿宋_GB2312"/>
          <w:b w:val="0"/>
          <w:bCs w:val="0"/>
        </w:rPr>
        <w:t>八、</w:t>
      </w:r>
      <w:r>
        <w:rPr>
          <w:rFonts w:hint="eastAsia" w:ascii="仿宋_GB2312" w:hAnsi="仿宋_GB2312" w:eastAsia="仿宋_GB2312" w:cs="仿宋_GB2312"/>
          <w:b w:val="0"/>
        </w:rPr>
        <w:t>一</w:t>
      </w:r>
      <w:r>
        <w:rPr>
          <w:rStyle w:val="20"/>
          <w:rFonts w:hint="eastAsia" w:ascii="仿宋_GB2312" w:hAnsi="仿宋_GB2312" w:eastAsia="仿宋_GB2312" w:cs="仿宋_GB2312"/>
          <w:b w:val="0"/>
          <w:bCs w:val="0"/>
        </w:rPr>
        <w:t>般公共预算财政拨款基本支出决算表</w:t>
      </w:r>
      <w:bookmarkEnd w:id="98"/>
      <w:bookmarkEnd w:id="99"/>
    </w:p>
    <w:p>
      <w:pPr>
        <w:pStyle w:val="4"/>
        <w:rPr>
          <w:rFonts w:ascii="仿宋_GB2312" w:hAnsi="仿宋_GB2312" w:eastAsia="仿宋_GB2312" w:cs="仿宋_GB2312"/>
        </w:rPr>
      </w:pPr>
      <w:bookmarkStart w:id="100" w:name="_Toc32630"/>
      <w:bookmarkStart w:id="101" w:name="_Toc15396627"/>
      <w:r>
        <w:rPr>
          <w:rStyle w:val="20"/>
          <w:rFonts w:hint="eastAsia" w:ascii="仿宋_GB2312" w:hAnsi="仿宋_GB2312" w:eastAsia="仿宋_GB2312" w:cs="仿宋_GB2312"/>
          <w:b w:val="0"/>
          <w:bCs w:val="0"/>
        </w:rPr>
        <w:t>九、</w:t>
      </w:r>
      <w:r>
        <w:rPr>
          <w:rFonts w:hint="eastAsia" w:ascii="仿宋_GB2312" w:hAnsi="仿宋_GB2312" w:eastAsia="仿宋_GB2312" w:cs="仿宋_GB2312"/>
          <w:b w:val="0"/>
        </w:rPr>
        <w:t>一</w:t>
      </w:r>
      <w:r>
        <w:rPr>
          <w:rStyle w:val="20"/>
          <w:rFonts w:hint="eastAsia" w:ascii="仿宋_GB2312" w:hAnsi="仿宋_GB2312" w:eastAsia="仿宋_GB2312" w:cs="仿宋_GB2312"/>
          <w:b w:val="0"/>
          <w:bCs w:val="0"/>
        </w:rPr>
        <w:t>般公共预算财政拨款项目支出决算表</w:t>
      </w:r>
      <w:bookmarkEnd w:id="100"/>
      <w:bookmarkEnd w:id="101"/>
    </w:p>
    <w:p>
      <w:pPr>
        <w:pStyle w:val="4"/>
        <w:rPr>
          <w:rFonts w:ascii="仿宋_GB2312" w:hAnsi="仿宋_GB2312" w:eastAsia="仿宋_GB2312" w:cs="仿宋_GB2312"/>
        </w:rPr>
      </w:pPr>
      <w:bookmarkStart w:id="102" w:name="_Toc15396628"/>
      <w:bookmarkStart w:id="103" w:name="_Toc4583"/>
      <w:r>
        <w:rPr>
          <w:rStyle w:val="20"/>
          <w:rFonts w:hint="eastAsia" w:ascii="仿宋_GB2312" w:hAnsi="仿宋_GB2312" w:eastAsia="仿宋_GB2312" w:cs="仿宋_GB2312"/>
          <w:b w:val="0"/>
          <w:bCs w:val="0"/>
        </w:rPr>
        <w:t>十、</w:t>
      </w:r>
      <w:bookmarkEnd w:id="102"/>
      <w:r>
        <w:rPr>
          <w:rFonts w:hint="eastAsia" w:ascii="仿宋_GB2312" w:hAnsi="仿宋_GB2312" w:eastAsia="仿宋_GB2312" w:cs="仿宋_GB2312"/>
          <w:b w:val="0"/>
        </w:rPr>
        <w:t>政</w:t>
      </w:r>
      <w:r>
        <w:rPr>
          <w:rStyle w:val="20"/>
          <w:rFonts w:hint="eastAsia" w:ascii="仿宋_GB2312" w:hAnsi="仿宋_GB2312" w:eastAsia="仿宋_GB2312" w:cs="仿宋_GB2312"/>
          <w:b w:val="0"/>
          <w:bCs w:val="0"/>
        </w:rPr>
        <w:t>府性基金预算财政拨款收入支出决算表</w:t>
      </w:r>
      <w:bookmarkEnd w:id="103"/>
    </w:p>
    <w:p>
      <w:pPr>
        <w:pStyle w:val="4"/>
        <w:rPr>
          <w:rFonts w:ascii="仿宋_GB2312" w:hAnsi="仿宋_GB2312" w:eastAsia="仿宋_GB2312" w:cs="仿宋_GB2312"/>
        </w:rPr>
      </w:pPr>
      <w:bookmarkStart w:id="104" w:name="_Toc15396629"/>
      <w:bookmarkStart w:id="105" w:name="_Toc31915"/>
      <w:r>
        <w:rPr>
          <w:rStyle w:val="20"/>
          <w:rFonts w:hint="eastAsia" w:ascii="仿宋_GB2312" w:hAnsi="仿宋_GB2312" w:eastAsia="仿宋_GB2312" w:cs="仿宋_GB2312"/>
          <w:b w:val="0"/>
          <w:bCs w:val="0"/>
        </w:rPr>
        <w:t>十一、</w:t>
      </w:r>
      <w:bookmarkEnd w:id="104"/>
      <w:r>
        <w:rPr>
          <w:rFonts w:hint="eastAsia" w:ascii="仿宋_GB2312" w:hAnsi="仿宋_GB2312" w:eastAsia="仿宋_GB2312" w:cs="仿宋_GB2312"/>
          <w:b w:val="0"/>
        </w:rPr>
        <w:t>国</w:t>
      </w:r>
      <w:r>
        <w:rPr>
          <w:rStyle w:val="20"/>
          <w:rFonts w:hint="eastAsia" w:ascii="仿宋_GB2312" w:hAnsi="仿宋_GB2312" w:eastAsia="仿宋_GB2312" w:cs="仿宋_GB2312"/>
          <w:b w:val="0"/>
          <w:bCs w:val="0"/>
        </w:rPr>
        <w:t>有资本经营预算财政拨款收入支出决算表</w:t>
      </w:r>
      <w:bookmarkEnd w:id="105"/>
    </w:p>
    <w:p>
      <w:pPr>
        <w:pStyle w:val="4"/>
        <w:rPr>
          <w:rFonts w:ascii="仿宋_GB2312" w:hAnsi="仿宋_GB2312" w:eastAsia="仿宋_GB2312" w:cs="仿宋_GB2312"/>
        </w:rPr>
      </w:pPr>
      <w:bookmarkStart w:id="106" w:name="_Toc15396630"/>
      <w:bookmarkStart w:id="107" w:name="_Toc28551"/>
      <w:r>
        <w:rPr>
          <w:rStyle w:val="20"/>
          <w:rFonts w:hint="eastAsia" w:ascii="仿宋_GB2312" w:hAnsi="仿宋_GB2312" w:eastAsia="仿宋_GB2312" w:cs="仿宋_GB2312"/>
          <w:b w:val="0"/>
          <w:bCs w:val="0"/>
        </w:rPr>
        <w:t>十二、</w:t>
      </w:r>
      <w:bookmarkEnd w:id="106"/>
      <w:r>
        <w:rPr>
          <w:rStyle w:val="20"/>
          <w:rFonts w:hint="eastAsia" w:ascii="仿宋_GB2312" w:hAnsi="仿宋_GB2312" w:eastAsia="仿宋_GB2312" w:cs="仿宋_GB2312"/>
          <w:b w:val="0"/>
          <w:bCs w:val="0"/>
        </w:rPr>
        <w:t>国有资本经营预算财政拨款支出决算表</w:t>
      </w:r>
      <w:bookmarkEnd w:id="107"/>
    </w:p>
    <w:p>
      <w:pPr>
        <w:pStyle w:val="4"/>
        <w:rPr>
          <w:rStyle w:val="20"/>
          <w:rFonts w:ascii="仿宋_GB2312" w:hAnsi="仿宋_GB2312" w:eastAsia="仿宋_GB2312" w:cs="仿宋_GB2312"/>
          <w:b w:val="0"/>
          <w:bCs w:val="0"/>
        </w:rPr>
      </w:pPr>
      <w:bookmarkStart w:id="108" w:name="_Toc15396631"/>
      <w:bookmarkStart w:id="109" w:name="_Toc28968"/>
      <w:r>
        <w:rPr>
          <w:rStyle w:val="20"/>
          <w:rFonts w:hint="eastAsia" w:ascii="仿宋_GB2312" w:hAnsi="仿宋_GB2312" w:eastAsia="仿宋_GB2312" w:cs="仿宋_GB2312"/>
          <w:b w:val="0"/>
          <w:bCs w:val="0"/>
        </w:rPr>
        <w:t>十三、</w:t>
      </w:r>
      <w:bookmarkEnd w:id="108"/>
      <w:r>
        <w:rPr>
          <w:rStyle w:val="20"/>
          <w:rFonts w:hint="eastAsia" w:ascii="仿宋_GB2312" w:hAnsi="仿宋_GB2312" w:eastAsia="仿宋_GB2312" w:cs="仿宋_GB2312"/>
          <w:b w:val="0"/>
          <w:bCs w:val="0"/>
        </w:rPr>
        <w:t>财政拨款“三公”经费支出决算表</w:t>
      </w:r>
      <w:bookmarkEnd w:id="109"/>
    </w:p>
    <w:p>
      <w:pPr>
        <w:rPr>
          <w:rFonts w:ascii="仿宋_GB2312" w:hAnsi="仿宋_GB2312" w:eastAsia="仿宋_GB2312" w:cs="仿宋_GB2312"/>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
    <w:altName w:val="华文中宋"/>
    <w:panose1 w:val="00000000000000000000"/>
    <w:charset w:val="00"/>
    <w:family w:val="roman"/>
    <w:pitch w:val="default"/>
    <w:sig w:usb0="00000000" w:usb1="00000000" w:usb2="00000000" w:usb3="00000000" w:csb0="00040001" w:csb1="00000000"/>
  </w:font>
  <w:font w:name="方正小标宋简体">
    <w:panose1 w:val="02000000000000000000"/>
    <w:charset w:val="86"/>
    <w:family w:val="script"/>
    <w:pitch w:val="default"/>
    <w:sig w:usb0="A00002BF" w:usb1="184F6CFA" w:usb2="00000012"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Arial">
    <w:panose1 w:val="020B0604020202020204"/>
    <w:charset w:val="00"/>
    <w:family w:val="auto"/>
    <w:pitch w:val="default"/>
    <w:sig w:usb0="00007A87" w:usb1="80000000" w:usb2="00000008" w:usb3="00000000" w:csb0="4000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9"/>
                          </w:pPr>
                          <w:r>
                            <w:fldChar w:fldCharType="begin"/>
                          </w:r>
                          <w:r>
                            <w:instrText xml:space="preserve"> PAGE  \* MERGEFORMAT </w:instrText>
                          </w:r>
                          <w:r>
                            <w:fldChar w:fldCharType="separate"/>
                          </w:r>
                          <w:r>
                            <w:t>16</w:t>
                          </w:r>
                          <w:r>
                            <w:fldChar w:fldCharType="end"/>
                          </w:r>
                        </w:p>
                      </w:txbxContent>
                    </wps:txbx>
                    <wps:bodyPr wrap="none" lIns="0" tIns="0" rIns="0" bIns="0" upright="tru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WAAAAZHJzL1BLAQIU&#10;ABQAAAAIAIdO4kDOqXm5zwAAAAUBAAAPAAAAAAAAAAEAIAAAADgAAABkcnMvZG93bnJldi54bWxQ&#10;SwECFAAUAAAACACHTuJACy54orEBAABRAwAADgAAAAAAAAABACAAAAA0AQAAZHJzL2Uyb0RvYy54&#10;bWxQSwUGAAAAAAYABgBZAQAAVwU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16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D68A03B"/>
    <w:multiLevelType w:val="singleLevel"/>
    <w:tmpl w:val="5D68A03B"/>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true"/>
  <w:bordersDoNotSurroundHeader w:val="true"/>
  <w:bordersDoNotSurroundFooter w:val="true"/>
  <w:documentProtection w:enforcement="0"/>
  <w:defaultTabStop w:val="420"/>
  <w:drawingGridHorizontalSpacing w:val="1"/>
  <w:drawingGridVerticalSpacing w:val="1"/>
  <w:doNotUseMarginsForDrawingGridOrigin w:val="true"/>
  <w:drawingGridHorizontalOrigin w:val="0"/>
  <w:drawingGridVerticalOrigin w:val="0"/>
  <w:noPunctuationKerning w:val="true"/>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iMjA5NWIzYmE2Y2YwMDJjYWY2Zjg4NmVkYzI2NGIifQ=="/>
  </w:docVars>
  <w:rsids>
    <w:rsidRoot w:val="00FB6173"/>
    <w:rsid w:val="000C4348"/>
    <w:rsid w:val="001733A6"/>
    <w:rsid w:val="001D3555"/>
    <w:rsid w:val="00340F65"/>
    <w:rsid w:val="003B087D"/>
    <w:rsid w:val="0060690D"/>
    <w:rsid w:val="00867FEC"/>
    <w:rsid w:val="008A59F2"/>
    <w:rsid w:val="00937C0C"/>
    <w:rsid w:val="00BA7B05"/>
    <w:rsid w:val="00F27CF4"/>
    <w:rsid w:val="00F326AF"/>
    <w:rsid w:val="00FB6173"/>
    <w:rsid w:val="00FC37D0"/>
    <w:rsid w:val="0108009C"/>
    <w:rsid w:val="02513338"/>
    <w:rsid w:val="02BA0C30"/>
    <w:rsid w:val="04E97DCB"/>
    <w:rsid w:val="05DC2927"/>
    <w:rsid w:val="07947099"/>
    <w:rsid w:val="08E1714F"/>
    <w:rsid w:val="09DE12E7"/>
    <w:rsid w:val="0B9026B1"/>
    <w:rsid w:val="0C0F6BAC"/>
    <w:rsid w:val="0C6F7F5E"/>
    <w:rsid w:val="0E6F58D0"/>
    <w:rsid w:val="0F1C5277"/>
    <w:rsid w:val="0FAE4DC5"/>
    <w:rsid w:val="0FF4626D"/>
    <w:rsid w:val="135179A8"/>
    <w:rsid w:val="137C69C5"/>
    <w:rsid w:val="162B211D"/>
    <w:rsid w:val="178D0218"/>
    <w:rsid w:val="185C1061"/>
    <w:rsid w:val="186972F8"/>
    <w:rsid w:val="19AC7D2F"/>
    <w:rsid w:val="1A673EA4"/>
    <w:rsid w:val="1BAA5D43"/>
    <w:rsid w:val="1C851F4C"/>
    <w:rsid w:val="1CFE1B57"/>
    <w:rsid w:val="1D1713E2"/>
    <w:rsid w:val="20136B65"/>
    <w:rsid w:val="221615CE"/>
    <w:rsid w:val="22A3574E"/>
    <w:rsid w:val="23EC7631"/>
    <w:rsid w:val="245F4F5D"/>
    <w:rsid w:val="246D4A64"/>
    <w:rsid w:val="25E96C9E"/>
    <w:rsid w:val="261310D6"/>
    <w:rsid w:val="276013E2"/>
    <w:rsid w:val="28B76C59"/>
    <w:rsid w:val="2B833E5A"/>
    <w:rsid w:val="2B8C0AE6"/>
    <w:rsid w:val="2CCD4532"/>
    <w:rsid w:val="2CDD14B1"/>
    <w:rsid w:val="2EDB6BF1"/>
    <w:rsid w:val="31F52C40"/>
    <w:rsid w:val="32542B96"/>
    <w:rsid w:val="363E1BD8"/>
    <w:rsid w:val="36B26CF0"/>
    <w:rsid w:val="36CC7811"/>
    <w:rsid w:val="37057E70"/>
    <w:rsid w:val="38D33CA9"/>
    <w:rsid w:val="3AAE65A1"/>
    <w:rsid w:val="3AE55458"/>
    <w:rsid w:val="3AE6322C"/>
    <w:rsid w:val="3B95163B"/>
    <w:rsid w:val="3C7E335B"/>
    <w:rsid w:val="3D314D64"/>
    <w:rsid w:val="3DA77592"/>
    <w:rsid w:val="3E8325AA"/>
    <w:rsid w:val="3FAF72ED"/>
    <w:rsid w:val="40C72178"/>
    <w:rsid w:val="410134A6"/>
    <w:rsid w:val="424F49A9"/>
    <w:rsid w:val="458D465F"/>
    <w:rsid w:val="459D6275"/>
    <w:rsid w:val="46414B56"/>
    <w:rsid w:val="46E50816"/>
    <w:rsid w:val="48B932C6"/>
    <w:rsid w:val="48BE6175"/>
    <w:rsid w:val="48EE4381"/>
    <w:rsid w:val="4A0C18D0"/>
    <w:rsid w:val="4B1B1566"/>
    <w:rsid w:val="4E204980"/>
    <w:rsid w:val="50383EE2"/>
    <w:rsid w:val="53FE1CC8"/>
    <w:rsid w:val="542D73DF"/>
    <w:rsid w:val="55CB7755"/>
    <w:rsid w:val="569E4D4A"/>
    <w:rsid w:val="57435BFB"/>
    <w:rsid w:val="57B6030A"/>
    <w:rsid w:val="58AA6AB6"/>
    <w:rsid w:val="59866E2A"/>
    <w:rsid w:val="59BB14C6"/>
    <w:rsid w:val="5A7B55E9"/>
    <w:rsid w:val="5BF0096D"/>
    <w:rsid w:val="5DDC5833"/>
    <w:rsid w:val="5E0B5D2F"/>
    <w:rsid w:val="604E5489"/>
    <w:rsid w:val="62A97163"/>
    <w:rsid w:val="64A222C5"/>
    <w:rsid w:val="64C00108"/>
    <w:rsid w:val="651B1E3D"/>
    <w:rsid w:val="65E509A5"/>
    <w:rsid w:val="66D06B5A"/>
    <w:rsid w:val="67F340AC"/>
    <w:rsid w:val="67FE9CEB"/>
    <w:rsid w:val="68A21ED1"/>
    <w:rsid w:val="6A8D0A8A"/>
    <w:rsid w:val="6B3A7059"/>
    <w:rsid w:val="6B772B53"/>
    <w:rsid w:val="6B913999"/>
    <w:rsid w:val="6BDF04A9"/>
    <w:rsid w:val="6CD022DA"/>
    <w:rsid w:val="6DFF6EAE"/>
    <w:rsid w:val="6FFEAC3A"/>
    <w:rsid w:val="737940A3"/>
    <w:rsid w:val="73AE574A"/>
    <w:rsid w:val="75137B6D"/>
    <w:rsid w:val="768D4BF0"/>
    <w:rsid w:val="76FDADCA"/>
    <w:rsid w:val="77CA7B00"/>
    <w:rsid w:val="784604CA"/>
    <w:rsid w:val="78B32B40"/>
    <w:rsid w:val="7AAF6F93"/>
    <w:rsid w:val="7C490060"/>
    <w:rsid w:val="7DF2ABCB"/>
    <w:rsid w:val="7DF36428"/>
    <w:rsid w:val="7E7D4C53"/>
    <w:rsid w:val="7EF6DCED"/>
    <w:rsid w:val="7FCFA379"/>
    <w:rsid w:val="7FD7A9D8"/>
    <w:rsid w:val="9B7B5FA1"/>
    <w:rsid w:val="AFD96922"/>
    <w:rsid w:val="AFEF86A5"/>
    <w:rsid w:val="B7A9BC1A"/>
    <w:rsid w:val="BCCDCB94"/>
    <w:rsid w:val="BD6F7BF7"/>
    <w:rsid w:val="CFFE2BD1"/>
    <w:rsid w:val="DCFA44D0"/>
    <w:rsid w:val="DFF98366"/>
    <w:rsid w:val="E7975EDC"/>
    <w:rsid w:val="EEA948FC"/>
    <w:rsid w:val="EFEF8D29"/>
    <w:rsid w:val="F7FE6DE3"/>
    <w:rsid w:val="F7FF5D78"/>
    <w:rsid w:val="F95F4DF9"/>
    <w:rsid w:val="FEED2337"/>
    <w:rsid w:val="FFB60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qFormat/>
    <w:uiPriority w:val="9"/>
    <w:pPr>
      <w:keepNext/>
      <w:keepLines/>
      <w:spacing w:before="260" w:after="260" w:line="416" w:lineRule="auto"/>
      <w:outlineLvl w:val="1"/>
    </w:pPr>
    <w:rPr>
      <w:rFonts w:ascii="Cambria" w:hAnsi="Cambria"/>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40" w:line="276" w:lineRule="auto"/>
    </w:pPr>
  </w:style>
  <w:style w:type="paragraph" w:styleId="5">
    <w:name w:val="caption"/>
    <w:basedOn w:val="1"/>
    <w:next w:val="1"/>
    <w:qFormat/>
    <w:uiPriority w:val="0"/>
    <w:pPr>
      <w:suppressLineNumbers/>
      <w:spacing w:before="120" w:after="120"/>
    </w:pPr>
    <w:rPr>
      <w:i/>
      <w:iCs/>
      <w:sz w:val="24"/>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Balloon Text"/>
    <w:basedOn w:val="1"/>
    <w:link w:val="28"/>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List"/>
    <w:basedOn w:val="2"/>
    <w:qFormat/>
    <w:uiPriority w:val="0"/>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u w:val="single"/>
    </w:rPr>
  </w:style>
  <w:style w:type="character" w:customStyle="1" w:styleId="19">
    <w:name w:val="标题 1 Char"/>
    <w:basedOn w:val="16"/>
    <w:link w:val="3"/>
    <w:qFormat/>
    <w:uiPriority w:val="9"/>
    <w:rPr>
      <w:b/>
      <w:bCs/>
      <w:kern w:val="44"/>
      <w:sz w:val="44"/>
      <w:szCs w:val="44"/>
    </w:rPr>
  </w:style>
  <w:style w:type="character" w:customStyle="1" w:styleId="20">
    <w:name w:val="标题 2 Char"/>
    <w:basedOn w:val="16"/>
    <w:link w:val="4"/>
    <w:qFormat/>
    <w:uiPriority w:val="9"/>
    <w:rPr>
      <w:rFonts w:ascii="Cambria" w:hAnsi="Cambria" w:eastAsia="宋体" w:cs="Times New Roman"/>
      <w:b/>
      <w:bCs/>
      <w:sz w:val="32"/>
      <w:szCs w:val="32"/>
    </w:rPr>
  </w:style>
  <w:style w:type="character" w:customStyle="1" w:styleId="21">
    <w:name w:val="默认段落字体1"/>
    <w:qFormat/>
    <w:uiPriority w:val="0"/>
  </w:style>
  <w:style w:type="paragraph" w:customStyle="1" w:styleId="22">
    <w:name w:val="Heading"/>
    <w:basedOn w:val="1"/>
    <w:next w:val="2"/>
    <w:qFormat/>
    <w:uiPriority w:val="0"/>
    <w:pPr>
      <w:keepNext/>
      <w:spacing w:before="240" w:after="120"/>
    </w:pPr>
    <w:rPr>
      <w:rFonts w:ascii="Liberation Sans" w:hAnsi="Liberation Sans" w:eastAsia="Noto Sans CJK SC Regular" w:cs="Noto Sans CJK SC Regular"/>
      <w:sz w:val="28"/>
      <w:szCs w:val="28"/>
    </w:rPr>
  </w:style>
  <w:style w:type="paragraph" w:customStyle="1" w:styleId="23">
    <w:name w:val="Index"/>
    <w:basedOn w:val="1"/>
    <w:qFormat/>
    <w:uiPriority w:val="0"/>
    <w:pPr>
      <w:suppressLineNumbers/>
    </w:pPr>
  </w:style>
  <w:style w:type="paragraph" w:styleId="24">
    <w:name w:val="List Paragraph"/>
    <w:basedOn w:val="1"/>
    <w:qFormat/>
    <w:uiPriority w:val="34"/>
    <w:pPr>
      <w:ind w:firstLine="420" w:firstLineChars="200"/>
    </w:p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26">
    <w:name w:val="四号正文"/>
    <w:basedOn w:val="1"/>
    <w:qFormat/>
    <w:uiPriority w:val="0"/>
    <w:pPr>
      <w:spacing w:line="360" w:lineRule="auto"/>
    </w:pPr>
    <w:rPr>
      <w:rFonts w:ascii="??" w:hAnsi="??"/>
      <w:color w:val="000000"/>
      <w:kern w:val="0"/>
      <w:sz w:val="28"/>
      <w:szCs w:val="21"/>
      <w:lang w:val="zh-CN"/>
    </w:rPr>
  </w:style>
  <w:style w:type="paragraph" w:customStyle="1" w:styleId="27">
    <w:name w:val="p0"/>
    <w:basedOn w:val="1"/>
    <w:qFormat/>
    <w:uiPriority w:val="99"/>
    <w:pPr>
      <w:widowControl/>
    </w:pPr>
    <w:rPr>
      <w:kern w:val="0"/>
      <w:szCs w:val="21"/>
    </w:rPr>
  </w:style>
  <w:style w:type="character" w:customStyle="1" w:styleId="28">
    <w:name w:val="批注框文本 Char"/>
    <w:basedOn w:val="16"/>
    <w:link w:val="8"/>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Book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Book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Book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Book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Book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Book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esktop\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rgbClr val="404040">
                  <a:lumMod val="75000"/>
                  <a:lumOff val="25000"/>
                </a:srgbClr>
              </a:solidFill>
              <a:latin typeface="+mn-lt"/>
              <a:ea typeface="+mn-ea"/>
              <a:cs typeface="+mn-cs"/>
            </a:defRPr>
          </a:pPr>
        </a:p>
      </c:txPr>
    </c:title>
    <c:autoTitleDeleted val="false"/>
    <c:plotArea>
      <c:layout/>
      <c:barChart>
        <c:barDir val="col"/>
        <c:grouping val="clustered"/>
        <c:varyColors val="false"/>
        <c:ser>
          <c:idx val="0"/>
          <c:order val="0"/>
          <c:tx>
            <c:strRef>
              <c:f>[Book1.xlsx]Sheet2!$N$4</c:f>
              <c:strCache>
                <c:ptCount val="1"/>
                <c:pt idx="0">
                  <c:v>收支总计</c:v>
                </c:pt>
              </c:strCache>
            </c:strRef>
          </c:tx>
          <c:spPr>
            <a:gradFill>
              <a:gsLst>
                <a:gs pos="100000">
                  <a:srgbClr val="4F81BD"/>
                </a:gs>
                <a:gs pos="0">
                  <a:srgbClr val="4FB4BD">
                    <a:hueOff val="-1670000"/>
                  </a:srgbClr>
                </a:gs>
              </a:gsLst>
              <a:lin ang="5400000" scaled="false"/>
            </a:gradFill>
            <a:ln>
              <a:gradFill>
                <a:gsLst>
                  <a:gs pos="100000">
                    <a:srgbClr val="376092">
                      <a:lumMod val="75000"/>
                    </a:srgbClr>
                  </a:gs>
                  <a:gs pos="0">
                    <a:srgbClr val="378B92">
                      <a:lumMod val="75000"/>
                      <a:hueOff val="-1670000"/>
                    </a:srgbClr>
                  </a:gs>
                </a:gsLst>
                <a:lin ang="5280000" scaled="false"/>
              </a:gradFill>
            </a:ln>
            <a:effectLst/>
          </c:spPr>
          <c:invertIfNegative val="false"/>
          <c:dLbls>
            <c:delete val="true"/>
          </c:dLbls>
          <c:cat>
            <c:numRef>
              <c:f>[Book1.xlsx]Sheet2!$O$3:$P$3</c:f>
              <c:numCache>
                <c:formatCode>General</c:formatCode>
                <c:ptCount val="2"/>
                <c:pt idx="0">
                  <c:v>2023</c:v>
                </c:pt>
                <c:pt idx="1">
                  <c:v>2024</c:v>
                </c:pt>
              </c:numCache>
            </c:numRef>
          </c:cat>
          <c:val>
            <c:numRef>
              <c:f>[Book1.xlsx]Sheet2!$O$4:$P$4</c:f>
              <c:numCache>
                <c:formatCode>General</c:formatCode>
                <c:ptCount val="2"/>
                <c:pt idx="0">
                  <c:v>1359.55</c:v>
                </c:pt>
                <c:pt idx="1">
                  <c:v>1315.06</c:v>
                </c:pt>
              </c:numCache>
            </c:numRef>
          </c:val>
        </c:ser>
        <c:dLbls>
          <c:showLegendKey val="false"/>
          <c:showVal val="false"/>
          <c:showCatName val="false"/>
          <c:showSerName val="false"/>
          <c:showPercent val="false"/>
          <c:showBubbleSize val="false"/>
        </c:dLbls>
        <c:gapWidth val="500"/>
        <c:overlap val="-50"/>
        <c:axId val="107863040"/>
        <c:axId val="109785856"/>
      </c:barChart>
      <c:catAx>
        <c:axId val="107863040"/>
        <c:scaling>
          <c:orientation val="minMax"/>
        </c:scaling>
        <c:delete val="false"/>
        <c:axPos val="b"/>
        <c:numFmt formatCode="General" sourceLinked="true"/>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109785856"/>
        <c:crosses val="autoZero"/>
        <c:auto val="true"/>
        <c:lblAlgn val="ctr"/>
        <c:lblOffset val="100"/>
        <c:noMultiLvlLbl val="false"/>
      </c:catAx>
      <c:valAx>
        <c:axId val="109785856"/>
        <c:scaling>
          <c:orientation val="minMax"/>
        </c:scaling>
        <c:delete val="false"/>
        <c:axPos val="l"/>
        <c:majorGridlines>
          <c:spPr>
            <a:ln w="9525" cap="flat" cmpd="sng" algn="ctr">
              <a:solidFill>
                <a:srgbClr val="E6E6E6">
                  <a:lumMod val="90200"/>
                </a:srgb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107863040"/>
        <c:crosses val="autoZero"/>
        <c:crossBetween val="between"/>
      </c:valAx>
      <c:dTable>
        <c:showHorzBorder val="true"/>
        <c:showVertBorder val="true"/>
        <c:showOutline val="true"/>
        <c:showKeys val="true"/>
        <c:spPr>
          <a:noFill/>
          <a:ln w="9525" cap="flat" cmpd="sng" algn="ctr">
            <a:solidFill>
              <a:srgbClr val="D9D9D9">
                <a:lumMod val="15000"/>
                <a:lumOff val="85000"/>
              </a:srgbClr>
            </a:solidFill>
            <a:prstDash val="solid"/>
            <a:round/>
          </a:ln>
          <a:effectLst/>
        </c:spPr>
        <c:txPr>
          <a:bodyPr rot="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dTable>
      <c:spPr>
        <a:noFill/>
        <a:ln>
          <a:noFill/>
        </a:ln>
        <a:effectLst/>
      </c:spPr>
    </c:plotArea>
    <c:plotVisOnly val="true"/>
    <c:dispBlanksAs val="gap"/>
    <c:showDLblsOverMax val="false"/>
  </c:chart>
  <c:spPr>
    <a:solidFill>
      <a:srgbClr val="F5F5F5">
        <a:lumMod val="96000"/>
      </a:srgbClr>
    </a:solidFill>
    <a:ln w="9525" cap="flat" cmpd="sng" algn="ctr">
      <a:solidFill>
        <a:srgbClr val="D9D9D9">
          <a:lumMod val="15000"/>
          <a:lumOff val="85000"/>
        </a:srgbClr>
      </a:solidFill>
      <a:prstDash val="solid"/>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rgbClr val="404040">
                  <a:lumMod val="75000"/>
                  <a:lumOff val="25000"/>
                </a:srgbClr>
              </a:solidFill>
              <a:latin typeface="+mn-lt"/>
              <a:ea typeface="+mn-ea"/>
              <a:cs typeface="+mn-cs"/>
            </a:defRPr>
          </a:pPr>
        </a:p>
      </c:txPr>
    </c:title>
    <c:autoTitleDeleted val="false"/>
    <c:plotArea>
      <c:layout/>
      <c:doughnutChart>
        <c:varyColors val="true"/>
        <c:ser>
          <c:idx val="0"/>
          <c:order val="0"/>
          <c:tx>
            <c:strRef>
              <c:f>[Book1.xlsx]Sheet2!$P$37:$P$38</c:f>
              <c:strCache>
                <c:ptCount val="1"/>
                <c:pt idx="0">
                  <c:v>收入决算表</c:v>
                </c:pt>
              </c:strCache>
            </c:strRef>
          </c:tx>
          <c:explosion val="0"/>
          <c:dPt>
            <c:idx val="0"/>
            <c:bubble3D val="false"/>
            <c:spPr>
              <a:gradFill>
                <a:gsLst>
                  <a:gs pos="0">
                    <a:srgbClr val="B9CDE5">
                      <a:lumMod val="40000"/>
                      <a:lumOff val="60000"/>
                    </a:srgbClr>
                  </a:gs>
                  <a:gs pos="90000">
                    <a:srgbClr val="4F81BD"/>
                  </a:gs>
                </a:gsLst>
                <a:lin ang="5400000" scaled="false"/>
              </a:gradFill>
              <a:ln>
                <a:gradFill>
                  <a:gsLst>
                    <a:gs pos="0">
                      <a:srgbClr val="4F81BD"/>
                    </a:gs>
                    <a:gs pos="100000">
                      <a:srgbClr val="376092">
                        <a:lumMod val="75000"/>
                      </a:srgbClr>
                    </a:gs>
                  </a:gsLst>
                  <a:lin ang="5400000" scaled="true"/>
                </a:gra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lumMod val="75000"/>
                        <a:lumOff val="25000"/>
                      </a:srgbClr>
                    </a:solidFill>
                    <a:latin typeface="+mn-lt"/>
                    <a:ea typeface="+mn-ea"/>
                    <a:cs typeface="+mn-cs"/>
                  </a:defRPr>
                </a:pPr>
              </a:p>
            </c:txP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prstDash val="solid"/>
                      <a:round/>
                    </a:ln>
                    <a:effectLst/>
                  </c:spPr>
                </c15:leaderLines>
              </c:ext>
            </c:extLst>
          </c:dLbls>
          <c:cat>
            <c:strRef>
              <c:f>[Book1.xlsx]Sheet2!$O$39</c:f>
              <c:strCache>
                <c:ptCount val="1"/>
                <c:pt idx="0">
                  <c:v>一般公共预算收入</c:v>
                </c:pt>
              </c:strCache>
            </c:strRef>
          </c:cat>
          <c:val>
            <c:numRef>
              <c:f>[Book1.xlsx]Sheet2!$P$39</c:f>
              <c:numCache>
                <c:formatCode>General</c:formatCode>
                <c:ptCount val="1"/>
                <c:pt idx="0">
                  <c:v>1315.06</c:v>
                </c:pt>
              </c:numCache>
            </c:numRef>
          </c:val>
        </c:ser>
        <c:dLbls>
          <c:showLegendKey val="false"/>
          <c:showVal val="false"/>
          <c:showCatName val="false"/>
          <c:showSerName val="false"/>
          <c:showPercent val="true"/>
          <c:showBubbleSize val="false"/>
          <c:showLeaderLines val="true"/>
        </c:dLbls>
        <c:firstSliceAng val="0"/>
        <c:holeSize val="50"/>
      </c:doughnut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legend>
    <c:plotVisOnly val="true"/>
    <c:dispBlanksAs val="zero"/>
    <c:showDLblsOverMax val="false"/>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40" b="1" i="0" u="none" strike="noStrike" kern="1200" baseline="0">
              <a:solidFill>
                <a:srgbClr val="404040">
                  <a:lumMod val="75000"/>
                  <a:lumOff val="25000"/>
                </a:srgbClr>
              </a:solidFill>
              <a:latin typeface="+mn-lt"/>
              <a:ea typeface="+mn-ea"/>
              <a:cs typeface="+mn-cs"/>
            </a:defRPr>
          </a:pPr>
        </a:p>
      </c:txPr>
    </c:title>
    <c:autoTitleDeleted val="false"/>
    <c:plotArea>
      <c:layout/>
      <c:pieChart>
        <c:varyColors val="true"/>
        <c:ser>
          <c:idx val="0"/>
          <c:order val="0"/>
          <c:tx>
            <c:strRef>
              <c:f>[Book1.xlsx]Sheet2!$K$37</c:f>
              <c:strCache>
                <c:ptCount val="1"/>
                <c:pt idx="0">
                  <c:v>支出决算表</c:v>
                </c:pt>
              </c:strCache>
            </c:strRef>
          </c:tx>
          <c:spPr>
            <a:scene3d>
              <a:camera prst="orthographicFront"/>
              <a:lightRig rig="threePt" dir="t"/>
            </a:scene3d>
            <a:sp3d contourW="9525"/>
          </c:spPr>
          <c:explosion val="0"/>
          <c:dPt>
            <c:idx val="0"/>
            <c:bubble3D val="false"/>
            <c:spPr>
              <a:gradFill>
                <a:gsLst>
                  <a:gs pos="0">
                    <a:srgbClr val="4FB4BD">
                      <a:hueOff val="-1670000"/>
                    </a:srgbClr>
                  </a:gs>
                  <a:gs pos="100000">
                    <a:srgbClr val="4F81BD"/>
                  </a:gs>
                </a:gsLst>
                <a:lin ang="5400000" scaled="false"/>
              </a:gradFill>
              <a:ln>
                <a:gradFill>
                  <a:gsLst>
                    <a:gs pos="0">
                      <a:srgbClr val="378B92">
                        <a:lumMod val="75000"/>
                        <a:hueOff val="-1670000"/>
                      </a:srgbClr>
                    </a:gs>
                    <a:gs pos="100000">
                      <a:srgbClr val="376092">
                        <a:lumMod val="75000"/>
                      </a:srgbClr>
                    </a:gs>
                  </a:gsLst>
                  <a:lin ang="5160000" scaled="true"/>
                </a:gradFill>
              </a:ln>
              <a:effectLst/>
              <a:scene3d>
                <a:camera prst="orthographicFront"/>
                <a:lightRig rig="threePt" dir="t"/>
              </a:scene3d>
              <a:sp3d contourW="9525"/>
            </c:spPr>
          </c:dPt>
          <c:dPt>
            <c:idx val="1"/>
            <c:bubble3D val="false"/>
            <c:spPr>
              <a:gradFill>
                <a:gsLst>
                  <a:gs pos="0">
                    <a:srgbClr val="C04D7F">
                      <a:hueOff val="-1670000"/>
                    </a:srgbClr>
                  </a:gs>
                  <a:gs pos="100000">
                    <a:srgbClr val="C0504D"/>
                  </a:gs>
                </a:gsLst>
                <a:lin ang="5400000" scaled="false"/>
              </a:gradFill>
              <a:ln>
                <a:gradFill>
                  <a:gsLst>
                    <a:gs pos="0">
                      <a:srgbClr val="95355F">
                        <a:lumMod val="75000"/>
                        <a:hueOff val="-1670000"/>
                      </a:srgbClr>
                    </a:gs>
                    <a:gs pos="100000">
                      <a:srgbClr val="953735">
                        <a:lumMod val="75000"/>
                      </a:srgbClr>
                    </a:gs>
                  </a:gsLst>
                  <a:lin ang="5160000" scaled="true"/>
                </a:gradFill>
              </a:ln>
              <a:effectLst/>
              <a:scene3d>
                <a:camera prst="orthographicFront"/>
                <a:lightRig rig="threePt" dir="t"/>
              </a:scene3d>
              <a:sp3d contourW="9525"/>
            </c:spPr>
          </c:dPt>
          <c:dLbls>
            <c:dLbl>
              <c:idx val="0"/>
              <c:layout>
                <c:manualLayout>
                  <c:x val="0.116538135247505"/>
                  <c:y val="-0.179325127726532"/>
                </c:manualLayout>
              </c:layout>
              <c:tx>
                <c:rich>
                  <a:bodyPr rot="0" spcFirstLastPara="0" vertOverflow="ellipsis" vert="horz" wrap="square" lIns="38100" tIns="19050" rIns="38100" bIns="19050" anchor="ctr" anchorCtr="true"/>
                  <a:lstStyle/>
                  <a:p>
                    <a:pPr>
                      <a:defRPr lang="zh-CN" sz="1200" b="0" i="0" u="none" strike="noStrike" kern="1200" baseline="0">
                        <a:solidFill>
                          <a:srgbClr val="404040">
                            <a:lumMod val="75000"/>
                            <a:lumOff val="25000"/>
                          </a:srgbClr>
                        </a:solidFill>
                        <a:latin typeface="+mn-lt"/>
                        <a:ea typeface="+mn-ea"/>
                        <a:cs typeface="+mn-cs"/>
                      </a:defRPr>
                    </a:pPr>
                    <a:r>
                      <a:rPr sz="1200"/>
                      <a:t>1046.75</a:t>
                    </a:r>
                    <a:r>
                      <a:rPr lang="en-US" altLang="zh-CN" sz="1200"/>
                      <a:t>        </a:t>
                    </a:r>
                    <a:r>
                      <a:rPr sz="1200"/>
                      <a:t> 80%</a:t>
                    </a:r>
                    <a:endParaRPr sz="1200"/>
                  </a:p>
                </c:rich>
              </c:tx>
              <c:dLblPos val="bestFit"/>
              <c:showLegendKey val="false"/>
              <c:showVal val="true"/>
              <c:showCatName val="false"/>
              <c:showSerName val="false"/>
              <c:showPercent val="true"/>
              <c:showBubbleSize val="false"/>
              <c:extLst>
                <c:ext xmlns:c15="http://schemas.microsoft.com/office/drawing/2012/chart" uri="{CE6537A1-D6FC-4f65-9D91-7224C49458BB}">
                  <c15:layout>
                    <c:manualLayout>
                      <c:w val="0.182894736842105"/>
                      <c:h val="0.265740740740741"/>
                    </c:manualLayout>
                  </c15:layout>
                </c:ext>
              </c:extLst>
            </c:dLbl>
            <c:dLbl>
              <c:idx val="1"/>
              <c:layout>
                <c:manualLayout>
                  <c:x val="-0.0231287766841634"/>
                  <c:y val="0.0183298868549936"/>
                </c:manualLayout>
              </c:layout>
              <c:tx>
                <c:rich>
                  <a:bodyPr rot="0" spcFirstLastPara="0" vertOverflow="ellipsis" vert="horz" wrap="square" lIns="38100" tIns="19050" rIns="38100" bIns="19050" anchor="ctr" anchorCtr="true"/>
                  <a:lstStyle/>
                  <a:p>
                    <a:pPr>
                      <a:defRPr lang="zh-CN" sz="1200" b="0" i="0" u="none" strike="noStrike" kern="1200" baseline="0">
                        <a:solidFill>
                          <a:srgbClr val="404040">
                            <a:lumMod val="75000"/>
                            <a:lumOff val="25000"/>
                          </a:srgbClr>
                        </a:solidFill>
                        <a:latin typeface="+mn-lt"/>
                        <a:ea typeface="+mn-ea"/>
                        <a:cs typeface="+mn-cs"/>
                      </a:defRPr>
                    </a:pPr>
                    <a:r>
                      <a:rPr sz="1200"/>
                      <a:t>268.31</a:t>
                    </a:r>
                    <a:r>
                      <a:rPr lang="en-US" altLang="zh-CN" sz="1200"/>
                      <a:t>           </a:t>
                    </a:r>
                    <a:r>
                      <a:rPr sz="1200"/>
                      <a:t> 20%</a:t>
                    </a:r>
                    <a:endParaRPr sz="1200"/>
                  </a:p>
                </c:rich>
              </c:tx>
              <c:dLblPos val="bestFit"/>
              <c:showLegendKey val="false"/>
              <c:showVal val="true"/>
              <c:showCatName val="false"/>
              <c:showSerName val="false"/>
              <c:showPercent val="true"/>
              <c:showBubbleSize val="false"/>
              <c:extLst>
                <c:ext xmlns:c15="http://schemas.microsoft.com/office/drawing/2012/chart" uri="{CE6537A1-D6FC-4f65-9D91-7224C49458BB}">
                  <c15:layout>
                    <c:manualLayout>
                      <c:w val="0.14"/>
                      <c:h val="0.196527777777778"/>
                    </c:manualLayout>
                  </c15:layout>
                </c:ext>
              </c:extLst>
            </c:dLbl>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rgbClr val="404040">
                        <a:lumMod val="75000"/>
                        <a:lumOff val="25000"/>
                      </a:srgbClr>
                    </a:solidFill>
                    <a:latin typeface="+mn-lt"/>
                    <a:ea typeface="+mn-ea"/>
                    <a:cs typeface="+mn-cs"/>
                  </a:defRPr>
                </a:pPr>
              </a:p>
            </c:txPr>
            <c:dLblPos val="inEnd"/>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prstDash val="solid"/>
                      <a:round/>
                    </a:ln>
                    <a:effectLst/>
                  </c:spPr>
                </c15:leaderLines>
              </c:ext>
            </c:extLst>
          </c:dLbls>
          <c:cat>
            <c:strRef>
              <c:f>[Book1.xlsx]Sheet2!$J$38:$J$39</c:f>
              <c:strCache>
                <c:ptCount val="2"/>
                <c:pt idx="0">
                  <c:v>基本支出</c:v>
                </c:pt>
                <c:pt idx="1">
                  <c:v>项目支出</c:v>
                </c:pt>
              </c:strCache>
            </c:strRef>
          </c:cat>
          <c:val>
            <c:numRef>
              <c:f>[Book1.xlsx]Sheet2!$K$38:$K$39</c:f>
              <c:numCache>
                <c:formatCode>General</c:formatCode>
                <c:ptCount val="2"/>
                <c:pt idx="0">
                  <c:v>1046.75</c:v>
                </c:pt>
                <c:pt idx="1">
                  <c:v>268.31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1200" b="0" i="0" u="none" strike="noStrike" kern="1200" baseline="0">
                <a:solidFill>
                  <a:srgbClr val="595959">
                    <a:lumMod val="65000"/>
                    <a:lumOff val="35000"/>
                  </a:srgbClr>
                </a:solidFill>
                <a:latin typeface="+mn-lt"/>
                <a:ea typeface="+mn-ea"/>
                <a:cs typeface="+mn-cs"/>
              </a:defRPr>
            </a:pPr>
          </a:p>
        </c:txPr>
      </c:legendEntry>
      <c:legendEntry>
        <c:idx val="1"/>
        <c:txPr>
          <a:bodyPr rot="0" spcFirstLastPara="0" vertOverflow="ellipsis" vert="horz" wrap="square" anchor="ctr" anchorCtr="true"/>
          <a:lstStyle/>
          <a:p>
            <a:pPr>
              <a:defRPr lang="zh-CN" sz="1200" b="0" i="0" u="none" strike="noStrike" kern="1200" baseline="0">
                <a:solidFill>
                  <a:srgbClr val="595959">
                    <a:lumMod val="65000"/>
                    <a:lumOff val="35000"/>
                  </a:srgb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1200" b="0" i="0" u="none" strike="noStrike" kern="1200" baseline="0">
              <a:solidFill>
                <a:srgbClr val="595959">
                  <a:lumMod val="65000"/>
                  <a:lumOff val="35000"/>
                </a:srgbClr>
              </a:solidFill>
              <a:latin typeface="+mn-lt"/>
              <a:ea typeface="+mn-ea"/>
              <a:cs typeface="+mn-cs"/>
            </a:defRPr>
          </a:pPr>
        </a:p>
      </c:txPr>
    </c:legend>
    <c:plotVisOnly val="true"/>
    <c:dispBlanksAs val="zero"/>
    <c:showDLblsOverMax val="false"/>
  </c:chart>
  <c:spPr>
    <a:solidFill>
      <a:srgbClr val="F5F5F5">
        <a:lumMod val="96000"/>
      </a:srgbClr>
    </a:solidFill>
    <a:ln w="9525" cap="flat" cmpd="sng" algn="ctr">
      <a:solidFill>
        <a:srgbClr val="D9D9D9">
          <a:lumMod val="15000"/>
          <a:lumOff val="85000"/>
        </a:srgbClr>
      </a:solidFill>
      <a:prstDash val="solid"/>
      <a:round/>
    </a:ln>
    <a:effectLst/>
  </c:spPr>
  <c:txPr>
    <a:bodyPr/>
    <a:lstStyle/>
    <a:p>
      <a:pPr>
        <a:defRPr lang="zh-CN" sz="1200"/>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rgbClr val="404040">
                  <a:lumMod val="75000"/>
                  <a:lumOff val="25000"/>
                </a:srgbClr>
              </a:solidFill>
              <a:latin typeface="+mn-lt"/>
              <a:ea typeface="+mn-ea"/>
              <a:cs typeface="+mn-cs"/>
            </a:defRPr>
          </a:pPr>
        </a:p>
      </c:txPr>
    </c:title>
    <c:autoTitleDeleted val="false"/>
    <c:plotArea>
      <c:layout>
        <c:manualLayout>
          <c:layoutTarget val="inner"/>
          <c:xMode val="edge"/>
          <c:yMode val="edge"/>
          <c:x val="0.0289473684210526"/>
          <c:y val="0.172916666666667"/>
          <c:w val="0.942105263157895"/>
          <c:h val="0.711666666666667"/>
        </c:manualLayout>
      </c:layout>
      <c:barChart>
        <c:barDir val="col"/>
        <c:grouping val="clustered"/>
        <c:varyColors val="false"/>
        <c:ser>
          <c:idx val="0"/>
          <c:order val="0"/>
          <c:tx>
            <c:strRef>
              <c:f>[Book1.xlsx]Sheet2!$Q$14</c:f>
              <c:strCache>
                <c:ptCount val="1"/>
                <c:pt idx="0">
                  <c:v>财政拨款收支总计</c:v>
                </c:pt>
              </c:strCache>
            </c:strRef>
          </c:tx>
          <c:spPr>
            <a:gradFill>
              <a:gsLst>
                <a:gs pos="100000">
                  <a:srgbClr val="4F81BD"/>
                </a:gs>
                <a:gs pos="0">
                  <a:srgbClr val="4FB4BD">
                    <a:hueOff val="-1670000"/>
                  </a:srgbClr>
                </a:gs>
              </a:gsLst>
              <a:lin ang="5400000" scaled="false"/>
            </a:gradFill>
            <a:ln>
              <a:gradFill>
                <a:gsLst>
                  <a:gs pos="100000">
                    <a:srgbClr val="376092">
                      <a:lumMod val="75000"/>
                    </a:srgbClr>
                  </a:gs>
                  <a:gs pos="0">
                    <a:srgbClr val="378B92">
                      <a:lumMod val="75000"/>
                      <a:hueOff val="-1670000"/>
                    </a:srgbClr>
                  </a:gs>
                </a:gsLst>
                <a:lin ang="4620000" scaled="false"/>
              </a:grad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lumMod val="75000"/>
                        <a:lumOff val="25000"/>
                      </a:srgb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prstDash val="solid"/>
                      <a:round/>
                    </a:ln>
                    <a:effectLst/>
                  </c:spPr>
                </c15:leaderLines>
              </c:ext>
            </c:extLst>
          </c:dLbls>
          <c:cat>
            <c:numRef>
              <c:f>[Book1.xlsx]Sheet2!$P$15:$P$16</c:f>
              <c:numCache>
                <c:formatCode>General</c:formatCode>
                <c:ptCount val="2"/>
                <c:pt idx="0">
                  <c:v>2023</c:v>
                </c:pt>
                <c:pt idx="1">
                  <c:v>2024</c:v>
                </c:pt>
              </c:numCache>
            </c:numRef>
          </c:cat>
          <c:val>
            <c:numRef>
              <c:f>[Book1.xlsx]Sheet2!$Q$15:$Q$16</c:f>
              <c:numCache>
                <c:formatCode>General</c:formatCode>
                <c:ptCount val="2"/>
                <c:pt idx="0">
                  <c:v>1359.55</c:v>
                </c:pt>
                <c:pt idx="1">
                  <c:v>1315.06</c:v>
                </c:pt>
              </c:numCache>
            </c:numRef>
          </c:val>
        </c:ser>
        <c:dLbls>
          <c:showLegendKey val="false"/>
          <c:showVal val="true"/>
          <c:showCatName val="false"/>
          <c:showSerName val="false"/>
          <c:showPercent val="false"/>
          <c:showBubbleSize val="false"/>
        </c:dLbls>
        <c:gapWidth val="500"/>
        <c:overlap val="-50"/>
        <c:axId val="110159744"/>
        <c:axId val="110161280"/>
      </c:barChart>
      <c:catAx>
        <c:axId val="110159744"/>
        <c:scaling>
          <c:orientation val="minMax"/>
        </c:scaling>
        <c:delete val="false"/>
        <c:axPos val="b"/>
        <c:numFmt formatCode="General" sourceLinked="true"/>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110161280"/>
        <c:crosses val="autoZero"/>
        <c:auto val="true"/>
        <c:lblAlgn val="ctr"/>
        <c:lblOffset val="100"/>
        <c:noMultiLvlLbl val="false"/>
      </c:catAx>
      <c:valAx>
        <c:axId val="110161280"/>
        <c:scaling>
          <c:orientation val="minMax"/>
        </c:scaling>
        <c:delete val="true"/>
        <c:axPos val="l"/>
        <c:numFmt formatCode="General" sourceLinked="true"/>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10159744"/>
        <c:crosses val="autoZero"/>
        <c:crossBetween val="between"/>
      </c:valAx>
      <c:spPr>
        <a:noFill/>
        <a:ln>
          <a:noFill/>
        </a:ln>
        <a:effectLst/>
      </c:spPr>
    </c:plotArea>
    <c:plotVisOnly val="true"/>
    <c:dispBlanksAs val="gap"/>
    <c:showDLblsOverMax val="false"/>
  </c:chart>
  <c:spPr>
    <a:solidFill>
      <a:srgbClr val="F5F5F5">
        <a:lumMod val="96000"/>
      </a:srgbClr>
    </a:solidFill>
    <a:ln w="9525" cap="flat" cmpd="sng" algn="ctr">
      <a:solidFill>
        <a:srgbClr val="D9D9D9">
          <a:lumMod val="15000"/>
          <a:lumOff val="85000"/>
        </a:srgbClr>
      </a:solidFill>
      <a:prstDash val="solid"/>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rgbClr val="404040">
                  <a:lumMod val="75000"/>
                  <a:lumOff val="25000"/>
                </a:srgbClr>
              </a:solidFill>
              <a:latin typeface="+mn-lt"/>
              <a:ea typeface="+mn-ea"/>
              <a:cs typeface="+mn-cs"/>
            </a:defRPr>
          </a:pPr>
        </a:p>
      </c:txPr>
    </c:title>
    <c:autoTitleDeleted val="false"/>
    <c:plotArea>
      <c:layout/>
      <c:barChart>
        <c:barDir val="col"/>
        <c:grouping val="clustered"/>
        <c:varyColors val="false"/>
        <c:ser>
          <c:idx val="0"/>
          <c:order val="0"/>
          <c:tx>
            <c:strRef>
              <c:f>[Book1.xlsx]Sheet2!$Q$14</c:f>
              <c:strCache>
                <c:ptCount val="1"/>
                <c:pt idx="0">
                  <c:v>一般公共预算财政拨款支出决算变动情况</c:v>
                </c:pt>
              </c:strCache>
            </c:strRef>
          </c:tx>
          <c:spPr>
            <a:gradFill>
              <a:gsLst>
                <a:gs pos="100000">
                  <a:srgbClr val="37D53F"/>
                </a:gs>
                <a:gs pos="0">
                  <a:srgbClr val="4FB4BD">
                    <a:hueOff val="-1670000"/>
                  </a:srgbClr>
                </a:gs>
              </a:gsLst>
              <a:lin ang="5400000" scaled="false"/>
            </a:gradFill>
            <a:ln>
              <a:gradFill>
                <a:gsLst>
                  <a:gs pos="100000">
                    <a:srgbClr val="376092">
                      <a:lumMod val="75000"/>
                    </a:srgbClr>
                  </a:gs>
                  <a:gs pos="0">
                    <a:srgbClr val="378B92">
                      <a:lumMod val="75000"/>
                      <a:hueOff val="-1670000"/>
                    </a:srgbClr>
                  </a:gs>
                </a:gsLst>
                <a:lin ang="4620000" scaled="false"/>
              </a:grad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lumMod val="75000"/>
                        <a:lumOff val="25000"/>
                      </a:srgb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prstDash val="solid"/>
                      <a:round/>
                    </a:ln>
                    <a:effectLst/>
                  </c:spPr>
                </c15:leaderLines>
              </c:ext>
            </c:extLst>
          </c:dLbls>
          <c:cat>
            <c:numRef>
              <c:f>[Book1.xlsx]Sheet2!$P$15:$P$16</c:f>
              <c:numCache>
                <c:formatCode>General</c:formatCode>
                <c:ptCount val="2"/>
                <c:pt idx="0">
                  <c:v>2023</c:v>
                </c:pt>
                <c:pt idx="1">
                  <c:v>2024</c:v>
                </c:pt>
              </c:numCache>
            </c:numRef>
          </c:cat>
          <c:val>
            <c:numRef>
              <c:f>[Book1.xlsx]Sheet2!$Q$15:$Q$16</c:f>
              <c:numCache>
                <c:formatCode>General</c:formatCode>
                <c:ptCount val="2"/>
                <c:pt idx="0">
                  <c:v>1359.55</c:v>
                </c:pt>
                <c:pt idx="1">
                  <c:v>1315.06</c:v>
                </c:pt>
              </c:numCache>
            </c:numRef>
          </c:val>
        </c:ser>
        <c:dLbls>
          <c:showLegendKey val="false"/>
          <c:showVal val="true"/>
          <c:showCatName val="false"/>
          <c:showSerName val="false"/>
          <c:showPercent val="false"/>
          <c:showBubbleSize val="false"/>
        </c:dLbls>
        <c:gapWidth val="500"/>
        <c:overlap val="-50"/>
        <c:axId val="110194048"/>
        <c:axId val="110195840"/>
      </c:barChart>
      <c:catAx>
        <c:axId val="110194048"/>
        <c:scaling>
          <c:orientation val="minMax"/>
        </c:scaling>
        <c:delete val="false"/>
        <c:axPos val="b"/>
        <c:numFmt formatCode="General" sourceLinked="true"/>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110195840"/>
        <c:crosses val="autoZero"/>
        <c:auto val="true"/>
        <c:lblAlgn val="ctr"/>
        <c:lblOffset val="100"/>
        <c:noMultiLvlLbl val="false"/>
      </c:catAx>
      <c:valAx>
        <c:axId val="110195840"/>
        <c:scaling>
          <c:orientation val="minMax"/>
        </c:scaling>
        <c:delete val="false"/>
        <c:axPos val="l"/>
        <c:majorGridlines>
          <c:spPr>
            <a:ln w="9525" cap="flat" cmpd="sng" algn="ctr">
              <a:solidFill>
                <a:srgbClr val="E6E6E6">
                  <a:lumMod val="90200"/>
                </a:srgb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110194048"/>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legend>
    <c:plotVisOnly val="true"/>
    <c:dispBlanksAs val="gap"/>
    <c:showDLblsOverMax val="false"/>
  </c:chart>
  <c:spPr>
    <a:solidFill>
      <a:srgbClr val="F5F5F5">
        <a:lumMod val="96000"/>
      </a:srgbClr>
    </a:solidFill>
    <a:ln w="9525" cap="flat" cmpd="sng" algn="ctr">
      <a:solidFill>
        <a:srgbClr val="D9D9D9">
          <a:lumMod val="15000"/>
          <a:lumOff val="85000"/>
        </a:srgbClr>
      </a:solidFill>
      <a:prstDash val="solid"/>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rgbClr val="404040">
                  <a:lumMod val="75000"/>
                  <a:lumOff val="25000"/>
                </a:srgbClr>
              </a:solidFill>
              <a:latin typeface="+mn-lt"/>
              <a:ea typeface="+mn-ea"/>
              <a:cs typeface="+mn-cs"/>
            </a:defRPr>
          </a:pPr>
        </a:p>
      </c:txPr>
    </c:title>
    <c:autoTitleDeleted val="false"/>
    <c:plotArea>
      <c:layout/>
      <c:doughnutChart>
        <c:varyColors val="true"/>
        <c:ser>
          <c:idx val="0"/>
          <c:order val="0"/>
          <c:tx>
            <c:strRef>
              <c:f>[Book1.xlsx]Sheet2!$E$38</c:f>
              <c:strCache>
                <c:ptCount val="1"/>
                <c:pt idx="0">
                  <c:v>一般公共预算财政拨款支出决算</c:v>
                </c:pt>
              </c:strCache>
            </c:strRef>
          </c:tx>
          <c:explosion val="0"/>
          <c:dPt>
            <c:idx val="0"/>
            <c:bubble3D val="false"/>
            <c:spPr>
              <a:solidFill>
                <a:srgbClr val="4F81BD"/>
              </a:solidFill>
              <a:ln>
                <a:solidFill>
                  <a:srgbClr val="FFFFFF"/>
                </a:solidFill>
              </a:ln>
              <a:effectLst/>
            </c:spPr>
          </c:dPt>
          <c:dPt>
            <c:idx val="1"/>
            <c:bubble3D val="false"/>
            <c:spPr>
              <a:solidFill>
                <a:srgbClr val="C0504D"/>
              </a:solidFill>
              <a:ln>
                <a:solidFill>
                  <a:srgbClr val="FFFFFF"/>
                </a:solidFill>
              </a:ln>
              <a:effectLst/>
            </c:spPr>
          </c:dPt>
          <c:dPt>
            <c:idx val="2"/>
            <c:bubble3D val="false"/>
            <c:spPr>
              <a:solidFill>
                <a:srgbClr val="9BBB59"/>
              </a:solidFill>
              <a:ln>
                <a:solidFill>
                  <a:srgbClr val="FFFFFF"/>
                </a:solidFill>
              </a:ln>
              <a:effectLst/>
            </c:spPr>
          </c:dPt>
          <c:dPt>
            <c:idx val="3"/>
            <c:bubble3D val="false"/>
            <c:spPr>
              <a:solidFill>
                <a:srgbClr val="8064A2"/>
              </a:solidFill>
              <a:ln>
                <a:solidFill>
                  <a:srgbClr val="FFFFFF"/>
                </a:solidFill>
              </a:ln>
              <a:effectLst/>
            </c:spPr>
          </c:dPt>
          <c:dLbls>
            <c:dLbl>
              <c:idx val="0"/>
              <c:layout>
                <c:manualLayout>
                  <c:x val="0.215131578947368"/>
                  <c:y val="-0.131944444444444"/>
                </c:manualLayout>
              </c:layou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205263157894737"/>
                  <c:y val="-0.0277777777777778"/>
                </c:manualLayout>
              </c:layou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183552631578947"/>
                  <c:y val="-0.111111111111111"/>
                </c:manualLayout>
              </c:layou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532894736842105"/>
                  <c:y val="-0.125"/>
                </c:manualLayout>
              </c:layou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lumMod val="75000"/>
                        <a:lumOff val="25000"/>
                      </a:srgbClr>
                    </a:solidFill>
                    <a:latin typeface="+mn-lt"/>
                    <a:ea typeface="+mn-ea"/>
                    <a:cs typeface="+mn-cs"/>
                  </a:defRPr>
                </a:pPr>
              </a:p>
            </c:txPr>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prstDash val="solid"/>
                      <a:round/>
                    </a:ln>
                    <a:effectLst/>
                  </c:spPr>
                </c15:leaderLines>
              </c:ext>
            </c:extLst>
          </c:dLbls>
          <c:cat>
            <c:strRef>
              <c:f>[Book1.xlsx]Sheet2!$D$39:$D$42</c:f>
              <c:strCache>
                <c:ptCount val="4"/>
                <c:pt idx="0">
                  <c:v>公共安全支出</c:v>
                </c:pt>
                <c:pt idx="1">
                  <c:v>社会保障和就业支出</c:v>
                </c:pt>
                <c:pt idx="2">
                  <c:v>卫生健康支出</c:v>
                </c:pt>
                <c:pt idx="3">
                  <c:v>住房保障支出</c:v>
                </c:pt>
              </c:strCache>
            </c:strRef>
          </c:cat>
          <c:val>
            <c:numRef>
              <c:f>[Book1.xlsx]Sheet2!$E$39:$E$42</c:f>
              <c:numCache>
                <c:formatCode>General</c:formatCode>
                <c:ptCount val="4"/>
                <c:pt idx="0">
                  <c:v>1056.65</c:v>
                </c:pt>
                <c:pt idx="1">
                  <c:v>136.34</c:v>
                </c:pt>
                <c:pt idx="2">
                  <c:v>47.62</c:v>
                </c:pt>
                <c:pt idx="3">
                  <c:v>74.45</c:v>
                </c:pt>
              </c:numCache>
            </c:numRef>
          </c:val>
        </c:ser>
        <c:dLbls>
          <c:showLegendKey val="false"/>
          <c:showVal val="true"/>
          <c:showCatName val="false"/>
          <c:showSerName val="false"/>
          <c:showPercent val="false"/>
          <c:showBubbleSize val="false"/>
          <c:showLeaderLines val="true"/>
        </c:dLbls>
        <c:firstSliceAng val="0"/>
        <c:holeSize val="60"/>
      </c:doughnut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legend>
    <c:plotVisOnly val="true"/>
    <c:dispBlanksAs val="zero"/>
    <c:showDLblsOverMax val="false"/>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rgbClr val="404040">
                  <a:lumMod val="75000"/>
                  <a:lumOff val="25000"/>
                </a:srgbClr>
              </a:solidFill>
              <a:latin typeface="+mn-lt"/>
              <a:ea typeface="+mn-ea"/>
              <a:cs typeface="+mn-cs"/>
            </a:defRPr>
          </a:pPr>
        </a:p>
      </c:txPr>
    </c:title>
    <c:autoTitleDeleted val="false"/>
    <c:plotArea>
      <c:layout/>
      <c:pieChart>
        <c:varyColors val="true"/>
        <c:ser>
          <c:idx val="0"/>
          <c:order val="0"/>
          <c:tx>
            <c:strRef>
              <c:f>[Book1.xlsx]Sheet2!$I$47</c:f>
              <c:strCache>
                <c:ptCount val="1"/>
                <c:pt idx="0">
                  <c:v>“三公”经费财政拨款支出</c:v>
                </c:pt>
              </c:strCache>
            </c:strRef>
          </c:tx>
          <c:explosion val="0"/>
          <c:dPt>
            <c:idx val="0"/>
            <c:bubble3D val="false"/>
            <c:spPr>
              <a:solidFill>
                <a:srgbClr val="4F81BD"/>
              </a:solidFill>
              <a:ln w="25400">
                <a:solidFill>
                  <a:srgbClr val="FFFFFF"/>
                </a:solidFill>
              </a:ln>
              <a:effectLst/>
            </c:spPr>
          </c:dPt>
          <c:dPt>
            <c:idx val="1"/>
            <c:bubble3D val="false"/>
            <c:spPr>
              <a:solidFill>
                <a:srgbClr val="C0504D"/>
              </a:solidFill>
              <a:ln w="25400">
                <a:solidFill>
                  <a:srgbClr val="FFFFFF"/>
                </a:solidFill>
              </a:ln>
              <a:effectLst/>
            </c:spPr>
          </c:dPt>
          <c:dLbls>
            <c:dLbl>
              <c:idx val="0"/>
              <c:layout/>
              <c:tx>
                <c:rich>
                  <a:bodyPr rot="0" spcFirstLastPara="0" vertOverflow="ellipsis" vert="horz" wrap="square" lIns="38100" tIns="19050" rIns="38100" bIns="19050" anchor="ctr" anchorCtr="true"/>
                  <a:lstStyle/>
                  <a:p>
                    <a:pPr>
                      <a:defRPr lang="zh-CN" sz="1000" b="0" i="0" u="none" strike="noStrike" kern="1200" baseline="0">
                        <a:solidFill>
                          <a:srgbClr val="404040">
                            <a:lumMod val="75000"/>
                            <a:lumOff val="25000"/>
                          </a:srgbClr>
                        </a:solidFill>
                        <a:latin typeface="+mn-lt"/>
                        <a:ea typeface="+mn-ea"/>
                        <a:cs typeface="+mn-cs"/>
                      </a:defRPr>
                    </a:pPr>
                    <a:r>
                      <a:rPr sz="1400"/>
                      <a:t>32.73</a:t>
                    </a:r>
                    <a:endParaRPr sz="1400"/>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manualLayout>
                  <c:x val="0.0848684210526316"/>
                  <c:y val="0"/>
                </c:manualLayout>
              </c:layout>
              <c:tx>
                <c:rich>
                  <a:bodyPr rot="0" spcFirstLastPara="0" vertOverflow="ellipsis" vert="horz" wrap="square" lIns="38100" tIns="19050" rIns="38100" bIns="19050" anchor="ctr" anchorCtr="true"/>
                  <a:lstStyle/>
                  <a:p>
                    <a:pPr>
                      <a:defRPr lang="zh-CN" sz="1000" b="0" i="0" u="none" strike="noStrike" kern="1200" baseline="0">
                        <a:solidFill>
                          <a:srgbClr val="404040">
                            <a:lumMod val="75000"/>
                            <a:lumOff val="25000"/>
                          </a:srgbClr>
                        </a:solidFill>
                        <a:latin typeface="+mn-lt"/>
                        <a:ea typeface="+mn-ea"/>
                        <a:cs typeface="+mn-cs"/>
                      </a:defRPr>
                    </a:pPr>
                    <a:r>
                      <a:rPr sz="1400"/>
                      <a:t>0.48</a:t>
                    </a:r>
                    <a:endParaRPr sz="1400"/>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lumMod val="75000"/>
                        <a:lumOff val="25000"/>
                      </a:srgb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prstDash val="solid"/>
                      <a:round/>
                    </a:ln>
                    <a:effectLst/>
                  </c:spPr>
                </c15:leaderLines>
              </c:ext>
            </c:extLst>
          </c:dLbls>
          <c:cat>
            <c:strRef>
              <c:f>[Book1.xlsx]Sheet2!$H$48:$H$49</c:f>
              <c:strCache>
                <c:ptCount val="2"/>
                <c:pt idx="0">
                  <c:v>公务用车购置及运行维护费</c:v>
                </c:pt>
                <c:pt idx="1">
                  <c:v>公务接待</c:v>
                </c:pt>
              </c:strCache>
            </c:strRef>
          </c:cat>
          <c:val>
            <c:numRef>
              <c:f>[Book1.xlsx]Sheet2!$I$48:$I$49</c:f>
              <c:numCache>
                <c:formatCode>General</c:formatCode>
                <c:ptCount val="2"/>
                <c:pt idx="0">
                  <c:v>32.73</c:v>
                </c:pt>
                <c:pt idx="1">
                  <c:v>0.48</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legend>
    <c:plotVisOnly val="true"/>
    <c:dispBlanksAs val="zero"/>
    <c:showDLblsOverMax val="false"/>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false"/>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265</Words>
  <Characters>916</Characters>
  <Lines>56</Lines>
  <Paragraphs>44</Paragraphs>
  <TotalTime>19</TotalTime>
  <ScaleCrop>false</ScaleCrop>
  <LinksUpToDate>false</LinksUpToDate>
  <CharactersWithSpaces>921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user</dc:creator>
  <cp:lastModifiedBy> </cp:lastModifiedBy>
  <dcterms:modified xsi:type="dcterms:W3CDTF">2025-10-09T11:07:11Z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959F5BAB032048B4850787997CB22252_13</vt:lpwstr>
  </property>
  <property fmtid="{D5CDD505-2E9C-101B-9397-08002B2CF9AE}" pid="4" name="KSOTemplateDocerSaveRecord">
    <vt:lpwstr>eyJoZGlkIjoiYTc2ZGZiNzZiNDVlOGViOWVmM2JhOTY0NGJkNjUyYzgiLCJ1c2VySWQiOiIyMjA2OTAwNTAifQ==</vt:lpwstr>
  </property>
</Properties>
</file>