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eastAsia" w:ascii="方正小标宋简体" w:hAnsi="宋体" w:eastAsia="方正小标宋简体" w:cs="Times New Roman"/>
          <w:color w:val="000000"/>
          <w:kern w:val="2"/>
          <w:sz w:val="44"/>
          <w:szCs w:val="44"/>
          <w:lang w:val="en-US" w:eastAsia="zh-CN" w:bidi="ar-SA"/>
        </w:rPr>
      </w:pPr>
    </w:p>
    <w:p>
      <w:pPr>
        <w:pStyle w:val="7"/>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2024年度广元市人民政府驻北京联络处</w:t>
      </w:r>
    </w:p>
    <w:p>
      <w:pPr>
        <w:pStyle w:val="7"/>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单位决算</w:t>
      </w:r>
    </w:p>
    <w:p>
      <w:pPr>
        <w:widowControl/>
        <w:jc w:val="center"/>
        <w:rPr>
          <w:rFonts w:ascii="黑体" w:hAnsi="黑体" w:eastAsia="黑体" w:cs="Times New Roman"/>
          <w:color w:val="000000"/>
          <w:sz w:val="28"/>
          <w:szCs w:val="2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pStyle w:val="12"/>
        <w:tabs>
          <w:tab w:val="clear" w:pos="8296"/>
        </w:tabs>
        <w:rPr>
          <w:color w:val="000000"/>
        </w:rPr>
      </w:pPr>
      <w:r>
        <w:rPr>
          <w:rFonts w:hint="eastAsia"/>
          <w:color w:val="000000"/>
        </w:rPr>
        <w:t>公开时间：20</w:t>
      </w:r>
      <w:r>
        <w:rPr>
          <w:rFonts w:hint="eastAsia"/>
          <w:color w:val="000000"/>
          <w:lang w:val="en-US" w:eastAsia="zh-CN"/>
        </w:rPr>
        <w:t>25</w:t>
      </w:r>
      <w:r>
        <w:rPr>
          <w:rFonts w:hint="eastAsia"/>
          <w:color w:val="000000"/>
        </w:rPr>
        <w:t>年</w:t>
      </w:r>
      <w:r>
        <w:rPr>
          <w:rFonts w:hint="eastAsia"/>
          <w:color w:val="000000"/>
          <w:lang w:val="en-US" w:eastAsia="zh-CN"/>
        </w:rPr>
        <w:t>10</w:t>
      </w:r>
      <w:r>
        <w:rPr>
          <w:rFonts w:hint="eastAsia"/>
          <w:color w:val="000000"/>
        </w:rPr>
        <w:t>月</w:t>
      </w:r>
      <w:r>
        <w:rPr>
          <w:rFonts w:hint="eastAsia"/>
          <w:color w:val="000000"/>
          <w:lang w:val="en-US" w:eastAsia="zh-CN"/>
        </w:rPr>
        <w:t>1</w:t>
      </w:r>
      <w:r>
        <w:rPr>
          <w:color w:val="000000"/>
          <w:lang w:val="en" w:eastAsia="zh-CN"/>
        </w:rPr>
        <w:t>4</w:t>
      </w:r>
      <w:r>
        <w:rPr>
          <w:rFonts w:hint="eastAsia"/>
          <w:color w:val="000000"/>
        </w:rPr>
        <w:t>日</w:t>
      </w:r>
    </w:p>
    <w:p>
      <w:pPr>
        <w:spacing w:before="0" w:beforeLines="0" w:after="0" w:afterLines="0" w:line="240" w:lineRule="auto"/>
        <w:ind w:left="0" w:leftChars="0" w:right="0" w:rightChars="0" w:firstLine="0" w:firstLineChars="0"/>
        <w:jc w:val="both"/>
      </w:pPr>
    </w:p>
    <w:p>
      <w:pPr>
        <w:pStyle w:val="12"/>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color w:val="000000"/>
          <w:sz w:val="32"/>
          <w:szCs w:val="32"/>
        </w:rPr>
        <w:instrText xml:space="preserve">TOC \o "1-2" \h \u </w:instrText>
      </w:r>
      <w:r>
        <w:rPr>
          <w:rFonts w:hint="eastAsia" w:ascii="仿宋" w:hAnsi="仿宋" w:eastAsia="仿宋" w:cs="仿宋"/>
          <w:color w:val="000000"/>
          <w:sz w:val="32"/>
          <w:szCs w:val="32"/>
        </w:rPr>
        <w:fldChar w:fldCharType="separate"/>
      </w: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_Toc12035 </w:instrText>
      </w:r>
      <w:r>
        <w:rPr>
          <w:rFonts w:hint="eastAsia" w:ascii="仿宋" w:hAnsi="仿宋" w:eastAsia="仿宋" w:cs="仿宋"/>
          <w:sz w:val="32"/>
          <w:szCs w:val="32"/>
        </w:rPr>
        <w:fldChar w:fldCharType="separate"/>
      </w:r>
      <w:r>
        <w:rPr>
          <w:rFonts w:hint="eastAsia" w:ascii="仿宋" w:hAnsi="仿宋" w:eastAsia="仿宋" w:cs="仿宋"/>
          <w:sz w:val="32"/>
          <w:szCs w:val="32"/>
        </w:rPr>
        <w:t xml:space="preserve">第一部分 </w:t>
      </w:r>
      <w:r>
        <w:rPr>
          <w:rFonts w:hint="eastAsia" w:ascii="仿宋" w:hAnsi="仿宋" w:eastAsia="仿宋" w:cs="仿宋"/>
          <w:sz w:val="32"/>
          <w:szCs w:val="32"/>
          <w:lang w:eastAsia="zh-CN"/>
        </w:rPr>
        <w:t>单位</w:t>
      </w:r>
      <w:r>
        <w:rPr>
          <w:rFonts w:hint="eastAsia" w:ascii="仿宋" w:hAnsi="仿宋" w:eastAsia="仿宋" w:cs="仿宋"/>
          <w:sz w:val="32"/>
          <w:szCs w:val="32"/>
        </w:rPr>
        <w:t>概况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_Toc12035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_Toc4021 </w:instrText>
      </w:r>
      <w:r>
        <w:rPr>
          <w:rFonts w:hint="eastAsia" w:ascii="仿宋" w:hAnsi="仿宋" w:eastAsia="仿宋" w:cs="仿宋"/>
          <w:sz w:val="32"/>
          <w:szCs w:val="32"/>
        </w:rPr>
        <w:fldChar w:fldCharType="separate"/>
      </w:r>
      <w:r>
        <w:rPr>
          <w:rFonts w:hint="eastAsia" w:ascii="仿宋" w:hAnsi="仿宋" w:eastAsia="仿宋" w:cs="仿宋"/>
          <w:sz w:val="32"/>
          <w:szCs w:val="32"/>
          <w:lang w:eastAsia="zh-CN"/>
        </w:rPr>
        <w:t>一、 主要职责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_Toc4021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_Toc20479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 机构设置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_Toc20479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2"/>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_Toc14578 </w:instrText>
      </w:r>
      <w:r>
        <w:rPr>
          <w:rFonts w:hint="eastAsia" w:ascii="仿宋" w:hAnsi="仿宋" w:eastAsia="仿宋" w:cs="仿宋"/>
          <w:sz w:val="32"/>
          <w:szCs w:val="32"/>
        </w:rPr>
        <w:fldChar w:fldCharType="separate"/>
      </w:r>
      <w:r>
        <w:rPr>
          <w:rFonts w:hint="eastAsia" w:ascii="仿宋" w:hAnsi="仿宋" w:eastAsia="仿宋" w:cs="仿宋"/>
          <w:sz w:val="32"/>
          <w:szCs w:val="32"/>
        </w:rPr>
        <w:t xml:space="preserve">第二部分 </w:t>
      </w:r>
      <w:r>
        <w:rPr>
          <w:rFonts w:hint="eastAsia" w:ascii="仿宋" w:hAnsi="仿宋" w:eastAsia="仿宋" w:cs="仿宋"/>
          <w:sz w:val="32"/>
          <w:szCs w:val="32"/>
          <w:lang w:val="en-US" w:eastAsia="zh-CN"/>
        </w:rPr>
        <w:t>2024年度</w:t>
      </w:r>
      <w:r>
        <w:rPr>
          <w:rFonts w:hint="eastAsia" w:ascii="仿宋" w:hAnsi="仿宋" w:eastAsia="仿宋" w:cs="仿宋"/>
          <w:sz w:val="32"/>
          <w:szCs w:val="32"/>
          <w:lang w:eastAsia="zh-CN"/>
        </w:rPr>
        <w:t>单位</w:t>
      </w:r>
      <w:r>
        <w:rPr>
          <w:rFonts w:hint="eastAsia" w:ascii="仿宋" w:hAnsi="仿宋" w:eastAsia="仿宋" w:cs="仿宋"/>
          <w:sz w:val="32"/>
          <w:szCs w:val="32"/>
        </w:rPr>
        <w:t>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_Toc14578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_Toc19925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w:t>
      </w:r>
      <w:r>
        <w:rPr>
          <w:rFonts w:hint="eastAsia" w:ascii="仿宋" w:hAnsi="仿宋" w:eastAsia="仿宋" w:cs="仿宋"/>
          <w:sz w:val="32"/>
          <w:szCs w:val="32"/>
        </w:rPr>
        <w:t>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_Toc19925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_Toc30825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w:t>
      </w:r>
      <w:r>
        <w:rPr>
          <w:rFonts w:hint="eastAsia" w:ascii="仿宋" w:hAnsi="仿宋" w:eastAsia="仿宋" w:cs="仿宋"/>
          <w:sz w:val="32"/>
          <w:szCs w:val="32"/>
        </w:rPr>
        <w:t>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_Toc30825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_Toc11518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w:t>
      </w:r>
      <w:r>
        <w:rPr>
          <w:rFonts w:hint="eastAsia" w:ascii="仿宋" w:hAnsi="仿宋" w:eastAsia="仿宋" w:cs="仿宋"/>
          <w:sz w:val="32"/>
          <w:szCs w:val="32"/>
        </w:rPr>
        <w:t>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_Toc11518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_Toc27642 </w:instrText>
      </w:r>
      <w:r>
        <w:rPr>
          <w:rFonts w:hint="eastAsia" w:ascii="仿宋" w:hAnsi="仿宋" w:eastAsia="仿宋" w:cs="仿宋"/>
          <w:sz w:val="32"/>
          <w:szCs w:val="32"/>
        </w:rPr>
        <w:fldChar w:fldCharType="separate"/>
      </w:r>
      <w:r>
        <w:rPr>
          <w:rFonts w:hint="eastAsia" w:ascii="仿宋" w:hAnsi="仿宋" w:eastAsia="仿宋" w:cs="仿宋"/>
          <w:sz w:val="32"/>
          <w:szCs w:val="32"/>
        </w:rPr>
        <w:t>四、财政拨款收入支出决算总体情况说明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_Toc27642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_Toc26975 </w:instrText>
      </w:r>
      <w:r>
        <w:rPr>
          <w:rFonts w:hint="eastAsia" w:ascii="仿宋" w:hAnsi="仿宋" w:eastAsia="仿宋" w:cs="仿宋"/>
          <w:sz w:val="32"/>
          <w:szCs w:val="32"/>
        </w:rPr>
        <w:fldChar w:fldCharType="separate"/>
      </w:r>
      <w:r>
        <w:rPr>
          <w:rFonts w:hint="eastAsia" w:ascii="仿宋" w:hAnsi="仿宋" w:eastAsia="仿宋" w:cs="仿宋"/>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_Toc26975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_Toc4056 </w:instrText>
      </w:r>
      <w:r>
        <w:rPr>
          <w:rFonts w:hint="eastAsia" w:ascii="仿宋" w:hAnsi="仿宋" w:eastAsia="仿宋" w:cs="仿宋"/>
          <w:sz w:val="32"/>
          <w:szCs w:val="32"/>
        </w:rPr>
        <w:fldChar w:fldCharType="separate"/>
      </w:r>
      <w:r>
        <w:rPr>
          <w:rFonts w:hint="eastAsia" w:ascii="仿宋" w:hAnsi="仿宋" w:eastAsia="仿宋" w:cs="仿宋"/>
          <w:sz w:val="32"/>
          <w:szCs w:val="32"/>
        </w:rPr>
        <w:t>六、一般公共预算财政拨款基本支出决算情况说明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_Toc4056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_Toc5985 </w:instrText>
      </w:r>
      <w:r>
        <w:rPr>
          <w:rFonts w:hint="eastAsia" w:ascii="仿宋" w:hAnsi="仿宋" w:eastAsia="仿宋" w:cs="仿宋"/>
          <w:sz w:val="32"/>
          <w:szCs w:val="32"/>
        </w:rPr>
        <w:fldChar w:fldCharType="separate"/>
      </w:r>
      <w:r>
        <w:rPr>
          <w:rFonts w:hint="eastAsia" w:ascii="仿宋" w:hAnsi="仿宋" w:eastAsia="仿宋" w:cs="仿宋"/>
          <w:sz w:val="32"/>
          <w:szCs w:val="32"/>
        </w:rPr>
        <w:t>七、财政拨款“三公”经费支出决算情况说明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_Toc5985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_Toc19222 </w:instrText>
      </w:r>
      <w:r>
        <w:rPr>
          <w:rFonts w:hint="eastAsia" w:ascii="仿宋" w:hAnsi="仿宋" w:eastAsia="仿宋" w:cs="仿宋"/>
          <w:sz w:val="32"/>
          <w:szCs w:val="32"/>
        </w:rPr>
        <w:fldChar w:fldCharType="separate"/>
      </w:r>
      <w:r>
        <w:rPr>
          <w:rFonts w:hint="eastAsia" w:ascii="仿宋" w:hAnsi="仿宋" w:eastAsia="仿宋" w:cs="仿宋"/>
          <w:sz w:val="32"/>
          <w:szCs w:val="32"/>
        </w:rPr>
        <w:t>八、政府性基金预算支出决算情况说明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_Toc19222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_Toc24437 </w:instrText>
      </w:r>
      <w:r>
        <w:rPr>
          <w:rFonts w:hint="eastAsia" w:ascii="仿宋" w:hAnsi="仿宋" w:eastAsia="仿宋" w:cs="仿宋"/>
          <w:sz w:val="32"/>
          <w:szCs w:val="32"/>
        </w:rPr>
        <w:fldChar w:fldCharType="separate"/>
      </w:r>
      <w:r>
        <w:rPr>
          <w:rFonts w:hint="eastAsia" w:ascii="仿宋" w:hAnsi="仿宋" w:eastAsia="仿宋" w:cs="仿宋"/>
          <w:sz w:val="32"/>
          <w:szCs w:val="32"/>
        </w:rPr>
        <w:t>九、 国有资本经营预算支出决算情况说明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_Toc24437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_Toc10385 </w:instrText>
      </w:r>
      <w:r>
        <w:rPr>
          <w:rFonts w:hint="eastAsia" w:ascii="仿宋" w:hAnsi="仿宋" w:eastAsia="仿宋" w:cs="仿宋"/>
          <w:sz w:val="32"/>
          <w:szCs w:val="32"/>
        </w:rPr>
        <w:fldChar w:fldCharType="separate"/>
      </w:r>
      <w:r>
        <w:rPr>
          <w:rFonts w:hint="eastAsia" w:ascii="仿宋" w:hAnsi="仿宋" w:eastAsia="仿宋" w:cs="仿宋"/>
          <w:sz w:val="32"/>
          <w:szCs w:val="32"/>
        </w:rPr>
        <w:t>十、 其他重要事项的情况说明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_Toc10385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2"/>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_Toc15492 </w:instrText>
      </w:r>
      <w:r>
        <w:rPr>
          <w:rFonts w:hint="eastAsia" w:ascii="仿宋" w:hAnsi="仿宋" w:eastAsia="仿宋" w:cs="仿宋"/>
          <w:sz w:val="32"/>
          <w:szCs w:val="32"/>
        </w:rPr>
        <w:fldChar w:fldCharType="separate"/>
      </w:r>
      <w:r>
        <w:rPr>
          <w:rFonts w:hint="eastAsia" w:ascii="仿宋" w:hAnsi="仿宋" w:eastAsia="仿宋" w:cs="仿宋"/>
          <w:sz w:val="32"/>
          <w:szCs w:val="32"/>
          <w:lang w:eastAsia="zh-CN"/>
        </w:rPr>
        <w:t>第三部分</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名词解释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_Toc15492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2"/>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_Toc27906 </w:instrText>
      </w:r>
      <w:r>
        <w:rPr>
          <w:rFonts w:hint="eastAsia" w:ascii="仿宋" w:hAnsi="仿宋" w:eastAsia="仿宋" w:cs="仿宋"/>
          <w:sz w:val="32"/>
          <w:szCs w:val="32"/>
        </w:rPr>
        <w:fldChar w:fldCharType="separate"/>
      </w:r>
      <w:r>
        <w:rPr>
          <w:rFonts w:hint="eastAsia" w:ascii="仿宋" w:hAnsi="仿宋" w:eastAsia="仿宋" w:cs="仿宋"/>
          <w:sz w:val="32"/>
          <w:szCs w:val="32"/>
        </w:rPr>
        <w:t>第四部分 附件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_Toc27906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2"/>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_Toc10231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部门预算项目支出绩效自评表（202</w:t>
      </w:r>
      <w:r>
        <w:rPr>
          <w:rFonts w:hint="eastAsia" w:ascii="仿宋" w:hAnsi="仿宋" w:eastAsia="仿宋" w:cs="仿宋"/>
          <w:sz w:val="32"/>
          <w:szCs w:val="32"/>
          <w:lang w:val="en" w:eastAsia="zh-CN"/>
        </w:rPr>
        <w:t>4</w:t>
      </w:r>
      <w:r>
        <w:rPr>
          <w:rFonts w:hint="eastAsia" w:ascii="仿宋" w:hAnsi="仿宋" w:eastAsia="仿宋" w:cs="仿宋"/>
          <w:sz w:val="32"/>
          <w:szCs w:val="32"/>
          <w:lang w:val="en-US" w:eastAsia="zh-CN"/>
        </w:rPr>
        <w:t>年度）</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_Toc10231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2"/>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_Toc7547 </w:instrText>
      </w:r>
      <w:r>
        <w:rPr>
          <w:rFonts w:hint="eastAsia" w:ascii="仿宋" w:hAnsi="仿宋" w:eastAsia="仿宋" w:cs="仿宋"/>
          <w:sz w:val="32"/>
          <w:szCs w:val="32"/>
        </w:rPr>
        <w:fldChar w:fldCharType="separate"/>
      </w:r>
      <w:r>
        <w:rPr>
          <w:rFonts w:hint="eastAsia" w:ascii="仿宋" w:hAnsi="仿宋" w:eastAsia="仿宋" w:cs="仿宋"/>
          <w:sz w:val="32"/>
          <w:szCs w:val="32"/>
        </w:rPr>
        <w:t>第五部分 附表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_Toc7547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_Toc26296 </w:instrText>
      </w:r>
      <w:r>
        <w:rPr>
          <w:rFonts w:hint="eastAsia" w:ascii="仿宋" w:hAnsi="仿宋" w:eastAsia="仿宋" w:cs="仿宋"/>
          <w:sz w:val="32"/>
          <w:szCs w:val="32"/>
        </w:rPr>
        <w:fldChar w:fldCharType="separate"/>
      </w:r>
      <w:r>
        <w:rPr>
          <w:rFonts w:hint="eastAsia" w:ascii="仿宋" w:hAnsi="仿宋" w:eastAsia="仿宋" w:cs="仿宋"/>
          <w:sz w:val="32"/>
          <w:szCs w:val="32"/>
        </w:rPr>
        <w:t>一、收入支出决算总表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_Toc26296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_Toc30423 </w:instrText>
      </w:r>
      <w:r>
        <w:rPr>
          <w:rFonts w:hint="eastAsia" w:ascii="仿宋" w:hAnsi="仿宋" w:eastAsia="仿宋" w:cs="仿宋"/>
          <w:sz w:val="32"/>
          <w:szCs w:val="32"/>
        </w:rPr>
        <w:fldChar w:fldCharType="separate"/>
      </w:r>
      <w:r>
        <w:rPr>
          <w:rFonts w:hint="eastAsia" w:ascii="仿宋" w:hAnsi="仿宋" w:eastAsia="仿宋" w:cs="仿宋"/>
          <w:sz w:val="32"/>
          <w:szCs w:val="32"/>
        </w:rPr>
        <w:t>二、收入决算表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_Toc30423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_Toc1893 </w:instrText>
      </w:r>
      <w:r>
        <w:rPr>
          <w:rFonts w:hint="eastAsia" w:ascii="仿宋" w:hAnsi="仿宋" w:eastAsia="仿宋" w:cs="仿宋"/>
          <w:sz w:val="32"/>
          <w:szCs w:val="32"/>
        </w:rPr>
        <w:fldChar w:fldCharType="separate"/>
      </w:r>
      <w:r>
        <w:rPr>
          <w:rFonts w:hint="eastAsia" w:ascii="仿宋" w:hAnsi="仿宋" w:eastAsia="仿宋" w:cs="仿宋"/>
          <w:sz w:val="32"/>
          <w:szCs w:val="32"/>
        </w:rPr>
        <w:t>三、支出决算表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_Toc1893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_Toc17828 </w:instrText>
      </w:r>
      <w:r>
        <w:rPr>
          <w:rFonts w:hint="eastAsia" w:ascii="仿宋" w:hAnsi="仿宋" w:eastAsia="仿宋" w:cs="仿宋"/>
          <w:sz w:val="32"/>
          <w:szCs w:val="32"/>
        </w:rPr>
        <w:fldChar w:fldCharType="separate"/>
      </w:r>
      <w:r>
        <w:rPr>
          <w:rFonts w:hint="eastAsia" w:ascii="仿宋" w:hAnsi="仿宋" w:eastAsia="仿宋" w:cs="仿宋"/>
          <w:sz w:val="32"/>
          <w:szCs w:val="32"/>
        </w:rPr>
        <w:t>四、财政拨款收入支出决算总表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_Toc17828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_Toc25372 </w:instrText>
      </w:r>
      <w:r>
        <w:rPr>
          <w:rFonts w:hint="eastAsia" w:ascii="仿宋" w:hAnsi="仿宋" w:eastAsia="仿宋" w:cs="仿宋"/>
          <w:sz w:val="32"/>
          <w:szCs w:val="32"/>
        </w:rPr>
        <w:fldChar w:fldCharType="separate"/>
      </w:r>
      <w:r>
        <w:rPr>
          <w:rFonts w:hint="eastAsia" w:ascii="仿宋" w:hAnsi="仿宋" w:eastAsia="仿宋" w:cs="仿宋"/>
          <w:sz w:val="32"/>
          <w:szCs w:val="32"/>
        </w:rPr>
        <w:t>五、财政拨款支出决算明细表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_Toc25372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_Toc19017 </w:instrText>
      </w:r>
      <w:r>
        <w:rPr>
          <w:rFonts w:hint="eastAsia" w:ascii="仿宋" w:hAnsi="仿宋" w:eastAsia="仿宋" w:cs="仿宋"/>
          <w:sz w:val="32"/>
          <w:szCs w:val="32"/>
        </w:rPr>
        <w:fldChar w:fldCharType="separate"/>
      </w:r>
      <w:r>
        <w:rPr>
          <w:rFonts w:hint="eastAsia" w:ascii="仿宋" w:hAnsi="仿宋" w:eastAsia="仿宋" w:cs="仿宋"/>
          <w:sz w:val="32"/>
          <w:szCs w:val="32"/>
        </w:rPr>
        <w:t>六、一般公共预算财政拨款支出决算表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_Toc19017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_Toc15735 </w:instrText>
      </w:r>
      <w:r>
        <w:rPr>
          <w:rFonts w:hint="eastAsia" w:ascii="仿宋" w:hAnsi="仿宋" w:eastAsia="仿宋" w:cs="仿宋"/>
          <w:sz w:val="32"/>
          <w:szCs w:val="32"/>
        </w:rPr>
        <w:fldChar w:fldCharType="separate"/>
      </w:r>
      <w:r>
        <w:rPr>
          <w:rFonts w:hint="eastAsia" w:ascii="仿宋" w:hAnsi="仿宋" w:eastAsia="仿宋" w:cs="仿宋"/>
          <w:sz w:val="32"/>
          <w:szCs w:val="32"/>
        </w:rPr>
        <w:t>七、一般公共预算财政拨款支出决算明细表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_Toc15735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_Toc29561 </w:instrText>
      </w:r>
      <w:r>
        <w:rPr>
          <w:rFonts w:hint="eastAsia" w:ascii="仿宋" w:hAnsi="仿宋" w:eastAsia="仿宋" w:cs="仿宋"/>
          <w:sz w:val="32"/>
          <w:szCs w:val="32"/>
        </w:rPr>
        <w:fldChar w:fldCharType="separate"/>
      </w:r>
      <w:r>
        <w:rPr>
          <w:rFonts w:hint="eastAsia" w:ascii="仿宋" w:hAnsi="仿宋" w:eastAsia="仿宋" w:cs="仿宋"/>
          <w:sz w:val="32"/>
          <w:szCs w:val="32"/>
        </w:rPr>
        <w:t>八、一般公共预算财政拨款基本支出决算表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_Toc29561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_Toc17856 </w:instrText>
      </w:r>
      <w:r>
        <w:rPr>
          <w:rFonts w:hint="eastAsia" w:ascii="仿宋" w:hAnsi="仿宋" w:eastAsia="仿宋" w:cs="仿宋"/>
          <w:sz w:val="32"/>
          <w:szCs w:val="32"/>
        </w:rPr>
        <w:fldChar w:fldCharType="separate"/>
      </w:r>
      <w:r>
        <w:rPr>
          <w:rFonts w:hint="eastAsia" w:ascii="仿宋" w:hAnsi="仿宋" w:eastAsia="仿宋" w:cs="仿宋"/>
          <w:sz w:val="32"/>
          <w:szCs w:val="32"/>
        </w:rPr>
        <w:t>九、一般公共预算财政拨款项目支出决算表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_Toc17856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_Toc18743 </w:instrText>
      </w:r>
      <w:r>
        <w:rPr>
          <w:rFonts w:hint="eastAsia" w:ascii="仿宋" w:hAnsi="仿宋" w:eastAsia="仿宋" w:cs="仿宋"/>
          <w:sz w:val="32"/>
          <w:szCs w:val="32"/>
        </w:rPr>
        <w:fldChar w:fldCharType="separate"/>
      </w:r>
      <w:r>
        <w:rPr>
          <w:rFonts w:hint="eastAsia" w:ascii="仿宋" w:hAnsi="仿宋" w:eastAsia="仿宋" w:cs="仿宋"/>
          <w:sz w:val="32"/>
          <w:szCs w:val="32"/>
        </w:rPr>
        <w:t>十、政府性基金预算财政拨款收入支出决算表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_Toc18743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_Toc2655 </w:instrText>
      </w:r>
      <w:r>
        <w:rPr>
          <w:rFonts w:hint="eastAsia" w:ascii="仿宋" w:hAnsi="仿宋" w:eastAsia="仿宋" w:cs="仿宋"/>
          <w:sz w:val="32"/>
          <w:szCs w:val="32"/>
        </w:rPr>
        <w:fldChar w:fldCharType="separate"/>
      </w:r>
      <w:r>
        <w:rPr>
          <w:rFonts w:hint="eastAsia" w:ascii="仿宋" w:hAnsi="仿宋" w:eastAsia="仿宋" w:cs="仿宋"/>
          <w:sz w:val="32"/>
          <w:szCs w:val="32"/>
        </w:rPr>
        <w:t>十一、国有资本经营预算</w:t>
      </w:r>
      <w:r>
        <w:rPr>
          <w:rFonts w:hint="eastAsia" w:ascii="仿宋" w:hAnsi="仿宋" w:eastAsia="仿宋" w:cs="仿宋"/>
          <w:sz w:val="32"/>
          <w:szCs w:val="32"/>
          <w:lang w:eastAsia="zh-CN"/>
        </w:rPr>
        <w:t>财政拨款收入</w:t>
      </w:r>
      <w:r>
        <w:rPr>
          <w:rFonts w:hint="eastAsia" w:ascii="仿宋" w:hAnsi="仿宋" w:eastAsia="仿宋" w:cs="仿宋"/>
          <w:sz w:val="32"/>
          <w:szCs w:val="32"/>
        </w:rPr>
        <w:t>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_Toc2655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_Toc29937 </w:instrText>
      </w:r>
      <w:r>
        <w:rPr>
          <w:rFonts w:hint="eastAsia" w:ascii="仿宋" w:hAnsi="仿宋" w:eastAsia="仿宋" w:cs="仿宋"/>
          <w:sz w:val="32"/>
          <w:szCs w:val="32"/>
        </w:rPr>
        <w:fldChar w:fldCharType="separate"/>
      </w:r>
      <w:r>
        <w:rPr>
          <w:rFonts w:hint="eastAsia" w:ascii="仿宋" w:hAnsi="仿宋" w:eastAsia="仿宋" w:cs="仿宋"/>
          <w:sz w:val="32"/>
          <w:szCs w:val="32"/>
        </w:rPr>
        <w:t>十二、</w:t>
      </w:r>
      <w:r>
        <w:rPr>
          <w:rFonts w:hint="eastAsia" w:ascii="仿宋" w:hAnsi="仿宋" w:eastAsia="仿宋" w:cs="仿宋"/>
          <w:sz w:val="32"/>
          <w:szCs w:val="32"/>
          <w:lang w:eastAsia="zh-CN"/>
        </w:rPr>
        <w:t>国有资本经营预算财政拨款支出决算表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_Toc29937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right" w:leader="dot" w:pos="8306"/>
          <w:tab w:val="clear" w:pos="8296"/>
        </w:tabs>
        <w:rPr>
          <w:rFonts w:hint="eastAsia" w:ascii="仿宋" w:hAnsi="仿宋" w:eastAsia="仿宋" w:cs="仿宋"/>
          <w:sz w:val="32"/>
          <w:szCs w:val="32"/>
        </w:rPr>
      </w:pPr>
      <w:r>
        <w:rPr>
          <w:rFonts w:hint="eastAsia" w:ascii="仿宋" w:hAnsi="仿宋" w:eastAsia="仿宋" w:cs="仿宋"/>
          <w:color w:val="000000"/>
          <w:sz w:val="32"/>
          <w:szCs w:val="32"/>
        </w:rPr>
        <w:fldChar w:fldCharType="begin"/>
      </w:r>
      <w:r>
        <w:rPr>
          <w:rFonts w:hint="eastAsia" w:ascii="仿宋" w:hAnsi="仿宋" w:eastAsia="仿宋" w:cs="仿宋"/>
          <w:sz w:val="32"/>
          <w:szCs w:val="32"/>
        </w:rPr>
        <w:instrText xml:space="preserve"> HYPERLINK \l _Toc14602 </w:instrText>
      </w:r>
      <w:r>
        <w:rPr>
          <w:rFonts w:hint="eastAsia" w:ascii="仿宋" w:hAnsi="仿宋" w:eastAsia="仿宋" w:cs="仿宋"/>
          <w:sz w:val="32"/>
          <w:szCs w:val="32"/>
        </w:rPr>
        <w:fldChar w:fldCharType="separate"/>
      </w:r>
      <w:r>
        <w:rPr>
          <w:rFonts w:hint="eastAsia" w:ascii="仿宋" w:hAnsi="仿宋" w:eastAsia="仿宋" w:cs="仿宋"/>
          <w:sz w:val="32"/>
          <w:szCs w:val="32"/>
        </w:rPr>
        <w:t>十三、</w:t>
      </w:r>
      <w:r>
        <w:rPr>
          <w:rFonts w:hint="eastAsia" w:ascii="仿宋" w:hAnsi="仿宋" w:eastAsia="仿宋" w:cs="仿宋"/>
          <w:sz w:val="32"/>
          <w:szCs w:val="32"/>
          <w:lang w:eastAsia="zh-CN"/>
        </w:rPr>
        <w:t>财政拨款“三公”经费支出决算表</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_Toc14602 \h </w:instrText>
      </w:r>
      <w:r>
        <w:rPr>
          <w:rFonts w:hint="eastAsia" w:ascii="仿宋" w:hAnsi="仿宋" w:eastAsia="仿宋" w:cs="仿宋"/>
          <w:sz w:val="32"/>
          <w:szCs w:val="32"/>
        </w:rPr>
        <w:fldChar w:fldCharType="separate"/>
      </w:r>
      <w:r>
        <w:rPr>
          <w:rFonts w:hint="eastAsia" w:ascii="仿宋" w:hAnsi="仿宋" w:eastAsia="仿宋" w:cs="仿宋"/>
          <w:sz w:val="32"/>
          <w:szCs w:val="32"/>
        </w:rPr>
        <w:t>32</w:t>
      </w:r>
      <w:r>
        <w:rPr>
          <w:rFonts w:hint="eastAsia" w:ascii="仿宋" w:hAnsi="仿宋" w:eastAsia="仿宋" w:cs="仿宋"/>
          <w:sz w:val="32"/>
          <w:szCs w:val="32"/>
        </w:rPr>
        <w:fldChar w:fldCharType="end"/>
      </w:r>
      <w:r>
        <w:rPr>
          <w:rFonts w:hint="eastAsia" w:ascii="仿宋" w:hAnsi="仿宋" w:eastAsia="仿宋" w:cs="仿宋"/>
          <w:color w:val="000000"/>
          <w:sz w:val="32"/>
          <w:szCs w:val="32"/>
        </w:rPr>
        <w:fldChar w:fldCharType="end"/>
      </w:r>
    </w:p>
    <w:p>
      <w:pPr>
        <w:pStyle w:val="16"/>
        <w:tabs>
          <w:tab w:val="clear" w:pos="8296"/>
        </w:tabs>
        <w:spacing w:line="440" w:lineRule="exact"/>
        <w:jc w:val="left"/>
        <w:rPr>
          <w:rFonts w:hint="eastAsia"/>
          <w:color w:val="000000"/>
        </w:rPr>
      </w:pPr>
      <w:r>
        <w:rPr>
          <w:rFonts w:hint="eastAsia" w:ascii="仿宋" w:hAnsi="仿宋" w:eastAsia="仿宋" w:cs="仿宋"/>
          <w:color w:val="000000"/>
          <w:sz w:val="32"/>
          <w:szCs w:val="32"/>
        </w:rPr>
        <w:fldChar w:fldCharType="end"/>
      </w:r>
    </w:p>
    <w:p>
      <w:pPr>
        <w:widowControl/>
        <w:spacing w:line="440" w:lineRule="exact"/>
        <w:jc w:val="left"/>
        <w:rPr>
          <w:rFonts w:ascii="仿宋" w:hAnsi="仿宋" w:eastAsia="仿宋"/>
          <w:bCs/>
          <w:color w:val="000000"/>
          <w:kern w:val="44"/>
          <w:sz w:val="24"/>
        </w:rPr>
        <w:sectPr>
          <w:pgSz w:w="11906" w:h="16838"/>
          <w:pgMar w:top="1440" w:right="1800" w:bottom="1440" w:left="1800" w:header="720" w:footer="720" w:gutter="0"/>
          <w:cols w:space="720" w:num="1"/>
          <w:docGrid w:type="lines" w:linePitch="312" w:charSpace="0"/>
        </w:sectPr>
      </w:pPr>
    </w:p>
    <w:p>
      <w:pPr>
        <w:pStyle w:val="2"/>
      </w:pPr>
    </w:p>
    <w:p>
      <w:pPr>
        <w:pStyle w:val="3"/>
        <w:bidi w:val="0"/>
        <w:rPr>
          <w:rFonts w:ascii="黑体" w:eastAsia="黑体"/>
          <w:color w:val="000000"/>
          <w:sz w:val="32"/>
          <w:szCs w:val="32"/>
        </w:rPr>
      </w:pPr>
      <w:bookmarkStart w:id="0" w:name="_Toc12035"/>
      <w:r>
        <w:rPr>
          <w:rFonts w:hint="eastAsia"/>
        </w:rPr>
        <w:t xml:space="preserve">第一部分 </w:t>
      </w:r>
      <w:r>
        <w:rPr>
          <w:rFonts w:hint="eastAsia"/>
          <w:lang w:eastAsia="zh-CN"/>
        </w:rPr>
        <w:t>单位</w:t>
      </w:r>
      <w:r>
        <w:rPr>
          <w:rFonts w:hint="eastAsia"/>
        </w:rPr>
        <w:t>概况</w:t>
      </w:r>
      <w:bookmarkEnd w:id="0"/>
    </w:p>
    <w:p>
      <w:pPr>
        <w:pStyle w:val="4"/>
        <w:pageBreakBefore w:val="0"/>
        <w:widowControl w:val="0"/>
        <w:numPr>
          <w:ilvl w:val="0"/>
          <w:numId w:val="1"/>
        </w:numPr>
        <w:kinsoku/>
        <w:wordWrap/>
        <w:overflowPunct/>
        <w:topLinePunct w:val="0"/>
        <w:autoSpaceDE/>
        <w:autoSpaceDN/>
        <w:bidi w:val="0"/>
        <w:adjustRightInd/>
        <w:snapToGrid/>
        <w:ind w:firstLine="642" w:firstLineChars="200"/>
        <w:textAlignment w:val="auto"/>
        <w:rPr>
          <w:rFonts w:hint="eastAsia"/>
          <w:lang w:eastAsia="zh-CN"/>
        </w:rPr>
      </w:pPr>
      <w:bookmarkStart w:id="1" w:name="_Toc4021"/>
      <w:r>
        <w:rPr>
          <w:rFonts w:hint="eastAsia"/>
          <w:lang w:eastAsia="zh-CN"/>
        </w:rPr>
        <w:t>主要职责</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代表市委、市政府联系中央和国家机关，完成市级领导交办的各项任务。二是收集、整理各类重要信息，为市委、市政府决策提供参考依据。三是负责市委、市人大、市政府、市政协领导在京的接待工作。四是做好招商引资工作。五是承办广元市人民政府交办的其它事项。</w:t>
      </w:r>
    </w:p>
    <w:p>
      <w:pPr>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p>
      <w:pPr>
        <w:pStyle w:val="4"/>
        <w:pageBreakBefore w:val="0"/>
        <w:widowControl w:val="0"/>
        <w:numPr>
          <w:ilvl w:val="0"/>
          <w:numId w:val="1"/>
        </w:numPr>
        <w:kinsoku/>
        <w:wordWrap/>
        <w:overflowPunct/>
        <w:topLinePunct w:val="0"/>
        <w:autoSpaceDE/>
        <w:autoSpaceDN/>
        <w:bidi w:val="0"/>
        <w:adjustRightInd/>
        <w:snapToGrid/>
        <w:ind w:firstLine="642" w:firstLineChars="200"/>
        <w:textAlignment w:val="auto"/>
        <w:rPr>
          <w:rFonts w:hint="eastAsia"/>
          <w:lang w:val="en-US" w:eastAsia="zh-CN"/>
        </w:rPr>
      </w:pPr>
      <w:bookmarkStart w:id="2" w:name="_Toc20479"/>
      <w:r>
        <w:rPr>
          <w:rFonts w:hint="eastAsia"/>
          <w:lang w:val="en-US" w:eastAsia="zh-CN"/>
        </w:rPr>
        <w:t>机构设置</w:t>
      </w:r>
      <w:bookmarkEnd w:id="2"/>
    </w:p>
    <w:p>
      <w:pPr>
        <w:widowControl/>
        <w:ind w:firstLine="640" w:firstLineChars="200"/>
        <w:jc w:val="left"/>
        <w:rPr>
          <w:rFonts w:ascii="仿宋" w:hAnsi="仿宋" w:eastAsia="仿宋"/>
          <w:color w:val="000000"/>
          <w:kern w:val="0"/>
          <w:sz w:val="32"/>
          <w:szCs w:val="32"/>
        </w:rPr>
      </w:pPr>
      <w:r>
        <w:rPr>
          <w:rFonts w:hint="eastAsia" w:ascii="仿宋_GB2312" w:hAnsi="仿宋_GB2312" w:eastAsia="仿宋_GB2312" w:cs="仿宋_GB2312"/>
          <w:sz w:val="32"/>
          <w:szCs w:val="32"/>
          <w:highlight w:val="none"/>
          <w:lang w:val="en-US" w:eastAsia="zh-CN"/>
        </w:rPr>
        <w:t>我单位为广元市人民政府办公室下属二级预算单位，本单位下属机构0个，设有内设机构2个。广元市人民政府驻北京联络处自2022年起，独立预算，独立核算。</w:t>
      </w:r>
      <w:r>
        <w:rPr>
          <w:rFonts w:ascii="仿宋" w:hAnsi="仿宋" w:eastAsia="仿宋"/>
          <w:color w:val="000000"/>
          <w:sz w:val="32"/>
          <w:szCs w:val="32"/>
        </w:rPr>
        <w:br w:type="page"/>
      </w:r>
    </w:p>
    <w:p>
      <w:pPr>
        <w:pStyle w:val="3"/>
        <w:bidi w:val="0"/>
      </w:pPr>
      <w:bookmarkStart w:id="3" w:name="_Toc14578"/>
      <w:r>
        <w:rPr>
          <w:rFonts w:hint="eastAsia"/>
        </w:rPr>
        <w:t>第二</w:t>
      </w:r>
      <w:r>
        <w:rPr>
          <w:rStyle w:val="20"/>
          <w:rFonts w:hint="eastAsia"/>
          <w:b/>
          <w:bCs/>
        </w:rPr>
        <w:t>部分</w:t>
      </w:r>
      <w:r>
        <w:rPr>
          <w:rFonts w:hint="eastAsia"/>
        </w:rPr>
        <w:t xml:space="preserve"> </w:t>
      </w:r>
      <w:r>
        <w:rPr>
          <w:rFonts w:hint="eastAsia"/>
          <w:lang w:val="en-US" w:eastAsia="zh-CN"/>
        </w:rPr>
        <w:t>2024年度</w:t>
      </w:r>
      <w:r>
        <w:rPr>
          <w:rFonts w:hint="eastAsia"/>
          <w:lang w:eastAsia="zh-CN"/>
        </w:rPr>
        <w:t>单位</w:t>
      </w:r>
      <w:r>
        <w:rPr>
          <w:rFonts w:hint="eastAsia"/>
        </w:rPr>
        <w:t>决算情况说明</w:t>
      </w:r>
      <w:bookmarkEnd w:id="3"/>
    </w:p>
    <w:p>
      <w:pPr>
        <w:rPr>
          <w:color w:val="000000"/>
        </w:rPr>
      </w:pPr>
    </w:p>
    <w:p>
      <w:pPr>
        <w:pStyle w:val="4"/>
        <w:bidi w:val="0"/>
      </w:pPr>
      <w:bookmarkStart w:id="4" w:name="_Toc19925"/>
      <w:bookmarkStart w:id="5" w:name="_Toc15396603"/>
      <w:bookmarkStart w:id="6" w:name="_Toc15377205"/>
      <w:r>
        <w:rPr>
          <w:rFonts w:hint="eastAsia"/>
          <w:lang w:val="en-US" w:eastAsia="zh-CN"/>
        </w:rPr>
        <w:t>一、</w:t>
      </w:r>
      <w:r>
        <w:rPr>
          <w:rFonts w:hint="eastAsia"/>
        </w:rPr>
        <w:t>收入支出决算总体情况说明</w:t>
      </w:r>
      <w:bookmarkEnd w:id="4"/>
      <w:bookmarkEnd w:id="5"/>
      <w:bookmarkEnd w:id="6"/>
    </w:p>
    <w:p>
      <w:pPr>
        <w:spacing w:line="600" w:lineRule="exact"/>
        <w:ind w:firstLine="630" w:firstLineChars="300"/>
        <w:rPr>
          <w:rFonts w:hint="eastAsia" w:ascii="仿宋_GB2312" w:hAnsi="仿宋_GB2312" w:eastAsia="仿宋_GB2312" w:cs="仿宋_GB2312"/>
          <w:color w:val="000000"/>
          <w:sz w:val="32"/>
          <w:szCs w:val="32"/>
          <w:lang w:eastAsia="zh-CN"/>
        </w:rPr>
      </w:pPr>
      <w:r>
        <w:drawing>
          <wp:anchor distT="0" distB="0" distL="114300" distR="114300" simplePos="0" relativeHeight="251660288" behindDoc="0" locked="0" layoutInCell="1" allowOverlap="1">
            <wp:simplePos x="0" y="0"/>
            <wp:positionH relativeFrom="column">
              <wp:posOffset>233045</wp:posOffset>
            </wp:positionH>
            <wp:positionV relativeFrom="paragraph">
              <wp:posOffset>1573530</wp:posOffset>
            </wp:positionV>
            <wp:extent cx="4819650" cy="2743200"/>
            <wp:effectExtent l="4445" t="4445" r="14605" b="1460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年度收、支总计</w:t>
      </w:r>
      <w:r>
        <w:rPr>
          <w:rFonts w:hint="eastAsia" w:ascii="仿宋_GB2312" w:hAnsi="仿宋_GB2312" w:eastAsia="仿宋_GB2312" w:cs="仿宋_GB2312"/>
          <w:color w:val="000000"/>
          <w:sz w:val="32"/>
          <w:szCs w:val="32"/>
          <w:lang w:eastAsia="zh-CN"/>
        </w:rPr>
        <w:t>均为</w:t>
      </w:r>
      <w:r>
        <w:rPr>
          <w:rFonts w:hint="eastAsia" w:ascii="仿宋_GB2312" w:hAnsi="仿宋_GB2312" w:eastAsia="仿宋_GB2312" w:cs="仿宋_GB2312"/>
          <w:color w:val="000000"/>
          <w:sz w:val="32"/>
          <w:szCs w:val="32"/>
          <w:lang w:val="en-US" w:eastAsia="zh-CN"/>
        </w:rPr>
        <w:t>330.81</w:t>
      </w:r>
      <w:r>
        <w:rPr>
          <w:rFonts w:hint="eastAsia" w:ascii="仿宋_GB2312" w:hAnsi="仿宋_GB2312" w:eastAsia="仿宋_GB2312" w:cs="仿宋_GB2312"/>
          <w:color w:val="000000"/>
          <w:sz w:val="32"/>
          <w:szCs w:val="32"/>
        </w:rPr>
        <w:t>万元。与</w:t>
      </w: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相比，收、支总计各增加</w:t>
      </w:r>
      <w:r>
        <w:rPr>
          <w:rFonts w:hint="eastAsia" w:ascii="仿宋_GB2312" w:hAnsi="仿宋_GB2312" w:eastAsia="仿宋_GB2312" w:cs="仿宋_GB2312"/>
          <w:color w:val="000000"/>
          <w:sz w:val="32"/>
          <w:szCs w:val="32"/>
          <w:lang w:val="en-US" w:eastAsia="zh-CN"/>
        </w:rPr>
        <w:t>25.22</w:t>
      </w:r>
      <w:r>
        <w:rPr>
          <w:rFonts w:hint="eastAsia" w:ascii="仿宋_GB2312" w:hAnsi="仿宋_GB2312" w:eastAsia="仿宋_GB2312" w:cs="仿宋_GB2312"/>
          <w:color w:val="000000"/>
          <w:sz w:val="32"/>
          <w:szCs w:val="32"/>
        </w:rPr>
        <w:t>万元，增长</w:t>
      </w:r>
      <w:r>
        <w:rPr>
          <w:rFonts w:hint="eastAsia" w:ascii="仿宋_GB2312" w:hAnsi="仿宋_GB2312" w:eastAsia="仿宋_GB2312" w:cs="仿宋_GB2312"/>
          <w:color w:val="000000"/>
          <w:sz w:val="32"/>
          <w:szCs w:val="32"/>
          <w:lang w:val="en-US" w:eastAsia="zh-CN"/>
        </w:rPr>
        <w:t>8.25</w:t>
      </w:r>
      <w:r>
        <w:rPr>
          <w:rFonts w:hint="eastAsia" w:ascii="仿宋_GB2312" w:hAnsi="仿宋_GB2312" w:eastAsia="仿宋_GB2312" w:cs="仿宋_GB2312"/>
          <w:color w:val="000000"/>
          <w:sz w:val="32"/>
          <w:szCs w:val="32"/>
        </w:rPr>
        <w:t>%。主要变动原因是</w:t>
      </w:r>
      <w:r>
        <w:rPr>
          <w:rFonts w:hint="eastAsia" w:ascii="仿宋_GB2312" w:hAnsi="仿宋" w:eastAsia="仿宋_GB2312"/>
          <w:sz w:val="32"/>
          <w:szCs w:val="32"/>
          <w:lang w:val="en-US" w:eastAsia="zh-CN"/>
        </w:rPr>
        <w:t>人员经费增加，招商引资活动增加</w:t>
      </w:r>
      <w:r>
        <w:rPr>
          <w:rFonts w:hint="eastAsia" w:ascii="仿宋_GB2312" w:hAnsi="仿宋_GB2312" w:eastAsia="仿宋_GB2312" w:cs="仿宋_GB2312"/>
          <w:color w:val="000000"/>
          <w:sz w:val="32"/>
          <w:szCs w:val="32"/>
          <w:lang w:eastAsia="zh-CN"/>
        </w:rPr>
        <w:t>。</w:t>
      </w:r>
    </w:p>
    <w:p>
      <w:pPr>
        <w:spacing w:line="600" w:lineRule="exact"/>
        <w:ind w:firstLine="640" w:firstLineChars="200"/>
        <w:rPr>
          <w:rFonts w:hint="eastAsia" w:ascii="仿宋_GB2312" w:hAnsi="仿宋_GB2312" w:eastAsia="仿宋_GB2312" w:cs="仿宋_GB2312"/>
          <w:color w:val="auto"/>
          <w:sz w:val="32"/>
          <w:szCs w:val="32"/>
          <w:highlight w:val="red"/>
        </w:rPr>
      </w:pPr>
    </w:p>
    <w:p>
      <w:pPr>
        <w:spacing w:line="600" w:lineRule="exact"/>
        <w:ind w:firstLine="640" w:firstLineChars="200"/>
        <w:jc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auto"/>
          <w:sz w:val="32"/>
          <w:szCs w:val="32"/>
          <w:highlight w:val="none"/>
        </w:rPr>
        <w:t>（图1：收、支决算总计变动情况图）</w:t>
      </w:r>
    </w:p>
    <w:p>
      <w:pPr>
        <w:spacing w:line="600" w:lineRule="exact"/>
        <w:ind w:firstLine="640" w:firstLineChars="200"/>
        <w:jc w:val="left"/>
        <w:rPr>
          <w:rFonts w:hint="eastAsia" w:ascii="仿宋_GB2312" w:hAnsi="仿宋_GB2312" w:eastAsia="仿宋_GB2312" w:cs="仿宋_GB2312"/>
          <w:color w:val="000000"/>
          <w:sz w:val="32"/>
          <w:szCs w:val="32"/>
        </w:rPr>
      </w:pPr>
    </w:p>
    <w:p>
      <w:pPr>
        <w:pStyle w:val="4"/>
        <w:bidi w:val="0"/>
      </w:pPr>
      <w:bookmarkStart w:id="7" w:name="_Toc30825"/>
      <w:bookmarkStart w:id="8" w:name="_Toc15377206"/>
      <w:bookmarkStart w:id="9" w:name="_Toc15396604"/>
      <w:r>
        <w:rPr>
          <w:rFonts w:hint="eastAsia"/>
          <w:lang w:val="en-US" w:eastAsia="zh-CN"/>
        </w:rPr>
        <w:t>二、</w:t>
      </w:r>
      <w:r>
        <w:rPr>
          <w:rFonts w:hint="eastAsia"/>
        </w:rPr>
        <w:t>收入决算情况说明</w:t>
      </w:r>
      <w:bookmarkEnd w:id="7"/>
      <w:bookmarkEnd w:id="8"/>
      <w:bookmarkEnd w:id="9"/>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本年收入合计</w:t>
      </w:r>
      <w:r>
        <w:rPr>
          <w:rFonts w:hint="eastAsia" w:ascii="仿宋_GB2312" w:hAnsi="仿宋_GB2312" w:eastAsia="仿宋_GB2312" w:cs="仿宋_GB2312"/>
          <w:color w:val="000000"/>
          <w:sz w:val="32"/>
          <w:szCs w:val="32"/>
          <w:lang w:val="en-US" w:eastAsia="zh-CN"/>
        </w:rPr>
        <w:t>326.49</w:t>
      </w:r>
      <w:r>
        <w:rPr>
          <w:rFonts w:hint="eastAsia" w:ascii="仿宋_GB2312" w:hAnsi="仿宋_GB2312" w:eastAsia="仿宋_GB2312" w:cs="仿宋_GB2312"/>
          <w:color w:val="000000"/>
          <w:sz w:val="32"/>
          <w:szCs w:val="32"/>
        </w:rPr>
        <w:t>万元，其中：一般公共预算财政拨款收入</w:t>
      </w:r>
      <w:r>
        <w:rPr>
          <w:rFonts w:hint="eastAsia" w:ascii="仿宋_GB2312" w:hAnsi="仿宋_GB2312" w:eastAsia="仿宋_GB2312" w:cs="仿宋_GB2312"/>
          <w:color w:val="000000"/>
          <w:sz w:val="32"/>
          <w:szCs w:val="32"/>
          <w:lang w:val="en-US" w:eastAsia="zh-CN"/>
        </w:rPr>
        <w:t>326.49</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100</w:t>
      </w:r>
      <w:r>
        <w:rPr>
          <w:rFonts w:hint="eastAsia" w:ascii="仿宋_GB2312" w:hAnsi="仿宋_GB2312" w:eastAsia="仿宋_GB2312" w:cs="仿宋_GB2312"/>
          <w:color w:val="000000"/>
          <w:sz w:val="32"/>
          <w:szCs w:val="32"/>
        </w:rPr>
        <w:t>%。</w:t>
      </w:r>
    </w:p>
    <w:p>
      <w:pPr>
        <w:spacing w:line="600" w:lineRule="exact"/>
        <w:ind w:firstLine="642" w:firstLineChars="200"/>
        <w:outlineLvl w:val="1"/>
        <w:rPr>
          <w:rFonts w:ascii="仿宋" w:hAnsi="仿宋" w:eastAsia="仿宋"/>
          <w:b/>
          <w:color w:val="000000"/>
          <w:sz w:val="32"/>
          <w:szCs w:val="32"/>
          <w:highlight w:val="red"/>
        </w:rPr>
      </w:pPr>
    </w:p>
    <w:p>
      <w:pPr>
        <w:spacing w:line="600" w:lineRule="exact"/>
        <w:ind w:firstLine="420" w:firstLineChars="200"/>
        <w:outlineLvl w:val="1"/>
        <w:rPr>
          <w:rFonts w:ascii="仿宋" w:hAnsi="仿宋" w:eastAsia="仿宋"/>
          <w:color w:val="000000"/>
          <w:sz w:val="32"/>
          <w:szCs w:val="32"/>
        </w:rPr>
      </w:pPr>
      <w:r>
        <w:drawing>
          <wp:anchor distT="0" distB="0" distL="114300" distR="114300" simplePos="0" relativeHeight="251661312" behindDoc="0" locked="0" layoutInCell="1" allowOverlap="1">
            <wp:simplePos x="0" y="0"/>
            <wp:positionH relativeFrom="column">
              <wp:posOffset>252095</wp:posOffset>
            </wp:positionH>
            <wp:positionV relativeFrom="paragraph">
              <wp:posOffset>234950</wp:posOffset>
            </wp:positionV>
            <wp:extent cx="4819650" cy="2476500"/>
            <wp:effectExtent l="4445" t="4445" r="14605" b="14605"/>
            <wp:wrapTopAndBottom/>
            <wp:docPr id="2" name="图片 3"/>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jc w:val="center"/>
        <w:rPr>
          <w:rFonts w:ascii="仿宋" w:hAnsi="仿宋" w:eastAsia="仿宋"/>
          <w:color w:val="000000"/>
          <w:sz w:val="32"/>
          <w:szCs w:val="32"/>
        </w:rPr>
      </w:pPr>
      <w:r>
        <w:rPr>
          <w:rFonts w:hint="eastAsia" w:ascii="仿宋" w:hAnsi="仿宋" w:eastAsia="仿宋"/>
          <w:color w:val="000000"/>
          <w:sz w:val="32"/>
          <w:szCs w:val="32"/>
        </w:rPr>
        <w:t>（图2：收入决算结构图）</w:t>
      </w:r>
    </w:p>
    <w:p>
      <w:pPr>
        <w:spacing w:line="600" w:lineRule="exact"/>
        <w:ind w:firstLine="640" w:firstLineChars="200"/>
        <w:rPr>
          <w:rFonts w:ascii="仿宋_GB2312" w:eastAsia="仿宋_GB2312"/>
          <w:color w:val="000000"/>
          <w:sz w:val="32"/>
          <w:szCs w:val="32"/>
        </w:rPr>
      </w:pPr>
    </w:p>
    <w:p>
      <w:pPr>
        <w:pStyle w:val="4"/>
        <w:bidi w:val="0"/>
      </w:pPr>
      <w:bookmarkStart w:id="10" w:name="_Toc15377207"/>
      <w:bookmarkStart w:id="11" w:name="_Toc15396605"/>
      <w:bookmarkStart w:id="12" w:name="_Toc11518"/>
      <w:r>
        <w:rPr>
          <w:rFonts w:hint="eastAsia"/>
          <w:lang w:val="en-US" w:eastAsia="zh-CN"/>
        </w:rPr>
        <w:t>三、</w:t>
      </w:r>
      <w:r>
        <w:rPr>
          <w:rFonts w:hint="eastAsia"/>
        </w:rPr>
        <w:t>支出决算情况说明</w:t>
      </w:r>
      <w:bookmarkEnd w:id="10"/>
      <w:bookmarkEnd w:id="11"/>
      <w:bookmarkEnd w:id="12"/>
    </w:p>
    <w:p>
      <w:pPr>
        <w:bidi w:val="0"/>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lang w:eastAsia="zh-CN"/>
        </w:rPr>
        <w:t>年度本年支出合计</w:t>
      </w:r>
      <w:r>
        <w:rPr>
          <w:rFonts w:hint="eastAsia" w:ascii="仿宋_GB2312" w:hAnsi="仿宋_GB2312" w:eastAsia="仿宋_GB2312" w:cs="仿宋_GB2312"/>
          <w:color w:val="000000"/>
          <w:sz w:val="32"/>
          <w:szCs w:val="32"/>
          <w:lang w:val="en-US" w:eastAsia="zh-CN"/>
        </w:rPr>
        <w:t>318.14</w:t>
      </w:r>
      <w:r>
        <w:rPr>
          <w:rFonts w:hint="eastAsia" w:ascii="仿宋_GB2312" w:hAnsi="仿宋_GB2312" w:eastAsia="仿宋_GB2312" w:cs="仿宋_GB2312"/>
          <w:color w:val="000000"/>
          <w:sz w:val="32"/>
          <w:szCs w:val="32"/>
          <w:lang w:eastAsia="zh-CN"/>
        </w:rPr>
        <w:t>万元，其中：基本支出</w:t>
      </w:r>
      <w:r>
        <w:rPr>
          <w:rFonts w:hint="eastAsia" w:ascii="仿宋_GB2312" w:hAnsi="仿宋_GB2312" w:eastAsia="仿宋_GB2312" w:cs="仿宋_GB2312"/>
          <w:color w:val="000000"/>
          <w:sz w:val="32"/>
          <w:szCs w:val="32"/>
          <w:lang w:val="en-US" w:eastAsia="zh-CN"/>
        </w:rPr>
        <w:t>87.94</w:t>
      </w:r>
      <w:r>
        <w:rPr>
          <w:rFonts w:hint="eastAsia" w:ascii="仿宋_GB2312" w:hAnsi="仿宋_GB2312" w:eastAsia="仿宋_GB2312" w:cs="仿宋_GB2312"/>
          <w:color w:val="000000"/>
          <w:sz w:val="32"/>
          <w:szCs w:val="32"/>
          <w:lang w:eastAsia="zh-CN"/>
        </w:rPr>
        <w:t>万元，占</w:t>
      </w:r>
      <w:r>
        <w:rPr>
          <w:rFonts w:hint="eastAsia" w:ascii="仿宋_GB2312" w:hAnsi="仿宋_GB2312" w:eastAsia="仿宋_GB2312" w:cs="仿宋_GB2312"/>
          <w:color w:val="000000"/>
          <w:sz w:val="32"/>
          <w:szCs w:val="32"/>
          <w:lang w:val="en-US" w:eastAsia="zh-CN"/>
        </w:rPr>
        <w:t>27.64</w:t>
      </w:r>
      <w:r>
        <w:rPr>
          <w:rFonts w:hint="eastAsia" w:ascii="仿宋_GB2312" w:hAnsi="仿宋_GB2312" w:eastAsia="仿宋_GB2312" w:cs="仿宋_GB2312"/>
          <w:color w:val="000000"/>
          <w:sz w:val="32"/>
          <w:szCs w:val="32"/>
          <w:lang w:eastAsia="zh-CN"/>
        </w:rPr>
        <w:t>%；项目支出</w:t>
      </w:r>
      <w:r>
        <w:rPr>
          <w:rFonts w:hint="eastAsia" w:ascii="仿宋_GB2312" w:hAnsi="仿宋_GB2312" w:eastAsia="仿宋_GB2312" w:cs="仿宋_GB2312"/>
          <w:color w:val="000000"/>
          <w:sz w:val="32"/>
          <w:szCs w:val="32"/>
          <w:lang w:val="en-US" w:eastAsia="zh-CN"/>
        </w:rPr>
        <w:t>230.2</w:t>
      </w:r>
      <w:r>
        <w:rPr>
          <w:rFonts w:hint="eastAsia" w:ascii="仿宋_GB2312" w:hAnsi="仿宋_GB2312" w:eastAsia="仿宋_GB2312" w:cs="仿宋_GB2312"/>
          <w:color w:val="000000"/>
          <w:sz w:val="32"/>
          <w:szCs w:val="32"/>
          <w:lang w:eastAsia="zh-CN"/>
        </w:rPr>
        <w:t>万元，占</w:t>
      </w:r>
      <w:r>
        <w:rPr>
          <w:rFonts w:hint="eastAsia" w:ascii="仿宋_GB2312" w:hAnsi="仿宋_GB2312" w:eastAsia="仿宋_GB2312" w:cs="仿宋_GB2312"/>
          <w:color w:val="000000"/>
          <w:sz w:val="32"/>
          <w:szCs w:val="32"/>
          <w:lang w:val="en-US" w:eastAsia="zh-CN"/>
        </w:rPr>
        <w:t>72.36</w:t>
      </w:r>
      <w:r>
        <w:rPr>
          <w:rFonts w:hint="eastAsia" w:ascii="仿宋_GB2312" w:hAnsi="仿宋_GB2312" w:eastAsia="仿宋_GB2312" w:cs="仿宋_GB2312"/>
          <w:color w:val="000000"/>
          <w:sz w:val="32"/>
          <w:szCs w:val="32"/>
          <w:lang w:eastAsia="zh-CN"/>
        </w:rPr>
        <w:t>%。</w:t>
      </w:r>
    </w:p>
    <w:p>
      <w:pPr>
        <w:spacing w:line="600" w:lineRule="exact"/>
        <w:ind w:firstLine="640"/>
        <w:rPr>
          <w:rFonts w:ascii="仿宋" w:hAnsi="仿宋" w:eastAsia="仿宋"/>
          <w:color w:val="000000"/>
          <w:sz w:val="32"/>
          <w:szCs w:val="32"/>
          <w:highlight w:val="red"/>
          <w:shd w:val="pct10" w:color="auto" w:fill="FFFFFF"/>
        </w:rPr>
      </w:pPr>
      <w:r>
        <w:drawing>
          <wp:anchor distT="0" distB="0" distL="114300" distR="114300" simplePos="0" relativeHeight="251662336" behindDoc="0" locked="0" layoutInCell="1" allowOverlap="1">
            <wp:simplePos x="0" y="0"/>
            <wp:positionH relativeFrom="column">
              <wp:posOffset>306070</wp:posOffset>
            </wp:positionH>
            <wp:positionV relativeFrom="paragraph">
              <wp:posOffset>90170</wp:posOffset>
            </wp:positionV>
            <wp:extent cx="4819650" cy="2743200"/>
            <wp:effectExtent l="4445" t="4445" r="14605" b="1460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jc w:val="center"/>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（图3：支出决算结构图）</w:t>
      </w:r>
    </w:p>
    <w:p>
      <w:pPr>
        <w:spacing w:line="600" w:lineRule="exact"/>
        <w:ind w:firstLine="640" w:firstLineChars="200"/>
        <w:rPr>
          <w:rFonts w:hint="eastAsia" w:ascii="仿宋_GB2312" w:hAnsi="仿宋_GB2312" w:eastAsia="仿宋_GB2312" w:cs="仿宋_GB2312"/>
          <w:color w:val="000000"/>
          <w:sz w:val="32"/>
          <w:szCs w:val="32"/>
        </w:rPr>
      </w:pPr>
    </w:p>
    <w:p>
      <w:pPr>
        <w:pStyle w:val="4"/>
        <w:bidi w:val="0"/>
      </w:pPr>
      <w:bookmarkStart w:id="13" w:name="_Toc15396606"/>
      <w:bookmarkStart w:id="14" w:name="_Toc15377208"/>
      <w:bookmarkStart w:id="15" w:name="_Toc27642"/>
      <w:r>
        <w:rPr>
          <w:rFonts w:hint="eastAsia"/>
        </w:rPr>
        <w:t>四、财政拨款收入支出决算总体情况说明</w:t>
      </w:r>
      <w:bookmarkEnd w:id="13"/>
      <w:bookmarkEnd w:id="14"/>
      <w:bookmarkEnd w:id="15"/>
    </w:p>
    <w:p>
      <w:pPr>
        <w:spacing w:line="600" w:lineRule="exact"/>
        <w:ind w:firstLine="420" w:firstLineChars="200"/>
        <w:rPr>
          <w:rFonts w:hint="eastAsia" w:ascii="仿宋_GB2312" w:hAnsi="仿宋_GB2312" w:eastAsia="仿宋_GB2312" w:cs="仿宋_GB2312"/>
          <w:color w:val="000000"/>
          <w:sz w:val="32"/>
          <w:szCs w:val="32"/>
          <w:lang w:eastAsia="zh-CN"/>
        </w:rPr>
      </w:pPr>
      <w:r>
        <w:drawing>
          <wp:anchor distT="0" distB="0" distL="114300" distR="114300" simplePos="0" relativeHeight="251663360" behindDoc="0" locked="0" layoutInCell="1" allowOverlap="1">
            <wp:simplePos x="0" y="0"/>
            <wp:positionH relativeFrom="column">
              <wp:posOffset>252095</wp:posOffset>
            </wp:positionH>
            <wp:positionV relativeFrom="paragraph">
              <wp:posOffset>1414145</wp:posOffset>
            </wp:positionV>
            <wp:extent cx="4819650" cy="2743200"/>
            <wp:effectExtent l="4445" t="4445" r="14605" b="14605"/>
            <wp:wrapTopAndBottom/>
            <wp:docPr id="4" name="图片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财政拨款收、支总计</w:t>
      </w:r>
      <w:r>
        <w:rPr>
          <w:rFonts w:hint="eastAsia" w:ascii="仿宋_GB2312" w:hAnsi="仿宋_GB2312" w:eastAsia="仿宋_GB2312" w:cs="仿宋_GB2312"/>
          <w:color w:val="000000"/>
          <w:sz w:val="32"/>
          <w:szCs w:val="32"/>
          <w:lang w:eastAsia="zh-CN"/>
        </w:rPr>
        <w:t>均为</w:t>
      </w:r>
      <w:r>
        <w:rPr>
          <w:rFonts w:hint="eastAsia" w:ascii="仿宋_GB2312" w:hAnsi="仿宋_GB2312" w:eastAsia="仿宋_GB2312" w:cs="仿宋_GB2312"/>
          <w:color w:val="000000"/>
          <w:sz w:val="32"/>
          <w:szCs w:val="32"/>
          <w:lang w:val="en-US" w:eastAsia="zh-CN"/>
        </w:rPr>
        <w:t>330.81</w:t>
      </w:r>
      <w:r>
        <w:rPr>
          <w:rFonts w:hint="eastAsia" w:ascii="仿宋_GB2312" w:hAnsi="仿宋_GB2312" w:eastAsia="仿宋_GB2312" w:cs="仿宋_GB2312"/>
          <w:color w:val="000000"/>
          <w:sz w:val="32"/>
          <w:szCs w:val="32"/>
        </w:rPr>
        <w:t>万元。与</w:t>
      </w: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相比，财政拨款收、支总计各增加</w:t>
      </w:r>
      <w:r>
        <w:rPr>
          <w:rFonts w:hint="eastAsia" w:ascii="仿宋_GB2312" w:hAnsi="仿宋_GB2312" w:eastAsia="仿宋_GB2312" w:cs="仿宋_GB2312"/>
          <w:color w:val="000000"/>
          <w:sz w:val="32"/>
          <w:szCs w:val="32"/>
          <w:lang w:val="en-US" w:eastAsia="zh-CN"/>
        </w:rPr>
        <w:t>25.22</w:t>
      </w:r>
      <w:r>
        <w:rPr>
          <w:rFonts w:hint="eastAsia" w:ascii="仿宋_GB2312" w:hAnsi="仿宋_GB2312" w:eastAsia="仿宋_GB2312" w:cs="仿宋_GB2312"/>
          <w:color w:val="000000"/>
          <w:sz w:val="32"/>
          <w:szCs w:val="32"/>
        </w:rPr>
        <w:t>万元，增长</w:t>
      </w:r>
      <w:r>
        <w:rPr>
          <w:rFonts w:hint="eastAsia" w:ascii="仿宋_GB2312" w:hAnsi="仿宋_GB2312" w:eastAsia="仿宋_GB2312" w:cs="仿宋_GB2312"/>
          <w:color w:val="000000"/>
          <w:sz w:val="32"/>
          <w:szCs w:val="32"/>
          <w:lang w:val="en-US" w:eastAsia="zh-CN"/>
        </w:rPr>
        <w:t>8.25</w:t>
      </w:r>
      <w:r>
        <w:rPr>
          <w:rFonts w:hint="eastAsia" w:ascii="仿宋_GB2312" w:hAnsi="仿宋_GB2312" w:eastAsia="仿宋_GB2312" w:cs="仿宋_GB2312"/>
          <w:color w:val="000000"/>
          <w:sz w:val="32"/>
          <w:szCs w:val="32"/>
        </w:rPr>
        <w:t>%。主要变动原因是</w:t>
      </w:r>
      <w:r>
        <w:rPr>
          <w:rFonts w:hint="eastAsia" w:ascii="仿宋_GB2312" w:hAnsi="仿宋" w:eastAsia="仿宋_GB2312"/>
          <w:sz w:val="32"/>
          <w:szCs w:val="32"/>
          <w:lang w:val="en-US" w:eastAsia="zh-CN"/>
        </w:rPr>
        <w:t>人员经费增加，招商引资活动增加</w:t>
      </w:r>
      <w:r>
        <w:rPr>
          <w:rFonts w:hint="eastAsia" w:ascii="仿宋_GB2312" w:hAnsi="仿宋_GB2312" w:eastAsia="仿宋_GB2312" w:cs="仿宋_GB2312"/>
          <w:color w:val="000000"/>
          <w:sz w:val="32"/>
          <w:szCs w:val="32"/>
          <w:lang w:eastAsia="zh-CN"/>
        </w:rPr>
        <w:t>。</w:t>
      </w:r>
    </w:p>
    <w:p>
      <w:pPr>
        <w:spacing w:line="600" w:lineRule="exact"/>
        <w:rPr>
          <w:rFonts w:ascii="仿宋" w:hAnsi="仿宋" w:eastAsia="仿宋"/>
          <w:color w:val="000000"/>
          <w:sz w:val="32"/>
          <w:szCs w:val="32"/>
          <w:highlight w:val="red"/>
        </w:rPr>
      </w:pPr>
    </w:p>
    <w:p>
      <w:pPr>
        <w:spacing w:line="600" w:lineRule="exact"/>
        <w:ind w:firstLine="640" w:firstLineChars="200"/>
        <w:rPr>
          <w:rFonts w:ascii="仿宋" w:hAnsi="仿宋" w:eastAsia="仿宋"/>
          <w:color w:val="000000"/>
          <w:sz w:val="32"/>
          <w:szCs w:val="32"/>
          <w:highlight w:val="none"/>
        </w:rPr>
      </w:pPr>
      <w:r>
        <w:rPr>
          <w:rFonts w:hint="eastAsia" w:ascii="仿宋" w:hAnsi="仿宋" w:eastAsia="仿宋"/>
          <w:color w:val="000000"/>
          <w:sz w:val="32"/>
          <w:szCs w:val="32"/>
          <w:highlight w:val="none"/>
        </w:rPr>
        <w:t>（图4：财政拨款收、支决算总计变动情况）</w:t>
      </w:r>
    </w:p>
    <w:p>
      <w:pPr>
        <w:spacing w:line="600" w:lineRule="exact"/>
        <w:ind w:firstLine="640"/>
        <w:rPr>
          <w:rFonts w:ascii="仿宋" w:hAnsi="仿宋" w:eastAsia="仿宋"/>
          <w:b/>
          <w:color w:val="000000"/>
          <w:sz w:val="32"/>
          <w:szCs w:val="32"/>
        </w:rPr>
      </w:pPr>
    </w:p>
    <w:p>
      <w:pPr>
        <w:pStyle w:val="4"/>
        <w:bidi w:val="0"/>
      </w:pPr>
      <w:bookmarkStart w:id="16" w:name="_Toc15396607"/>
      <w:bookmarkStart w:id="17" w:name="_Toc15377209"/>
      <w:bookmarkStart w:id="18" w:name="_Toc26975"/>
      <w:r>
        <w:rPr>
          <w:rFonts w:hint="eastAsia"/>
        </w:rPr>
        <w:t>五、一般公共预算财政拨款支出决算情况说明</w:t>
      </w:r>
      <w:bookmarkEnd w:id="16"/>
      <w:bookmarkEnd w:id="17"/>
      <w:bookmarkEnd w:id="18"/>
    </w:p>
    <w:p>
      <w:pPr>
        <w:spacing w:line="600" w:lineRule="exact"/>
        <w:ind w:firstLine="642" w:firstLineChars="200"/>
        <w:outlineLvl w:val="2"/>
        <w:rPr>
          <w:rFonts w:hint="eastAsia" w:ascii="仿宋_GB2312" w:hAnsi="仿宋_GB2312" w:eastAsia="仿宋_GB2312" w:cs="仿宋_GB2312"/>
          <w:b/>
          <w:color w:val="000000"/>
          <w:sz w:val="32"/>
          <w:szCs w:val="32"/>
        </w:rPr>
      </w:pPr>
      <w:bookmarkStart w:id="19" w:name="_Toc15377210"/>
      <w:r>
        <w:rPr>
          <w:rFonts w:hint="eastAsia" w:ascii="仿宋_GB2312" w:hAnsi="仿宋_GB2312" w:eastAsia="仿宋_GB2312" w:cs="仿宋_GB2312"/>
          <w:b/>
          <w:color w:val="000000"/>
          <w:sz w:val="32"/>
          <w:szCs w:val="32"/>
        </w:rPr>
        <w:t>（一）一般公共预算财政拨款支出决算总体情况</w:t>
      </w:r>
      <w:bookmarkEnd w:id="19"/>
    </w:p>
    <w:p>
      <w:pPr>
        <w:spacing w:line="60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一般公共预算财政拨款支出</w:t>
      </w:r>
      <w:r>
        <w:rPr>
          <w:rFonts w:hint="eastAsia" w:ascii="仿宋_GB2312" w:hAnsi="仿宋_GB2312" w:eastAsia="仿宋_GB2312" w:cs="仿宋_GB2312"/>
          <w:color w:val="000000"/>
          <w:sz w:val="32"/>
          <w:szCs w:val="32"/>
          <w:lang w:val="en-US" w:eastAsia="zh-CN"/>
        </w:rPr>
        <w:t>318.14</w:t>
      </w:r>
      <w:r>
        <w:rPr>
          <w:rFonts w:hint="eastAsia" w:ascii="仿宋_GB2312" w:hAnsi="仿宋_GB2312" w:eastAsia="仿宋_GB2312" w:cs="仿宋_GB2312"/>
          <w:color w:val="000000"/>
          <w:sz w:val="32"/>
          <w:szCs w:val="32"/>
        </w:rPr>
        <w:t>万元，占本年支出合计的</w:t>
      </w:r>
      <w:r>
        <w:rPr>
          <w:rFonts w:hint="eastAsia" w:ascii="仿宋_GB2312" w:hAnsi="仿宋_GB2312" w:eastAsia="仿宋_GB2312" w:cs="仿宋_GB2312"/>
          <w:color w:val="000000"/>
          <w:sz w:val="32"/>
          <w:szCs w:val="32"/>
          <w:lang w:val="en-US" w:eastAsia="zh-CN"/>
        </w:rPr>
        <w:t>100</w:t>
      </w:r>
      <w:r>
        <w:rPr>
          <w:rFonts w:hint="eastAsia" w:ascii="仿宋_GB2312" w:hAnsi="仿宋_GB2312" w:eastAsia="仿宋_GB2312" w:cs="仿宋_GB2312"/>
          <w:color w:val="000000"/>
          <w:sz w:val="32"/>
          <w:szCs w:val="32"/>
        </w:rPr>
        <w:t>%。与</w:t>
      </w: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相比，一般公共预算财政拨款</w:t>
      </w:r>
      <w:r>
        <w:rPr>
          <w:rFonts w:hint="eastAsia" w:ascii="仿宋_GB2312" w:hAnsi="仿宋_GB2312" w:eastAsia="仿宋_GB2312" w:cs="仿宋_GB2312"/>
          <w:color w:val="000000"/>
          <w:sz w:val="32"/>
          <w:szCs w:val="32"/>
          <w:lang w:eastAsia="zh-CN"/>
        </w:rPr>
        <w:t>支出</w:t>
      </w:r>
      <w:r>
        <w:rPr>
          <w:rFonts w:hint="eastAsia" w:ascii="仿宋_GB2312" w:hAnsi="仿宋_GB2312" w:eastAsia="仿宋_GB2312" w:cs="仿宋_GB2312"/>
          <w:color w:val="000000"/>
          <w:sz w:val="32"/>
          <w:szCs w:val="32"/>
        </w:rPr>
        <w:t>增加</w:t>
      </w:r>
      <w:r>
        <w:rPr>
          <w:rFonts w:hint="eastAsia" w:ascii="仿宋_GB2312" w:hAnsi="仿宋_GB2312" w:eastAsia="仿宋_GB2312" w:cs="仿宋_GB2312"/>
          <w:color w:val="000000"/>
          <w:sz w:val="32"/>
          <w:szCs w:val="32"/>
          <w:lang w:val="en-US" w:eastAsia="zh-CN"/>
        </w:rPr>
        <w:t>16.87</w:t>
      </w:r>
      <w:r>
        <w:rPr>
          <w:rFonts w:hint="eastAsia" w:ascii="仿宋_GB2312" w:hAnsi="仿宋_GB2312" w:eastAsia="仿宋_GB2312" w:cs="仿宋_GB2312"/>
          <w:color w:val="000000"/>
          <w:sz w:val="32"/>
          <w:szCs w:val="32"/>
        </w:rPr>
        <w:t>万元，增长</w:t>
      </w:r>
      <w:r>
        <w:rPr>
          <w:rFonts w:hint="eastAsia" w:ascii="仿宋_GB2312" w:hAnsi="仿宋_GB2312" w:eastAsia="仿宋_GB2312" w:cs="仿宋_GB2312"/>
          <w:color w:val="000000"/>
          <w:sz w:val="32"/>
          <w:szCs w:val="32"/>
          <w:lang w:val="en-US" w:eastAsia="zh-CN"/>
        </w:rPr>
        <w:t>5.60</w:t>
      </w:r>
      <w:r>
        <w:rPr>
          <w:rFonts w:hint="eastAsia" w:ascii="仿宋_GB2312" w:hAnsi="仿宋_GB2312" w:eastAsia="仿宋_GB2312" w:cs="仿宋_GB2312"/>
          <w:color w:val="000000"/>
          <w:sz w:val="32"/>
          <w:szCs w:val="32"/>
        </w:rPr>
        <w:t>%。主要变动原因是</w:t>
      </w:r>
      <w:r>
        <w:rPr>
          <w:rFonts w:hint="eastAsia" w:ascii="仿宋_GB2312" w:hAnsi="仿宋" w:eastAsia="仿宋_GB2312"/>
          <w:sz w:val="32"/>
          <w:szCs w:val="32"/>
          <w:lang w:val="en-US" w:eastAsia="zh-CN"/>
        </w:rPr>
        <w:t>人员经费增加，招商引资活动增加</w:t>
      </w:r>
      <w:r>
        <w:rPr>
          <w:rFonts w:hint="eastAsia" w:ascii="仿宋_GB2312" w:hAnsi="仿宋_GB2312" w:eastAsia="仿宋_GB2312" w:cs="仿宋_GB2312"/>
          <w:color w:val="000000"/>
          <w:sz w:val="32"/>
          <w:szCs w:val="32"/>
          <w:lang w:eastAsia="zh-CN"/>
        </w:rPr>
        <w:t>。</w:t>
      </w:r>
    </w:p>
    <w:p>
      <w:pPr>
        <w:pStyle w:val="2"/>
        <w:rPr>
          <w:rFonts w:hint="eastAsia" w:ascii="仿宋_GB2312" w:hAnsi="仿宋_GB2312" w:eastAsia="仿宋_GB2312" w:cs="仿宋_GB2312"/>
          <w:color w:val="000000"/>
          <w:sz w:val="32"/>
          <w:szCs w:val="32"/>
          <w:lang w:eastAsia="zh-CN"/>
        </w:rPr>
      </w:pPr>
    </w:p>
    <w:p>
      <w:pPr>
        <w:pStyle w:val="2"/>
        <w:rPr>
          <w:rFonts w:hint="eastAsia" w:ascii="仿宋_GB2312" w:hAnsi="仿宋_GB2312" w:eastAsia="仿宋_GB2312" w:cs="仿宋_GB2312"/>
          <w:color w:val="000000"/>
          <w:sz w:val="32"/>
          <w:szCs w:val="32"/>
          <w:lang w:eastAsia="zh-CN"/>
        </w:rPr>
      </w:pPr>
      <w:r>
        <w:drawing>
          <wp:inline distT="0" distB="0" distL="114300" distR="114300">
            <wp:extent cx="4819650" cy="2743200"/>
            <wp:effectExtent l="4445" t="4445" r="14605" b="14605"/>
            <wp:docPr id="6" name="图片 1"/>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color w:val="000000"/>
          <w:sz w:val="32"/>
          <w:szCs w:val="32"/>
          <w:highlight w:val="none"/>
        </w:rPr>
      </w:pPr>
      <w:r>
        <w:rPr>
          <w:rFonts w:hint="eastAsia" w:ascii="仿宋_GB2312" w:hAnsi="仿宋_GB2312" w:eastAsia="仿宋_GB2312" w:cs="仿宋_GB2312"/>
          <w:color w:val="000000"/>
          <w:sz w:val="32"/>
          <w:szCs w:val="32"/>
          <w:highlight w:val="none"/>
        </w:rPr>
        <w:t>（图5：一般公共预算财政拨款支出决算变动情况）</w:t>
      </w:r>
    </w:p>
    <w:p>
      <w:pPr>
        <w:spacing w:line="600" w:lineRule="exact"/>
        <w:ind w:firstLine="642" w:firstLineChars="200"/>
        <w:outlineLvl w:val="2"/>
        <w:rPr>
          <w:rFonts w:hint="eastAsia" w:ascii="仿宋_GB2312" w:hAnsi="仿宋_GB2312" w:eastAsia="仿宋_GB2312" w:cs="仿宋_GB2312"/>
          <w:b/>
          <w:color w:val="000000"/>
          <w:sz w:val="32"/>
          <w:szCs w:val="32"/>
        </w:rPr>
      </w:pPr>
      <w:bookmarkStart w:id="20" w:name="_Toc15377211"/>
      <w:r>
        <w:rPr>
          <w:rFonts w:hint="eastAsia" w:ascii="仿宋_GB2312" w:hAnsi="仿宋_GB2312" w:eastAsia="仿宋_GB2312" w:cs="仿宋_GB2312"/>
          <w:b/>
          <w:color w:val="000000"/>
          <w:sz w:val="32"/>
          <w:szCs w:val="32"/>
        </w:rPr>
        <w:t>（二）一般公共预算财政拨款支出决算结构情况</w:t>
      </w:r>
      <w:bookmarkEnd w:id="20"/>
    </w:p>
    <w:p>
      <w:pPr>
        <w:spacing w:line="60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一般公共预算财政拨款支出</w:t>
      </w:r>
      <w:r>
        <w:rPr>
          <w:rFonts w:hint="eastAsia" w:ascii="仿宋_GB2312" w:hAnsi="仿宋_GB2312" w:eastAsia="仿宋_GB2312" w:cs="仿宋_GB2312"/>
          <w:color w:val="000000"/>
          <w:sz w:val="32"/>
          <w:szCs w:val="32"/>
          <w:lang w:val="en-US" w:eastAsia="zh-CN"/>
        </w:rPr>
        <w:t>318.14</w:t>
      </w:r>
      <w:r>
        <w:rPr>
          <w:rFonts w:hint="eastAsia" w:ascii="仿宋_GB2312" w:hAnsi="仿宋_GB2312" w:eastAsia="仿宋_GB2312" w:cs="仿宋_GB2312"/>
          <w:color w:val="000000"/>
          <w:sz w:val="32"/>
          <w:szCs w:val="32"/>
        </w:rPr>
        <w:t>万元，主要用于以下方面</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
          <w:color w:val="000000"/>
          <w:sz w:val="32"/>
          <w:szCs w:val="32"/>
        </w:rPr>
        <w:t>一般公共服务</w:t>
      </w:r>
      <w:r>
        <w:rPr>
          <w:rFonts w:hint="eastAsia" w:ascii="仿宋_GB2312" w:hAnsi="仿宋_GB2312" w:eastAsia="仿宋_GB2312" w:cs="仿宋_GB2312"/>
          <w:b/>
          <w:bCs/>
          <w:color w:val="000000"/>
          <w:sz w:val="32"/>
          <w:szCs w:val="32"/>
        </w:rPr>
        <w:t>支出</w:t>
      </w:r>
      <w:r>
        <w:rPr>
          <w:rFonts w:hint="eastAsia" w:ascii="仿宋_GB2312" w:hAnsi="仿宋_GB2312" w:eastAsia="仿宋_GB2312" w:cs="仿宋_GB2312"/>
          <w:color w:val="000000"/>
          <w:sz w:val="32"/>
          <w:szCs w:val="32"/>
          <w:lang w:val="en-US" w:eastAsia="zh-CN"/>
        </w:rPr>
        <w:t>299.83</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94.24</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color w:val="000000"/>
          <w:sz w:val="32"/>
          <w:szCs w:val="32"/>
        </w:rPr>
        <w:t>社会保障和就业</w:t>
      </w:r>
      <w:r>
        <w:rPr>
          <w:rFonts w:hint="eastAsia" w:ascii="仿宋_GB2312" w:hAnsi="仿宋_GB2312" w:eastAsia="仿宋_GB2312" w:cs="仿宋_GB2312"/>
          <w:b/>
          <w:bCs/>
          <w:color w:val="000000"/>
          <w:sz w:val="32"/>
          <w:szCs w:val="32"/>
        </w:rPr>
        <w:t>支出</w:t>
      </w:r>
      <w:r>
        <w:rPr>
          <w:rFonts w:hint="eastAsia" w:ascii="仿宋_GB2312" w:hAnsi="仿宋_GB2312" w:eastAsia="仿宋_GB2312" w:cs="仿宋_GB2312"/>
          <w:color w:val="000000"/>
          <w:sz w:val="32"/>
          <w:szCs w:val="32"/>
          <w:lang w:val="en-US" w:eastAsia="zh-CN"/>
        </w:rPr>
        <w:t>8.44</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2.65</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卫生健康支出</w:t>
      </w:r>
      <w:r>
        <w:rPr>
          <w:rFonts w:hint="eastAsia" w:ascii="仿宋_GB2312" w:hAnsi="仿宋_GB2312" w:eastAsia="仿宋_GB2312" w:cs="仿宋_GB2312"/>
          <w:color w:val="000000"/>
          <w:sz w:val="32"/>
          <w:szCs w:val="32"/>
          <w:lang w:val="en-US" w:eastAsia="zh-CN"/>
        </w:rPr>
        <w:t>2.99</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0.94</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rPr>
        <w:t>住房保障支出</w:t>
      </w:r>
      <w:r>
        <w:rPr>
          <w:rFonts w:hint="eastAsia" w:ascii="仿宋_GB2312" w:hAnsi="仿宋_GB2312" w:eastAsia="仿宋_GB2312" w:cs="仿宋_GB2312"/>
          <w:b/>
          <w:bCs/>
          <w:color w:val="000000"/>
          <w:sz w:val="32"/>
          <w:szCs w:val="32"/>
          <w:lang w:val="en-US" w:eastAsia="zh-CN"/>
        </w:rPr>
        <w:t>6.88</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2.16</w:t>
      </w:r>
      <w:r>
        <w:rPr>
          <w:rFonts w:hint="eastAsia" w:ascii="仿宋_GB2312" w:hAnsi="仿宋_GB2312" w:eastAsia="仿宋_GB2312" w:cs="仿宋_GB2312"/>
          <w:color w:val="000000"/>
          <w:sz w:val="32"/>
          <w:szCs w:val="32"/>
        </w:rPr>
        <w:t>%。</w:t>
      </w:r>
    </w:p>
    <w:p>
      <w:pPr>
        <w:spacing w:line="600" w:lineRule="exact"/>
        <w:ind w:firstLine="640"/>
        <w:rPr>
          <w:rFonts w:hint="eastAsia" w:ascii="仿宋_GB2312" w:hAnsi="仿宋_GB2312" w:eastAsia="仿宋_GB2312" w:cs="仿宋_GB2312"/>
          <w:color w:val="000000"/>
          <w:sz w:val="32"/>
          <w:szCs w:val="32"/>
          <w:highlight w:val="red"/>
        </w:rPr>
      </w:pPr>
      <w:r>
        <w:drawing>
          <wp:anchor distT="0" distB="0" distL="114300" distR="114300" simplePos="0" relativeHeight="251664384" behindDoc="0" locked="0" layoutInCell="1" allowOverlap="1">
            <wp:simplePos x="0" y="0"/>
            <wp:positionH relativeFrom="column">
              <wp:posOffset>220345</wp:posOffset>
            </wp:positionH>
            <wp:positionV relativeFrom="paragraph">
              <wp:posOffset>288290</wp:posOffset>
            </wp:positionV>
            <wp:extent cx="4819650" cy="2743200"/>
            <wp:effectExtent l="4445" t="4445" r="14605" b="14605"/>
            <wp:wrapTopAndBottom/>
            <wp:docPr id="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ascii="仿宋" w:hAnsi="仿宋" w:eastAsia="仿宋"/>
          <w:color w:val="000000"/>
          <w:sz w:val="32"/>
          <w:szCs w:val="32"/>
          <w:highlight w:val="none"/>
        </w:rPr>
      </w:pPr>
      <w:r>
        <w:rPr>
          <w:rFonts w:hint="eastAsia" w:ascii="仿宋_GB2312" w:hAnsi="仿宋_GB2312" w:eastAsia="仿宋_GB2312" w:cs="仿宋_GB2312"/>
          <w:color w:val="000000"/>
          <w:sz w:val="32"/>
          <w:szCs w:val="32"/>
          <w:highlight w:val="none"/>
        </w:rPr>
        <w:t>（图6：一般公共预算财政拨款支出决算结构）</w:t>
      </w:r>
    </w:p>
    <w:p>
      <w:pPr>
        <w:spacing w:line="600" w:lineRule="exact"/>
        <w:ind w:firstLine="642" w:firstLineChars="200"/>
        <w:outlineLvl w:val="2"/>
        <w:rPr>
          <w:rFonts w:hint="eastAsia" w:ascii="仿宋_GB2312" w:hAnsi="仿宋_GB2312" w:eastAsia="仿宋_GB2312" w:cs="仿宋_GB2312"/>
          <w:b/>
          <w:color w:val="000000"/>
          <w:sz w:val="32"/>
          <w:szCs w:val="32"/>
        </w:rPr>
      </w:pPr>
      <w:bookmarkStart w:id="21" w:name="_Toc15377212"/>
      <w:r>
        <w:rPr>
          <w:rFonts w:hint="eastAsia" w:ascii="仿宋_GB2312" w:hAnsi="仿宋_GB2312" w:eastAsia="仿宋_GB2312" w:cs="仿宋_GB2312"/>
          <w:b/>
          <w:color w:val="000000"/>
          <w:sz w:val="32"/>
          <w:szCs w:val="32"/>
        </w:rPr>
        <w:t>（三）一般公共预算财政拨款支出决算具体情况</w:t>
      </w:r>
      <w:bookmarkEnd w:id="21"/>
    </w:p>
    <w:p>
      <w:pPr>
        <w:spacing w:line="600" w:lineRule="exact"/>
        <w:ind w:firstLine="642" w:firstLineChars="200"/>
        <w:outlineLvl w:val="2"/>
        <w:rPr>
          <w:rFonts w:hint="eastAsia" w:ascii="仿宋_GB2312" w:hAnsi="仿宋_GB2312" w:eastAsia="仿宋_GB2312" w:cs="仿宋_GB2312"/>
          <w:color w:val="000000"/>
          <w:sz w:val="32"/>
          <w:szCs w:val="32"/>
        </w:rPr>
      </w:pPr>
      <w:bookmarkStart w:id="22" w:name="_Toc15377444"/>
      <w:bookmarkStart w:id="23" w:name="_Toc15378460"/>
      <w:bookmarkStart w:id="24" w:name="_Toc15377213"/>
      <w:r>
        <w:rPr>
          <w:rFonts w:hint="eastAsia" w:ascii="仿宋_GB2312" w:hAnsi="仿宋_GB2312" w:eastAsia="仿宋_GB2312" w:cs="仿宋_GB2312"/>
          <w:b/>
          <w:color w:val="000000"/>
          <w:sz w:val="32"/>
          <w:szCs w:val="32"/>
          <w:lang w:eastAsia="zh-CN"/>
        </w:rPr>
        <w:t>202</w:t>
      </w:r>
      <w:r>
        <w:rPr>
          <w:rFonts w:hint="eastAsia" w:ascii="仿宋_GB2312" w:hAnsi="仿宋_GB2312" w:eastAsia="仿宋_GB2312" w:cs="仿宋_GB2312"/>
          <w:b/>
          <w:color w:val="000000"/>
          <w:sz w:val="32"/>
          <w:szCs w:val="32"/>
          <w:lang w:val="en-US" w:eastAsia="zh-CN"/>
        </w:rPr>
        <w:t>4</w:t>
      </w:r>
      <w:r>
        <w:rPr>
          <w:rFonts w:hint="eastAsia" w:ascii="仿宋_GB2312" w:hAnsi="仿宋_GB2312" w:eastAsia="仿宋_GB2312" w:cs="仿宋_GB2312"/>
          <w:b/>
          <w:color w:val="000000"/>
          <w:sz w:val="32"/>
          <w:szCs w:val="32"/>
        </w:rPr>
        <w:t>年</w:t>
      </w:r>
      <w:r>
        <w:rPr>
          <w:rFonts w:hint="eastAsia" w:ascii="仿宋_GB2312" w:hAnsi="仿宋_GB2312" w:eastAsia="仿宋_GB2312" w:cs="仿宋_GB2312"/>
          <w:b/>
          <w:color w:val="000000"/>
          <w:sz w:val="32"/>
          <w:szCs w:val="32"/>
          <w:lang w:eastAsia="zh-CN"/>
        </w:rPr>
        <w:t>度一</w:t>
      </w:r>
      <w:r>
        <w:rPr>
          <w:rFonts w:hint="eastAsia" w:ascii="仿宋_GB2312" w:hAnsi="仿宋_GB2312" w:eastAsia="仿宋_GB2312" w:cs="仿宋_GB2312"/>
          <w:b/>
          <w:color w:val="000000"/>
          <w:sz w:val="32"/>
          <w:szCs w:val="32"/>
        </w:rPr>
        <w:t>般公共预算支出决算数为</w:t>
      </w:r>
      <w:r>
        <w:rPr>
          <w:rFonts w:hint="eastAsia" w:ascii="仿宋_GB2312" w:hAnsi="仿宋_GB2312" w:eastAsia="仿宋_GB2312" w:cs="仿宋_GB2312"/>
          <w:b/>
          <w:color w:val="000000"/>
          <w:sz w:val="32"/>
          <w:szCs w:val="32"/>
          <w:lang w:val="en-US" w:eastAsia="zh-CN"/>
        </w:rPr>
        <w:t>318.14</w:t>
      </w:r>
      <w:r>
        <w:rPr>
          <w:rFonts w:hint="eastAsia" w:ascii="仿宋_GB2312" w:hAnsi="仿宋_GB2312" w:eastAsia="仿宋_GB2312" w:cs="仿宋_GB2312"/>
          <w:b/>
          <w:color w:val="000000"/>
          <w:sz w:val="32"/>
          <w:szCs w:val="32"/>
          <w:lang w:eastAsia="zh-CN"/>
        </w:rPr>
        <w:t>万元</w:t>
      </w:r>
      <w:r>
        <w:rPr>
          <w:rFonts w:hint="eastAsia" w:ascii="仿宋_GB2312" w:hAnsi="仿宋_GB2312" w:eastAsia="仿宋_GB2312" w:cs="仿宋_GB2312"/>
          <w:color w:val="000000"/>
          <w:sz w:val="32"/>
          <w:szCs w:val="32"/>
        </w:rPr>
        <w:t>，</w:t>
      </w:r>
      <w:r>
        <w:rPr>
          <w:rStyle w:val="19"/>
          <w:rFonts w:hint="eastAsia" w:ascii="仿宋_GB2312" w:hAnsi="仿宋_GB2312" w:eastAsia="仿宋_GB2312" w:cs="仿宋_GB2312"/>
          <w:bCs/>
          <w:color w:val="000000"/>
          <w:sz w:val="32"/>
          <w:szCs w:val="32"/>
        </w:rPr>
        <w:t>完成预算</w:t>
      </w:r>
      <w:r>
        <w:rPr>
          <w:rStyle w:val="19"/>
          <w:rFonts w:hint="eastAsia" w:ascii="仿宋_GB2312" w:hAnsi="仿宋_GB2312" w:eastAsia="仿宋_GB2312" w:cs="仿宋_GB2312"/>
          <w:bCs/>
          <w:color w:val="000000"/>
          <w:sz w:val="32"/>
          <w:szCs w:val="32"/>
          <w:lang w:val="en-US" w:eastAsia="zh-CN"/>
        </w:rPr>
        <w:t xml:space="preserve">96.17 </w:t>
      </w:r>
      <w:r>
        <w:rPr>
          <w:rStyle w:val="19"/>
          <w:rFonts w:hint="eastAsia" w:ascii="仿宋_GB2312" w:hAnsi="仿宋_GB2312" w:eastAsia="仿宋_GB2312" w:cs="仿宋_GB2312"/>
          <w:bCs/>
          <w:color w:val="000000"/>
          <w:sz w:val="32"/>
          <w:szCs w:val="32"/>
        </w:rPr>
        <w:t>%。其中：</w:t>
      </w:r>
      <w:bookmarkEnd w:id="22"/>
      <w:bookmarkEnd w:id="23"/>
      <w:bookmarkEnd w:id="24"/>
    </w:p>
    <w:p>
      <w:pPr>
        <w:numPr>
          <w:ilvl w:val="0"/>
          <w:numId w:val="0"/>
        </w:numPr>
        <w:shd w:val="clear" w:color="auto" w:fill="auto"/>
        <w:spacing w:line="600" w:lineRule="exact"/>
        <w:ind w:firstLine="642" w:firstLineChars="200"/>
        <w:rPr>
          <w:rFonts w:hint="eastAsia" w:ascii="仿宋_GB2312" w:hAnsi="仿宋_GB2312" w:eastAsia="仿宋_GB2312" w:cs="仿宋_GB2312"/>
          <w:color w:val="auto"/>
          <w:sz w:val="32"/>
          <w:szCs w:val="32"/>
          <w:highlight w:val="none"/>
        </w:rPr>
      </w:pPr>
      <w:r>
        <w:rPr>
          <w:rStyle w:val="19"/>
          <w:rFonts w:hint="eastAsia" w:ascii="仿宋_GB2312" w:hAnsi="仿宋_GB2312" w:eastAsia="仿宋_GB2312" w:cs="仿宋_GB2312"/>
          <w:bCs/>
          <w:color w:val="000000"/>
          <w:sz w:val="32"/>
          <w:szCs w:val="32"/>
        </w:rPr>
        <w:t>1.一般公共服务（类</w:t>
      </w:r>
      <w:r>
        <w:rPr>
          <w:rStyle w:val="19"/>
          <w:rFonts w:hint="eastAsia" w:ascii="仿宋" w:hAnsi="仿宋" w:eastAsia="仿宋"/>
          <w:bCs/>
          <w:color w:val="auto"/>
          <w:sz w:val="32"/>
          <w:szCs w:val="32"/>
          <w:highlight w:val="none"/>
        </w:rPr>
        <w:t>政府办公厅（室）及相关机构事务（款）行政运行（项）</w:t>
      </w:r>
      <w:r>
        <w:rPr>
          <w:rStyle w:val="19"/>
          <w:rFonts w:hint="eastAsia" w:ascii="仿宋" w:hAnsi="仿宋" w:eastAsia="仿宋"/>
          <w:bCs/>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支出决算为69.63万元，完成预算100%。</w:t>
      </w:r>
    </w:p>
    <w:p>
      <w:pPr>
        <w:pStyle w:val="15"/>
        <w:numPr>
          <w:ilvl w:val="0"/>
          <w:numId w:val="0"/>
        </w:numPr>
        <w:shd w:val="clear" w:color="auto" w:fill="auto"/>
        <w:ind w:leftChars="0" w:firstLine="642" w:firstLineChars="200"/>
        <w:rPr>
          <w:rFonts w:hint="default" w:ascii="仿宋_GB2312" w:hAnsi="仿宋_GB2312" w:eastAsia="仿宋_GB2312" w:cs="仿宋_GB2312"/>
          <w:color w:val="auto"/>
          <w:kern w:val="2"/>
          <w:sz w:val="32"/>
          <w:szCs w:val="32"/>
          <w:highlight w:val="none"/>
          <w:lang w:val="en-US" w:eastAsia="zh-CN" w:bidi="ar-SA"/>
        </w:rPr>
      </w:pPr>
      <w:r>
        <w:rPr>
          <w:rStyle w:val="19"/>
          <w:rFonts w:hint="eastAsia" w:ascii="仿宋" w:hAnsi="仿宋" w:eastAsia="仿宋"/>
          <w:bCs/>
          <w:color w:val="auto"/>
          <w:sz w:val="32"/>
          <w:szCs w:val="32"/>
          <w:highlight w:val="none"/>
          <w:lang w:val="en-US" w:eastAsia="zh-CN"/>
        </w:rPr>
        <w:t>2.</w:t>
      </w:r>
      <w:r>
        <w:rPr>
          <w:rStyle w:val="19"/>
          <w:rFonts w:hint="eastAsia" w:ascii="仿宋" w:hAnsi="仿宋" w:eastAsia="仿宋"/>
          <w:bCs/>
          <w:color w:val="auto"/>
          <w:sz w:val="32"/>
          <w:szCs w:val="32"/>
          <w:highlight w:val="none"/>
        </w:rPr>
        <w:t>一般公共服务（类）政府办公厅（室）及相关机构事务（款）一般行政管理事务（项）</w:t>
      </w:r>
      <w:r>
        <w:rPr>
          <w:rStyle w:val="19"/>
          <w:rFonts w:hint="eastAsia" w:ascii="仿宋" w:hAnsi="仿宋" w:eastAsia="仿宋"/>
          <w:bCs/>
          <w:color w:val="auto"/>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bidi="ar-SA"/>
        </w:rPr>
        <w:t>支出决算为230.20万元</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，完成预算96.17%。</w:t>
      </w:r>
      <w:r>
        <w:rPr>
          <w:rFonts w:hint="default"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决算数小于预算数主要原因是</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w:t>
      </w:r>
      <w:r>
        <w:rPr>
          <w:rFonts w:hint="eastAsia" w:ascii="仿宋_GB2312" w:hAnsi="仿宋" w:eastAsia="仿宋_GB2312" w:cs="Times New Roman"/>
          <w:color w:val="000000" w:themeColor="text1"/>
          <w:sz w:val="32"/>
          <w:szCs w:val="32"/>
          <w:highlight w:val="none"/>
          <w14:textFill>
            <w14:solidFill>
              <w14:schemeClr w14:val="tx1"/>
            </w14:solidFill>
          </w14:textFill>
        </w:rPr>
        <w:t>此</w:t>
      </w:r>
      <w:r>
        <w:rPr>
          <w:rFonts w:hint="eastAsia" w:ascii="仿宋_GB2312" w:hAnsi="仿宋" w:eastAsia="仿宋_GB2312" w:cs="Times New Roman"/>
          <w:color w:val="auto"/>
          <w:sz w:val="32"/>
          <w:szCs w:val="32"/>
          <w:highlight w:val="none"/>
        </w:rPr>
        <w:t>部分为招商引资预留经费，由于对方账户有变动在12月</w:t>
      </w:r>
      <w:r>
        <w:rPr>
          <w:rFonts w:hint="eastAsia" w:ascii="仿宋_GB2312" w:hAnsi="仿宋" w:eastAsia="仿宋_GB2312" w:cs="Times New Roman"/>
          <w:color w:val="auto"/>
          <w:sz w:val="32"/>
          <w:szCs w:val="32"/>
          <w:highlight w:val="none"/>
          <w:lang w:val="en-US" w:eastAsia="zh-CN"/>
        </w:rPr>
        <w:t>时未</w:t>
      </w:r>
      <w:r>
        <w:rPr>
          <w:rFonts w:hint="eastAsia" w:ascii="仿宋_GB2312" w:hAnsi="仿宋" w:eastAsia="仿宋_GB2312" w:cs="Times New Roman"/>
          <w:color w:val="auto"/>
          <w:sz w:val="32"/>
          <w:szCs w:val="32"/>
          <w:highlight w:val="none"/>
        </w:rPr>
        <w:t>完成支付</w:t>
      </w:r>
      <w:r>
        <w:rPr>
          <w:rFonts w:hint="eastAsia" w:ascii="仿宋_GB2312" w:hAnsi="仿宋_GB2312" w:eastAsia="仿宋_GB2312" w:cs="仿宋_GB2312"/>
          <w:color w:val="auto"/>
          <w:kern w:val="2"/>
          <w:sz w:val="32"/>
          <w:szCs w:val="32"/>
          <w:highlight w:val="none"/>
          <w:lang w:val="en-US" w:eastAsia="zh-CN" w:bidi="ar-SA"/>
        </w:rPr>
        <w:t xml:space="preserve"> 。</w:t>
      </w:r>
    </w:p>
    <w:p>
      <w:pPr>
        <w:shd w:val="clear" w:color="auto" w:fill="auto"/>
        <w:spacing w:line="600" w:lineRule="exact"/>
        <w:ind w:firstLine="642" w:firstLineChars="200"/>
        <w:rPr>
          <w:rFonts w:hint="eastAsia"/>
          <w:lang w:val="en-US" w:eastAsia="zh-CN"/>
        </w:rPr>
      </w:pPr>
      <w:r>
        <w:rPr>
          <w:rStyle w:val="19"/>
          <w:rFonts w:hint="eastAsia" w:ascii="仿宋" w:hAnsi="仿宋" w:eastAsia="仿宋"/>
          <w:bCs/>
          <w:color w:val="auto"/>
          <w:sz w:val="32"/>
          <w:szCs w:val="32"/>
          <w:highlight w:val="none"/>
          <w:lang w:val="en-US" w:eastAsia="zh-CN"/>
        </w:rPr>
        <w:t>3</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社会保障和就业（类）</w:t>
      </w:r>
      <w:r>
        <w:rPr>
          <w:rStyle w:val="19"/>
          <w:rFonts w:hint="eastAsia" w:ascii="仿宋" w:hAnsi="仿宋" w:eastAsia="仿宋"/>
          <w:bCs/>
          <w:color w:val="auto"/>
          <w:sz w:val="32"/>
          <w:szCs w:val="32"/>
          <w:highlight w:val="none"/>
          <w:lang w:val="en-US" w:eastAsia="zh-CN"/>
        </w:rPr>
        <w:t>行政事业单位养老支出</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机关事业单位基本养老保险缴费支出（项）：</w:t>
      </w:r>
      <w:r>
        <w:rPr>
          <w:rFonts w:hint="eastAsia" w:ascii="宋体" w:hAnsi="宋体" w:eastAsia="宋体" w:cs="宋体"/>
          <w:color w:val="auto"/>
          <w:kern w:val="2"/>
          <w:sz w:val="28"/>
          <w:szCs w:val="24"/>
          <w:highlight w:val="non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支出决算为8.44万元，完成预算100%。</w:t>
      </w:r>
    </w:p>
    <w:p>
      <w:pPr>
        <w:shd w:val="clear" w:color="auto" w:fill="auto"/>
        <w:spacing w:line="600" w:lineRule="exact"/>
        <w:ind w:firstLine="642"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 w:hAnsi="仿宋" w:eastAsia="仿宋"/>
          <w:b/>
          <w:bCs/>
          <w:color w:val="auto"/>
          <w:sz w:val="32"/>
          <w:szCs w:val="32"/>
          <w:highlight w:val="none"/>
          <w:lang w:val="en-US" w:eastAsia="zh-CN"/>
        </w:rPr>
        <w:t>4.</w:t>
      </w:r>
      <w:r>
        <w:rPr>
          <w:rFonts w:hint="eastAsia" w:ascii="仿宋" w:hAnsi="仿宋" w:eastAsia="仿宋"/>
          <w:b/>
          <w:bCs/>
          <w:color w:val="auto"/>
          <w:sz w:val="32"/>
          <w:szCs w:val="32"/>
          <w:highlight w:val="none"/>
        </w:rPr>
        <w:t>行政事业单位医疗（款）行政单位医疗（项）</w:t>
      </w:r>
      <w:r>
        <w:rPr>
          <w:rFonts w:hint="eastAsia" w:ascii="仿宋" w:hAnsi="仿宋" w:eastAsia="仿宋"/>
          <w:b/>
          <w:bCs/>
          <w:color w:val="auto"/>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bidi="ar-SA"/>
        </w:rPr>
        <w:t>支出决算为2.99万元，完成预算100%。</w:t>
      </w:r>
    </w:p>
    <w:p>
      <w:pPr>
        <w:shd w:val="clear" w:color="auto" w:fill="auto"/>
        <w:spacing w:line="600" w:lineRule="exact"/>
        <w:ind w:firstLine="642" w:firstLineChars="200"/>
        <w:rPr>
          <w:rFonts w:ascii="仿宋" w:hAnsi="仿宋" w:eastAsia="仿宋"/>
          <w:b/>
          <w:color w:val="000000"/>
          <w:sz w:val="32"/>
          <w:szCs w:val="32"/>
        </w:rPr>
      </w:pPr>
      <w:r>
        <w:rPr>
          <w:rFonts w:hint="eastAsia" w:ascii="仿宋" w:hAnsi="仿宋" w:eastAsia="仿宋"/>
          <w:b/>
          <w:bCs/>
          <w:color w:val="auto"/>
          <w:sz w:val="32"/>
          <w:szCs w:val="32"/>
          <w:highlight w:val="none"/>
          <w:lang w:val="en-US" w:eastAsia="zh-CN"/>
        </w:rPr>
        <w:t>5.</w:t>
      </w:r>
      <w:r>
        <w:rPr>
          <w:rFonts w:hint="eastAsia" w:ascii="仿宋" w:hAnsi="仿宋" w:eastAsia="仿宋"/>
          <w:b/>
          <w:bCs/>
          <w:color w:val="auto"/>
          <w:sz w:val="32"/>
          <w:szCs w:val="32"/>
          <w:highlight w:val="none"/>
        </w:rPr>
        <w:t>住房保障支出（类）住房改革支出（款）住房公积金（项）</w:t>
      </w:r>
      <w:r>
        <w:rPr>
          <w:rFonts w:hint="eastAsia" w:ascii="仿宋" w:hAnsi="仿宋" w:eastAsia="仿宋"/>
          <w:b/>
          <w:bCs/>
          <w:color w:val="auto"/>
          <w:sz w:val="32"/>
          <w:szCs w:val="32"/>
          <w:highlight w:val="none"/>
          <w:lang w:eastAsia="zh-CN"/>
        </w:rPr>
        <w:t>：</w:t>
      </w:r>
      <w:r>
        <w:rPr>
          <w:rFonts w:hint="eastAsia" w:ascii="仿宋_GB2312" w:hAnsi="仿宋_GB2312" w:eastAsia="仿宋_GB2312" w:cs="仿宋_GB2312"/>
          <w:color w:val="auto"/>
          <w:kern w:val="2"/>
          <w:sz w:val="32"/>
          <w:szCs w:val="32"/>
          <w:highlight w:val="none"/>
          <w:lang w:val="en-US" w:eastAsia="zh-CN" w:bidi="ar-SA"/>
        </w:rPr>
        <w:t>支出决算为6.88万元，完成预算100%。</w:t>
      </w:r>
    </w:p>
    <w:p>
      <w:pPr>
        <w:tabs>
          <w:tab w:val="right" w:pos="8306"/>
        </w:tabs>
        <w:spacing w:line="600" w:lineRule="exact"/>
        <w:ind w:firstLine="642" w:firstLineChars="200"/>
        <w:jc w:val="left"/>
        <w:outlineLvl w:val="1"/>
        <w:rPr>
          <w:color w:val="000000"/>
        </w:rPr>
      </w:pPr>
      <w:bookmarkStart w:id="25" w:name="_Toc4056"/>
      <w:bookmarkStart w:id="26" w:name="_Toc15377214"/>
      <w:bookmarkStart w:id="27" w:name="_Toc15396608"/>
      <w:r>
        <w:rPr>
          <w:rStyle w:val="21"/>
          <w:rFonts w:hint="eastAsia"/>
        </w:rPr>
        <w:t>六、一般公共预算财政拨款基本支出决算情况说明</w:t>
      </w:r>
      <w:bookmarkEnd w:id="25"/>
      <w:bookmarkEnd w:id="26"/>
      <w:bookmarkEnd w:id="27"/>
      <w:r>
        <w:rPr>
          <w:rStyle w:val="21"/>
          <w:rFonts w:ascii="黑体" w:hAnsi="黑体" w:eastAsia="黑体"/>
          <w:b w:val="0"/>
          <w:color w:val="000000"/>
        </w:rPr>
        <w:tab/>
      </w:r>
    </w:p>
    <w:p>
      <w:pPr>
        <w:spacing w:line="600" w:lineRule="exact"/>
        <w:ind w:firstLine="645"/>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一般公共预算财政拨款基本支出</w:t>
      </w:r>
      <w:r>
        <w:rPr>
          <w:rFonts w:hint="eastAsia" w:ascii="仿宋_GB2312" w:hAnsi="仿宋_GB2312" w:eastAsia="仿宋_GB2312" w:cs="仿宋_GB2312"/>
          <w:color w:val="000000"/>
          <w:sz w:val="32"/>
          <w:szCs w:val="32"/>
          <w:lang w:val="en-US" w:eastAsia="zh-CN"/>
        </w:rPr>
        <w:t>87.94</w:t>
      </w:r>
      <w:r>
        <w:rPr>
          <w:rFonts w:hint="eastAsia" w:ascii="仿宋_GB2312" w:hAnsi="仿宋_GB2312" w:eastAsia="仿宋_GB2312" w:cs="仿宋_GB2312"/>
          <w:color w:val="000000"/>
          <w:sz w:val="32"/>
          <w:szCs w:val="32"/>
        </w:rPr>
        <w:t>万元，其中：</w:t>
      </w:r>
    </w:p>
    <w:p>
      <w:pPr>
        <w:spacing w:line="600" w:lineRule="exact"/>
        <w:ind w:firstLine="645"/>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人员经费</w:t>
      </w:r>
      <w:r>
        <w:rPr>
          <w:rFonts w:hint="eastAsia" w:ascii="仿宋_GB2312" w:hAnsi="仿宋_GB2312" w:eastAsia="仿宋_GB2312" w:cs="仿宋_GB2312"/>
          <w:color w:val="000000"/>
          <w:sz w:val="32"/>
          <w:szCs w:val="32"/>
          <w:lang w:val="en-US" w:eastAsia="zh-CN"/>
        </w:rPr>
        <w:t>78.99</w:t>
      </w:r>
      <w:r>
        <w:rPr>
          <w:rFonts w:hint="eastAsia" w:ascii="仿宋_GB2312" w:hAnsi="仿宋_GB2312" w:eastAsia="仿宋_GB2312" w:cs="仿宋_GB2312"/>
          <w:color w:val="000000"/>
          <w:sz w:val="32"/>
          <w:szCs w:val="32"/>
        </w:rPr>
        <w:t>万元，主要包括：基本工资、津贴补贴、奖金、机关事业单位基本养老保险缴费、</w:t>
      </w:r>
      <w:r>
        <w:rPr>
          <w:rFonts w:hint="eastAsia" w:ascii="仿宋_GB2312" w:hAnsi="仿宋_GB2312" w:eastAsia="仿宋_GB2312" w:cs="仿宋_GB2312"/>
          <w:color w:val="auto"/>
          <w:sz w:val="32"/>
          <w:szCs w:val="32"/>
          <w:highlight w:val="none"/>
        </w:rPr>
        <w:t>职工基本医疗保险缴费、</w:t>
      </w:r>
      <w:r>
        <w:rPr>
          <w:rFonts w:hint="eastAsia" w:ascii="仿宋_GB2312" w:hAnsi="仿宋_GB2312" w:eastAsia="仿宋_GB2312" w:cs="仿宋_GB2312"/>
          <w:color w:val="000000"/>
          <w:sz w:val="32"/>
          <w:szCs w:val="32"/>
        </w:rPr>
        <w:t>其他社会保障缴费、</w:t>
      </w:r>
      <w:r>
        <w:rPr>
          <w:rFonts w:hint="eastAsia" w:ascii="仿宋_GB2312" w:hAnsi="仿宋_GB2312" w:eastAsia="仿宋_GB2312" w:cs="仿宋_GB2312"/>
          <w:color w:val="000000"/>
          <w:sz w:val="32"/>
          <w:szCs w:val="32"/>
          <w:highlight w:val="none"/>
        </w:rPr>
        <w:t>住房公积金、</w:t>
      </w:r>
      <w:r>
        <w:rPr>
          <w:rFonts w:hint="eastAsia" w:ascii="仿宋_GB2312" w:hAnsi="仿宋_GB2312" w:eastAsia="仿宋_GB2312" w:cs="仿宋_GB2312"/>
          <w:color w:val="000000"/>
          <w:sz w:val="32"/>
          <w:szCs w:val="32"/>
          <w:highlight w:val="none"/>
          <w:lang w:eastAsia="zh-CN"/>
        </w:rPr>
        <w:t>生活补助</w:t>
      </w:r>
      <w:r>
        <w:rPr>
          <w:rFonts w:hint="eastAsia" w:ascii="仿宋_GB2312" w:hAnsi="仿宋_GB2312" w:eastAsia="仿宋_GB2312" w:cs="仿宋_GB2312"/>
          <w:color w:val="000000"/>
          <w:sz w:val="32"/>
          <w:szCs w:val="32"/>
          <w:highlight w:val="none"/>
        </w:rPr>
        <w:t>。</w:t>
      </w:r>
    </w:p>
    <w:p>
      <w:pPr>
        <w:spacing w:line="600" w:lineRule="exact"/>
        <w:rPr>
          <w:rFonts w:hint="eastAsia" w:ascii="仿宋_GB2312" w:hAnsi="仿宋_GB2312" w:eastAsia="仿宋_GB2312" w:cs="仿宋_GB2312"/>
          <w:b/>
          <w:color w:val="000000"/>
          <w:sz w:val="32"/>
          <w:szCs w:val="32"/>
        </w:rPr>
      </w:pPr>
      <w:r>
        <w:rPr>
          <w:rFonts w:hint="eastAsia" w:ascii="仿宋_GB2312" w:hAnsi="仿宋_GB2312" w:eastAsia="仿宋_GB2312" w:cs="仿宋_GB2312"/>
          <w:color w:val="000000"/>
          <w:sz w:val="32"/>
          <w:szCs w:val="32"/>
        </w:rPr>
        <w:t>　　公用经费</w:t>
      </w:r>
      <w:r>
        <w:rPr>
          <w:rFonts w:hint="eastAsia" w:ascii="仿宋_GB2312" w:hAnsi="仿宋_GB2312" w:eastAsia="仿宋_GB2312" w:cs="仿宋_GB2312"/>
          <w:color w:val="000000"/>
          <w:sz w:val="32"/>
          <w:szCs w:val="32"/>
          <w:lang w:val="en-US" w:eastAsia="zh-CN"/>
        </w:rPr>
        <w:t>8.95</w:t>
      </w:r>
      <w:r>
        <w:rPr>
          <w:rFonts w:hint="eastAsia" w:ascii="仿宋_GB2312" w:hAnsi="仿宋_GB2312" w:eastAsia="仿宋_GB2312" w:cs="仿宋_GB2312"/>
          <w:color w:val="000000"/>
          <w:sz w:val="32"/>
          <w:szCs w:val="32"/>
        </w:rPr>
        <w:t>万元，主要包括：办公费</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水费、电费、差旅费、公务接待费</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福利费、其他交通费</w:t>
      </w:r>
      <w:r>
        <w:rPr>
          <w:rFonts w:hint="eastAsia" w:ascii="仿宋_GB2312" w:hAnsi="仿宋_GB2312" w:eastAsia="仿宋_GB2312" w:cs="仿宋_GB2312"/>
          <w:color w:val="000000"/>
          <w:sz w:val="32"/>
          <w:szCs w:val="32"/>
          <w:lang w:val="en-US" w:eastAsia="zh-CN"/>
        </w:rPr>
        <w:t>用</w:t>
      </w:r>
      <w:r>
        <w:rPr>
          <w:rFonts w:hint="eastAsia" w:ascii="仿宋_GB2312" w:hAnsi="仿宋_GB2312" w:eastAsia="仿宋_GB2312" w:cs="仿宋_GB2312"/>
          <w:color w:val="000000"/>
          <w:sz w:val="32"/>
          <w:szCs w:val="32"/>
        </w:rPr>
        <w:t>。</w:t>
      </w:r>
    </w:p>
    <w:p>
      <w:pPr>
        <w:pStyle w:val="4"/>
        <w:bidi w:val="0"/>
      </w:pPr>
      <w:bookmarkStart w:id="28" w:name="_Toc15396609"/>
      <w:bookmarkStart w:id="29" w:name="_Toc5985"/>
      <w:bookmarkStart w:id="30" w:name="_Toc15377215"/>
      <w:r>
        <w:rPr>
          <w:rFonts w:hint="eastAsia"/>
        </w:rPr>
        <w:t>七、财政拨款“三公”经费支出决算情况说明</w:t>
      </w:r>
      <w:bookmarkEnd w:id="28"/>
      <w:bookmarkEnd w:id="29"/>
      <w:bookmarkEnd w:id="30"/>
    </w:p>
    <w:p>
      <w:pPr>
        <w:spacing w:line="600" w:lineRule="exact"/>
        <w:ind w:firstLine="640"/>
        <w:outlineLvl w:val="2"/>
        <w:rPr>
          <w:rFonts w:hint="eastAsia" w:ascii="仿宋_GB2312" w:hAnsi="仿宋_GB2312" w:eastAsia="仿宋_GB2312" w:cs="仿宋_GB2312"/>
          <w:b/>
          <w:color w:val="000000"/>
          <w:sz w:val="32"/>
          <w:szCs w:val="32"/>
        </w:rPr>
      </w:pPr>
      <w:bookmarkStart w:id="31" w:name="_Toc15377216"/>
      <w:r>
        <w:rPr>
          <w:rFonts w:hint="eastAsia" w:ascii="仿宋_GB2312" w:hAnsi="仿宋_GB2312" w:eastAsia="仿宋_GB2312" w:cs="仿宋_GB2312"/>
          <w:b/>
          <w:color w:val="000000"/>
          <w:sz w:val="32"/>
          <w:szCs w:val="32"/>
        </w:rPr>
        <w:t>（一）“三公”经费财政拨款支出决算总体情况说明</w:t>
      </w:r>
      <w:bookmarkEnd w:id="31"/>
    </w:p>
    <w:p>
      <w:pPr>
        <w:spacing w:line="600" w:lineRule="exact"/>
        <w:ind w:firstLine="64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eastAsia="zh-CN"/>
        </w:rPr>
        <w:t>202</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年</w:t>
      </w:r>
      <w:r>
        <w:rPr>
          <w:rFonts w:hint="eastAsia" w:ascii="仿宋_GB2312" w:hAnsi="仿宋_GB2312" w:eastAsia="仿宋_GB2312" w:cs="仿宋_GB2312"/>
          <w:color w:val="000000"/>
          <w:sz w:val="32"/>
          <w:szCs w:val="32"/>
          <w:highlight w:val="none"/>
          <w:lang w:eastAsia="zh-CN"/>
        </w:rPr>
        <w:t>度</w:t>
      </w:r>
      <w:r>
        <w:rPr>
          <w:rFonts w:hint="eastAsia" w:ascii="仿宋_GB2312" w:hAnsi="仿宋_GB2312" w:eastAsia="仿宋_GB2312" w:cs="仿宋_GB2312"/>
          <w:color w:val="000000"/>
          <w:sz w:val="32"/>
          <w:szCs w:val="32"/>
          <w:highlight w:val="none"/>
        </w:rPr>
        <w:t>“三公”经费财政拨款支出决算为</w:t>
      </w:r>
      <w:r>
        <w:rPr>
          <w:rFonts w:hint="eastAsia" w:ascii="仿宋_GB2312" w:hAnsi="仿宋_GB2312" w:eastAsia="仿宋_GB2312" w:cs="仿宋_GB2312"/>
          <w:color w:val="000000"/>
          <w:sz w:val="32"/>
          <w:szCs w:val="32"/>
          <w:highlight w:val="none"/>
          <w:lang w:val="en-US" w:eastAsia="zh-CN"/>
        </w:rPr>
        <w:t>0.08</w:t>
      </w:r>
      <w:r>
        <w:rPr>
          <w:rFonts w:hint="eastAsia" w:ascii="仿宋_GB2312" w:hAnsi="仿宋_GB2312" w:eastAsia="仿宋_GB2312" w:cs="仿宋_GB2312"/>
          <w:color w:val="000000"/>
          <w:sz w:val="32"/>
          <w:szCs w:val="32"/>
          <w:highlight w:val="none"/>
        </w:rPr>
        <w:t>万元，完成预算</w:t>
      </w:r>
      <w:r>
        <w:rPr>
          <w:rFonts w:hint="eastAsia" w:ascii="仿宋_GB2312" w:hAnsi="仿宋_GB2312" w:eastAsia="仿宋_GB2312" w:cs="仿宋_GB2312"/>
          <w:color w:val="000000"/>
          <w:sz w:val="32"/>
          <w:szCs w:val="32"/>
          <w:highlight w:val="none"/>
          <w:lang w:val="en-US" w:eastAsia="zh-CN"/>
        </w:rPr>
        <w:t>100</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w:t>
      </w:r>
      <w:r>
        <w:rPr>
          <w:rFonts w:hint="eastAsia" w:ascii="仿宋_GB2312" w:eastAsia="仿宋_GB2312"/>
          <w:color w:val="000000"/>
          <w:sz w:val="32"/>
          <w:szCs w:val="32"/>
          <w:highlight w:val="none"/>
        </w:rPr>
        <w:t>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度</w:t>
      </w:r>
      <w:r>
        <w:rPr>
          <w:rFonts w:hint="eastAsia" w:ascii="仿宋_GB2312" w:eastAsia="仿宋_GB2312"/>
          <w:color w:val="000000"/>
          <w:sz w:val="32"/>
          <w:szCs w:val="32"/>
          <w:highlight w:val="none"/>
        </w:rPr>
        <w:t>增加</w:t>
      </w:r>
      <w:r>
        <w:rPr>
          <w:rFonts w:hint="eastAsia" w:ascii="仿宋_GB2312" w:eastAsia="仿宋_GB2312"/>
          <w:color w:val="000000"/>
          <w:sz w:val="32"/>
          <w:szCs w:val="32"/>
          <w:highlight w:val="none"/>
          <w:lang w:val="en-US" w:eastAsia="zh-CN"/>
        </w:rPr>
        <w:t>0.08</w:t>
      </w:r>
      <w:r>
        <w:rPr>
          <w:rFonts w:hint="eastAsia" w:ascii="仿宋_GB2312" w:eastAsia="仿宋_GB2312"/>
          <w:color w:val="000000"/>
          <w:sz w:val="32"/>
          <w:szCs w:val="32"/>
          <w:highlight w:val="none"/>
        </w:rPr>
        <w:t>万元，增长</w:t>
      </w:r>
      <w:r>
        <w:rPr>
          <w:rFonts w:hint="eastAsia" w:ascii="仿宋_GB2312" w:eastAsia="仿宋_GB2312"/>
          <w:color w:val="000000"/>
          <w:sz w:val="32"/>
          <w:szCs w:val="32"/>
          <w:highlight w:val="none"/>
          <w:lang w:val="en-US" w:eastAsia="zh-CN"/>
        </w:rPr>
        <w:t>100</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决算数与预算数持平</w:t>
      </w:r>
      <w:r>
        <w:rPr>
          <w:rFonts w:hint="eastAsia" w:ascii="仿宋_GB2312" w:hAnsi="仿宋_GB2312" w:eastAsia="仿宋_GB2312" w:cs="仿宋_GB2312"/>
          <w:color w:val="000000"/>
          <w:sz w:val="32"/>
          <w:szCs w:val="32"/>
          <w:highlight w:val="none"/>
          <w:lang w:val="en-US" w:eastAsia="zh-CN"/>
        </w:rPr>
        <w:t>。</w:t>
      </w:r>
    </w:p>
    <w:p>
      <w:pPr>
        <w:spacing w:line="600" w:lineRule="exact"/>
        <w:ind w:firstLine="640"/>
        <w:outlineLvl w:val="2"/>
        <w:rPr>
          <w:rFonts w:hint="eastAsia" w:ascii="仿宋_GB2312" w:hAnsi="仿宋_GB2312" w:eastAsia="仿宋_GB2312" w:cs="仿宋_GB2312"/>
          <w:b/>
          <w:color w:val="000000"/>
          <w:sz w:val="32"/>
          <w:szCs w:val="32"/>
        </w:rPr>
      </w:pPr>
      <w:bookmarkStart w:id="32" w:name="_Toc15377217"/>
      <w:r>
        <w:rPr>
          <w:rFonts w:hint="eastAsia" w:ascii="仿宋_GB2312" w:hAnsi="仿宋_GB2312" w:eastAsia="仿宋_GB2312" w:cs="仿宋_GB2312"/>
          <w:b/>
          <w:color w:val="000000"/>
          <w:sz w:val="32"/>
          <w:szCs w:val="32"/>
        </w:rPr>
        <w:t>（二）“三公”经费财政拨款支出决算具体情况说明</w:t>
      </w:r>
      <w:bookmarkEnd w:id="32"/>
    </w:p>
    <w:p>
      <w:pPr>
        <w:spacing w:line="60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rPr>
        <w:t>“三公”经费财政拨款支出决算中，因公出国（境）费支出决算</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%；公务用车购置及运行维护费支出决算</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%；公务接待费支出决算</w:t>
      </w:r>
      <w:r>
        <w:rPr>
          <w:rFonts w:hint="eastAsia" w:ascii="仿宋_GB2312" w:hAnsi="仿宋_GB2312" w:eastAsia="仿宋_GB2312" w:cs="仿宋_GB2312"/>
          <w:color w:val="000000"/>
          <w:sz w:val="32"/>
          <w:szCs w:val="32"/>
          <w:lang w:val="en-US" w:eastAsia="zh-CN"/>
        </w:rPr>
        <w:t>0.08</w:t>
      </w:r>
      <w:r>
        <w:rPr>
          <w:rFonts w:hint="eastAsia" w:ascii="仿宋_GB2312" w:hAnsi="仿宋_GB2312" w:eastAsia="仿宋_GB2312" w:cs="仿宋_GB2312"/>
          <w:color w:val="000000"/>
          <w:sz w:val="32"/>
          <w:szCs w:val="32"/>
        </w:rPr>
        <w:t>万元，占</w:t>
      </w:r>
      <w:r>
        <w:rPr>
          <w:rFonts w:hint="eastAsia" w:ascii="仿宋_GB2312" w:hAnsi="仿宋_GB2312" w:eastAsia="仿宋_GB2312" w:cs="仿宋_GB2312"/>
          <w:color w:val="000000"/>
          <w:sz w:val="32"/>
          <w:szCs w:val="32"/>
          <w:lang w:val="en-US" w:eastAsia="zh-CN"/>
        </w:rPr>
        <w:t>100</w:t>
      </w:r>
      <w:r>
        <w:rPr>
          <w:rFonts w:hint="eastAsia" w:ascii="仿宋_GB2312" w:hAnsi="仿宋_GB2312" w:eastAsia="仿宋_GB2312" w:cs="仿宋_GB2312"/>
          <w:color w:val="000000"/>
          <w:sz w:val="32"/>
          <w:szCs w:val="32"/>
        </w:rPr>
        <w:t>%。具体情况如下：</w:t>
      </w:r>
    </w:p>
    <w:p>
      <w:pPr>
        <w:pStyle w:val="2"/>
        <w:rPr>
          <w:rFonts w:hint="eastAsia" w:ascii="仿宋_GB2312" w:hAnsi="仿宋_GB2312" w:eastAsia="仿宋_GB2312" w:cs="仿宋_GB2312"/>
          <w:color w:val="000000"/>
          <w:sz w:val="32"/>
          <w:szCs w:val="32"/>
        </w:rPr>
      </w:pPr>
      <w:r>
        <w:drawing>
          <wp:inline distT="0" distB="0" distL="114300" distR="114300">
            <wp:extent cx="4819650" cy="2743200"/>
            <wp:effectExtent l="4445" t="4445" r="14605" b="14605"/>
            <wp:docPr id="7" name="图片 2"/>
            <wp:cNvGraphicFramePr>
              <a:graphicFrameLocks xmlns:a="http://schemas.openxmlformats.org/drawingml/2006/main" noChangeAspect="true"/>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2"/>
        <w:rPr>
          <w:rFonts w:hint="eastAsia" w:ascii="仿宋_GB2312" w:hAnsi="仿宋_GB2312" w:eastAsia="仿宋_GB2312" w:cs="仿宋_GB2312"/>
          <w:color w:val="000000"/>
          <w:sz w:val="32"/>
          <w:szCs w:val="32"/>
        </w:rPr>
      </w:pPr>
    </w:p>
    <w:p>
      <w:pPr>
        <w:spacing w:line="600" w:lineRule="exact"/>
        <w:ind w:firstLine="64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（图7：“三公”经费财政拨款支出结构）</w:t>
      </w:r>
    </w:p>
    <w:p>
      <w:pPr>
        <w:spacing w:line="60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1.因公出国（境）经费支出</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auto"/>
          <w:sz w:val="32"/>
          <w:szCs w:val="32"/>
          <w:highlight w:val="none"/>
          <w:lang w:val="en-US" w:eastAsia="zh-CN"/>
        </w:rPr>
        <w:t>年初未安排预算，较上年无变化</w:t>
      </w:r>
      <w:r>
        <w:rPr>
          <w:rFonts w:hint="eastAsia" w:ascii="仿宋_GB2312" w:hAnsi="仿宋_GB2312" w:eastAsia="仿宋_GB2312" w:cs="仿宋_GB2312"/>
          <w:color w:val="000000"/>
          <w:sz w:val="32"/>
          <w:szCs w:val="32"/>
        </w:rPr>
        <w:t>。</w:t>
      </w:r>
    </w:p>
    <w:p>
      <w:pPr>
        <w:spacing w:line="60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2.公</w:t>
      </w:r>
      <w:r>
        <w:rPr>
          <w:rFonts w:hint="eastAsia" w:ascii="仿宋_GB2312" w:hAnsi="仿宋_GB2312" w:eastAsia="仿宋_GB2312" w:cs="仿宋_GB2312"/>
          <w:b/>
          <w:bCs/>
          <w:color w:val="000000"/>
          <w:sz w:val="32"/>
          <w:szCs w:val="32"/>
        </w:rPr>
        <w:t>务用车购置及运行维护费支出</w:t>
      </w:r>
      <w:r>
        <w:rPr>
          <w:rFonts w:hint="eastAsia" w:ascii="仿宋_GB2312" w:hAnsi="仿宋_GB2312" w:eastAsia="仿宋_GB2312" w:cs="仿宋_GB2312"/>
          <w:b w:val="0"/>
          <w:bCs w:val="0"/>
          <w:color w:val="000000"/>
          <w:sz w:val="32"/>
          <w:szCs w:val="32"/>
          <w:lang w:val="en-US" w:eastAsia="zh-CN"/>
        </w:rPr>
        <w:t>0</w:t>
      </w:r>
      <w:r>
        <w:rPr>
          <w:rFonts w:hint="eastAsia" w:ascii="仿宋_GB2312" w:hAnsi="仿宋_GB2312" w:eastAsia="仿宋_GB2312" w:cs="仿宋_GB2312"/>
          <w:b w:val="0"/>
          <w:bCs w:val="0"/>
          <w:color w:val="000000"/>
          <w:sz w:val="32"/>
          <w:szCs w:val="32"/>
        </w:rPr>
        <w:t>万元</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color w:val="000000"/>
          <w:sz w:val="32"/>
          <w:szCs w:val="32"/>
          <w:lang w:eastAsia="zh-CN"/>
        </w:rPr>
        <w:t>未安排预算</w:t>
      </w:r>
      <w:r>
        <w:rPr>
          <w:rFonts w:hint="eastAsia" w:ascii="仿宋_GB2312" w:hAnsi="仿宋_GB2312" w:eastAsia="仿宋_GB2312" w:cs="仿宋_GB2312"/>
          <w:color w:val="000000"/>
          <w:sz w:val="32"/>
          <w:szCs w:val="32"/>
        </w:rPr>
        <w:t>。公务用车购置及运行维护费支出决算</w:t>
      </w:r>
      <w:r>
        <w:rPr>
          <w:rFonts w:hint="eastAsia" w:ascii="仿宋_GB2312" w:hAnsi="仿宋_GB2312" w:eastAsia="仿宋_GB2312" w:cs="仿宋_GB2312"/>
          <w:color w:val="000000"/>
          <w:sz w:val="32"/>
          <w:szCs w:val="32"/>
          <w:lang w:val="en-US" w:eastAsia="zh-CN"/>
        </w:rPr>
        <w:t>与</w:t>
      </w: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度</w:t>
      </w:r>
      <w:r>
        <w:rPr>
          <w:rFonts w:hint="eastAsia" w:ascii="仿宋_GB2312" w:hAnsi="仿宋_GB2312" w:eastAsia="仿宋_GB2312" w:cs="仿宋_GB2312"/>
          <w:color w:val="000000"/>
          <w:sz w:val="32"/>
          <w:szCs w:val="32"/>
          <w:lang w:val="en-US" w:eastAsia="zh-CN"/>
        </w:rPr>
        <w:t>持平</w:t>
      </w:r>
      <w:r>
        <w:rPr>
          <w:rFonts w:hint="eastAsia" w:ascii="仿宋_GB2312" w:hAnsi="仿宋_GB2312" w:eastAsia="仿宋_GB2312" w:cs="仿宋_GB2312"/>
          <w:color w:val="000000"/>
          <w:sz w:val="32"/>
          <w:szCs w:val="32"/>
        </w:rPr>
        <w:t>。主要原因是</w:t>
      </w:r>
      <w:r>
        <w:rPr>
          <w:rFonts w:hint="eastAsia" w:ascii="仿宋_GB2312" w:eastAsia="仿宋_GB2312"/>
          <w:b/>
          <w:color w:val="000000"/>
          <w:sz w:val="32"/>
          <w:szCs w:val="32"/>
          <w:highlight w:val="none"/>
          <w:lang w:val="en-US" w:eastAsia="zh-CN"/>
        </w:rPr>
        <w:t>未购置公务用车</w:t>
      </w:r>
      <w:r>
        <w:rPr>
          <w:rFonts w:hint="eastAsia" w:ascii="仿宋_GB2312" w:hAnsi="仿宋_GB2312" w:eastAsia="仿宋_GB2312" w:cs="仿宋_GB2312"/>
          <w:color w:val="000000"/>
          <w:sz w:val="32"/>
          <w:szCs w:val="32"/>
          <w:highlight w:val="none"/>
        </w:rPr>
        <w:t>。</w:t>
      </w:r>
    </w:p>
    <w:p>
      <w:pPr>
        <w:spacing w:line="600" w:lineRule="exact"/>
        <w:ind w:firstLine="640"/>
        <w:rPr>
          <w:rFonts w:hint="eastAsia"/>
          <w:lang w:eastAsia="zh-CN"/>
        </w:rPr>
      </w:pPr>
      <w:r>
        <w:rPr>
          <w:rFonts w:hint="eastAsia" w:ascii="仿宋_GB2312" w:hAnsi="仿宋_GB2312" w:eastAsia="仿宋_GB2312" w:cs="仿宋_GB2312"/>
          <w:color w:val="000000"/>
          <w:sz w:val="32"/>
          <w:szCs w:val="32"/>
        </w:rPr>
        <w:t>其中：公务用车购置支出</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万元</w:t>
      </w:r>
      <w:r>
        <w:rPr>
          <w:rFonts w:hint="eastAsia" w:ascii="仿宋_GB2312" w:hAnsi="仿宋_GB2312" w:eastAsia="仿宋_GB2312" w:cs="仿宋_GB2312"/>
          <w:color w:val="000000"/>
          <w:sz w:val="32"/>
          <w:szCs w:val="32"/>
          <w:lang w:eastAsia="zh-CN"/>
        </w:rPr>
        <w:t>，未购置公务用车</w:t>
      </w:r>
      <w:r>
        <w:rPr>
          <w:rFonts w:hint="eastAsia" w:ascii="仿宋_GB2312" w:hAnsi="仿宋_GB2312" w:eastAsia="仿宋_GB2312" w:cs="仿宋_GB2312"/>
          <w:color w:val="000000"/>
          <w:sz w:val="32"/>
          <w:szCs w:val="32"/>
        </w:rPr>
        <w:t>。截至</w:t>
      </w: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年12月</w:t>
      </w:r>
      <w:r>
        <w:rPr>
          <w:rFonts w:hint="eastAsia" w:ascii="仿宋_GB2312" w:hAnsi="仿宋_GB2312" w:eastAsia="仿宋_GB2312" w:cs="仿宋_GB2312"/>
          <w:color w:val="000000"/>
          <w:sz w:val="32"/>
          <w:szCs w:val="32"/>
          <w:lang w:val="en-US" w:eastAsia="zh-CN"/>
        </w:rPr>
        <w:t>31日</w:t>
      </w:r>
      <w:r>
        <w:rPr>
          <w:rFonts w:hint="eastAsia" w:ascii="仿宋_GB2312" w:hAnsi="仿宋_GB2312" w:eastAsia="仿宋_GB2312" w:cs="仿宋_GB2312"/>
          <w:color w:val="000000"/>
          <w:sz w:val="32"/>
          <w:szCs w:val="32"/>
        </w:rPr>
        <w:t>，单位共有公务用车</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辆，其中：轿车</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辆、载客汽车</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辆。</w:t>
      </w:r>
    </w:p>
    <w:p>
      <w:pPr>
        <w:spacing w:line="600" w:lineRule="exact"/>
        <w:ind w:firstLine="64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公务用车运行维护费支出</w:t>
      </w:r>
      <w:r>
        <w:rPr>
          <w:rFonts w:hint="eastAsia" w:ascii="仿宋_GB2312" w:hAnsi="仿宋_GB2312" w:eastAsia="仿宋_GB2312" w:cs="仿宋_GB2312"/>
          <w:b/>
          <w:bCs/>
          <w:color w:val="000000"/>
          <w:sz w:val="32"/>
          <w:szCs w:val="32"/>
          <w:lang w:val="en-US" w:eastAsia="zh-CN"/>
        </w:rPr>
        <w:t>0</w:t>
      </w:r>
      <w:r>
        <w:rPr>
          <w:rFonts w:hint="eastAsia" w:ascii="仿宋_GB2312" w:hAnsi="仿宋_GB2312" w:eastAsia="仿宋_GB2312" w:cs="仿宋_GB2312"/>
          <w:b/>
          <w:bCs/>
          <w:color w:val="000000"/>
          <w:sz w:val="32"/>
          <w:szCs w:val="32"/>
        </w:rPr>
        <w:t>万元</w:t>
      </w:r>
      <w:r>
        <w:rPr>
          <w:rFonts w:hint="eastAsia" w:ascii="仿宋_GB2312" w:hAnsi="仿宋_GB2312" w:eastAsia="仿宋_GB2312" w:cs="仿宋_GB2312"/>
          <w:color w:val="000000"/>
          <w:sz w:val="32"/>
          <w:szCs w:val="32"/>
        </w:rPr>
        <w:t>。</w:t>
      </w:r>
    </w:p>
    <w:p>
      <w:pPr>
        <w:spacing w:line="600" w:lineRule="exact"/>
        <w:ind w:firstLine="640"/>
        <w:rPr>
          <w:rFonts w:ascii="仿宋_GB2312" w:eastAsia="仿宋_GB2312"/>
          <w:color w:val="000000"/>
          <w:sz w:val="32"/>
          <w:szCs w:val="32"/>
          <w:highlight w:val="none"/>
        </w:rPr>
      </w:pPr>
      <w:r>
        <w:rPr>
          <w:rFonts w:ascii="仿宋_GB2312" w:eastAsia="仿宋_GB2312"/>
          <w:b/>
          <w:color w:val="000000"/>
          <w:sz w:val="32"/>
          <w:szCs w:val="32"/>
        </w:rPr>
        <w:t>3.</w:t>
      </w:r>
      <w:r>
        <w:rPr>
          <w:rFonts w:hint="eastAsia" w:ascii="仿宋_GB2312" w:eastAsia="仿宋_GB2312"/>
          <w:b/>
          <w:color w:val="000000"/>
          <w:sz w:val="32"/>
          <w:szCs w:val="32"/>
        </w:rPr>
        <w:t>公务</w:t>
      </w:r>
      <w:r>
        <w:rPr>
          <w:rFonts w:hint="eastAsia" w:ascii="仿宋_GB2312" w:eastAsia="仿宋_GB2312"/>
          <w:b/>
          <w:color w:val="000000"/>
          <w:sz w:val="32"/>
          <w:szCs w:val="32"/>
          <w:highlight w:val="none"/>
        </w:rPr>
        <w:t>接待费支出</w:t>
      </w:r>
      <w:r>
        <w:rPr>
          <w:rFonts w:hint="eastAsia" w:ascii="仿宋_GB2312" w:eastAsia="仿宋_GB2312"/>
          <w:color w:val="000000"/>
          <w:sz w:val="32"/>
          <w:szCs w:val="32"/>
          <w:highlight w:val="none"/>
          <w:lang w:val="en-US" w:eastAsia="zh-CN"/>
        </w:rPr>
        <w:t>0.08</w:t>
      </w:r>
      <w:r>
        <w:rPr>
          <w:rFonts w:hint="eastAsia" w:ascii="仿宋_GB2312" w:eastAsia="仿宋_GB2312"/>
          <w:color w:val="000000"/>
          <w:sz w:val="32"/>
          <w:szCs w:val="32"/>
          <w:highlight w:val="none"/>
        </w:rPr>
        <w:t>万元，</w:t>
      </w:r>
      <w:r>
        <w:rPr>
          <w:rStyle w:val="19"/>
          <w:rFonts w:hint="eastAsia" w:ascii="仿宋" w:hAnsi="仿宋" w:eastAsia="仿宋"/>
          <w:b w:val="0"/>
          <w:bCs/>
          <w:color w:val="000000"/>
          <w:sz w:val="32"/>
          <w:szCs w:val="32"/>
          <w:highlight w:val="none"/>
        </w:rPr>
        <w:t>完成预算</w:t>
      </w:r>
      <w:r>
        <w:rPr>
          <w:rStyle w:val="19"/>
          <w:rFonts w:hint="eastAsia" w:ascii="仿宋" w:hAnsi="仿宋" w:eastAsia="仿宋"/>
          <w:b w:val="0"/>
          <w:bCs/>
          <w:color w:val="000000"/>
          <w:sz w:val="32"/>
          <w:szCs w:val="32"/>
          <w:highlight w:val="none"/>
          <w:lang w:val="en-US" w:eastAsia="zh-CN"/>
        </w:rPr>
        <w:t>100</w:t>
      </w:r>
      <w:r>
        <w:rPr>
          <w:rStyle w:val="19"/>
          <w:rFonts w:ascii="仿宋" w:hAnsi="仿宋" w:eastAsia="仿宋"/>
          <w:b w:val="0"/>
          <w:bCs/>
          <w:color w:val="000000"/>
          <w:sz w:val="32"/>
          <w:szCs w:val="32"/>
          <w:highlight w:val="none"/>
        </w:rPr>
        <w:t>%</w:t>
      </w:r>
      <w:r>
        <w:rPr>
          <w:rStyle w:val="19"/>
          <w:rFonts w:hint="eastAsia" w:ascii="仿宋" w:hAnsi="仿宋" w:eastAsia="仿宋"/>
          <w:b w:val="0"/>
          <w:bCs/>
          <w:color w:val="000000"/>
          <w:sz w:val="32"/>
          <w:szCs w:val="32"/>
          <w:highlight w:val="none"/>
        </w:rPr>
        <w:t>。</w:t>
      </w:r>
      <w:r>
        <w:rPr>
          <w:rFonts w:hint="eastAsia" w:ascii="仿宋_GB2312" w:eastAsia="仿宋_GB2312"/>
          <w:color w:val="000000"/>
          <w:sz w:val="32"/>
          <w:szCs w:val="32"/>
          <w:highlight w:val="none"/>
        </w:rPr>
        <w:t>公务接待费支出决算比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度</w:t>
      </w:r>
      <w:r>
        <w:rPr>
          <w:rFonts w:hint="eastAsia" w:ascii="仿宋_GB2312" w:eastAsia="仿宋_GB2312"/>
          <w:color w:val="000000"/>
          <w:sz w:val="32"/>
          <w:szCs w:val="32"/>
          <w:highlight w:val="none"/>
        </w:rPr>
        <w:t>增加</w:t>
      </w:r>
      <w:r>
        <w:rPr>
          <w:rFonts w:hint="eastAsia" w:ascii="仿宋_GB2312" w:eastAsia="仿宋_GB2312"/>
          <w:color w:val="000000"/>
          <w:sz w:val="32"/>
          <w:szCs w:val="32"/>
          <w:highlight w:val="none"/>
          <w:lang w:val="en-US" w:eastAsia="zh-CN"/>
        </w:rPr>
        <w:t>0.08</w:t>
      </w:r>
      <w:r>
        <w:rPr>
          <w:rFonts w:hint="eastAsia" w:ascii="仿宋_GB2312" w:eastAsia="仿宋_GB2312"/>
          <w:color w:val="000000"/>
          <w:sz w:val="32"/>
          <w:szCs w:val="32"/>
          <w:highlight w:val="none"/>
        </w:rPr>
        <w:t>万元，增长</w:t>
      </w:r>
      <w:r>
        <w:rPr>
          <w:rFonts w:hint="eastAsia" w:ascii="仿宋_GB2312" w:eastAsia="仿宋_GB2312"/>
          <w:color w:val="000000"/>
          <w:sz w:val="32"/>
          <w:szCs w:val="32"/>
          <w:highlight w:val="none"/>
          <w:lang w:val="en-US" w:eastAsia="zh-CN"/>
        </w:rPr>
        <w:t>100</w:t>
      </w:r>
      <w:r>
        <w:rPr>
          <w:rFonts w:ascii="仿宋_GB2312" w:eastAsia="仿宋_GB2312"/>
          <w:color w:val="000000"/>
          <w:sz w:val="32"/>
          <w:szCs w:val="32"/>
          <w:highlight w:val="none"/>
        </w:rPr>
        <w:t>%</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2023年无公务接待支出</w:t>
      </w:r>
      <w:r>
        <w:rPr>
          <w:rFonts w:hint="eastAsia" w:ascii="仿宋_GB2312" w:eastAsia="仿宋_GB2312"/>
          <w:color w:val="000000"/>
          <w:sz w:val="32"/>
          <w:szCs w:val="32"/>
          <w:highlight w:val="none"/>
        </w:rPr>
        <w:t>。其中：</w:t>
      </w:r>
    </w:p>
    <w:p>
      <w:pPr>
        <w:spacing w:line="600" w:lineRule="exact"/>
        <w:ind w:firstLine="640"/>
        <w:rPr>
          <w:rFonts w:hint="eastAsia" w:ascii="仿宋" w:hAnsi="仿宋" w:eastAsia="仿宋"/>
          <w:color w:val="000000"/>
          <w:sz w:val="32"/>
          <w:szCs w:val="32"/>
          <w:highlight w:val="none"/>
          <w:lang w:val="en-US" w:eastAsia="zh-CN"/>
        </w:rPr>
      </w:pPr>
      <w:r>
        <w:rPr>
          <w:rFonts w:hint="eastAsia" w:ascii="仿宋" w:hAnsi="仿宋" w:eastAsia="仿宋"/>
          <w:b/>
          <w:color w:val="000000"/>
          <w:sz w:val="32"/>
          <w:szCs w:val="32"/>
          <w:highlight w:val="none"/>
        </w:rPr>
        <w:t>国内公务接待支出</w:t>
      </w:r>
      <w:r>
        <w:rPr>
          <w:rFonts w:hint="eastAsia" w:ascii="仿宋" w:hAnsi="仿宋" w:eastAsia="仿宋"/>
          <w:b/>
          <w:color w:val="000000"/>
          <w:sz w:val="32"/>
          <w:szCs w:val="32"/>
          <w:highlight w:val="none"/>
          <w:lang w:val="en-US" w:eastAsia="zh-CN"/>
        </w:rPr>
        <w:t>0.08万元，</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eastAsia="zh-CN"/>
        </w:rPr>
        <w:t>接待</w:t>
      </w:r>
      <w:r>
        <w:rPr>
          <w:rFonts w:hint="eastAsia" w:ascii="仿宋" w:hAnsi="仿宋" w:eastAsia="仿宋"/>
          <w:color w:val="auto"/>
          <w:sz w:val="32"/>
          <w:szCs w:val="32"/>
          <w:highlight w:val="none"/>
          <w:lang w:val="en-US" w:eastAsia="zh-CN"/>
        </w:rPr>
        <w:t>二十届三中全会期间信访维稳工作人员用餐费，</w:t>
      </w:r>
      <w:r>
        <w:rPr>
          <w:rFonts w:hint="eastAsia" w:ascii="仿宋" w:hAnsi="仿宋" w:eastAsia="仿宋"/>
          <w:color w:val="000000"/>
          <w:sz w:val="32"/>
          <w:szCs w:val="32"/>
          <w:highlight w:val="none"/>
          <w:lang w:val="en-US" w:eastAsia="zh-CN"/>
        </w:rPr>
        <w:t>国内公务接待1批次，6人次（不包括陪同人员），共计支出0.08万元</w:t>
      </w:r>
      <w:r>
        <w:rPr>
          <w:rFonts w:hint="eastAsia" w:ascii="仿宋" w:hAnsi="仿宋" w:eastAsia="仿宋"/>
          <w:color w:val="auto"/>
          <w:sz w:val="32"/>
          <w:szCs w:val="32"/>
          <w:highlight w:val="none"/>
          <w:lang w:val="en-US" w:eastAsia="zh-CN"/>
        </w:rPr>
        <w:t>，具体内容包括接待二十届三中全会期间信访维稳工作人员用。</w:t>
      </w:r>
    </w:p>
    <w:p>
      <w:pPr>
        <w:spacing w:line="600" w:lineRule="exact"/>
        <w:ind w:firstLine="642" w:firstLineChars="200"/>
        <w:rPr>
          <w:rFonts w:ascii="黑体" w:eastAsia="黑体"/>
          <w:color w:val="000000"/>
          <w:sz w:val="32"/>
          <w:szCs w:val="32"/>
        </w:rPr>
      </w:pPr>
      <w:r>
        <w:rPr>
          <w:rFonts w:hint="eastAsia" w:ascii="仿宋" w:hAnsi="仿宋" w:eastAsia="仿宋"/>
          <w:b/>
          <w:color w:val="000000"/>
          <w:sz w:val="32"/>
          <w:szCs w:val="32"/>
          <w:highlight w:val="none"/>
        </w:rPr>
        <w:t>外事接待支出</w:t>
      </w:r>
      <w:r>
        <w:rPr>
          <w:rFonts w:hint="eastAsia" w:ascii="仿宋" w:hAnsi="仿宋" w:eastAsia="仿宋"/>
          <w:color w:val="000000"/>
          <w:sz w:val="32"/>
          <w:szCs w:val="32"/>
          <w:highlight w:val="none"/>
          <w:lang w:val="en-US" w:eastAsia="zh-CN"/>
        </w:rPr>
        <w:t>0</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外事接待</w:t>
      </w:r>
      <w:r>
        <w:rPr>
          <w:rFonts w:hint="eastAsia" w:ascii="仿宋_GB2312" w:eastAsia="仿宋_GB2312"/>
          <w:color w:val="000000"/>
          <w:sz w:val="32"/>
          <w:szCs w:val="32"/>
          <w:highlight w:val="none"/>
          <w:lang w:val="en-US" w:eastAsia="zh-CN"/>
        </w:rPr>
        <w:t>0</w:t>
      </w:r>
      <w:r>
        <w:rPr>
          <w:rFonts w:hint="eastAsia" w:ascii="仿宋_GB2312" w:eastAsia="仿宋_GB2312"/>
          <w:color w:val="000000"/>
          <w:sz w:val="32"/>
          <w:szCs w:val="32"/>
          <w:highlight w:val="none"/>
        </w:rPr>
        <w:t>批次，</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人</w:t>
      </w:r>
      <w:r>
        <w:rPr>
          <w:rFonts w:hint="eastAsia" w:ascii="仿宋_GB2312" w:eastAsia="仿宋_GB2312"/>
          <w:color w:val="000000"/>
          <w:sz w:val="32"/>
          <w:szCs w:val="32"/>
          <w:lang w:eastAsia="zh-CN"/>
        </w:rPr>
        <w:t>次（不包括陪同人员）</w:t>
      </w:r>
      <w:r>
        <w:rPr>
          <w:rFonts w:hint="eastAsia" w:ascii="仿宋_GB2312" w:eastAsia="仿宋_GB2312"/>
          <w:color w:val="000000"/>
          <w:sz w:val="32"/>
          <w:szCs w:val="32"/>
        </w:rPr>
        <w:t>，共计支出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bookmarkStart w:id="33" w:name="_Toc15396610"/>
      <w:bookmarkStart w:id="34" w:name="_Toc15377218"/>
    </w:p>
    <w:p>
      <w:pPr>
        <w:pStyle w:val="4"/>
        <w:bidi w:val="0"/>
      </w:pPr>
      <w:bookmarkStart w:id="35" w:name="_Toc19222"/>
      <w:r>
        <w:rPr>
          <w:rFonts w:hint="eastAsia"/>
        </w:rPr>
        <w:t>八、政府性基金预算支出决算情况说明</w:t>
      </w:r>
      <w:bookmarkEnd w:id="33"/>
      <w:bookmarkEnd w:id="34"/>
      <w:bookmarkEnd w:id="35"/>
    </w:p>
    <w:p>
      <w:pPr>
        <w:spacing w:line="600" w:lineRule="exact"/>
        <w:ind w:firstLine="640"/>
        <w:rPr>
          <w:rFonts w:ascii="仿宋_GB2312" w:eastAsia="仿宋_GB2312"/>
          <w:color w:val="000000"/>
          <w:sz w:val="32"/>
          <w:szCs w:val="32"/>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度</w:t>
      </w:r>
      <w:r>
        <w:rPr>
          <w:rFonts w:hint="eastAsia" w:ascii="仿宋_GB2312" w:eastAsia="仿宋_GB2312"/>
          <w:color w:val="000000"/>
          <w:sz w:val="32"/>
          <w:szCs w:val="32"/>
        </w:rPr>
        <w:t>政府性基金预算</w:t>
      </w:r>
      <w:r>
        <w:rPr>
          <w:rFonts w:hint="eastAsia" w:ascii="仿宋_GB2312" w:eastAsia="仿宋_GB2312"/>
          <w:color w:val="000000"/>
          <w:sz w:val="32"/>
          <w:szCs w:val="32"/>
          <w:lang w:eastAsia="zh-CN"/>
        </w:rPr>
        <w:t>财政</w:t>
      </w:r>
      <w:r>
        <w:rPr>
          <w:rFonts w:hint="eastAsia" w:ascii="仿宋_GB2312" w:eastAsia="仿宋_GB2312"/>
          <w:color w:val="000000"/>
          <w:sz w:val="32"/>
          <w:szCs w:val="32"/>
        </w:rPr>
        <w:t>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Style w:val="4"/>
        <w:numPr>
          <w:ilvl w:val="0"/>
          <w:numId w:val="2"/>
        </w:numPr>
        <w:bidi w:val="0"/>
      </w:pPr>
      <w:bookmarkStart w:id="36" w:name="_Toc15377219"/>
      <w:bookmarkStart w:id="37" w:name="_Toc24437"/>
      <w:bookmarkStart w:id="38" w:name="_Toc15396611"/>
      <w:r>
        <w:rPr>
          <w:rFonts w:hint="eastAsia"/>
        </w:rPr>
        <w:t>国有资本经营预算支出决算情况说明</w:t>
      </w:r>
      <w:bookmarkEnd w:id="36"/>
      <w:bookmarkEnd w:id="37"/>
      <w:bookmarkEnd w:id="38"/>
    </w:p>
    <w:p>
      <w:pPr>
        <w:spacing w:line="600" w:lineRule="exact"/>
        <w:ind w:firstLine="640"/>
        <w:rPr>
          <w:rFonts w:ascii="方正小标宋简体" w:hAnsi="方正小标宋简体" w:eastAsia="方正小标宋简体" w:cs="方正小标宋简体"/>
          <w:color w:val="000000"/>
          <w:sz w:val="44"/>
          <w:szCs w:val="44"/>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度</w:t>
      </w:r>
      <w:r>
        <w:rPr>
          <w:rFonts w:hint="eastAsia" w:ascii="仿宋_GB2312" w:eastAsia="仿宋_GB2312"/>
          <w:color w:val="000000"/>
          <w:sz w:val="32"/>
          <w:szCs w:val="32"/>
        </w:rPr>
        <w:t>国有资本经营预算</w:t>
      </w:r>
      <w:r>
        <w:rPr>
          <w:rFonts w:hint="eastAsia" w:ascii="仿宋_GB2312" w:eastAsia="仿宋_GB2312"/>
          <w:color w:val="000000"/>
          <w:sz w:val="32"/>
          <w:szCs w:val="32"/>
          <w:lang w:eastAsia="zh-CN"/>
        </w:rPr>
        <w:t>财政</w:t>
      </w:r>
      <w:r>
        <w:rPr>
          <w:rFonts w:hint="eastAsia" w:ascii="仿宋_GB2312" w:eastAsia="仿宋_GB2312"/>
          <w:color w:val="000000"/>
          <w:sz w:val="32"/>
          <w:szCs w:val="32"/>
        </w:rPr>
        <w:t>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Style w:val="4"/>
        <w:numPr>
          <w:ilvl w:val="0"/>
          <w:numId w:val="2"/>
        </w:numPr>
        <w:bidi w:val="0"/>
        <w:rPr>
          <w:rFonts w:hint="eastAsia"/>
        </w:rPr>
      </w:pPr>
      <w:bookmarkStart w:id="39" w:name="_Toc15377221"/>
      <w:bookmarkStart w:id="40" w:name="_Toc15396612"/>
      <w:bookmarkStart w:id="41" w:name="_Toc10385"/>
      <w:r>
        <w:rPr>
          <w:rFonts w:hint="eastAsia"/>
        </w:rPr>
        <w:t>其他重要事项的情况说明</w:t>
      </w:r>
      <w:bookmarkEnd w:id="39"/>
      <w:bookmarkEnd w:id="40"/>
      <w:bookmarkEnd w:id="41"/>
    </w:p>
    <w:p>
      <w:pPr>
        <w:spacing w:line="600" w:lineRule="exact"/>
        <w:ind w:firstLine="642" w:firstLineChars="200"/>
        <w:outlineLvl w:val="2"/>
        <w:rPr>
          <w:rFonts w:ascii="仿宋" w:hAnsi="仿宋" w:eastAsia="仿宋"/>
          <w:color w:val="000000"/>
          <w:sz w:val="32"/>
          <w:szCs w:val="32"/>
        </w:rPr>
      </w:pPr>
      <w:bookmarkStart w:id="42" w:name="_Toc15377222"/>
      <w:r>
        <w:rPr>
          <w:rFonts w:hint="eastAsia" w:ascii="仿宋" w:hAnsi="仿宋" w:eastAsia="仿宋"/>
          <w:b/>
          <w:color w:val="000000"/>
          <w:sz w:val="32"/>
          <w:szCs w:val="32"/>
        </w:rPr>
        <w:t>（一）机关运行经费支出情况</w:t>
      </w:r>
      <w:bookmarkEnd w:id="42"/>
    </w:p>
    <w:p>
      <w:p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度</w:t>
      </w:r>
      <w:r>
        <w:rPr>
          <w:rFonts w:hint="eastAsia" w:ascii="仿宋_GB2312" w:eastAsia="仿宋_GB2312"/>
          <w:color w:val="000000"/>
          <w:sz w:val="32"/>
          <w:szCs w:val="32"/>
        </w:rPr>
        <w:t>，</w:t>
      </w:r>
      <w:r>
        <w:rPr>
          <w:rFonts w:hint="eastAsia" w:ascii="仿宋_GB2312" w:eastAsia="仿宋_GB2312"/>
          <w:color w:val="auto"/>
          <w:sz w:val="32"/>
          <w:szCs w:val="32"/>
          <w:highlight w:val="none"/>
        </w:rPr>
        <w:t>广元市人民政府驻北京联络处机关运行经费</w:t>
      </w:r>
      <w:r>
        <w:rPr>
          <w:rFonts w:hint="eastAsia" w:ascii="仿宋_GB2312" w:eastAsia="仿宋_GB2312"/>
          <w:color w:val="000000"/>
          <w:sz w:val="32"/>
          <w:szCs w:val="32"/>
        </w:rPr>
        <w:t>支出</w:t>
      </w:r>
      <w:r>
        <w:rPr>
          <w:rFonts w:hint="eastAsia" w:ascii="仿宋_GB2312" w:eastAsia="仿宋_GB2312"/>
          <w:color w:val="000000"/>
          <w:sz w:val="32"/>
          <w:szCs w:val="32"/>
          <w:lang w:val="en-US" w:eastAsia="zh-CN"/>
        </w:rPr>
        <w:t>8.95</w:t>
      </w:r>
      <w:r>
        <w:rPr>
          <w:rFonts w:hint="eastAsia" w:ascii="仿宋_GB2312" w:eastAsia="仿宋_GB2312"/>
          <w:color w:val="000000"/>
          <w:sz w:val="32"/>
          <w:szCs w:val="32"/>
        </w:rPr>
        <w:t>万元，比</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度</w:t>
      </w:r>
      <w:r>
        <w:rPr>
          <w:rFonts w:hint="eastAsia" w:ascii="仿宋_GB2312" w:eastAsia="仿宋_GB2312"/>
          <w:color w:val="000000"/>
          <w:sz w:val="32"/>
          <w:szCs w:val="32"/>
        </w:rPr>
        <w:t>增加</w:t>
      </w:r>
      <w:r>
        <w:rPr>
          <w:rFonts w:hint="eastAsia" w:ascii="仿宋_GB2312" w:eastAsia="仿宋_GB2312"/>
          <w:color w:val="000000"/>
          <w:sz w:val="32"/>
          <w:szCs w:val="32"/>
          <w:lang w:val="en-US" w:eastAsia="zh-CN"/>
        </w:rPr>
        <w:t>2.63</w:t>
      </w:r>
      <w:r>
        <w:rPr>
          <w:rFonts w:hint="eastAsia" w:ascii="仿宋_GB2312" w:eastAsia="仿宋_GB2312"/>
          <w:color w:val="000000"/>
          <w:sz w:val="32"/>
          <w:szCs w:val="32"/>
        </w:rPr>
        <w:t>万元，增长</w:t>
      </w:r>
      <w:r>
        <w:rPr>
          <w:rFonts w:hint="eastAsia" w:ascii="仿宋_GB2312" w:eastAsia="仿宋_GB2312"/>
          <w:color w:val="000000"/>
          <w:sz w:val="32"/>
          <w:szCs w:val="32"/>
          <w:lang w:val="en-US" w:eastAsia="zh-CN"/>
        </w:rPr>
        <w:t>41.61</w:t>
      </w:r>
      <w:r>
        <w:rPr>
          <w:rFonts w:ascii="仿宋_GB2312" w:eastAsia="仿宋_GB2312"/>
          <w:color w:val="000000"/>
          <w:sz w:val="32"/>
          <w:szCs w:val="32"/>
        </w:rPr>
        <w:t>%</w:t>
      </w:r>
      <w:r>
        <w:rPr>
          <w:rFonts w:hint="eastAsia" w:ascii="仿宋_GB2312" w:eastAsia="仿宋_GB2312"/>
          <w:color w:val="000000"/>
          <w:sz w:val="32"/>
          <w:szCs w:val="32"/>
        </w:rPr>
        <w:t>。主要原因是</w:t>
      </w:r>
      <w:r>
        <w:rPr>
          <w:rFonts w:hint="eastAsia" w:ascii="仿宋_GB2312" w:eastAsia="仿宋_GB2312"/>
          <w:color w:val="000000"/>
          <w:sz w:val="32"/>
          <w:szCs w:val="32"/>
          <w:lang w:val="en-US" w:eastAsia="zh-CN"/>
        </w:rPr>
        <w:t>人员增加，相应经费增加</w:t>
      </w:r>
      <w:r>
        <w:rPr>
          <w:rFonts w:hint="eastAsia" w:ascii="仿宋_GB2312" w:eastAsia="仿宋_GB2312"/>
          <w:color w:val="000000"/>
          <w:sz w:val="32"/>
          <w:szCs w:val="32"/>
          <w:lang w:eastAsia="zh-CN"/>
        </w:rPr>
        <w:t>。</w:t>
      </w:r>
    </w:p>
    <w:p>
      <w:pPr>
        <w:autoSpaceDE w:val="0"/>
        <w:autoSpaceDN w:val="0"/>
        <w:spacing w:line="600" w:lineRule="exact"/>
        <w:ind w:firstLine="642" w:firstLineChars="200"/>
        <w:jc w:val="left"/>
        <w:outlineLvl w:val="2"/>
        <w:rPr>
          <w:rFonts w:ascii="仿宋" w:hAnsi="仿宋" w:eastAsia="仿宋"/>
          <w:b/>
          <w:color w:val="000000"/>
          <w:sz w:val="32"/>
          <w:szCs w:val="32"/>
        </w:rPr>
      </w:pPr>
      <w:bookmarkStart w:id="43" w:name="_Toc15377223"/>
      <w:r>
        <w:rPr>
          <w:rFonts w:hint="eastAsia" w:ascii="仿宋" w:hAnsi="仿宋" w:eastAsia="仿宋"/>
          <w:b/>
          <w:color w:val="000000"/>
          <w:sz w:val="32"/>
          <w:szCs w:val="32"/>
        </w:rPr>
        <w:t>（二）政府采购支出情况</w:t>
      </w:r>
      <w:bookmarkEnd w:id="43"/>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度</w:t>
      </w:r>
      <w:r>
        <w:rPr>
          <w:rFonts w:hint="eastAsia" w:ascii="仿宋_GB2312" w:eastAsia="仿宋_GB2312"/>
          <w:color w:val="000000"/>
          <w:sz w:val="32"/>
          <w:szCs w:val="32"/>
        </w:rPr>
        <w:t>，</w:t>
      </w:r>
      <w:r>
        <w:rPr>
          <w:rFonts w:hint="eastAsia" w:ascii="仿宋_GB2312" w:eastAsia="仿宋_GB2312"/>
          <w:color w:val="auto"/>
          <w:sz w:val="32"/>
          <w:szCs w:val="32"/>
          <w:highlight w:val="none"/>
        </w:rPr>
        <w:t>广元市人民政府驻北京联络处政府采购支出</w:t>
      </w:r>
      <w:r>
        <w:rPr>
          <w:rFonts w:hint="eastAsia" w:ascii="仿宋_GB2312" w:eastAsia="仿宋_GB2312"/>
          <w:color w:val="000000"/>
          <w:sz w:val="32"/>
          <w:szCs w:val="32"/>
        </w:rPr>
        <w:t>总额</w:t>
      </w:r>
      <w:r>
        <w:rPr>
          <w:rFonts w:hint="eastAsia" w:ascii="仿宋_GB2312" w:eastAsia="仿宋_GB2312"/>
          <w:color w:val="000000"/>
          <w:sz w:val="32"/>
          <w:szCs w:val="32"/>
          <w:lang w:val="en-US" w:eastAsia="zh-CN"/>
        </w:rPr>
        <w:t>2.56</w:t>
      </w:r>
      <w:r>
        <w:rPr>
          <w:rFonts w:hint="eastAsia" w:ascii="仿宋_GB2312" w:eastAsia="仿宋_GB2312"/>
          <w:color w:val="000000"/>
          <w:sz w:val="32"/>
          <w:szCs w:val="32"/>
        </w:rPr>
        <w:t>万元，其中：政府采购货物支出</w:t>
      </w:r>
      <w:r>
        <w:rPr>
          <w:rFonts w:hint="eastAsia" w:ascii="仿宋_GB2312" w:eastAsia="仿宋_GB2312"/>
          <w:color w:val="000000"/>
          <w:sz w:val="32"/>
          <w:szCs w:val="32"/>
          <w:lang w:val="en-US" w:eastAsia="zh-CN"/>
        </w:rPr>
        <w:t>2.56</w:t>
      </w:r>
      <w:r>
        <w:rPr>
          <w:rFonts w:hint="eastAsia" w:ascii="仿宋_GB2312" w:eastAsia="仿宋_GB2312"/>
          <w:color w:val="000000"/>
          <w:sz w:val="32"/>
          <w:szCs w:val="32"/>
        </w:rPr>
        <w:t>万元。主要用于</w:t>
      </w:r>
      <w:r>
        <w:rPr>
          <w:rFonts w:hint="eastAsia" w:ascii="仿宋_GB2312" w:eastAsia="仿宋_GB2312"/>
          <w:color w:val="000000"/>
          <w:sz w:val="32"/>
          <w:szCs w:val="32"/>
          <w:lang w:val="en-US" w:eastAsia="zh-CN"/>
        </w:rPr>
        <w:t>购置办公电脑及打印机</w:t>
      </w:r>
      <w:r>
        <w:rPr>
          <w:rFonts w:hint="eastAsia" w:ascii="仿宋_GB2312" w:eastAsia="仿宋_GB2312"/>
          <w:color w:val="000000"/>
          <w:sz w:val="32"/>
          <w:szCs w:val="32"/>
        </w:rPr>
        <w:t>。授予中小企业合同金额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，其中：授予小微企业合同金额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autoSpaceDE w:val="0"/>
        <w:autoSpaceDN w:val="0"/>
        <w:spacing w:line="600" w:lineRule="exact"/>
        <w:ind w:firstLine="642" w:firstLineChars="200"/>
        <w:jc w:val="left"/>
        <w:outlineLvl w:val="2"/>
        <w:rPr>
          <w:rFonts w:ascii="仿宋" w:hAnsi="仿宋" w:eastAsia="仿宋"/>
          <w:b/>
          <w:color w:val="000000"/>
          <w:sz w:val="32"/>
          <w:szCs w:val="32"/>
        </w:rPr>
      </w:pPr>
      <w:bookmarkStart w:id="44" w:name="_Toc15377224"/>
      <w:r>
        <w:rPr>
          <w:rFonts w:hint="eastAsia" w:ascii="仿宋" w:hAnsi="仿宋" w:eastAsia="仿宋"/>
          <w:b/>
          <w:color w:val="000000"/>
          <w:sz w:val="32"/>
          <w:szCs w:val="32"/>
        </w:rPr>
        <w:t>（三）国有资产占有使用情况</w:t>
      </w:r>
      <w:bookmarkEnd w:id="44"/>
    </w:p>
    <w:p>
      <w:pPr>
        <w:autoSpaceDE w:val="0"/>
        <w:autoSpaceDN w:val="0"/>
        <w:spacing w:line="600" w:lineRule="exact"/>
        <w:ind w:firstLine="640" w:firstLineChars="200"/>
        <w:jc w:val="left"/>
        <w:rPr>
          <w:rFonts w:ascii="仿宋" w:hAnsi="仿宋" w:eastAsia="仿宋"/>
          <w:b/>
          <w:color w:val="000000"/>
          <w:sz w:val="32"/>
          <w:szCs w:val="32"/>
        </w:rPr>
      </w:pPr>
      <w:r>
        <w:rPr>
          <w:rFonts w:hint="eastAsia" w:ascii="仿宋_GB2312" w:eastAsia="仿宋_GB2312"/>
          <w:color w:val="000000"/>
          <w:sz w:val="32"/>
          <w:szCs w:val="32"/>
        </w:rPr>
        <w:t>截至</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auto"/>
          <w:sz w:val="32"/>
          <w:szCs w:val="32"/>
          <w:highlight w:val="none"/>
        </w:rPr>
        <w:t>广元市人民政府驻北京联络处共有车辆</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w:t>
      </w:r>
      <w:r>
        <w:rPr>
          <w:rFonts w:hint="eastAsia" w:ascii="仿宋_GB2312" w:eastAsia="仿宋_GB2312"/>
          <w:color w:val="000000"/>
          <w:sz w:val="32"/>
          <w:szCs w:val="32"/>
        </w:rPr>
        <w:t>，其中：其他用车</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辆</w:t>
      </w:r>
      <w:r>
        <w:rPr>
          <w:rFonts w:hint="eastAsia" w:ascii="仿宋_GB2312" w:eastAsia="仿宋_GB2312"/>
          <w:color w:val="000000"/>
          <w:sz w:val="32"/>
          <w:szCs w:val="32"/>
          <w:lang w:eastAsia="zh-CN"/>
        </w:rPr>
        <w:t>，</w:t>
      </w:r>
      <w:r>
        <w:rPr>
          <w:rFonts w:hint="eastAsia" w:ascii="仿宋_GB2312" w:eastAsia="仿宋_GB2312"/>
          <w:color w:val="000000"/>
          <w:sz w:val="32"/>
          <w:szCs w:val="32"/>
        </w:rPr>
        <w:t>其他用车主要是用于</w:t>
      </w:r>
      <w:r>
        <w:rPr>
          <w:rFonts w:hint="eastAsia" w:ascii="仿宋_GB2312" w:eastAsia="仿宋_GB2312"/>
          <w:color w:val="auto"/>
          <w:sz w:val="32"/>
          <w:szCs w:val="32"/>
          <w:highlight w:val="none"/>
        </w:rPr>
        <w:t>联络处信访维稳和协调招商引资工作</w:t>
      </w:r>
      <w:r>
        <w:rPr>
          <w:rFonts w:hint="eastAsia" w:ascii="仿宋_GB2312" w:eastAsia="仿宋_GB2312"/>
          <w:color w:val="000000"/>
          <w:sz w:val="32"/>
          <w:szCs w:val="32"/>
          <w:lang w:eastAsia="zh-CN"/>
        </w:rPr>
        <w:t>。</w:t>
      </w:r>
      <w:r>
        <w:rPr>
          <w:rFonts w:hint="eastAsia" w:ascii="仿宋_GB2312" w:eastAsia="仿宋_GB2312"/>
          <w:color w:val="000000"/>
          <w:sz w:val="32"/>
          <w:szCs w:val="32"/>
        </w:rPr>
        <w:t>单价</w:t>
      </w:r>
      <w:r>
        <w:rPr>
          <w:rFonts w:ascii="仿宋_GB2312" w:eastAsia="仿宋_GB2312"/>
          <w:color w:val="000000"/>
          <w:sz w:val="32"/>
          <w:szCs w:val="32"/>
        </w:rPr>
        <w:t>100</w:t>
      </w:r>
      <w:r>
        <w:rPr>
          <w:rFonts w:hint="eastAsia" w:ascii="仿宋_GB2312" w:eastAsia="仿宋_GB2312"/>
          <w:color w:val="000000"/>
          <w:sz w:val="32"/>
          <w:szCs w:val="32"/>
        </w:rPr>
        <w:t>万元以上设备</w:t>
      </w:r>
      <w:r>
        <w:rPr>
          <w:rFonts w:hint="eastAsia" w:ascii="仿宋_GB2312" w:eastAsia="仿宋_GB2312"/>
          <w:color w:val="000000"/>
          <w:sz w:val="32"/>
          <w:szCs w:val="32"/>
          <w:lang w:eastAsia="zh-CN"/>
        </w:rPr>
        <w:t>（不含车辆）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p>
    <w:p>
      <w:pPr>
        <w:autoSpaceDE w:val="0"/>
        <w:autoSpaceDN w:val="0"/>
        <w:spacing w:line="600" w:lineRule="exact"/>
        <w:ind w:firstLine="642" w:firstLineChars="200"/>
        <w:jc w:val="left"/>
        <w:outlineLvl w:val="2"/>
        <w:rPr>
          <w:rFonts w:hint="eastAsia" w:ascii="仿宋" w:hAnsi="仿宋" w:eastAsia="仿宋"/>
          <w:b/>
          <w:color w:val="000000"/>
          <w:sz w:val="32"/>
          <w:szCs w:val="32"/>
          <w:lang w:eastAsia="zh-CN"/>
        </w:rPr>
      </w:pPr>
      <w:r>
        <w:rPr>
          <w:rFonts w:hint="eastAsia" w:ascii="仿宋" w:hAnsi="仿宋" w:eastAsia="仿宋"/>
          <w:b/>
          <w:color w:val="000000"/>
          <w:sz w:val="32"/>
          <w:szCs w:val="32"/>
        </w:rPr>
        <w:t>（四）预算绩效管理情况</w:t>
      </w:r>
    </w:p>
    <w:p>
      <w:pPr>
        <w:spacing w:line="600" w:lineRule="exact"/>
        <w:ind w:firstLine="640" w:firstLineChars="200"/>
        <w:rPr>
          <w:rFonts w:hint="eastAsia" w:ascii="仿宋_GB2312" w:hAnsi="Times New Roman" w:eastAsia="仿宋_GB2312" w:cs="Times New Roman"/>
          <w:color w:val="000000"/>
          <w:sz w:val="32"/>
          <w:szCs w:val="32"/>
          <w:lang w:val="en-US" w:eastAsia="zh-CN"/>
        </w:rPr>
      </w:pPr>
      <w:r>
        <w:rPr>
          <w:rFonts w:hint="eastAsia" w:ascii="仿宋_GB2312" w:hAnsi="Times New Roman" w:eastAsia="仿宋_GB2312" w:cs="Times New Roman"/>
          <w:color w:val="000000"/>
          <w:sz w:val="32"/>
          <w:szCs w:val="32"/>
          <w:lang w:eastAsia="zh-CN"/>
        </w:rPr>
        <w:t>根据预算绩效管理要求，本单位在</w:t>
      </w:r>
      <w:r>
        <w:rPr>
          <w:rFonts w:hint="eastAsia" w:ascii="仿宋_GB2312" w:hAnsi="Times New Roman" w:eastAsia="仿宋_GB2312" w:cs="Times New Roman"/>
          <w:color w:val="000000"/>
          <w:sz w:val="32"/>
          <w:szCs w:val="32"/>
          <w:lang w:val="en-US" w:eastAsia="zh-CN"/>
        </w:rPr>
        <w:t>202</w:t>
      </w:r>
      <w:r>
        <w:rPr>
          <w:rFonts w:ascii="仿宋_GB2312" w:hAnsi="Times New Roman" w:eastAsia="仿宋_GB2312" w:cs="Times New Roman"/>
          <w:color w:val="000000"/>
          <w:sz w:val="32"/>
          <w:szCs w:val="32"/>
          <w:lang w:val="en" w:eastAsia="zh-CN"/>
        </w:rPr>
        <w:t>4</w:t>
      </w:r>
      <w:r>
        <w:rPr>
          <w:rFonts w:hint="eastAsia" w:ascii="仿宋_GB2312" w:hAnsi="Times New Roman" w:eastAsia="仿宋_GB2312" w:cs="Times New Roman"/>
          <w:color w:val="000000"/>
          <w:sz w:val="32"/>
          <w:szCs w:val="32"/>
          <w:lang w:val="en-US" w:eastAsia="zh-CN"/>
        </w:rPr>
        <w:t>年度</w:t>
      </w:r>
      <w:r>
        <w:rPr>
          <w:rFonts w:hint="eastAsia" w:ascii="仿宋_GB2312" w:hAnsi="Times New Roman" w:eastAsia="仿宋_GB2312" w:cs="Times New Roman"/>
          <w:color w:val="000000"/>
          <w:sz w:val="32"/>
          <w:szCs w:val="32"/>
          <w:lang w:eastAsia="zh-CN"/>
        </w:rPr>
        <w:t>预算编制阶段，组织</w:t>
      </w:r>
      <w:r>
        <w:rPr>
          <w:rFonts w:hint="eastAsia" w:ascii="仿宋_GB2312" w:hAnsi="Times New Roman" w:eastAsia="仿宋_GB2312" w:cs="Times New Roman"/>
          <w:color w:val="auto"/>
          <w:sz w:val="32"/>
          <w:szCs w:val="32"/>
          <w:highlight w:val="none"/>
          <w:lang w:eastAsia="zh-CN"/>
        </w:rPr>
        <w:t>对招商引资、流动党员活动、维稳、房屋租赁、驻外人员生活补助、职工房租补助经费项目等</w:t>
      </w:r>
      <w:r>
        <w:rPr>
          <w:rFonts w:hint="eastAsia" w:ascii="仿宋_GB2312" w:hAnsi="Times New Roman" w:eastAsia="仿宋_GB2312" w:cs="Times New Roman"/>
          <w:color w:val="000000"/>
          <w:sz w:val="32"/>
          <w:szCs w:val="32"/>
          <w:lang w:val="en-US" w:eastAsia="zh-CN"/>
        </w:rPr>
        <w:t>10个项目</w:t>
      </w:r>
      <w:r>
        <w:rPr>
          <w:rFonts w:hint="eastAsia" w:ascii="仿宋_GB2312" w:hAnsi="Times New Roman" w:eastAsia="仿宋_GB2312" w:cs="Times New Roman"/>
          <w:color w:val="000000"/>
          <w:sz w:val="32"/>
          <w:szCs w:val="32"/>
          <w:lang w:eastAsia="zh-CN"/>
        </w:rPr>
        <w:t>开展了预算事前绩效评估，对</w:t>
      </w:r>
      <w:r>
        <w:rPr>
          <w:rFonts w:hint="eastAsia" w:ascii="仿宋_GB2312" w:hAnsi="Times New Roman" w:eastAsia="仿宋_GB2312" w:cs="Times New Roman"/>
          <w:color w:val="000000"/>
          <w:sz w:val="32"/>
          <w:szCs w:val="32"/>
          <w:lang w:val="en-US" w:eastAsia="zh-CN"/>
        </w:rPr>
        <w:t>10</w:t>
      </w:r>
      <w:r>
        <w:rPr>
          <w:rFonts w:hint="eastAsia" w:ascii="仿宋_GB2312" w:hAnsi="Times New Roman" w:eastAsia="仿宋_GB2312" w:cs="Times New Roman"/>
          <w:color w:val="000000"/>
          <w:sz w:val="32"/>
          <w:szCs w:val="32"/>
          <w:lang w:eastAsia="zh-CN"/>
        </w:rPr>
        <w:t>个项目编制了绩效目标，预算执行过程中，选取</w:t>
      </w:r>
      <w:r>
        <w:rPr>
          <w:rFonts w:hint="eastAsia" w:ascii="仿宋_GB2312" w:hAnsi="Times New Roman" w:eastAsia="仿宋_GB2312" w:cs="Times New Roman"/>
          <w:color w:val="000000"/>
          <w:sz w:val="32"/>
          <w:szCs w:val="32"/>
          <w:lang w:val="en-US" w:eastAsia="zh-CN"/>
        </w:rPr>
        <w:t>10</w:t>
      </w:r>
      <w:r>
        <w:rPr>
          <w:rFonts w:hint="eastAsia" w:ascii="仿宋_GB2312" w:hAnsi="Times New Roman" w:eastAsia="仿宋_GB2312" w:cs="Times New Roman"/>
          <w:color w:val="000000"/>
          <w:sz w:val="32"/>
          <w:szCs w:val="32"/>
          <w:lang w:eastAsia="zh-CN"/>
        </w:rPr>
        <w:t>个项目开展绩效监控，组织对</w:t>
      </w:r>
      <w:r>
        <w:rPr>
          <w:rFonts w:hint="eastAsia" w:ascii="仿宋_GB2312" w:hAnsi="Times New Roman" w:eastAsia="仿宋_GB2312" w:cs="Times New Roman"/>
          <w:color w:val="000000"/>
          <w:sz w:val="32"/>
          <w:szCs w:val="32"/>
          <w:lang w:val="en-US" w:eastAsia="zh-CN"/>
        </w:rPr>
        <w:t>10个项目开展绩效自评，绩效自评表详见第四部分附件。</w:t>
      </w:r>
    </w:p>
    <w:p>
      <w:pPr>
        <w:spacing w:line="600" w:lineRule="exact"/>
        <w:ind w:firstLine="640" w:firstLineChars="200"/>
        <w:rPr>
          <w:rFonts w:hint="eastAsia" w:ascii="仿宋_GB2312" w:hAnsi="Times New Roman" w:eastAsia="仿宋_GB2312" w:cs="Times New Roman"/>
          <w:color w:val="000000"/>
          <w:sz w:val="32"/>
          <w:szCs w:val="32"/>
          <w:lang w:eastAsia="zh-CN"/>
        </w:rPr>
      </w:pPr>
      <w:r>
        <w:rPr>
          <w:rFonts w:hint="eastAsia" w:ascii="仿宋_GB2312" w:hAnsi="Times New Roman" w:eastAsia="仿宋_GB2312" w:cs="Times New Roman"/>
          <w:color w:val="000000"/>
          <w:sz w:val="32"/>
          <w:szCs w:val="32"/>
          <w:lang w:eastAsia="zh-CN"/>
        </w:rPr>
        <w:br w:type="page"/>
      </w:r>
    </w:p>
    <w:p>
      <w:pPr>
        <w:pStyle w:val="3"/>
        <w:bidi w:val="0"/>
      </w:pPr>
      <w:bookmarkStart w:id="45" w:name="_Toc15492"/>
      <w:r>
        <w:rPr>
          <w:rFonts w:hint="eastAsia"/>
          <w:lang w:eastAsia="zh-CN"/>
        </w:rPr>
        <w:t>第三部分</w:t>
      </w:r>
      <w:r>
        <w:rPr>
          <w:rFonts w:hint="eastAsia"/>
          <w:lang w:val="en-US" w:eastAsia="zh-CN"/>
        </w:rPr>
        <w:t xml:space="preserve">  </w:t>
      </w:r>
      <w:r>
        <w:rPr>
          <w:rFonts w:hint="eastAsia"/>
        </w:rPr>
        <w:t>名词解释</w:t>
      </w:r>
      <w:bookmarkEnd w:id="45"/>
    </w:p>
    <w:p>
      <w:pPr>
        <w:spacing w:line="600" w:lineRule="exact"/>
        <w:jc w:val="left"/>
        <w:rPr>
          <w:rFonts w:ascii="宋体"/>
          <w:b/>
          <w:color w:val="000000"/>
          <w:sz w:val="44"/>
          <w:szCs w:val="44"/>
        </w:rPr>
      </w:pPr>
    </w:p>
    <w:p>
      <w:pPr>
        <w:pStyle w:val="23"/>
        <w:shd w:val="clear" w:color="auto" w:fill="auto"/>
        <w:spacing w:line="560"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1.财政拨款收入：指单位从同级财政部门取得的财政预算资金。</w:t>
      </w:r>
    </w:p>
    <w:p>
      <w:pPr>
        <w:pStyle w:val="23"/>
        <w:shd w:val="clear" w:color="auto" w:fill="auto"/>
        <w:spacing w:line="560"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 xml:space="preserve">2.年初结转和结余：指以前年度尚未完成、结转到本年按有关规定继续使用的资金。 </w:t>
      </w:r>
    </w:p>
    <w:p>
      <w:pPr>
        <w:pStyle w:val="23"/>
        <w:shd w:val="clear" w:color="auto" w:fill="auto"/>
        <w:spacing w:line="560"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3.年末结转和结余：指单位按有关规定结转到下年或以后年度继续使用的资金。</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4.一般公共服务（类）政府办公厅（室）及相关机构事务（款）行政运行（项）：指为保障单位正常运行所发生的支出。</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5.一般公共服务（类）政府办公厅（室）及相关机构事务（款）一般行政管理事务（项）：指单位开展专项工作所发生的费用。</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6.社会保障和就业（类）行政事业单位养老支出（款）机关事业单位基本养老保险缴费支出（项）：指单位为职工缴纳的养老保险。</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7.卫生健康（类）行政事业单位医疗（款）行政单位医疗（项）：指单位为职工缴纳的医疗保险。</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cs="宋体"/>
          <w:color w:val="auto"/>
          <w:kern w:val="2"/>
          <w:sz w:val="28"/>
          <w:szCs w:val="24"/>
          <w:highlight w:val="none"/>
          <w:lang w:val="en-US" w:eastAsia="zh-CN" w:bidi="ar-SA"/>
        </w:rPr>
        <w:t>8</w:t>
      </w:r>
      <w:r>
        <w:rPr>
          <w:rFonts w:hint="eastAsia" w:ascii="宋体" w:hAnsi="宋体" w:eastAsia="宋体" w:cs="宋体"/>
          <w:color w:val="auto"/>
          <w:kern w:val="2"/>
          <w:sz w:val="28"/>
          <w:szCs w:val="24"/>
          <w:highlight w:val="none"/>
          <w:lang w:val="en-US" w:eastAsia="zh-CN" w:bidi="ar-SA"/>
        </w:rPr>
        <w:t>.住房保障（类）住房改革支出（款）住房公积金（项）：指单位为职工缴纳的住房公积金。</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cs="宋体"/>
          <w:color w:val="auto"/>
          <w:kern w:val="2"/>
          <w:sz w:val="28"/>
          <w:szCs w:val="24"/>
          <w:highlight w:val="none"/>
          <w:lang w:val="en-US" w:eastAsia="zh-CN" w:bidi="ar-SA"/>
        </w:rPr>
        <w:t>9</w:t>
      </w:r>
      <w:r>
        <w:rPr>
          <w:rFonts w:hint="eastAsia" w:ascii="宋体" w:hAnsi="宋体" w:eastAsia="宋体" w:cs="宋体"/>
          <w:color w:val="auto"/>
          <w:kern w:val="2"/>
          <w:sz w:val="28"/>
          <w:szCs w:val="24"/>
          <w:highlight w:val="none"/>
          <w:lang w:val="en-US" w:eastAsia="zh-CN" w:bidi="ar-SA"/>
        </w:rPr>
        <w:t>.基本支出：指为保障机构正常运转、完成日常工作任务而发生的人员支出和公用支出。</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1</w:t>
      </w:r>
      <w:r>
        <w:rPr>
          <w:rFonts w:hint="eastAsia" w:ascii="宋体" w:hAnsi="宋体" w:cs="宋体"/>
          <w:color w:val="auto"/>
          <w:kern w:val="2"/>
          <w:sz w:val="28"/>
          <w:szCs w:val="24"/>
          <w:highlight w:val="none"/>
          <w:lang w:val="en-US" w:eastAsia="zh-CN" w:bidi="ar-SA"/>
        </w:rPr>
        <w:t>0</w:t>
      </w:r>
      <w:r>
        <w:rPr>
          <w:rFonts w:hint="eastAsia" w:ascii="宋体" w:hAnsi="宋体" w:eastAsia="宋体" w:cs="宋体"/>
          <w:color w:val="auto"/>
          <w:kern w:val="2"/>
          <w:sz w:val="28"/>
          <w:szCs w:val="24"/>
          <w:highlight w:val="none"/>
          <w:lang w:val="en-US" w:eastAsia="zh-CN" w:bidi="ar-SA"/>
        </w:rPr>
        <w:t xml:space="preserve">.项目支出：指在基本支出之外为完成特定行政任务和事业发展目标所发生的支出。 </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1</w:t>
      </w:r>
      <w:r>
        <w:rPr>
          <w:rFonts w:hint="eastAsia" w:ascii="宋体" w:hAnsi="宋体" w:cs="宋体"/>
          <w:color w:val="auto"/>
          <w:kern w:val="2"/>
          <w:sz w:val="28"/>
          <w:szCs w:val="24"/>
          <w:highlight w:val="none"/>
          <w:lang w:val="en-US" w:eastAsia="zh-CN" w:bidi="ar-SA"/>
        </w:rPr>
        <w:t>1</w:t>
      </w:r>
      <w:r>
        <w:rPr>
          <w:rFonts w:hint="eastAsia" w:ascii="宋体" w:hAnsi="宋体" w:eastAsia="宋体" w:cs="宋体"/>
          <w:color w:val="auto"/>
          <w:kern w:val="2"/>
          <w:sz w:val="28"/>
          <w:szCs w:val="24"/>
          <w:highlight w:val="none"/>
          <w:lang w:val="en-US" w:eastAsia="zh-CN" w:bidi="ar-SA"/>
        </w:rPr>
        <w:t>.经营支出：指事业单位在专业业务活动及其辅助活动之外开展非独立核算经营活动发生的支出。</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pPr>
      <w:r>
        <w:rPr>
          <w:rFonts w:hint="eastAsia" w:ascii="宋体" w:hAnsi="宋体" w:eastAsia="宋体" w:cs="宋体"/>
          <w:color w:val="auto"/>
          <w:kern w:val="2"/>
          <w:sz w:val="28"/>
          <w:szCs w:val="24"/>
          <w:highlight w:val="none"/>
          <w:lang w:val="en-US" w:eastAsia="zh-CN" w:bidi="ar-SA"/>
        </w:rPr>
        <w:t>1</w:t>
      </w:r>
      <w:r>
        <w:rPr>
          <w:rFonts w:hint="eastAsia" w:ascii="宋体" w:hAnsi="宋体" w:cs="宋体"/>
          <w:color w:val="auto"/>
          <w:kern w:val="2"/>
          <w:sz w:val="28"/>
          <w:szCs w:val="24"/>
          <w:highlight w:val="none"/>
          <w:lang w:val="en-US" w:eastAsia="zh-CN" w:bidi="ar-SA"/>
        </w:rPr>
        <w:t>2</w:t>
      </w:r>
      <w:r>
        <w:rPr>
          <w:rFonts w:hint="eastAsia" w:ascii="宋体" w:hAnsi="宋体" w:eastAsia="宋体" w:cs="宋体"/>
          <w:color w:val="auto"/>
          <w:kern w:val="2"/>
          <w:sz w:val="28"/>
          <w:szCs w:val="24"/>
          <w:highlight w:val="none"/>
          <w:lang w:val="en-US" w:eastAsia="zh-CN" w:bidi="ar-SA"/>
        </w:rPr>
        <w:t>.“三公”经费：指部门用财政拨款安排的公务用车购置及运行费和公务接待费。公务用车购置及运行费反映单位公务用车车辆购置支出（含车辆购置税）及租用费、燃料费、维修费、过路过桥费、保险费等支出；公务接待费反映单位按规定开支的各类公务接待（含外宾接待）支出。</w:t>
      </w:r>
    </w:p>
    <w:p>
      <w:pPr>
        <w:shd w:val="clear" w:color="auto" w:fill="auto"/>
        <w:spacing w:line="576" w:lineRule="exact"/>
        <w:ind w:firstLine="560" w:firstLineChars="200"/>
        <w:rPr>
          <w:rFonts w:hint="eastAsia" w:ascii="宋体" w:hAnsi="宋体" w:eastAsia="宋体" w:cs="宋体"/>
          <w:color w:val="auto"/>
          <w:kern w:val="2"/>
          <w:sz w:val="28"/>
          <w:szCs w:val="24"/>
          <w:highlight w:val="none"/>
          <w:lang w:val="en-US" w:eastAsia="zh-CN" w:bidi="ar-SA"/>
        </w:rPr>
        <w:sectPr>
          <w:footerReference r:id="rId3" w:type="default"/>
          <w:pgSz w:w="11906" w:h="16838"/>
          <w:pgMar w:top="1440" w:right="1800" w:bottom="1440" w:left="1800" w:header="720" w:footer="720" w:gutter="0"/>
          <w:pgNumType w:fmt="decimal" w:start="1"/>
          <w:cols w:space="720" w:num="1"/>
          <w:docGrid w:type="lines" w:linePitch="312" w:charSpace="0"/>
        </w:sectPr>
      </w:pPr>
      <w:r>
        <w:rPr>
          <w:rFonts w:hint="eastAsia" w:ascii="宋体" w:hAnsi="宋体" w:eastAsia="宋体" w:cs="宋体"/>
          <w:color w:val="auto"/>
          <w:kern w:val="2"/>
          <w:sz w:val="28"/>
          <w:szCs w:val="24"/>
          <w:highlight w:val="none"/>
          <w:lang w:val="en-US" w:eastAsia="zh-CN" w:bidi="ar-SA"/>
        </w:rPr>
        <w:t>1</w:t>
      </w:r>
      <w:r>
        <w:rPr>
          <w:rFonts w:hint="eastAsia" w:ascii="宋体" w:hAnsi="宋体" w:cs="宋体"/>
          <w:color w:val="auto"/>
          <w:kern w:val="2"/>
          <w:sz w:val="28"/>
          <w:szCs w:val="24"/>
          <w:highlight w:val="none"/>
          <w:lang w:val="en-US" w:eastAsia="zh-CN" w:bidi="ar-SA"/>
        </w:rPr>
        <w:t>3</w:t>
      </w:r>
      <w:r>
        <w:rPr>
          <w:rFonts w:hint="eastAsia" w:ascii="宋体" w:hAnsi="宋体" w:eastAsia="宋体" w:cs="宋体"/>
          <w:color w:val="auto"/>
          <w:kern w:val="2"/>
          <w:sz w:val="28"/>
          <w:szCs w:val="24"/>
          <w:highlight w:val="none"/>
          <w:lang w:val="en-US" w:eastAsia="zh-CN" w:bidi="ar-SA"/>
        </w:rPr>
        <w:t>.机关运行经费：为保障行政单位（含参照公务员法管理的事业单位）运行用于购买货物和服务的各项资金，包括办公费、差旅费、福利费、办公用房水电费、办公用房取暖费、办公用房物业管理费以及其他费用。</w:t>
      </w:r>
    </w:p>
    <w:p>
      <w:pPr>
        <w:pStyle w:val="2"/>
        <w:rPr>
          <w:rFonts w:hint="eastAsia"/>
          <w:lang w:val="en-US" w:eastAsia="zh-CN"/>
        </w:rPr>
      </w:pPr>
    </w:p>
    <w:p>
      <w:pPr>
        <w:pStyle w:val="3"/>
        <w:bidi w:val="0"/>
      </w:pPr>
      <w:bookmarkStart w:id="46" w:name="_Toc27906"/>
      <w:r>
        <w:rPr>
          <w:rFonts w:hint="eastAsia"/>
        </w:rPr>
        <w:t>第四部分 附件</w:t>
      </w:r>
      <w:bookmarkEnd w:id="46"/>
    </w:p>
    <w:p>
      <w:pPr>
        <w:keepNext w:val="0"/>
        <w:keepLines w:val="0"/>
        <w:pageBreakBefore w:val="0"/>
        <w:kinsoku/>
        <w:wordWrap/>
        <w:overflowPunct/>
        <w:topLinePunct w:val="0"/>
        <w:autoSpaceDE/>
        <w:autoSpaceDN/>
        <w:bidi w:val="0"/>
        <w:spacing w:line="572" w:lineRule="exact"/>
        <w:jc w:val="left"/>
        <w:outlineLvl w:val="0"/>
        <w:rPr>
          <w:rFonts w:ascii="仿宋_GB2312" w:hAnsi="仿宋_GB2312" w:eastAsia="仿宋_GB2312" w:cs="仿宋_GB2312"/>
          <w:color w:val="000000"/>
          <w:sz w:val="32"/>
          <w:szCs w:val="32"/>
        </w:rPr>
      </w:pPr>
    </w:p>
    <w:p>
      <w:pPr>
        <w:spacing w:line="600" w:lineRule="exact"/>
        <w:jc w:val="center"/>
        <w:outlineLvl w:val="0"/>
        <w:rPr>
          <w:rFonts w:hint="eastAsia" w:ascii="黑体" w:hAnsi="黑体" w:eastAsia="黑体"/>
          <w:color w:val="FF0000"/>
          <w:sz w:val="44"/>
          <w:szCs w:val="44"/>
        </w:rPr>
      </w:pPr>
      <w:bookmarkStart w:id="47" w:name="_Toc10231"/>
      <w:r>
        <w:rPr>
          <w:rFonts w:hint="eastAsia" w:hAnsi="Times New Roman" w:cs="Times New Roman"/>
          <w:sz w:val="32"/>
          <w:szCs w:val="32"/>
          <w:lang w:val="en-US" w:eastAsia="zh-CN"/>
        </w:rPr>
        <w:t>部门预算项目支出绩效自评表（202</w:t>
      </w:r>
      <w:r>
        <w:rPr>
          <w:rFonts w:cs="Times New Roman"/>
          <w:sz w:val="32"/>
          <w:szCs w:val="32"/>
          <w:lang w:val="en" w:eastAsia="zh-CN"/>
        </w:rPr>
        <w:t>4</w:t>
      </w:r>
      <w:r>
        <w:rPr>
          <w:rFonts w:hint="eastAsia" w:hAnsi="Times New Roman" w:cs="Times New Roman"/>
          <w:sz w:val="32"/>
          <w:szCs w:val="32"/>
          <w:lang w:val="en-US" w:eastAsia="zh-CN"/>
        </w:rPr>
        <w:t>年度）</w:t>
      </w:r>
      <w:bookmarkEnd w:id="47"/>
    </w:p>
    <w:p>
      <w:pPr>
        <w:pStyle w:val="7"/>
        <w:rPr>
          <w:rFonts w:hint="eastAsia" w:ascii="仿宋_GB2312" w:hAnsi="Calibri" w:eastAsia="仿宋_GB2312" w:cs="仿宋"/>
          <w:color w:val="000000"/>
          <w:kern w:val="0"/>
          <w:sz w:val="32"/>
          <w:szCs w:val="32"/>
          <w:lang w:val="en-US" w:eastAsia="zh-CN" w:bidi="ar-SA"/>
        </w:rPr>
      </w:pPr>
    </w:p>
    <w:tbl>
      <w:tblPr>
        <w:tblStyle w:val="17"/>
        <w:tblW w:w="14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2044"/>
        <w:gridCol w:w="1770"/>
        <w:gridCol w:w="2259"/>
        <w:gridCol w:w="520"/>
        <w:gridCol w:w="1673"/>
        <w:gridCol w:w="520"/>
        <w:gridCol w:w="1090"/>
        <w:gridCol w:w="505"/>
        <w:gridCol w:w="487"/>
        <w:gridCol w:w="2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bookmarkStart w:id="62" w:name="_GoBack"/>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宋体" w:cs="黑体"/>
                <w:i w:val="0"/>
                <w:iCs w:val="0"/>
                <w:color w:val="000000"/>
                <w:sz w:val="18"/>
                <w:szCs w:val="18"/>
                <w:u w:val="none"/>
                <w:lang w:eastAsia="zh-CN"/>
              </w:rPr>
            </w:pPr>
            <w:r>
              <w:rPr>
                <w:rFonts w:ascii="宋体" w:hAnsi="宋体" w:cs="宋体"/>
                <w:color w:val="000000"/>
                <w:kern w:val="0"/>
                <w:sz w:val="18"/>
                <w:szCs w:val="18"/>
                <w:highlight w:val="none"/>
                <w:lang w:bidi="ar"/>
              </w:rPr>
              <w:t>工资及时、足额发放</w:t>
            </w:r>
            <w:r>
              <w:rPr>
                <w:rFonts w:hint="eastAsia" w:ascii="宋体" w:hAnsi="宋体" w:cs="宋体"/>
                <w:color w:val="000000"/>
                <w:kern w:val="0"/>
                <w:sz w:val="18"/>
                <w:szCs w:val="18"/>
                <w:highlight w:val="none"/>
                <w:lang w:eastAsia="zh-CN" w:bidi="ar"/>
              </w:rPr>
              <w:t>；</w:t>
            </w:r>
            <w:r>
              <w:rPr>
                <w:rFonts w:ascii="宋体" w:hAnsi="宋体" w:cs="宋体"/>
                <w:color w:val="000000"/>
                <w:kern w:val="0"/>
                <w:sz w:val="18"/>
                <w:szCs w:val="18"/>
                <w:highlight w:val="none"/>
                <w:lang w:bidi="ar"/>
              </w:rPr>
              <w:t>社保</w:t>
            </w:r>
            <w:r>
              <w:rPr>
                <w:rFonts w:hint="eastAsia" w:ascii="宋体" w:hAnsi="宋体" w:cs="宋体"/>
                <w:color w:val="000000"/>
                <w:kern w:val="0"/>
                <w:sz w:val="18"/>
                <w:szCs w:val="18"/>
                <w:highlight w:val="none"/>
                <w:lang w:val="en-US" w:eastAsia="zh-CN" w:bidi="ar"/>
              </w:rPr>
              <w:t>等</w:t>
            </w:r>
            <w:r>
              <w:rPr>
                <w:rFonts w:ascii="宋体" w:hAnsi="宋体" w:cs="宋体"/>
                <w:color w:val="000000"/>
                <w:kern w:val="0"/>
                <w:sz w:val="18"/>
                <w:szCs w:val="18"/>
                <w:highlight w:val="none"/>
                <w:lang w:bidi="ar"/>
              </w:rPr>
              <w:t>及时、足额缴纳</w:t>
            </w:r>
            <w:r>
              <w:rPr>
                <w:rFonts w:hint="eastAsia" w:ascii="宋体" w:hAnsi="宋体" w:cs="宋体"/>
                <w:color w:val="000000"/>
                <w:kern w:val="0"/>
                <w:sz w:val="18"/>
                <w:szCs w:val="18"/>
                <w:highlight w:val="none"/>
                <w:lang w:eastAsia="zh-CN" w:bidi="ar"/>
              </w:rPr>
              <w:t>。</w:t>
            </w:r>
          </w:p>
        </w:tc>
      </w:tr>
      <w:bookmarkEnd w:id="62"/>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highlight w:val="none"/>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18"/>
                <w:szCs w:val="18"/>
                <w:highlight w:val="none"/>
                <w:u w:val="none"/>
                <w:lang w:val="en-US" w:eastAsia="zh-CN" w:bidi="ar"/>
              </w:rPr>
              <w:t>严格执行相关政策，保障工资、绩效等及时发放、足额发放；高质量规范运用招商引资、信访维稳等工作费用，确保各项工作高效规范开展，推动了广元经济和社会又好又快发展。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17.26</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17.26</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17.26</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17.26</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highlight w:val="none"/>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宋体" w:hAnsi="宋体" w:eastAsia="宋体" w:cs="宋体"/>
                <w:kern w:val="0"/>
                <w:sz w:val="18"/>
                <w:szCs w:val="18"/>
                <w:highlight w:val="none"/>
                <w:lang w:val="zh-CN" w:bidi="ar"/>
              </w:rPr>
              <w:t>严格执行财政相关政策，保障工资及时、足额发放，预算编制科学合理，基</w:t>
            </w:r>
            <w:r>
              <w:rPr>
                <w:rFonts w:ascii="宋体" w:hAnsi="宋体" w:eastAsia="宋体" w:cs="宋体"/>
                <w:kern w:val="0"/>
                <w:sz w:val="18"/>
                <w:szCs w:val="18"/>
                <w:highlight w:val="none"/>
                <w:lang w:val="zh-CN" w:bidi="ar"/>
              </w:rPr>
              <w:t>本没有</w:t>
            </w:r>
            <w:r>
              <w:rPr>
                <w:rFonts w:hint="eastAsia" w:ascii="宋体" w:hAnsi="宋体" w:eastAsia="宋体" w:cs="宋体"/>
                <w:kern w:val="0"/>
                <w:sz w:val="18"/>
                <w:szCs w:val="18"/>
                <w:highlight w:val="none"/>
                <w:lang w:val="zh-CN" w:bidi="ar"/>
              </w:rPr>
              <w:t>结余资金；立足驻</w:t>
            </w:r>
            <w:r>
              <w:rPr>
                <w:rFonts w:ascii="宋体" w:hAnsi="宋体" w:eastAsia="宋体" w:cs="宋体"/>
                <w:kern w:val="0"/>
                <w:sz w:val="18"/>
                <w:szCs w:val="18"/>
                <w:highlight w:val="none"/>
                <w:lang w:val="zh-CN" w:bidi="ar"/>
              </w:rPr>
              <w:t>京联络处的</w:t>
            </w:r>
            <w:r>
              <w:rPr>
                <w:rFonts w:hint="eastAsia" w:ascii="宋体" w:hAnsi="宋体" w:eastAsia="宋体" w:cs="宋体"/>
                <w:kern w:val="0"/>
                <w:sz w:val="18"/>
                <w:szCs w:val="18"/>
                <w:highlight w:val="none"/>
                <w:lang w:val="zh-CN" w:bidi="ar"/>
              </w:rPr>
              <w:t>工作职能</w:t>
            </w:r>
            <w:r>
              <w:rPr>
                <w:rFonts w:ascii="宋体" w:hAnsi="宋体" w:eastAsia="宋体" w:cs="宋体"/>
                <w:kern w:val="0"/>
                <w:sz w:val="18"/>
                <w:szCs w:val="18"/>
                <w:highlight w:val="none"/>
                <w:lang w:val="zh-CN" w:bidi="ar"/>
              </w:rPr>
              <w:t>职</w:t>
            </w:r>
            <w:r>
              <w:rPr>
                <w:rFonts w:hint="eastAsia" w:ascii="宋体" w:hAnsi="宋体" w:eastAsia="宋体" w:cs="宋体"/>
                <w:kern w:val="0"/>
                <w:sz w:val="18"/>
                <w:szCs w:val="18"/>
                <w:highlight w:val="none"/>
                <w:lang w:val="zh-CN" w:bidi="ar"/>
              </w:rPr>
              <w:t>责，加强与中央、国家部委的对接和联络，</w:t>
            </w:r>
            <w:r>
              <w:rPr>
                <w:rFonts w:hint="eastAsia" w:ascii="宋体" w:hAnsi="宋体" w:eastAsia="宋体" w:cs="宋体"/>
                <w:kern w:val="0"/>
                <w:sz w:val="18"/>
                <w:szCs w:val="18"/>
                <w:highlight w:val="none"/>
                <w:lang w:val="en-US" w:eastAsia="zh-CN" w:bidi="ar"/>
              </w:rPr>
              <w:t>为广元2024年食品饮料发展产业大会、绿色铝产业发展大会、物流产业发展大会、文化和旅游发展大会暨国际旅行商大会、能源安全保障基地建设大会等会议顺利召开做出了重要贡献</w:t>
            </w:r>
            <w:r>
              <w:rPr>
                <w:rFonts w:ascii="宋体" w:hAnsi="宋体" w:cs="宋体"/>
                <w:kern w:val="0"/>
                <w:sz w:val="18"/>
                <w:szCs w:val="18"/>
                <w:highlight w:val="none"/>
                <w:lang w:val="zh-CN" w:bidi="ar"/>
              </w:rPr>
              <w:t>；</w:t>
            </w:r>
            <w:r>
              <w:rPr>
                <w:rFonts w:hint="eastAsia" w:ascii="宋体" w:hAnsi="宋体" w:cs="宋体"/>
                <w:kern w:val="0"/>
                <w:sz w:val="18"/>
                <w:szCs w:val="18"/>
                <w:highlight w:val="none"/>
                <w:lang w:val="en-US" w:eastAsia="zh-CN" w:bidi="ar"/>
              </w:rPr>
              <w:t>全力以赴做好</w:t>
            </w:r>
            <w:r>
              <w:rPr>
                <w:rFonts w:hint="eastAsia" w:ascii="宋体" w:hAnsi="宋体" w:cs="宋体"/>
                <w:kern w:val="0"/>
                <w:sz w:val="18"/>
                <w:szCs w:val="18"/>
                <w:highlight w:val="none"/>
                <w:lang w:val="zh-CN" w:bidi="ar"/>
              </w:rPr>
              <w:t>招商引资</w:t>
            </w:r>
            <w:r>
              <w:rPr>
                <w:rFonts w:hint="eastAsia" w:ascii="宋体" w:hAnsi="宋体" w:cs="宋体"/>
                <w:kern w:val="0"/>
                <w:sz w:val="18"/>
                <w:szCs w:val="18"/>
                <w:highlight w:val="none"/>
                <w:lang w:val="en-US" w:eastAsia="zh-CN" w:bidi="ar"/>
              </w:rPr>
              <w:t>工作</w:t>
            </w:r>
            <w:r>
              <w:rPr>
                <w:rFonts w:hint="eastAsia" w:ascii="宋体" w:hAnsi="宋体" w:cs="宋体"/>
                <w:kern w:val="0"/>
                <w:sz w:val="18"/>
                <w:szCs w:val="18"/>
                <w:highlight w:val="none"/>
                <w:lang w:val="zh-CN" w:bidi="ar"/>
              </w:rPr>
              <w:t>，</w:t>
            </w:r>
            <w:r>
              <w:rPr>
                <w:rFonts w:hint="eastAsia" w:ascii="宋体" w:hAnsi="宋体" w:eastAsia="宋体" w:cs="宋体"/>
                <w:kern w:val="0"/>
                <w:sz w:val="18"/>
                <w:szCs w:val="18"/>
                <w:highlight w:val="none"/>
                <w:lang w:val="en-US" w:eastAsia="zh-CN" w:bidi="ar"/>
              </w:rPr>
              <w:t>全年共深入研判125家重点企业背景资料，累计拜访重点企业73次，邀请16家优质企业赴广考察，持续跟踪11家重点企业，提供市委主要领导直接招引项目6个，推动签约项目3个，实现签约总额20多亿元。</w:t>
            </w:r>
            <w:r>
              <w:rPr>
                <w:rFonts w:ascii="宋体" w:hAnsi="宋体" w:cs="宋体"/>
                <w:kern w:val="0"/>
                <w:sz w:val="18"/>
                <w:szCs w:val="18"/>
                <w:highlight w:val="none"/>
                <w:lang w:val="zh-CN" w:bidi="ar"/>
              </w:rPr>
              <w:t>加强信访维稳工作，</w:t>
            </w:r>
            <w:r>
              <w:rPr>
                <w:rFonts w:hint="eastAsia" w:ascii="宋体" w:hAnsi="宋体" w:cs="宋体"/>
                <w:kern w:val="0"/>
                <w:sz w:val="18"/>
                <w:szCs w:val="18"/>
                <w:highlight w:val="none"/>
                <w:lang w:val="zh-CN" w:bidi="ar"/>
              </w:rPr>
              <w:t>实现</w:t>
            </w:r>
            <w:r>
              <w:rPr>
                <w:rFonts w:ascii="宋体" w:hAnsi="宋体" w:cs="宋体"/>
                <w:kern w:val="0"/>
                <w:sz w:val="18"/>
                <w:szCs w:val="18"/>
                <w:highlight w:val="none"/>
                <w:lang w:val="zh-CN" w:bidi="ar"/>
              </w:rPr>
              <w:t>了“三个不发生”；</w:t>
            </w:r>
            <w:r>
              <w:rPr>
                <w:rFonts w:hint="eastAsia" w:ascii="宋体" w:hAnsi="宋体" w:cs="宋体"/>
                <w:kern w:val="0"/>
                <w:sz w:val="18"/>
                <w:szCs w:val="18"/>
                <w:highlight w:val="none"/>
                <w:lang w:val="zh-CN" w:bidi="ar"/>
              </w:rPr>
              <w:t>加强对广元名片、“广元造”等宣传，讲好</w:t>
            </w:r>
            <w:r>
              <w:rPr>
                <w:rFonts w:ascii="宋体" w:hAnsi="宋体" w:cs="宋体"/>
                <w:kern w:val="0"/>
                <w:sz w:val="18"/>
                <w:szCs w:val="18"/>
                <w:highlight w:val="none"/>
                <w:lang w:val="zh-CN" w:bidi="ar"/>
              </w:rPr>
              <w:t>广元故事，传递广元声音，</w:t>
            </w:r>
            <w:r>
              <w:rPr>
                <w:rFonts w:hint="eastAsia" w:ascii="宋体" w:hAnsi="宋体" w:cs="宋体"/>
                <w:kern w:val="0"/>
                <w:sz w:val="18"/>
                <w:szCs w:val="18"/>
                <w:highlight w:val="none"/>
                <w:lang w:val="zh-CN" w:bidi="ar"/>
              </w:rPr>
              <w:t>不断提高了广元的美誉度。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宋体" w:hAnsi="宋体" w:eastAsia="宋体" w:cs="宋体"/>
                <w:kern w:val="0"/>
                <w:sz w:val="18"/>
                <w:szCs w:val="18"/>
                <w:highlight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highlight w:val="none"/>
                <w:u w:val="none"/>
              </w:rPr>
            </w:pPr>
            <w:r>
              <w:rPr>
                <w:rFonts w:ascii="宋体" w:hAnsi="宋体" w:eastAsia="宋体" w:cs="宋体"/>
                <w:i w:val="0"/>
                <w:iCs w:val="0"/>
                <w:color w:val="000000"/>
                <w:kern w:val="0"/>
                <w:sz w:val="18"/>
                <w:szCs w:val="18"/>
                <w:highlight w:val="none"/>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highlight w:val="none"/>
                <w:u w:val="none"/>
              </w:rPr>
            </w:pPr>
            <w:r>
              <w:rPr>
                <w:rFonts w:hint="eastAsia" w:ascii="宋体" w:hAnsi="宋体" w:cs="宋体"/>
                <w:kern w:val="0"/>
                <w:sz w:val="18"/>
                <w:szCs w:val="18"/>
                <w:highlight w:val="none"/>
                <w:lang w:val="zh-CN" w:bidi="ar"/>
              </w:rPr>
              <w:t>今后的工作中，将更加严格执行相关规定和财</w:t>
            </w:r>
            <w:r>
              <w:rPr>
                <w:rFonts w:hint="eastAsia" w:ascii="宋体" w:hAnsi="宋体" w:cs="宋体"/>
                <w:kern w:val="0"/>
                <w:sz w:val="18"/>
                <w:szCs w:val="18"/>
                <w:highlight w:val="none"/>
                <w:lang w:val="en-US" w:eastAsia="zh-CN" w:bidi="ar"/>
              </w:rPr>
              <w:t>经</w:t>
            </w:r>
            <w:r>
              <w:rPr>
                <w:rFonts w:ascii="宋体" w:hAnsi="宋体" w:cs="宋体"/>
                <w:kern w:val="0"/>
                <w:sz w:val="18"/>
                <w:szCs w:val="18"/>
                <w:highlight w:val="none"/>
                <w:lang w:val="zh-CN" w:bidi="ar"/>
              </w:rPr>
              <w:t>纪律</w:t>
            </w:r>
            <w:r>
              <w:rPr>
                <w:rFonts w:hint="eastAsia" w:ascii="宋体" w:hAnsi="宋体" w:cs="宋体"/>
                <w:kern w:val="0"/>
                <w:sz w:val="18"/>
                <w:szCs w:val="18"/>
                <w:highlight w:val="none"/>
                <w:lang w:val="zh-CN" w:bidi="ar"/>
              </w:rPr>
              <w:t>。同时，充分发挥项目优势，推动各项工作顺利运行，确保能够发挥好更大的经济和社会效益，推动广元经济、社会又好又快的发展。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51080021T000000081334-招商引资、流动党员活动、维稳、房屋租赁、驻外人员生活补助、职工房租补助经费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招商引资、对外联络、宣传广元、扩大广元知名度</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kern w:val="0"/>
                <w:sz w:val="18"/>
                <w:szCs w:val="18"/>
                <w:highlight w:val="none"/>
                <w:lang w:val="zh-CN" w:bidi="ar"/>
              </w:rPr>
              <w:t>立足驻</w:t>
            </w:r>
            <w:r>
              <w:rPr>
                <w:rFonts w:ascii="宋体" w:hAnsi="宋体" w:eastAsia="宋体" w:cs="宋体"/>
                <w:kern w:val="0"/>
                <w:sz w:val="18"/>
                <w:szCs w:val="18"/>
                <w:highlight w:val="none"/>
                <w:lang w:val="zh-CN" w:bidi="ar"/>
              </w:rPr>
              <w:t>京联络处的</w:t>
            </w:r>
            <w:r>
              <w:rPr>
                <w:rFonts w:hint="eastAsia" w:ascii="宋体" w:hAnsi="宋体" w:eastAsia="宋体" w:cs="宋体"/>
                <w:kern w:val="0"/>
                <w:sz w:val="18"/>
                <w:szCs w:val="18"/>
                <w:highlight w:val="none"/>
                <w:lang w:val="zh-CN" w:bidi="ar"/>
              </w:rPr>
              <w:t>工作职能</w:t>
            </w:r>
            <w:r>
              <w:rPr>
                <w:rFonts w:ascii="宋体" w:hAnsi="宋体" w:eastAsia="宋体" w:cs="宋体"/>
                <w:kern w:val="0"/>
                <w:sz w:val="18"/>
                <w:szCs w:val="18"/>
                <w:highlight w:val="none"/>
                <w:lang w:val="zh-CN" w:bidi="ar"/>
              </w:rPr>
              <w:t>职</w:t>
            </w:r>
            <w:r>
              <w:rPr>
                <w:rFonts w:hint="eastAsia" w:ascii="宋体" w:hAnsi="宋体" w:eastAsia="宋体" w:cs="宋体"/>
                <w:kern w:val="0"/>
                <w:sz w:val="18"/>
                <w:szCs w:val="18"/>
                <w:highlight w:val="none"/>
                <w:lang w:val="zh-CN" w:bidi="ar"/>
              </w:rPr>
              <w:t>责，加强与中央、国家部委的对接和联络，</w:t>
            </w:r>
            <w:r>
              <w:rPr>
                <w:rFonts w:hint="eastAsia" w:ascii="宋体" w:hAnsi="宋体" w:eastAsia="宋体" w:cs="宋体"/>
                <w:kern w:val="0"/>
                <w:sz w:val="18"/>
                <w:szCs w:val="18"/>
                <w:highlight w:val="none"/>
                <w:lang w:val="en-US" w:eastAsia="zh-CN" w:bidi="ar"/>
              </w:rPr>
              <w:t>为广元2024年食品饮料发展产业大会、绿色铝产业发展大会、物流产业发展大会、文化和旅游发展大会暨国际旅行商大会、能源安全保障基地建设大会等会议顺利召开做出了重要贡献</w:t>
            </w:r>
            <w:r>
              <w:rPr>
                <w:rFonts w:ascii="宋体" w:hAnsi="宋体" w:cs="宋体"/>
                <w:kern w:val="0"/>
                <w:sz w:val="18"/>
                <w:szCs w:val="18"/>
                <w:highlight w:val="none"/>
                <w:lang w:val="zh-CN" w:bidi="ar"/>
              </w:rPr>
              <w:t>；</w:t>
            </w:r>
            <w:r>
              <w:rPr>
                <w:rFonts w:hint="eastAsia" w:ascii="宋体" w:hAnsi="宋体" w:cs="宋体"/>
                <w:kern w:val="0"/>
                <w:sz w:val="18"/>
                <w:szCs w:val="18"/>
                <w:highlight w:val="none"/>
                <w:lang w:val="en-US" w:eastAsia="zh-CN" w:bidi="ar"/>
              </w:rPr>
              <w:t>全力以赴做好</w:t>
            </w:r>
            <w:r>
              <w:rPr>
                <w:rFonts w:hint="eastAsia" w:ascii="宋体" w:hAnsi="宋体" w:cs="宋体"/>
                <w:kern w:val="0"/>
                <w:sz w:val="18"/>
                <w:szCs w:val="18"/>
                <w:highlight w:val="none"/>
                <w:lang w:val="zh-CN" w:bidi="ar"/>
              </w:rPr>
              <w:t>招商引资</w:t>
            </w:r>
            <w:r>
              <w:rPr>
                <w:rFonts w:hint="eastAsia" w:ascii="宋体" w:hAnsi="宋体" w:cs="宋体"/>
                <w:kern w:val="0"/>
                <w:sz w:val="18"/>
                <w:szCs w:val="18"/>
                <w:highlight w:val="none"/>
                <w:lang w:val="en-US" w:eastAsia="zh-CN" w:bidi="ar"/>
              </w:rPr>
              <w:t>工作</w:t>
            </w:r>
            <w:r>
              <w:rPr>
                <w:rFonts w:hint="eastAsia" w:ascii="宋体" w:hAnsi="宋体" w:cs="宋体"/>
                <w:kern w:val="0"/>
                <w:sz w:val="18"/>
                <w:szCs w:val="18"/>
                <w:highlight w:val="none"/>
                <w:lang w:val="zh-CN" w:bidi="ar"/>
              </w:rPr>
              <w:t>，</w:t>
            </w:r>
            <w:r>
              <w:rPr>
                <w:rFonts w:hint="eastAsia" w:ascii="宋体" w:hAnsi="宋体" w:eastAsia="宋体" w:cs="宋体"/>
                <w:kern w:val="0"/>
                <w:sz w:val="18"/>
                <w:szCs w:val="18"/>
                <w:highlight w:val="none"/>
                <w:lang w:val="en-US" w:eastAsia="zh-CN" w:bidi="ar"/>
              </w:rPr>
              <w:t>全年共深入研判125家重点企业背景资料，累计拜访重点企业73次，邀请16家优质企业赴广考察，持续跟踪11家重点企业，提供市委主要领导直接招引项目6个，推动签约项目3个，实现签约总额20多亿元。</w:t>
            </w:r>
            <w:r>
              <w:rPr>
                <w:rFonts w:ascii="宋体" w:hAnsi="宋体" w:cs="宋体"/>
                <w:kern w:val="0"/>
                <w:sz w:val="18"/>
                <w:szCs w:val="18"/>
                <w:highlight w:val="none"/>
                <w:lang w:val="zh-CN" w:bidi="ar"/>
              </w:rPr>
              <w:t>加强信访维稳工作，</w:t>
            </w:r>
            <w:r>
              <w:rPr>
                <w:rFonts w:hint="eastAsia" w:ascii="宋体" w:hAnsi="宋体" w:cs="宋体"/>
                <w:kern w:val="0"/>
                <w:sz w:val="18"/>
                <w:szCs w:val="18"/>
                <w:highlight w:val="none"/>
                <w:lang w:val="zh-CN" w:bidi="ar"/>
              </w:rPr>
              <w:t>实现</w:t>
            </w:r>
            <w:r>
              <w:rPr>
                <w:rFonts w:ascii="宋体" w:hAnsi="宋体" w:cs="宋体"/>
                <w:kern w:val="0"/>
                <w:sz w:val="18"/>
                <w:szCs w:val="18"/>
                <w:highlight w:val="none"/>
                <w:lang w:val="zh-CN" w:bidi="ar"/>
              </w:rPr>
              <w:t>了“三个不发生”；</w:t>
            </w:r>
            <w:r>
              <w:rPr>
                <w:rFonts w:hint="eastAsia" w:ascii="宋体" w:hAnsi="宋体" w:cs="宋体"/>
                <w:kern w:val="0"/>
                <w:sz w:val="18"/>
                <w:szCs w:val="18"/>
                <w:highlight w:val="none"/>
                <w:lang w:val="zh-CN" w:bidi="ar"/>
              </w:rPr>
              <w:t>加强对广元名片、“广元造”等宣传，讲好</w:t>
            </w:r>
            <w:r>
              <w:rPr>
                <w:rFonts w:ascii="宋体" w:hAnsi="宋体" w:cs="宋体"/>
                <w:kern w:val="0"/>
                <w:sz w:val="18"/>
                <w:szCs w:val="18"/>
                <w:highlight w:val="none"/>
                <w:lang w:val="zh-CN" w:bidi="ar"/>
              </w:rPr>
              <w:t>广元故事，传递广元声音，</w:t>
            </w:r>
            <w:r>
              <w:rPr>
                <w:rFonts w:hint="eastAsia" w:ascii="宋体" w:hAnsi="宋体" w:cs="宋体"/>
                <w:kern w:val="0"/>
                <w:sz w:val="18"/>
                <w:szCs w:val="18"/>
                <w:highlight w:val="none"/>
                <w:lang w:val="zh-CN" w:bidi="ar"/>
              </w:rPr>
              <w:t>不断提高了广元的美誉度。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sz w:val="18"/>
                <w:szCs w:val="18"/>
                <w:highlight w:val="none"/>
                <w:u w:val="none"/>
              </w:rPr>
              <w:t>主要用于单位办公费用、水电费、差旅费和公务接待费，需要时支出，保证运转率。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248.20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248.20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239.14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96.35%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248.20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248.20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239.14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96.35%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参与或协助举办招商引资会议4次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流动党员学习教育、联谊活动等4次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年度职工租房</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保障驻外人员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切实加大与相关部委的沟通联络，加强招商引资支持；加强流动党员的管理、统计、信访维稳，力争不出相关事件。</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通过举办招商引资和交流活动，增加项止的争取力度，推动广元经济发展。</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好</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提升广元的美誉度，提高广元在京的流动党员和农民工获得感和就业率。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高</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架起广元相关单位与北京相关相关单位的桥梁，建立起长期沟通、合作的良好机制。</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驻京流动党员满意度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每月生活补助</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34000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每年招商引资、维稳经费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1199000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1199000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每年房屋租赁及补助</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800000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每年用于租赁车辆等交通费、办公费和其它商品费用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449000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449000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5</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kern w:val="0"/>
                <w:sz w:val="18"/>
                <w:szCs w:val="18"/>
                <w:highlight w:val="none"/>
                <w:lang w:val="zh-CN" w:bidi="ar"/>
              </w:rPr>
              <w:t>立足驻</w:t>
            </w:r>
            <w:r>
              <w:rPr>
                <w:rFonts w:ascii="宋体" w:hAnsi="宋体" w:eastAsia="宋体" w:cs="宋体"/>
                <w:kern w:val="0"/>
                <w:sz w:val="18"/>
                <w:szCs w:val="18"/>
                <w:highlight w:val="none"/>
                <w:lang w:val="zh-CN" w:bidi="ar"/>
              </w:rPr>
              <w:t>京联络处的</w:t>
            </w:r>
            <w:r>
              <w:rPr>
                <w:rFonts w:hint="eastAsia" w:ascii="宋体" w:hAnsi="宋体" w:eastAsia="宋体" w:cs="宋体"/>
                <w:kern w:val="0"/>
                <w:sz w:val="18"/>
                <w:szCs w:val="18"/>
                <w:highlight w:val="none"/>
                <w:lang w:val="zh-CN" w:bidi="ar"/>
              </w:rPr>
              <w:t>工作职能</w:t>
            </w:r>
            <w:r>
              <w:rPr>
                <w:rFonts w:ascii="宋体" w:hAnsi="宋体" w:eastAsia="宋体" w:cs="宋体"/>
                <w:kern w:val="0"/>
                <w:sz w:val="18"/>
                <w:szCs w:val="18"/>
                <w:highlight w:val="none"/>
                <w:lang w:val="zh-CN" w:bidi="ar"/>
              </w:rPr>
              <w:t>职</w:t>
            </w:r>
            <w:r>
              <w:rPr>
                <w:rFonts w:hint="eastAsia" w:ascii="宋体" w:hAnsi="宋体" w:eastAsia="宋体" w:cs="宋体"/>
                <w:kern w:val="0"/>
                <w:sz w:val="18"/>
                <w:szCs w:val="18"/>
                <w:highlight w:val="none"/>
                <w:lang w:val="zh-CN" w:bidi="ar"/>
              </w:rPr>
              <w:t>责，加强与中央、国家部委的对接和联络，</w:t>
            </w:r>
            <w:r>
              <w:rPr>
                <w:rFonts w:hint="eastAsia" w:ascii="宋体" w:hAnsi="宋体" w:eastAsia="宋体" w:cs="宋体"/>
                <w:kern w:val="0"/>
                <w:sz w:val="18"/>
                <w:szCs w:val="18"/>
                <w:highlight w:val="none"/>
                <w:lang w:val="en-US" w:eastAsia="zh-CN" w:bidi="ar"/>
              </w:rPr>
              <w:t>为广元2024年食品饮料发展产业大会、绿色铝产业发展大会、物流产业发展大会、文化和旅游发展大会暨国际旅行商大会、能源安全保障基地建设大会等会议顺利召开做出了重要贡献</w:t>
            </w:r>
            <w:r>
              <w:rPr>
                <w:rFonts w:ascii="宋体" w:hAnsi="宋体" w:cs="宋体"/>
                <w:kern w:val="0"/>
                <w:sz w:val="18"/>
                <w:szCs w:val="18"/>
                <w:highlight w:val="none"/>
                <w:lang w:val="zh-CN" w:bidi="ar"/>
              </w:rPr>
              <w:t>；</w:t>
            </w:r>
            <w:r>
              <w:rPr>
                <w:rFonts w:hint="eastAsia" w:ascii="宋体" w:hAnsi="宋体" w:cs="宋体"/>
                <w:kern w:val="0"/>
                <w:sz w:val="18"/>
                <w:szCs w:val="18"/>
                <w:highlight w:val="none"/>
                <w:lang w:val="en-US" w:eastAsia="zh-CN" w:bidi="ar"/>
              </w:rPr>
              <w:t>全力以赴做好</w:t>
            </w:r>
            <w:r>
              <w:rPr>
                <w:rFonts w:hint="eastAsia" w:ascii="宋体" w:hAnsi="宋体" w:cs="宋体"/>
                <w:kern w:val="0"/>
                <w:sz w:val="18"/>
                <w:szCs w:val="18"/>
                <w:highlight w:val="none"/>
                <w:lang w:val="zh-CN" w:bidi="ar"/>
              </w:rPr>
              <w:t>招商引资</w:t>
            </w:r>
            <w:r>
              <w:rPr>
                <w:rFonts w:hint="eastAsia" w:ascii="宋体" w:hAnsi="宋体" w:cs="宋体"/>
                <w:kern w:val="0"/>
                <w:sz w:val="18"/>
                <w:szCs w:val="18"/>
                <w:highlight w:val="none"/>
                <w:lang w:val="en-US" w:eastAsia="zh-CN" w:bidi="ar"/>
              </w:rPr>
              <w:t>工作</w:t>
            </w:r>
            <w:r>
              <w:rPr>
                <w:rFonts w:hint="eastAsia" w:ascii="宋体" w:hAnsi="宋体" w:cs="宋体"/>
                <w:kern w:val="0"/>
                <w:sz w:val="18"/>
                <w:szCs w:val="18"/>
                <w:highlight w:val="none"/>
                <w:lang w:val="zh-CN" w:bidi="ar"/>
              </w:rPr>
              <w:t>，</w:t>
            </w:r>
            <w:r>
              <w:rPr>
                <w:rFonts w:hint="eastAsia" w:ascii="宋体" w:hAnsi="宋体" w:eastAsia="宋体" w:cs="宋体"/>
                <w:kern w:val="0"/>
                <w:sz w:val="18"/>
                <w:szCs w:val="18"/>
                <w:highlight w:val="none"/>
                <w:lang w:val="en-US" w:eastAsia="zh-CN" w:bidi="ar"/>
              </w:rPr>
              <w:t>全年共深入研判125家重点企业背景资料，累计拜访重点企业73次，邀请16家优质企业赴广考察，持续跟踪11家重点企业，提供市委主要领导直接招引项目6个，推动签约项目3个，实现签约总额20多亿元。</w:t>
            </w:r>
            <w:r>
              <w:rPr>
                <w:rFonts w:ascii="宋体" w:hAnsi="宋体" w:cs="宋体"/>
                <w:kern w:val="0"/>
                <w:sz w:val="18"/>
                <w:szCs w:val="18"/>
                <w:highlight w:val="none"/>
                <w:lang w:val="zh-CN" w:bidi="ar"/>
              </w:rPr>
              <w:t>加强信访维稳工作，</w:t>
            </w:r>
            <w:r>
              <w:rPr>
                <w:rFonts w:hint="eastAsia" w:ascii="宋体" w:hAnsi="宋体" w:cs="宋体"/>
                <w:kern w:val="0"/>
                <w:sz w:val="18"/>
                <w:szCs w:val="18"/>
                <w:highlight w:val="none"/>
                <w:lang w:val="zh-CN" w:bidi="ar"/>
              </w:rPr>
              <w:t>实现</w:t>
            </w:r>
            <w:r>
              <w:rPr>
                <w:rFonts w:ascii="宋体" w:hAnsi="宋体" w:cs="宋体"/>
                <w:kern w:val="0"/>
                <w:sz w:val="18"/>
                <w:szCs w:val="18"/>
                <w:highlight w:val="none"/>
                <w:lang w:val="zh-CN" w:bidi="ar"/>
              </w:rPr>
              <w:t>了“三个不发生”；</w:t>
            </w:r>
            <w:r>
              <w:rPr>
                <w:rFonts w:hint="eastAsia" w:ascii="宋体" w:hAnsi="宋体" w:cs="宋体"/>
                <w:kern w:val="0"/>
                <w:sz w:val="18"/>
                <w:szCs w:val="18"/>
                <w:highlight w:val="none"/>
                <w:lang w:val="zh-CN" w:bidi="ar"/>
              </w:rPr>
              <w:t>加强对广元名片、“广元造”等宣传，讲好</w:t>
            </w:r>
            <w:r>
              <w:rPr>
                <w:rFonts w:ascii="宋体" w:hAnsi="宋体" w:cs="宋体"/>
                <w:kern w:val="0"/>
                <w:sz w:val="18"/>
                <w:szCs w:val="18"/>
                <w:highlight w:val="none"/>
                <w:lang w:val="zh-CN" w:bidi="ar"/>
              </w:rPr>
              <w:t>广元故事，传递广元声音，</w:t>
            </w:r>
            <w:r>
              <w:rPr>
                <w:rFonts w:hint="eastAsia" w:ascii="宋体" w:hAnsi="宋体" w:cs="宋体"/>
                <w:kern w:val="0"/>
                <w:sz w:val="18"/>
                <w:szCs w:val="18"/>
                <w:highlight w:val="none"/>
                <w:lang w:val="zh-CN" w:bidi="ar"/>
              </w:rPr>
              <w:t>不断提高了广元的美誉度。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kern w:val="0"/>
                <w:sz w:val="18"/>
                <w:szCs w:val="18"/>
                <w:highlight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auto"/>
                <w:sz w:val="18"/>
                <w:szCs w:val="18"/>
                <w:highlight w:val="none"/>
                <w:u w:val="none"/>
                <w:lang w:val="en-US" w:eastAsia="zh-CN"/>
              </w:rPr>
              <w:t>严格执行相关规定，按时发放了职工单位年度考核奖。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sz w:val="18"/>
                <w:szCs w:val="18"/>
                <w:highlight w:val="none"/>
                <w:u w:val="none"/>
              </w:rPr>
              <w:t>按时为职工发放</w:t>
            </w:r>
            <w:r>
              <w:rPr>
                <w:rFonts w:hint="eastAsia" w:ascii="宋体" w:hAnsi="宋体" w:eastAsia="宋体" w:cs="宋体"/>
                <w:i w:val="0"/>
                <w:iCs w:val="0"/>
                <w:color w:val="auto"/>
                <w:sz w:val="18"/>
                <w:szCs w:val="18"/>
                <w:highlight w:val="none"/>
                <w:u w:val="none"/>
                <w:lang w:val="en-US" w:eastAsia="zh-CN"/>
              </w:rPr>
              <w:t>单位年度考核奖</w:t>
            </w:r>
            <w:r>
              <w:rPr>
                <w:rFonts w:hint="eastAsia" w:ascii="宋体" w:hAnsi="宋体" w:eastAsia="宋体" w:cs="宋体"/>
                <w:i w:val="0"/>
                <w:iCs w:val="0"/>
                <w:color w:val="auto"/>
                <w:sz w:val="18"/>
                <w:szCs w:val="18"/>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auto"/>
                <w:sz w:val="18"/>
                <w:szCs w:val="18"/>
                <w:highlight w:val="none"/>
                <w:u w:val="none"/>
                <w:lang w:val="en-US" w:eastAsia="zh-CN"/>
              </w:rPr>
              <w:t>严格执行相关规定，按时发放了职工单位年度考核奖。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项目负责人：石红连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w:t>
            </w:r>
            <w:r>
              <w:rPr>
                <w:rFonts w:ascii="宋体" w:hAnsi="宋体" w:eastAsia="宋体" w:cs="宋体"/>
                <w:i w:val="0"/>
                <w:iCs w:val="0"/>
                <w:color w:val="000000"/>
                <w:kern w:val="0"/>
                <w:sz w:val="18"/>
                <w:szCs w:val="18"/>
                <w:u w:val="none"/>
                <w:lang w:val="en-US" w:eastAsia="zh-CN" w:bidi="ar"/>
              </w:rPr>
              <w:t>格执行相关规定，参保率</w:t>
            </w:r>
            <w:r>
              <w:rPr>
                <w:rFonts w:hint="eastAsia" w:ascii="宋体" w:hAnsi="宋体" w:eastAsia="宋体" w:cs="宋体"/>
                <w:i w:val="0"/>
                <w:iCs w:val="0"/>
                <w:color w:val="000000"/>
                <w:kern w:val="0"/>
                <w:sz w:val="18"/>
                <w:szCs w:val="18"/>
                <w:u w:val="none"/>
                <w:lang w:val="en-US" w:eastAsia="zh-CN" w:bidi="ar"/>
              </w:rPr>
              <w:t>100%，维</w:t>
            </w:r>
            <w:r>
              <w:rPr>
                <w:rFonts w:ascii="宋体" w:hAnsi="宋体" w:eastAsia="宋体" w:cs="宋体"/>
                <w:i w:val="0"/>
                <w:iCs w:val="0"/>
                <w:color w:val="000000"/>
                <w:kern w:val="0"/>
                <w:sz w:val="18"/>
                <w:szCs w:val="18"/>
                <w:u w:val="none"/>
                <w:lang w:val="en-US" w:eastAsia="zh-CN" w:bidi="ar"/>
              </w:rPr>
              <w:t>护了</w:t>
            </w:r>
            <w:r>
              <w:rPr>
                <w:rFonts w:hint="eastAsia" w:ascii="宋体" w:hAnsi="宋体" w:eastAsia="宋体" w:cs="宋体"/>
                <w:i w:val="0"/>
                <w:iCs w:val="0"/>
                <w:color w:val="000000"/>
                <w:kern w:val="0"/>
                <w:sz w:val="18"/>
                <w:szCs w:val="18"/>
                <w:u w:val="none"/>
                <w:lang w:val="en-US" w:eastAsia="zh-CN" w:bidi="ar"/>
              </w:rPr>
              <w:t>干部</w:t>
            </w:r>
            <w:r>
              <w:rPr>
                <w:rFonts w:ascii="宋体" w:hAnsi="宋体" w:eastAsia="宋体" w:cs="宋体"/>
                <w:i w:val="0"/>
                <w:iCs w:val="0"/>
                <w:color w:val="000000"/>
                <w:kern w:val="0"/>
                <w:sz w:val="18"/>
                <w:szCs w:val="18"/>
                <w:u w:val="none"/>
                <w:lang w:val="en-US" w:eastAsia="zh-CN" w:bidi="ar"/>
              </w:rPr>
              <w:t>职工的</w:t>
            </w:r>
            <w:r>
              <w:rPr>
                <w:rFonts w:hint="eastAsia" w:ascii="宋体" w:hAnsi="宋体" w:eastAsia="宋体" w:cs="宋体"/>
                <w:i w:val="0"/>
                <w:iCs w:val="0"/>
                <w:color w:val="000000"/>
                <w:kern w:val="0"/>
                <w:sz w:val="18"/>
                <w:szCs w:val="18"/>
                <w:u w:val="none"/>
                <w:lang w:val="en-US" w:eastAsia="zh-CN" w:bidi="ar"/>
              </w:rPr>
              <w:t>合</w:t>
            </w:r>
            <w:r>
              <w:rPr>
                <w:rFonts w:ascii="宋体" w:hAnsi="宋体" w:eastAsia="宋体" w:cs="宋体"/>
                <w:i w:val="0"/>
                <w:iCs w:val="0"/>
                <w:color w:val="000000"/>
                <w:kern w:val="0"/>
                <w:sz w:val="18"/>
                <w:szCs w:val="18"/>
                <w:u w:val="none"/>
                <w:lang w:val="en-US" w:eastAsia="zh-CN" w:bidi="ar"/>
              </w:rPr>
              <w:t>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严格执行相关规定，参保率100%，维护了干部职工的合法权益。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13.74</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13.74</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13.74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严格执行相关规定，参保率100%，维护了干部职工的合法权益。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auto"/>
                <w:sz w:val="18"/>
                <w:szCs w:val="18"/>
                <w:highlight w:val="none"/>
                <w:u w:val="none"/>
                <w:lang w:val="en-US" w:eastAsia="zh-CN"/>
              </w:rPr>
              <w:t>按照标准，</w:t>
            </w:r>
            <w:r>
              <w:rPr>
                <w:rFonts w:hint="eastAsia" w:ascii="宋体" w:hAnsi="宋体" w:eastAsia="宋体" w:cs="宋体"/>
                <w:i w:val="0"/>
                <w:iCs w:val="0"/>
                <w:color w:val="auto"/>
                <w:sz w:val="18"/>
                <w:szCs w:val="18"/>
                <w:highlight w:val="none"/>
                <w:u w:val="none"/>
              </w:rPr>
              <w:t>按时为职工发放基础绩效奖。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sz w:val="18"/>
                <w:szCs w:val="18"/>
                <w:highlight w:val="none"/>
                <w:u w:val="none"/>
              </w:rPr>
              <w:t>按时为职工发放基础绩效奖。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12.94</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严格执行了党政机关“过紧日子”十三条措施，保障了单位的日常运转，确保了专款专用。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按时发放</w:t>
            </w:r>
            <w:r>
              <w:rPr>
                <w:rFonts w:ascii="宋体" w:hAnsi="宋体" w:eastAsia="宋体" w:cs="宋体"/>
                <w:i w:val="0"/>
                <w:iCs w:val="0"/>
                <w:color w:val="000000"/>
                <w:kern w:val="0"/>
                <w:sz w:val="18"/>
                <w:szCs w:val="18"/>
                <w:u w:val="none"/>
                <w:lang w:val="en-US" w:eastAsia="zh-CN" w:bidi="ar"/>
              </w:rPr>
              <w:t>，且确保专款专用。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sz w:val="18"/>
                <w:szCs w:val="18"/>
                <w:highlight w:val="none"/>
                <w:u w:val="none"/>
              </w:rPr>
              <w:t>按时为职工发放</w:t>
            </w:r>
            <w:r>
              <w:rPr>
                <w:rFonts w:hint="eastAsia" w:ascii="宋体" w:hAnsi="宋体" w:eastAsia="宋体" w:cs="宋体"/>
                <w:i w:val="0"/>
                <w:iCs w:val="0"/>
                <w:color w:val="auto"/>
                <w:sz w:val="18"/>
                <w:szCs w:val="18"/>
                <w:highlight w:val="none"/>
                <w:u w:val="none"/>
                <w:lang w:val="en-US" w:eastAsia="zh-CN"/>
              </w:rPr>
              <w:t>一次性退休补贴</w:t>
            </w:r>
            <w:r>
              <w:rPr>
                <w:rFonts w:hint="eastAsia" w:ascii="宋体" w:hAnsi="宋体" w:eastAsia="宋体" w:cs="宋体"/>
                <w:i w:val="0"/>
                <w:iCs w:val="0"/>
                <w:color w:val="auto"/>
                <w:sz w:val="18"/>
                <w:szCs w:val="18"/>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按时发放</w:t>
            </w:r>
            <w:r>
              <w:rPr>
                <w:rFonts w:ascii="宋体" w:hAnsi="宋体" w:eastAsia="宋体" w:cs="宋体"/>
                <w:i w:val="0"/>
                <w:iCs w:val="0"/>
                <w:color w:val="000000"/>
                <w:kern w:val="0"/>
                <w:sz w:val="18"/>
                <w:szCs w:val="18"/>
                <w:u w:val="none"/>
                <w:lang w:val="en-US" w:eastAsia="zh-CN" w:bidi="ar"/>
              </w:rPr>
              <w:t>，且确保专款专用。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auto"/>
                <w:kern w:val="0"/>
                <w:sz w:val="18"/>
                <w:szCs w:val="18"/>
                <w:highlight w:val="none"/>
                <w:u w:val="none"/>
                <w:lang w:val="en-US" w:eastAsia="zh-CN" w:bidi="ar"/>
              </w:rPr>
              <w:t>严格执行相关政策，保障工资、绩效等及时发放、足额发放；高质量规范运用招商引资、信访维稳等工作费用，确保各项工作高效规范开展，推动了广元经济和社会又好又快发展。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18"/>
                <w:szCs w:val="18"/>
                <w:highlight w:val="none"/>
                <w:u w:val="none"/>
                <w:lang w:val="en-US" w:eastAsia="zh-CN" w:bidi="ar"/>
              </w:rPr>
              <w:t>严格执行相关政策，保障工资、绩效等及时发放、足额发放；高质量规范运用招商引资、信访维稳等工作费用，确保各项工作高效规范开展，推动了广元经济和社会又好又快发展。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27.11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27.11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27.11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27.11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27.11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27.11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kern w:val="0"/>
                <w:sz w:val="18"/>
                <w:szCs w:val="18"/>
                <w:highlight w:val="none"/>
                <w:lang w:val="zh-CN" w:bidi="ar"/>
              </w:rPr>
              <w:t>立足驻</w:t>
            </w:r>
            <w:r>
              <w:rPr>
                <w:rFonts w:ascii="宋体" w:hAnsi="宋体" w:eastAsia="宋体" w:cs="宋体"/>
                <w:kern w:val="0"/>
                <w:sz w:val="18"/>
                <w:szCs w:val="18"/>
                <w:highlight w:val="none"/>
                <w:lang w:val="zh-CN" w:bidi="ar"/>
              </w:rPr>
              <w:t>京联络处的</w:t>
            </w:r>
            <w:r>
              <w:rPr>
                <w:rFonts w:hint="eastAsia" w:ascii="宋体" w:hAnsi="宋体" w:eastAsia="宋体" w:cs="宋体"/>
                <w:kern w:val="0"/>
                <w:sz w:val="18"/>
                <w:szCs w:val="18"/>
                <w:highlight w:val="none"/>
                <w:lang w:val="zh-CN" w:bidi="ar"/>
              </w:rPr>
              <w:t>工作职能</w:t>
            </w:r>
            <w:r>
              <w:rPr>
                <w:rFonts w:ascii="宋体" w:hAnsi="宋体" w:eastAsia="宋体" w:cs="宋体"/>
                <w:kern w:val="0"/>
                <w:sz w:val="18"/>
                <w:szCs w:val="18"/>
                <w:highlight w:val="none"/>
                <w:lang w:val="zh-CN" w:bidi="ar"/>
              </w:rPr>
              <w:t>职</w:t>
            </w:r>
            <w:r>
              <w:rPr>
                <w:rFonts w:hint="eastAsia" w:ascii="宋体" w:hAnsi="宋体" w:eastAsia="宋体" w:cs="宋体"/>
                <w:kern w:val="0"/>
                <w:sz w:val="18"/>
                <w:szCs w:val="18"/>
                <w:highlight w:val="none"/>
                <w:lang w:val="zh-CN" w:bidi="ar"/>
              </w:rPr>
              <w:t>责，加强与中央、国家部委的对接和联络，</w:t>
            </w:r>
            <w:r>
              <w:rPr>
                <w:rFonts w:hint="eastAsia" w:ascii="宋体" w:hAnsi="宋体" w:eastAsia="宋体" w:cs="宋体"/>
                <w:kern w:val="0"/>
                <w:sz w:val="18"/>
                <w:szCs w:val="18"/>
                <w:highlight w:val="none"/>
                <w:lang w:val="en-US" w:eastAsia="zh-CN" w:bidi="ar"/>
              </w:rPr>
              <w:t>为广元2024年食品饮料发展产业大会、绿色铝产业发展大会、物流产业发展大会、文化和旅游发展大会暨国际旅行商大会、能源安全保障基地建设大会等会议顺利召开做出了重要贡献</w:t>
            </w:r>
            <w:r>
              <w:rPr>
                <w:rFonts w:ascii="宋体" w:hAnsi="宋体" w:cs="宋体"/>
                <w:kern w:val="0"/>
                <w:sz w:val="18"/>
                <w:szCs w:val="18"/>
                <w:highlight w:val="none"/>
                <w:lang w:val="zh-CN" w:bidi="ar"/>
              </w:rPr>
              <w:t>；</w:t>
            </w:r>
            <w:r>
              <w:rPr>
                <w:rFonts w:hint="eastAsia" w:ascii="宋体" w:hAnsi="宋体" w:cs="宋体"/>
                <w:kern w:val="0"/>
                <w:sz w:val="18"/>
                <w:szCs w:val="18"/>
                <w:highlight w:val="none"/>
                <w:lang w:val="en-US" w:eastAsia="zh-CN" w:bidi="ar"/>
              </w:rPr>
              <w:t>全力以赴做好</w:t>
            </w:r>
            <w:r>
              <w:rPr>
                <w:rFonts w:hint="eastAsia" w:ascii="宋体" w:hAnsi="宋体" w:cs="宋体"/>
                <w:kern w:val="0"/>
                <w:sz w:val="18"/>
                <w:szCs w:val="18"/>
                <w:highlight w:val="none"/>
                <w:lang w:val="zh-CN" w:bidi="ar"/>
              </w:rPr>
              <w:t>招商引资</w:t>
            </w:r>
            <w:r>
              <w:rPr>
                <w:rFonts w:hint="eastAsia" w:ascii="宋体" w:hAnsi="宋体" w:cs="宋体"/>
                <w:kern w:val="0"/>
                <w:sz w:val="18"/>
                <w:szCs w:val="18"/>
                <w:highlight w:val="none"/>
                <w:lang w:val="en-US" w:eastAsia="zh-CN" w:bidi="ar"/>
              </w:rPr>
              <w:t>工作</w:t>
            </w:r>
            <w:r>
              <w:rPr>
                <w:rFonts w:hint="eastAsia" w:ascii="宋体" w:hAnsi="宋体" w:cs="宋体"/>
                <w:kern w:val="0"/>
                <w:sz w:val="18"/>
                <w:szCs w:val="18"/>
                <w:highlight w:val="none"/>
                <w:lang w:val="zh-CN" w:bidi="ar"/>
              </w:rPr>
              <w:t>，</w:t>
            </w:r>
            <w:r>
              <w:rPr>
                <w:rFonts w:hint="eastAsia" w:ascii="宋体" w:hAnsi="宋体" w:eastAsia="宋体" w:cs="宋体"/>
                <w:kern w:val="0"/>
                <w:sz w:val="18"/>
                <w:szCs w:val="18"/>
                <w:highlight w:val="none"/>
                <w:lang w:val="en-US" w:eastAsia="zh-CN" w:bidi="ar"/>
              </w:rPr>
              <w:t>全年共深入研判125家重点企业背景资料，累计拜访重点企业73次，邀请16家优质企业赴广考察，持续跟踪11家重点企业，提供市委主要领导直接招引项目6个，推动签约项目3个，实现签约总额20多亿元。</w:t>
            </w:r>
            <w:r>
              <w:rPr>
                <w:rFonts w:ascii="宋体" w:hAnsi="宋体" w:cs="宋体"/>
                <w:kern w:val="0"/>
                <w:sz w:val="18"/>
                <w:szCs w:val="18"/>
                <w:highlight w:val="none"/>
                <w:lang w:val="zh-CN" w:bidi="ar"/>
              </w:rPr>
              <w:t>加强信访维稳工作，</w:t>
            </w:r>
            <w:r>
              <w:rPr>
                <w:rFonts w:hint="eastAsia" w:ascii="宋体" w:hAnsi="宋体" w:cs="宋体"/>
                <w:kern w:val="0"/>
                <w:sz w:val="18"/>
                <w:szCs w:val="18"/>
                <w:highlight w:val="none"/>
                <w:lang w:val="zh-CN" w:bidi="ar"/>
              </w:rPr>
              <w:t>实现</w:t>
            </w:r>
            <w:r>
              <w:rPr>
                <w:rFonts w:ascii="宋体" w:hAnsi="宋体" w:cs="宋体"/>
                <w:kern w:val="0"/>
                <w:sz w:val="18"/>
                <w:szCs w:val="18"/>
                <w:highlight w:val="none"/>
                <w:lang w:val="zh-CN" w:bidi="ar"/>
              </w:rPr>
              <w:t>了“三个不发生”；</w:t>
            </w:r>
            <w:r>
              <w:rPr>
                <w:rFonts w:hint="eastAsia" w:ascii="宋体" w:hAnsi="宋体" w:cs="宋体"/>
                <w:kern w:val="0"/>
                <w:sz w:val="18"/>
                <w:szCs w:val="18"/>
                <w:highlight w:val="none"/>
                <w:lang w:val="zh-CN" w:bidi="ar"/>
              </w:rPr>
              <w:t>加强对广元名片、“广元造”等宣传，讲好</w:t>
            </w:r>
            <w:r>
              <w:rPr>
                <w:rFonts w:ascii="宋体" w:hAnsi="宋体" w:cs="宋体"/>
                <w:kern w:val="0"/>
                <w:sz w:val="18"/>
                <w:szCs w:val="18"/>
                <w:highlight w:val="none"/>
                <w:lang w:val="zh-CN" w:bidi="ar"/>
              </w:rPr>
              <w:t>广元故事，传递广元声音，</w:t>
            </w:r>
            <w:r>
              <w:rPr>
                <w:rFonts w:hint="eastAsia" w:ascii="宋体" w:hAnsi="宋体" w:cs="宋体"/>
                <w:kern w:val="0"/>
                <w:sz w:val="18"/>
                <w:szCs w:val="18"/>
                <w:highlight w:val="none"/>
                <w:lang w:val="zh-CN" w:bidi="ar"/>
              </w:rPr>
              <w:t>不断提高了广元的美誉度。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本年度无考核</w:t>
            </w:r>
            <w:r>
              <w:rPr>
                <w:rFonts w:hint="eastAsia" w:ascii="宋体" w:hAnsi="宋体" w:cs="宋体"/>
                <w:i w:val="0"/>
                <w:iCs w:val="0"/>
                <w:color w:val="000000"/>
                <w:sz w:val="18"/>
                <w:szCs w:val="18"/>
                <w:u w:val="none"/>
                <w:lang w:val="en-US" w:eastAsia="zh-CN"/>
              </w:rPr>
              <w:t>优秀公务员，因此未完成。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主要用于优秀公务员奖励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0.09</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黑体" w:hAnsi="黑体" w:eastAsia="黑体" w:cs="黑体"/>
                <w:i w:val="0"/>
                <w:iCs w:val="0"/>
                <w:color w:val="000000"/>
                <w:kern w:val="0"/>
                <w:sz w:val="18"/>
                <w:szCs w:val="18"/>
                <w:u w:val="none"/>
                <w:lang w:val="en-US" w:eastAsia="zh-CN" w:bidi="ar"/>
              </w:rPr>
              <w:t>本年度无考核</w:t>
            </w:r>
            <w:r>
              <w:rPr>
                <w:rFonts w:hint="eastAsia" w:ascii="宋体" w:hAnsi="宋体" w:cs="宋体"/>
                <w:i w:val="0"/>
                <w:iCs w:val="0"/>
                <w:color w:val="000000"/>
                <w:sz w:val="18"/>
                <w:szCs w:val="18"/>
                <w:u w:val="none"/>
                <w:lang w:val="en-US" w:eastAsia="zh-CN"/>
              </w:rPr>
              <w:t>优秀公务员，因此未完成。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cs="宋体"/>
                <w:i w:val="0"/>
                <w:iCs w:val="0"/>
                <w:color w:val="000000"/>
                <w:sz w:val="18"/>
                <w:szCs w:val="18"/>
                <w:u w:val="none"/>
                <w:lang w:val="en-US" w:eastAsia="zh-CN"/>
              </w:rPr>
              <w:t>保障工会组织开展活动，发放职工节日慰问品，维护职工合法权益。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保障工会组织开展活动，发放职工节日慰问品，维护职工合法权益。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0.81</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0.81</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0.81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sz w:val="18"/>
                <w:szCs w:val="18"/>
                <w:u w:val="none"/>
                <w:lang w:val="en-US" w:eastAsia="zh-CN"/>
              </w:rPr>
              <w:t>保障工会组织开展活动，发放职工节日慰问品，维护职工合法权益。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主要用于办公费、水费、差旅费其他交通费用、其他商品和服务支出，</w:t>
            </w:r>
            <w:r>
              <w:rPr>
                <w:rFonts w:hint="eastAsia" w:ascii="宋体" w:hAnsi="宋体" w:cs="宋体"/>
                <w:kern w:val="0"/>
                <w:sz w:val="18"/>
                <w:szCs w:val="18"/>
                <w:highlight w:val="none"/>
                <w:lang w:val="zh-CN" w:bidi="ar"/>
              </w:rPr>
              <w:t>推动工作顺利运行</w:t>
            </w: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主要用于办公费、水费、差旅费其他交通费用、其他商品和服务支出，</w:t>
            </w:r>
            <w:r>
              <w:rPr>
                <w:rFonts w:hint="eastAsia" w:ascii="宋体" w:hAnsi="宋体" w:cs="宋体"/>
                <w:kern w:val="0"/>
                <w:sz w:val="18"/>
                <w:szCs w:val="18"/>
                <w:highlight w:val="none"/>
                <w:lang w:val="zh-CN" w:bidi="ar"/>
              </w:rPr>
              <w:t>推动工作顺利运行</w:t>
            </w:r>
            <w:r>
              <w:rPr>
                <w:rFonts w:hint="eastAsia" w:ascii="宋体" w:hAnsi="宋体" w:eastAsia="宋体" w:cs="宋体"/>
                <w:i w:val="0"/>
                <w:iCs w:val="0"/>
                <w:color w:val="000000"/>
                <w:kern w:val="0"/>
                <w:sz w:val="18"/>
                <w:szCs w:val="18"/>
                <w:u w:val="none"/>
                <w:lang w:val="en-US" w:eastAsia="zh-CN" w:bidi="ar"/>
              </w:rPr>
              <w:t>。</w:t>
            </w:r>
          </w:p>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严格执行了党政机关“过紧日子”十三条措施，保障了单位的日常运转。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26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5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广元市人民政府办公室部门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广元市人民政府驻北京联络处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auto"/>
                <w:sz w:val="18"/>
                <w:szCs w:val="18"/>
                <w:highlight w:val="none"/>
                <w:u w:val="none"/>
              </w:rPr>
              <w:t>主要用于单位</w:t>
            </w:r>
            <w:r>
              <w:rPr>
                <w:rFonts w:hint="eastAsia" w:ascii="宋体" w:hAnsi="宋体" w:eastAsia="宋体" w:cs="宋体"/>
                <w:i w:val="0"/>
                <w:iCs w:val="0"/>
                <w:color w:val="auto"/>
                <w:sz w:val="18"/>
                <w:szCs w:val="18"/>
                <w:highlight w:val="none"/>
                <w:u w:val="none"/>
                <w:lang w:val="en-US" w:eastAsia="zh-CN"/>
              </w:rPr>
              <w:t>职工公车补贴、</w:t>
            </w:r>
            <w:r>
              <w:rPr>
                <w:rFonts w:hint="eastAsia" w:ascii="宋体" w:hAnsi="宋体" w:eastAsia="宋体" w:cs="宋体"/>
                <w:i w:val="0"/>
                <w:iCs w:val="0"/>
                <w:color w:val="auto"/>
                <w:sz w:val="18"/>
                <w:szCs w:val="18"/>
                <w:highlight w:val="none"/>
                <w:u w:val="none"/>
              </w:rPr>
              <w:t>党建经费及</w:t>
            </w:r>
            <w:r>
              <w:rPr>
                <w:rFonts w:hint="eastAsia" w:ascii="宋体" w:hAnsi="宋体" w:eastAsia="宋体" w:cs="宋体"/>
                <w:i w:val="0"/>
                <w:iCs w:val="0"/>
                <w:color w:val="auto"/>
                <w:sz w:val="18"/>
                <w:szCs w:val="18"/>
                <w:highlight w:val="none"/>
                <w:u w:val="none"/>
                <w:lang w:val="en-US" w:eastAsia="zh-CN"/>
              </w:rPr>
              <w:t>退休干部开展活</w:t>
            </w:r>
            <w:r>
              <w:rPr>
                <w:rFonts w:hint="eastAsia" w:ascii="宋体" w:hAnsi="宋体" w:cs="宋体"/>
                <w:i w:val="0"/>
                <w:iCs w:val="0"/>
                <w:color w:val="auto"/>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sz w:val="18"/>
                <w:szCs w:val="18"/>
                <w:highlight w:val="none"/>
                <w:u w:val="none"/>
              </w:rPr>
              <w:t>主要用于单位</w:t>
            </w:r>
            <w:r>
              <w:rPr>
                <w:rFonts w:hint="eastAsia" w:ascii="宋体" w:hAnsi="宋体" w:eastAsia="宋体" w:cs="宋体"/>
                <w:i w:val="0"/>
                <w:iCs w:val="0"/>
                <w:color w:val="auto"/>
                <w:sz w:val="18"/>
                <w:szCs w:val="18"/>
                <w:highlight w:val="none"/>
                <w:u w:val="none"/>
                <w:lang w:val="en-US" w:eastAsia="zh-CN"/>
              </w:rPr>
              <w:t>职工公车补贴、</w:t>
            </w:r>
            <w:r>
              <w:rPr>
                <w:rFonts w:hint="eastAsia" w:ascii="宋体" w:hAnsi="宋体" w:eastAsia="宋体" w:cs="宋体"/>
                <w:i w:val="0"/>
                <w:iCs w:val="0"/>
                <w:color w:val="auto"/>
                <w:sz w:val="18"/>
                <w:szCs w:val="18"/>
                <w:highlight w:val="none"/>
                <w:u w:val="none"/>
              </w:rPr>
              <w:t>党建经费及</w:t>
            </w:r>
            <w:r>
              <w:rPr>
                <w:rFonts w:hint="eastAsia" w:ascii="宋体" w:hAnsi="宋体" w:eastAsia="宋体" w:cs="宋体"/>
                <w:i w:val="0"/>
                <w:iCs w:val="0"/>
                <w:color w:val="auto"/>
                <w:sz w:val="18"/>
                <w:szCs w:val="18"/>
                <w:highlight w:val="none"/>
                <w:u w:val="none"/>
                <w:lang w:val="en-US" w:eastAsia="zh-CN"/>
              </w:rPr>
              <w:t>退休干部开展活</w:t>
            </w:r>
            <w:r>
              <w:rPr>
                <w:rFonts w:hint="eastAsia" w:ascii="宋体" w:hAnsi="宋体" w:cs="宋体"/>
                <w:i w:val="0"/>
                <w:iCs w:val="0"/>
                <w:color w:val="auto"/>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3.87</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3.87</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3.87</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3.87</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3.87</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3.87</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auto"/>
                <w:sz w:val="18"/>
                <w:szCs w:val="18"/>
                <w:highlight w:val="none"/>
                <w:u w:val="none"/>
              </w:rPr>
              <w:t>主要用于单位</w:t>
            </w:r>
            <w:r>
              <w:rPr>
                <w:rFonts w:hint="eastAsia" w:ascii="宋体" w:hAnsi="宋体" w:eastAsia="宋体" w:cs="宋体"/>
                <w:i w:val="0"/>
                <w:iCs w:val="0"/>
                <w:color w:val="auto"/>
                <w:sz w:val="18"/>
                <w:szCs w:val="18"/>
                <w:highlight w:val="none"/>
                <w:u w:val="none"/>
                <w:lang w:val="en-US" w:eastAsia="zh-CN"/>
              </w:rPr>
              <w:t>职工公车补贴、</w:t>
            </w:r>
            <w:r>
              <w:rPr>
                <w:rFonts w:hint="eastAsia" w:ascii="宋体" w:hAnsi="宋体" w:eastAsia="宋体" w:cs="宋体"/>
                <w:i w:val="0"/>
                <w:iCs w:val="0"/>
                <w:color w:val="auto"/>
                <w:sz w:val="18"/>
                <w:szCs w:val="18"/>
                <w:highlight w:val="none"/>
                <w:u w:val="none"/>
              </w:rPr>
              <w:t>党建经费及</w:t>
            </w:r>
            <w:r>
              <w:rPr>
                <w:rFonts w:hint="eastAsia" w:ascii="宋体" w:hAnsi="宋体" w:eastAsia="宋体" w:cs="宋体"/>
                <w:i w:val="0"/>
                <w:iCs w:val="0"/>
                <w:color w:val="auto"/>
                <w:sz w:val="18"/>
                <w:szCs w:val="18"/>
                <w:highlight w:val="none"/>
                <w:u w:val="none"/>
                <w:lang w:val="en-US" w:eastAsia="zh-CN"/>
              </w:rPr>
              <w:t>退休干部开展活</w:t>
            </w:r>
            <w:r>
              <w:rPr>
                <w:rFonts w:hint="eastAsia" w:ascii="宋体" w:hAnsi="宋体" w:cs="宋体"/>
                <w:i w:val="0"/>
                <w:iCs w:val="0"/>
                <w:color w:val="auto"/>
                <w:sz w:val="18"/>
                <w:szCs w:val="18"/>
                <w:highlight w:val="none"/>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项目负责人：石洪连</w:t>
            </w:r>
          </w:p>
        </w:tc>
        <w:tc>
          <w:tcPr>
            <w:tcW w:w="68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财务负责人：唐全明</w:t>
            </w:r>
          </w:p>
        </w:tc>
      </w:tr>
    </w:tbl>
    <w:p>
      <w:pPr>
        <w:pStyle w:val="7"/>
        <w:rPr>
          <w:rFonts w:hint="eastAsia" w:ascii="仿宋_GB2312" w:hAnsi="Calibri" w:eastAsia="仿宋_GB2312" w:cs="仿宋"/>
          <w:color w:val="000000"/>
          <w:kern w:val="0"/>
          <w:sz w:val="32"/>
          <w:szCs w:val="32"/>
          <w:lang w:val="en-US" w:eastAsia="zh-CN" w:bidi="ar-SA"/>
        </w:rPr>
      </w:pPr>
    </w:p>
    <w:p>
      <w:pPr>
        <w:rPr>
          <w:rFonts w:hint="eastAsia" w:ascii="黑体" w:hAnsi="黑体" w:eastAsia="黑体"/>
          <w:color w:val="000000"/>
          <w:sz w:val="44"/>
          <w:szCs w:val="44"/>
        </w:rPr>
        <w:sectPr>
          <w:pgSz w:w="16838" w:h="11906" w:orient="landscape"/>
          <w:pgMar w:top="1800" w:right="1440" w:bottom="1800" w:left="1440" w:header="720" w:footer="720" w:gutter="0"/>
          <w:pgNumType w:fmt="decimal"/>
          <w:cols w:space="720" w:num="1"/>
          <w:docGrid w:type="lines" w:linePitch="312" w:charSpace="0"/>
        </w:sectPr>
      </w:pPr>
    </w:p>
    <w:p>
      <w:pPr>
        <w:pStyle w:val="3"/>
        <w:bidi w:val="0"/>
        <w:rPr>
          <w:rFonts w:hint="eastAsia"/>
        </w:rPr>
      </w:pPr>
      <w:bookmarkStart w:id="48" w:name="_Toc7547"/>
      <w:r>
        <w:rPr>
          <w:rFonts w:hint="eastAsia"/>
        </w:rPr>
        <w:t>第五部分 附表</w:t>
      </w:r>
      <w:bookmarkEnd w:id="48"/>
    </w:p>
    <w:p>
      <w:pPr>
        <w:pStyle w:val="4"/>
        <w:bidi w:val="0"/>
      </w:pPr>
      <w:bookmarkStart w:id="49" w:name="_Toc26296"/>
      <w:r>
        <w:rPr>
          <w:rFonts w:hint="eastAsia"/>
        </w:rPr>
        <w:t>一、收入支出决算总表</w:t>
      </w:r>
      <w:bookmarkEnd w:id="49"/>
    </w:p>
    <w:p>
      <w:pPr>
        <w:pStyle w:val="4"/>
        <w:bidi w:val="0"/>
      </w:pPr>
      <w:bookmarkStart w:id="50" w:name="_Toc30423"/>
      <w:r>
        <w:rPr>
          <w:rFonts w:hint="eastAsia"/>
        </w:rPr>
        <w:t>二、收入决算表</w:t>
      </w:r>
      <w:bookmarkEnd w:id="50"/>
    </w:p>
    <w:p>
      <w:pPr>
        <w:pStyle w:val="4"/>
        <w:bidi w:val="0"/>
      </w:pPr>
      <w:bookmarkStart w:id="51" w:name="_Toc1893"/>
      <w:r>
        <w:rPr>
          <w:rFonts w:hint="eastAsia"/>
        </w:rPr>
        <w:t>三、支出决算表</w:t>
      </w:r>
      <w:bookmarkEnd w:id="51"/>
    </w:p>
    <w:p>
      <w:pPr>
        <w:pStyle w:val="4"/>
        <w:bidi w:val="0"/>
      </w:pPr>
      <w:bookmarkStart w:id="52" w:name="_Toc17828"/>
      <w:r>
        <w:rPr>
          <w:rFonts w:hint="eastAsia"/>
        </w:rPr>
        <w:t>四、财政拨款收入支出决算总表</w:t>
      </w:r>
      <w:bookmarkEnd w:id="52"/>
    </w:p>
    <w:p>
      <w:pPr>
        <w:pStyle w:val="4"/>
        <w:bidi w:val="0"/>
      </w:pPr>
      <w:bookmarkStart w:id="53" w:name="_Toc25372"/>
      <w:r>
        <w:rPr>
          <w:rFonts w:hint="eastAsia"/>
        </w:rPr>
        <w:t>五、财政拨款支出决算明细表</w:t>
      </w:r>
      <w:bookmarkEnd w:id="53"/>
    </w:p>
    <w:p>
      <w:pPr>
        <w:pStyle w:val="4"/>
        <w:bidi w:val="0"/>
      </w:pPr>
      <w:bookmarkStart w:id="54" w:name="_Toc19017"/>
      <w:r>
        <w:rPr>
          <w:rFonts w:hint="eastAsia"/>
        </w:rPr>
        <w:t>六、一般公共预算财政拨款支出决算表</w:t>
      </w:r>
      <w:bookmarkEnd w:id="54"/>
    </w:p>
    <w:p>
      <w:pPr>
        <w:pStyle w:val="4"/>
        <w:bidi w:val="0"/>
      </w:pPr>
      <w:bookmarkStart w:id="55" w:name="_Toc15735"/>
      <w:r>
        <w:rPr>
          <w:rFonts w:hint="eastAsia"/>
        </w:rPr>
        <w:t>七、一般公共预算财政拨款支出决算明细表</w:t>
      </w:r>
      <w:bookmarkEnd w:id="55"/>
    </w:p>
    <w:p>
      <w:pPr>
        <w:pStyle w:val="4"/>
        <w:bidi w:val="0"/>
      </w:pPr>
      <w:bookmarkStart w:id="56" w:name="_Toc29561"/>
      <w:r>
        <w:rPr>
          <w:rFonts w:hint="eastAsia"/>
        </w:rPr>
        <w:t>八、一般公共预算财政拨款基本支出决算表</w:t>
      </w:r>
      <w:bookmarkEnd w:id="56"/>
    </w:p>
    <w:p>
      <w:pPr>
        <w:pStyle w:val="4"/>
        <w:bidi w:val="0"/>
      </w:pPr>
      <w:bookmarkStart w:id="57" w:name="_Toc17856"/>
      <w:r>
        <w:rPr>
          <w:rFonts w:hint="eastAsia"/>
        </w:rPr>
        <w:t>九、一般公共预算财政拨款项目支出决算表</w:t>
      </w:r>
      <w:bookmarkEnd w:id="57"/>
    </w:p>
    <w:p>
      <w:pPr>
        <w:pStyle w:val="4"/>
        <w:bidi w:val="0"/>
      </w:pPr>
      <w:bookmarkStart w:id="58" w:name="_Toc18743"/>
      <w:r>
        <w:rPr>
          <w:rFonts w:hint="eastAsia"/>
        </w:rPr>
        <w:t>十、政府性基金预算财政拨款收入支出决算表</w:t>
      </w:r>
      <w:bookmarkEnd w:id="58"/>
    </w:p>
    <w:p>
      <w:pPr>
        <w:pStyle w:val="4"/>
        <w:bidi w:val="0"/>
      </w:pPr>
      <w:bookmarkStart w:id="59" w:name="_Toc2655"/>
      <w:r>
        <w:rPr>
          <w:rFonts w:hint="eastAsia"/>
        </w:rPr>
        <w:t>十一、国有资本经营预算</w:t>
      </w:r>
      <w:r>
        <w:rPr>
          <w:rFonts w:hint="eastAsia"/>
          <w:lang w:eastAsia="zh-CN"/>
        </w:rPr>
        <w:t>财政拨款收入</w:t>
      </w:r>
      <w:r>
        <w:rPr>
          <w:rFonts w:hint="eastAsia"/>
        </w:rPr>
        <w:t>支出决算表</w:t>
      </w:r>
      <w:bookmarkEnd w:id="59"/>
    </w:p>
    <w:p>
      <w:pPr>
        <w:pStyle w:val="4"/>
        <w:bidi w:val="0"/>
      </w:pPr>
      <w:bookmarkStart w:id="60" w:name="_Toc29937"/>
      <w:r>
        <w:rPr>
          <w:rFonts w:hint="eastAsia"/>
        </w:rPr>
        <w:t>十二、</w:t>
      </w:r>
      <w:r>
        <w:rPr>
          <w:rFonts w:hint="eastAsia"/>
          <w:lang w:eastAsia="zh-CN"/>
        </w:rPr>
        <w:t>国有资本经营预算财政拨款支出决算表</w:t>
      </w:r>
      <w:bookmarkEnd w:id="60"/>
    </w:p>
    <w:p>
      <w:pPr>
        <w:pStyle w:val="4"/>
        <w:bidi w:val="0"/>
        <w:rPr>
          <w:rFonts w:hint="eastAsia" w:eastAsia="仿宋"/>
          <w:color w:val="000000"/>
          <w:lang w:eastAsia="zh-CN"/>
        </w:rPr>
      </w:pPr>
      <w:bookmarkStart w:id="61" w:name="_Toc14602"/>
      <w:r>
        <w:rPr>
          <w:rFonts w:hint="eastAsia"/>
        </w:rPr>
        <w:t>十三、</w:t>
      </w:r>
      <w:r>
        <w:rPr>
          <w:rFonts w:hint="eastAsia"/>
          <w:lang w:eastAsia="zh-CN"/>
        </w:rPr>
        <w:t>财政拨款“三公”经费支出决算表</w:t>
      </w:r>
      <w:bookmarkEnd w:id="61"/>
    </w:p>
    <w:sectPr>
      <w:pgSz w:w="11906" w:h="16838"/>
      <w:pgMar w:top="1440" w:right="1800" w:bottom="1440" w:left="1800" w:header="720" w:footer="7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楷体">
    <w:altName w:val="方正楷体_GBK"/>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等线">
    <w:altName w:val="宋体"/>
    <w:panose1 w:val="02010600030101010101"/>
    <w:charset w:val="86"/>
    <w:family w:val="auto"/>
    <w:pitch w:val="default"/>
    <w:sig w:usb0="00000000" w:usb1="00000000" w:usb2="00000016" w:usb3="00000000" w:csb0="0004000F"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Arial">
    <w:panose1 w:val="020B0604020202020204"/>
    <w:charset w:val="00"/>
    <w:family w:val="auto"/>
    <w:pitch w:val="default"/>
    <w:sig w:usb0="00007A87" w:usb1="80000000" w:usb2="00000008" w:usb3="00000000" w:csb0="400001FF" w:csb1="F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posOffset>2359660</wp:posOffset>
              </wp:positionH>
              <wp:positionV relativeFrom="paragraph">
                <wp:posOffset>-257810</wp:posOffset>
              </wp:positionV>
              <wp:extent cx="1828800" cy="1828800"/>
              <wp:effectExtent l="0" t="0" r="0" b="0"/>
              <wp:wrapNone/>
              <wp:docPr id="8"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10"/>
                            <w:rPr>
                              <w:rFonts w:hint="eastAsia" w:ascii="宋体" w:hAnsi="宋体" w:eastAsia="宋体" w:cs="宋体"/>
                              <w:sz w:val="28"/>
                              <w:szCs w:val="44"/>
                            </w:rPr>
                          </w:pPr>
                          <w:r>
                            <w:rPr>
                              <w:rFonts w:hint="eastAsia" w:ascii="宋体" w:hAnsi="宋体" w:eastAsia="宋体" w:cs="宋体"/>
                              <w:sz w:val="28"/>
                              <w:szCs w:val="44"/>
                            </w:rP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4</w:t>
                          </w:r>
                          <w:r>
                            <w:rPr>
                              <w:rFonts w:hint="eastAsia" w:ascii="宋体" w:hAnsi="宋体" w:eastAsia="宋体" w:cs="宋体"/>
                              <w:sz w:val="28"/>
                              <w:szCs w:val="44"/>
                            </w:rPr>
                            <w:fldChar w:fldCharType="end"/>
                          </w:r>
                          <w:r>
                            <w:rPr>
                              <w:rFonts w:hint="eastAsia" w:ascii="宋体" w:hAnsi="宋体" w:eastAsia="宋体" w:cs="宋体"/>
                              <w:sz w:val="28"/>
                              <w:szCs w:val="44"/>
                            </w:rPr>
                            <w:t xml:space="preserve"> —</w:t>
                          </w:r>
                        </w:p>
                      </w:txbxContent>
                    </wps:txbx>
                    <wps:bodyPr wrap="none" lIns="0" tIns="0" rIns="0" bIns="0" upright="false">
                      <a:spAutoFit/>
                    </wps:bodyPr>
                  </wps:wsp>
                </a:graphicData>
              </a:graphic>
            </wp:anchor>
          </w:drawing>
        </mc:Choice>
        <mc:Fallback>
          <w:pict>
            <v:shape id="文本框 1" o:spid="_x0000_s1026" o:spt="202" type="#_x0000_t202" style="position:absolute;left:0pt;margin-left:185.8pt;margin-top:-20.3pt;height:144pt;width:144pt;mso-position-horizontal-relative:margin;mso-wrap-style:none;z-index:251659264;mso-width-relative:page;mso-height-relative:page;" filled="f" stroked="f" coordsize="21600,21600" o:gfxdata="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FgAA&#10;AGRycy9QSwECFAAUAAAACACHTuJA/vZMGdcAAAALAQAADwAAAAAAAAABACAAAAA4AAAAZHJzL2Rv&#10;d25yZXYueG1sUEsBAhQAFAAAAAgAh07iQCQLWPKzAQAAUgMAAA4AAAAAAAAAAQAgAAAAPAEAAGRy&#10;cy9lMm9Eb2MueG1sUEsFBgAAAAAGAAYAWQEAAGEFAAAAAA==&#10;">
              <v:fill on="f" focussize="0,0"/>
              <v:stroke on="f"/>
              <v:imagedata o:title=""/>
              <o:lock v:ext="edit" aspectratio="f"/>
              <v:textbox inset="0mm,0mm,0mm,0mm" style="mso-fit-shape-to-text:t;">
                <w:txbxContent>
                  <w:p>
                    <w:pPr>
                      <w:pStyle w:val="10"/>
                      <w:rPr>
                        <w:rFonts w:hint="eastAsia" w:ascii="宋体" w:hAnsi="宋体" w:eastAsia="宋体" w:cs="宋体"/>
                        <w:sz w:val="28"/>
                        <w:szCs w:val="44"/>
                      </w:rPr>
                    </w:pPr>
                    <w:r>
                      <w:rPr>
                        <w:rFonts w:hint="eastAsia" w:ascii="宋体" w:hAnsi="宋体" w:eastAsia="宋体" w:cs="宋体"/>
                        <w:sz w:val="28"/>
                        <w:szCs w:val="44"/>
                      </w:rPr>
                      <w:t xml:space="preserve">— </w:t>
                    </w: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4</w:t>
                    </w:r>
                    <w:r>
                      <w:rPr>
                        <w:rFonts w:hint="eastAsia" w:ascii="宋体" w:hAnsi="宋体" w:eastAsia="宋体" w:cs="宋体"/>
                        <w:sz w:val="28"/>
                        <w:szCs w:val="44"/>
                      </w:rPr>
                      <w:fldChar w:fldCharType="end"/>
                    </w:r>
                    <w:r>
                      <w:rPr>
                        <w:rFonts w:hint="eastAsia" w:ascii="宋体" w:hAnsi="宋体" w:eastAsia="宋体" w:cs="宋体"/>
                        <w:sz w:val="28"/>
                        <w:szCs w:val="4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3818A09A"/>
    <w:multiLevelType w:val="singleLevel"/>
    <w:tmpl w:val="3818A09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true"/>
  <w:embedTrueTypeFonts/>
  <w:saveSubsetFonts/>
  <w:bordersDoNotSurroundHeader w:val="false"/>
  <w:bordersDoNotSurroundFooter w:val="false"/>
  <w:documentProtection w:enforcement="0"/>
  <w:defaultTabStop w:val="420"/>
  <w:displayHorizontalDrawingGridEvery w:val="1"/>
  <w:displayVerticalDrawingGridEvery w:val="1"/>
  <w:doNotUseMarginsForDrawingGridOrigin w:val="true"/>
  <w:drawingGridHorizontalOrigin w:val="1800"/>
  <w:drawingGridVerticalOrigin w:val="1440"/>
  <w:noPunctuationKerning w:val="true"/>
  <w:characterSpacingControl w:val="compressPunctuation"/>
  <w:hdrShapeDefaults>
    <o:shapelayout v:ext="edit">
      <o:idmap v:ext="edit" data="2"/>
    </o:shapelayout>
  </w:hdrShapeDefaults>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F6F143"/>
    <w:rsid w:val="0E5A1247"/>
    <w:rsid w:val="0E7F3AAA"/>
    <w:rsid w:val="13AD0903"/>
    <w:rsid w:val="1E9E3396"/>
    <w:rsid w:val="22F97D63"/>
    <w:rsid w:val="2B4327FE"/>
    <w:rsid w:val="2BFB539F"/>
    <w:rsid w:val="337B4EF0"/>
    <w:rsid w:val="38394C4C"/>
    <w:rsid w:val="3E95498C"/>
    <w:rsid w:val="469503A7"/>
    <w:rsid w:val="48F74BC1"/>
    <w:rsid w:val="4EEF7065"/>
    <w:rsid w:val="4FB355BA"/>
    <w:rsid w:val="55175521"/>
    <w:rsid w:val="58BFEDDC"/>
    <w:rsid w:val="594B4514"/>
    <w:rsid w:val="5BB6131B"/>
    <w:rsid w:val="5D26561D"/>
    <w:rsid w:val="5F5024DD"/>
    <w:rsid w:val="5FF732A1"/>
    <w:rsid w:val="63446CED"/>
    <w:rsid w:val="66BD710C"/>
    <w:rsid w:val="672F21C9"/>
    <w:rsid w:val="6BF799D9"/>
    <w:rsid w:val="6C075DB0"/>
    <w:rsid w:val="6E5F098F"/>
    <w:rsid w:val="72D7313B"/>
    <w:rsid w:val="7F402117"/>
    <w:rsid w:val="AB5CCC8C"/>
    <w:rsid w:val="BE6594D4"/>
    <w:rsid w:val="EEF7FF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5"/>
    <w:qFormat/>
    <w:uiPriority w:val="0"/>
    <w:pPr>
      <w:widowControl w:val="0"/>
      <w:suppressAutoHyphens/>
      <w:autoSpaceDE/>
      <w:autoSpaceDN/>
      <w:bidi w:val="0"/>
      <w:snapToGrid/>
      <w:jc w:val="both"/>
    </w:pPr>
    <w:rPr>
      <w:rFonts w:ascii="Calibri" w:hAnsi="Calibri" w:eastAsia="宋体" w:cs="Times New Roman"/>
      <w:color w:val="000000"/>
      <w:kern w:val="2"/>
      <w:sz w:val="21"/>
      <w:szCs w:val="24"/>
      <w:lang w:val="en-US" w:eastAsia="zh-CN" w:bidi="ar-SA"/>
    </w:rPr>
  </w:style>
  <w:style w:type="paragraph" w:styleId="3">
    <w:name w:val="heading 1"/>
    <w:basedOn w:val="1"/>
    <w:next w:val="1"/>
    <w:link w:val="20"/>
    <w:qFormat/>
    <w:uiPriority w:val="9"/>
    <w:pPr>
      <w:keepNext/>
      <w:keepLines/>
      <w:spacing w:line="520" w:lineRule="exact"/>
      <w:jc w:val="center"/>
      <w:outlineLvl w:val="0"/>
    </w:pPr>
    <w:rPr>
      <w:rFonts w:eastAsia="宋体"/>
      <w:b/>
      <w:bCs/>
      <w:kern w:val="44"/>
      <w:sz w:val="44"/>
      <w:szCs w:val="44"/>
    </w:rPr>
  </w:style>
  <w:style w:type="paragraph" w:styleId="4">
    <w:name w:val="heading 2"/>
    <w:basedOn w:val="1"/>
    <w:next w:val="1"/>
    <w:link w:val="21"/>
    <w:unhideWhenUsed/>
    <w:qFormat/>
    <w:uiPriority w:val="9"/>
    <w:pPr>
      <w:keepNext/>
      <w:keepLines/>
      <w:spacing w:before="260" w:after="260" w:line="520" w:lineRule="exact"/>
      <w:ind w:firstLine="880" w:firstLineChars="200"/>
      <w:outlineLvl w:val="1"/>
    </w:pPr>
    <w:rPr>
      <w:rFonts w:ascii="Cambria" w:hAnsi="Cambria" w:eastAsia="楷体"/>
      <w:b/>
      <w:bCs/>
      <w:sz w:val="32"/>
      <w:szCs w:val="32"/>
    </w:rPr>
  </w:style>
  <w:style w:type="character" w:default="1" w:styleId="18">
    <w:name w:val="Default Paragraph Font"/>
    <w:link w:val="1"/>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index 6"/>
    <w:basedOn w:val="1"/>
    <w:next w:val="1"/>
    <w:qFormat/>
    <w:uiPriority w:val="0"/>
    <w:pPr>
      <w:ind w:left="2100"/>
      <w:jc w:val="center"/>
    </w:pPr>
  </w:style>
  <w:style w:type="paragraph" w:styleId="7">
    <w:name w:val="Body Text"/>
    <w:basedOn w:val="1"/>
    <w:qFormat/>
    <w:uiPriority w:val="0"/>
    <w:pPr>
      <w:spacing w:before="0" w:after="140" w:line="276" w:lineRule="auto"/>
    </w:pPr>
  </w:style>
  <w:style w:type="paragraph" w:styleId="8">
    <w:name w:val="Body Text Indent"/>
    <w:basedOn w:val="1"/>
    <w:next w:val="9"/>
    <w:qFormat/>
    <w:uiPriority w:val="0"/>
    <w:pPr>
      <w:spacing w:after="120"/>
      <w:ind w:leftChars="200"/>
    </w:pPr>
    <w:rPr>
      <w:rFonts w:ascii="仿宋_GB2312"/>
      <w:szCs w:val="32"/>
    </w:rPr>
  </w:style>
  <w:style w:type="paragraph" w:styleId="9">
    <w:name w:val="Body Text First Indent 2"/>
    <w:basedOn w:val="8"/>
    <w:next w:val="6"/>
    <w:unhideWhenUsed/>
    <w:qFormat/>
    <w:uiPriority w:val="99"/>
    <w:pPr>
      <w:ind w:firstLine="420" w:firstLine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List"/>
    <w:basedOn w:val="7"/>
    <w:qFormat/>
    <w:uiPriority w:val="0"/>
  </w:style>
  <w:style w:type="paragraph" w:styleId="14">
    <w:name w:val="footnote text"/>
    <w:basedOn w:val="1"/>
    <w:next w:val="9"/>
    <w:semiHidden/>
    <w:qFormat/>
    <w:uiPriority w:val="0"/>
    <w:pPr>
      <w:jc w:val="left"/>
    </w:pPr>
    <w:rPr>
      <w:sz w:val="18"/>
      <w:szCs w:val="18"/>
    </w:rPr>
  </w:style>
  <w:style w:type="paragraph" w:styleId="15">
    <w:name w:val="table of figures"/>
    <w:basedOn w:val="1"/>
    <w:next w:val="1"/>
    <w:unhideWhenUsed/>
    <w:qFormat/>
    <w:uiPriority w:val="99"/>
    <w:pPr>
      <w:ind w:left="200" w:leftChars="200" w:hanging="200" w:hangingChars="200"/>
    </w:pPr>
  </w:style>
  <w:style w:type="paragraph" w:styleId="16">
    <w:name w:val="toc 2"/>
    <w:basedOn w:val="1"/>
    <w:next w:val="1"/>
    <w:unhideWhenUsed/>
    <w:qFormat/>
    <w:uiPriority w:val="39"/>
    <w:pPr>
      <w:tabs>
        <w:tab w:val="right" w:leader="dot" w:pos="8296"/>
      </w:tabs>
      <w:ind w:left="420" w:leftChars="200"/>
    </w:pPr>
  </w:style>
  <w:style w:type="character" w:styleId="19">
    <w:name w:val="Strong"/>
    <w:basedOn w:val="18"/>
    <w:link w:val="1"/>
    <w:qFormat/>
    <w:uiPriority w:val="99"/>
    <w:rPr>
      <w:b/>
    </w:rPr>
  </w:style>
  <w:style w:type="character" w:customStyle="1" w:styleId="20">
    <w:name w:val="标题 1 Char"/>
    <w:basedOn w:val="18"/>
    <w:link w:val="3"/>
    <w:qFormat/>
    <w:uiPriority w:val="9"/>
    <w:rPr>
      <w:rFonts w:eastAsia="宋体"/>
      <w:b/>
      <w:bCs/>
      <w:kern w:val="44"/>
      <w:sz w:val="44"/>
      <w:szCs w:val="44"/>
    </w:rPr>
  </w:style>
  <w:style w:type="character" w:customStyle="1" w:styleId="21">
    <w:name w:val="标题 2 Char"/>
    <w:basedOn w:val="18"/>
    <w:link w:val="4"/>
    <w:qFormat/>
    <w:uiPriority w:val="9"/>
    <w:rPr>
      <w:rFonts w:ascii="Cambria" w:hAnsi="Cambria" w:eastAsia="楷体" w:cs="Times New Roman"/>
      <w:b/>
      <w:bCs/>
      <w:sz w:val="32"/>
      <w:szCs w:val="32"/>
    </w:rPr>
  </w:style>
  <w:style w:type="paragraph" w:customStyle="1" w:styleId="22">
    <w:name w:val="Heading"/>
    <w:basedOn w:val="1"/>
    <w:next w:val="7"/>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23">
    <w:name w:val="Default"/>
    <w:qFormat/>
    <w:uiPriority w:val="99"/>
    <w:pPr>
      <w:widowControl w:val="0"/>
      <w:autoSpaceDE w:val="0"/>
      <w:autoSpaceDN w:val="0"/>
      <w:snapToGrid/>
    </w:pPr>
    <w:rPr>
      <w:rFonts w:ascii="仿宋" w:hAnsi="Calibri" w:eastAsia="仿宋" w:cs="仿宋"/>
      <w:color w:val="000000"/>
      <w:kern w:val="2"/>
      <w:sz w:val="24"/>
      <w:szCs w:val="24"/>
      <w:lang w:val="en-US" w:eastAsia="zh-CN" w:bidi="ar-SA"/>
    </w:rPr>
  </w:style>
  <w:style w:type="paragraph" w:customStyle="1" w:styleId="24">
    <w:name w:val="Index"/>
    <w:basedOn w:val="1"/>
    <w:qFormat/>
    <w:uiPriority w:val="0"/>
    <w:pPr>
      <w:widowControl w:val="0"/>
      <w:suppressLineNumbers/>
      <w:suppressAutoHyphens/>
    </w:pPr>
  </w:style>
  <w:style w:type="character" w:customStyle="1" w:styleId="25">
    <w:name w:val="默认段落字体1"/>
    <w:link w:val="1"/>
    <w:qFormat/>
    <w:uiPriority w:val="0"/>
  </w:style>
  <w:style w:type="paragraph" w:styleId="2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F:\&#36213;&#33673;&#33437;\2025&#24180;\2024&#24180;&#20915;&#31639;&#20844;&#24320;\&#37096;&#38376;&#39044;&#31639;&#39033;&#30446;&#25903;&#20986;&#32489;&#25928;&#33258;&#35780;&#34920;(5).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G:\&#37096;&#38376;&#39044;&#31639;&#39033;&#30446;&#25903;&#20986;&#32489;&#25928;&#33258;&#35780;&#34920;(3).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F:\&#36213;&#33673;&#33437;\2025&#24180;\2024&#24180;&#20915;&#31639;&#20844;&#24320;\&#37096;&#38376;&#39044;&#31639;&#39033;&#30446;&#25903;&#20986;&#32489;&#25928;&#33258;&#35780;&#34920;(5).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F:\&#36213;&#33673;&#33437;\2025&#24180;\2024&#24180;&#20915;&#31639;&#20844;&#24320;\&#37096;&#38376;&#39044;&#31639;&#39033;&#30446;&#25903;&#20986;&#32489;&#25928;&#33258;&#35780;&#34920;(5).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36213;&#33673;&#33437;\2025&#24180;\2024&#24180;&#20915;&#31639;&#20844;&#24320;\&#37096;&#38376;&#39044;&#31639;&#39033;&#30446;&#25903;&#20986;&#32489;&#25928;&#33258;&#35780;&#34920;(5).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F:\&#36213;&#33673;&#33437;\2025&#24180;\2024&#24180;&#20915;&#31639;&#20844;&#24320;\&#37096;&#38376;&#39044;&#31639;&#39033;&#30446;&#25903;&#20986;&#32489;&#25928;&#33258;&#35780;&#34920;(5).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36213;&#33673;&#33437;\2025&#24180;\2024&#24180;&#20915;&#31639;&#20844;&#24320;\&#37096;&#38376;&#39044;&#31639;&#39033;&#30446;&#25903;&#20986;&#32489;&#25928;&#33258;&#35780;&#34920;(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rgbClr val="404040">
                    <a:lumMod val="75000"/>
                    <a:lumOff val="25000"/>
                  </a:srgbClr>
                </a:solidFill>
                <a:latin typeface="+mn-lt"/>
                <a:ea typeface="+mn-ea"/>
                <a:cs typeface="+mn-cs"/>
              </a:defRPr>
            </a:pPr>
            <a:r>
              <a:t>收、支决算总计变动情况图（万元）</a:t>
            </a:r>
          </a:p>
        </c:rich>
      </c:tx>
      <c:layout/>
      <c:overlay val="false"/>
      <c:spPr>
        <a:noFill/>
        <a:ln>
          <a:noFill/>
        </a:ln>
        <a:effectLst/>
      </c:spPr>
    </c:title>
    <c:autoTitleDeleted val="false"/>
    <c:plotArea>
      <c:layout/>
      <c:barChart>
        <c:barDir val="col"/>
        <c:grouping val="clustered"/>
        <c:varyColors val="false"/>
        <c:ser>
          <c:idx val="0"/>
          <c:order val="0"/>
          <c:spPr>
            <a:solidFill>
              <a:srgbClr val="4472C4"/>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round/>
                    </a:ln>
                    <a:effectLst/>
                  </c:spPr>
                </c15:leaderLines>
              </c:ext>
            </c:extLst>
          </c:dLbls>
          <c:cat>
            <c:strRef>
              <c:f>'[部门预算项目支出绩效自评表(5).xlsx]Sheet1'!$B$4:$C$4</c:f>
              <c:strCache>
                <c:ptCount val="2"/>
                <c:pt idx="0">
                  <c:v>2023年</c:v>
                </c:pt>
                <c:pt idx="1">
                  <c:v>2024年</c:v>
                </c:pt>
              </c:strCache>
            </c:strRef>
          </c:cat>
          <c:val>
            <c:numRef>
              <c:f>'[部门预算项目支出绩效自评表(5).xlsx]Sheet1'!$B$5:$C$5</c:f>
              <c:numCache>
                <c:formatCode>General</c:formatCode>
                <c:ptCount val="2"/>
                <c:pt idx="0">
                  <c:v>305.59</c:v>
                </c:pt>
                <c:pt idx="1">
                  <c:v>330.81</c:v>
                </c:pt>
              </c:numCache>
            </c:numRef>
          </c:val>
        </c:ser>
        <c:dLbls>
          <c:showLegendKey val="false"/>
          <c:showVal val="true"/>
          <c:showCatName val="false"/>
          <c:showSerName val="false"/>
          <c:showPercent val="false"/>
          <c:showBubbleSize val="false"/>
        </c:dLbls>
        <c:gapWidth val="150"/>
        <c:overlap val="0"/>
        <c:axId val="960051360"/>
        <c:axId val="554505303"/>
      </c:barChart>
      <c:catAx>
        <c:axId val="960051360"/>
        <c:scaling>
          <c:orientation val="minMax"/>
        </c:scaling>
        <c:delete val="false"/>
        <c:axPos val="b"/>
        <c:majorTickMark val="none"/>
        <c:minorTickMark val="none"/>
        <c:tickLblPos val="nextTo"/>
        <c:spPr>
          <a:noFill/>
          <a:ln w="9525" cap="flat" cmpd="sng" algn="ctr">
            <a:solidFill>
              <a:srgbClr val="D9D9D9">
                <a:lumMod val="15000"/>
                <a:lumOff val="85000"/>
              </a:srgbClr>
            </a:solidFill>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554505303"/>
        <c:crosses val="autoZero"/>
        <c:auto val="true"/>
        <c:lblAlgn val="ctr"/>
        <c:lblOffset val="100"/>
        <c:noMultiLvlLbl val="false"/>
      </c:catAx>
      <c:valAx>
        <c:axId val="554505303"/>
        <c:scaling>
          <c:orientation val="minMax"/>
        </c:scaling>
        <c:delete val="false"/>
        <c:axPos val="l"/>
        <c:majorGridlines>
          <c:spPr>
            <a:ln w="9525" cap="flat" cmpd="sng" algn="ctr">
              <a:solidFill>
                <a:srgbClr val="E6E6E6">
                  <a:lumMod val="90200"/>
                </a:srgb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960051360"/>
        <c:crosses val="autoZero"/>
        <c:crossBetween val="between"/>
      </c:valAx>
      <c:spPr>
        <a:noFill/>
        <a:ln>
          <a:noFill/>
        </a:ln>
        <a:effectLst/>
      </c:spPr>
    </c:plotArea>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rgbClr val="404040">
                    <a:lumMod val="75000"/>
                    <a:lumOff val="25000"/>
                  </a:srgbClr>
                </a:solidFill>
                <a:latin typeface="+mn-lt"/>
                <a:ea typeface="+mn-ea"/>
                <a:cs typeface="+mn-cs"/>
              </a:defRPr>
            </a:pPr>
            <a:r>
              <a:t>收入决算结构图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rgbClr val="4F81BD"/>
              </a:solidFill>
              <a:ln>
                <a:solidFill>
                  <a:srgbClr val="FFFFFF"/>
                </a:solidFill>
              </a:ln>
              <a:effectLst/>
            </c:spPr>
          </c:dPt>
          <c:dPt>
            <c:idx val="1"/>
            <c:bubble3D val="false"/>
            <c:spPr>
              <a:solidFill>
                <a:srgbClr val="C0504D"/>
              </a:solidFill>
              <a:ln>
                <a:solidFill>
                  <a:srgbClr val="FFFFFF"/>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in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round/>
                    </a:ln>
                    <a:effectLst/>
                  </c:spPr>
                </c15:leaderLines>
              </c:ext>
            </c:extLst>
          </c:dLbls>
          <c:cat>
            <c:strRef>
              <c:f>'[部门预算项目支出绩效自评表(3).xlsx]Sheet1'!$A$19:$A$20</c:f>
              <c:strCache>
                <c:ptCount val="2"/>
                <c:pt idx="0">
                  <c:v>收入决算结构图</c:v>
                </c:pt>
                <c:pt idx="1">
                  <c:v>一般公共预算</c:v>
                </c:pt>
              </c:strCache>
            </c:strRef>
          </c:cat>
          <c:val>
            <c:numRef>
              <c:f>'[部门预算项目支出绩效自评表(3).xlsx]Sheet1'!$B$19:$B$20</c:f>
              <c:numCache>
                <c:formatCode>General</c:formatCode>
                <c:ptCount val="2"/>
                <c:pt idx="1" c:formatCode="0%">
                  <c:v>1</c:v>
                </c:pt>
              </c:numCache>
            </c:numRef>
          </c:val>
        </c:ser>
        <c:dLbls>
          <c:showLegendKey val="false"/>
          <c:showVal val="false"/>
          <c:showCatName val="true"/>
          <c:showSerName val="false"/>
          <c:showPercent val="true"/>
          <c:showBubbleSize val="false"/>
          <c:showLeaderLines val="true"/>
        </c:dLbls>
        <c:firstSliceAng val="0"/>
      </c:pieChart>
      <c:spPr>
        <a:noFill/>
        <a:ln>
          <a:noFill/>
        </a:ln>
        <a:effectLst/>
      </c:spPr>
    </c:plotArea>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rgbClr val="404040">
                    <a:lumMod val="75000"/>
                    <a:lumOff val="25000"/>
                  </a:srgb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spPr/>
          <c:explosion val="0"/>
          <c:dPt>
            <c:idx val="0"/>
            <c:bubble3D val="false"/>
            <c:spPr>
              <a:solidFill>
                <a:srgbClr val="4472C4"/>
              </a:solidFill>
              <a:ln>
                <a:solidFill>
                  <a:srgbClr val="FFFFFF"/>
                </a:solidFill>
              </a:ln>
              <a:effectLst/>
            </c:spPr>
          </c:dPt>
          <c:dPt>
            <c:idx val="1"/>
            <c:bubble3D val="false"/>
            <c:spPr>
              <a:solidFill>
                <a:srgbClr val="ED7D31"/>
              </a:solidFill>
              <a:ln>
                <a:solidFill>
                  <a:srgbClr val="FFFFFF"/>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round/>
                    </a:ln>
                    <a:effectLst/>
                  </c:spPr>
                </c15:leaderLines>
              </c:ext>
            </c:extLst>
          </c:dLbls>
          <c:cat>
            <c:strRef>
              <c:f>'[部门预算项目支出绩效自评表(5).xlsx]Sheet1'!$B$23:$B$24</c:f>
              <c:strCache>
                <c:ptCount val="2"/>
                <c:pt idx="0">
                  <c:v>基本支出</c:v>
                </c:pt>
                <c:pt idx="1">
                  <c:v>项目支出</c:v>
                </c:pt>
              </c:strCache>
            </c:strRef>
          </c:cat>
          <c:val>
            <c:numRef>
              <c:f>'[部门预算项目支出绩效自评表(5).xlsx]Sheet1'!$C$23:$C$24</c:f>
              <c:numCache>
                <c:formatCode>0.00%</c:formatCode>
                <c:ptCount val="2"/>
                <c:pt idx="0">
                  <c:v>0.276419186521657</c:v>
                </c:pt>
                <c:pt idx="1">
                  <c:v>0.723580813478343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rgbClr val="404040">
                    <a:lumMod val="75000"/>
                    <a:lumOff val="25000"/>
                  </a:srgbClr>
                </a:solidFill>
                <a:latin typeface="+mn-lt"/>
                <a:ea typeface="+mn-ea"/>
                <a:cs typeface="+mn-cs"/>
              </a:defRPr>
            </a:pPr>
            <a:r>
              <a:t>收、支决算总计变动情况图（万元）</a:t>
            </a:r>
          </a:p>
        </c:rich>
      </c:tx>
      <c:layout>
        <c:manualLayout>
          <c:xMode val="edge"/>
          <c:yMode val="edge"/>
          <c:x val="0.00394736842105263"/>
          <c:y val="0.00694444444444444"/>
        </c:manualLayout>
      </c:layout>
      <c:overlay val="false"/>
      <c:spPr>
        <a:noFill/>
        <a:ln>
          <a:noFill/>
        </a:ln>
        <a:effectLst/>
      </c:spPr>
    </c:title>
    <c:autoTitleDeleted val="false"/>
    <c:plotArea>
      <c:layout/>
      <c:barChart>
        <c:barDir val="col"/>
        <c:grouping val="clustered"/>
        <c:varyColors val="false"/>
        <c:ser>
          <c:idx val="0"/>
          <c:order val="0"/>
          <c:spPr>
            <a:solidFill>
              <a:srgbClr val="4472C4"/>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round/>
                    </a:ln>
                    <a:effectLst/>
                  </c:spPr>
                </c15:leaderLines>
              </c:ext>
            </c:extLst>
          </c:dLbls>
          <c:cat>
            <c:strRef>
              <c:f>'[部门预算项目支出绩效自评表(5).xlsx]Sheet1'!$B$4:$C$4</c:f>
              <c:strCache>
                <c:ptCount val="2"/>
                <c:pt idx="0">
                  <c:v>2023年</c:v>
                </c:pt>
                <c:pt idx="1">
                  <c:v>2024年</c:v>
                </c:pt>
              </c:strCache>
            </c:strRef>
          </c:cat>
          <c:val>
            <c:numRef>
              <c:f>'[部门预算项目支出绩效自评表(5).xlsx]Sheet1'!$B$5:$C$5</c:f>
              <c:numCache>
                <c:formatCode>General</c:formatCode>
                <c:ptCount val="2"/>
                <c:pt idx="0">
                  <c:v>305.59</c:v>
                </c:pt>
                <c:pt idx="1">
                  <c:v>330.81</c:v>
                </c:pt>
              </c:numCache>
            </c:numRef>
          </c:val>
        </c:ser>
        <c:dLbls>
          <c:showLegendKey val="false"/>
          <c:showVal val="true"/>
          <c:showCatName val="false"/>
          <c:showSerName val="false"/>
          <c:showPercent val="false"/>
          <c:showBubbleSize val="false"/>
        </c:dLbls>
        <c:gapWidth val="150"/>
        <c:overlap val="0"/>
        <c:axId val="960051360"/>
        <c:axId val="554505303"/>
      </c:barChart>
      <c:catAx>
        <c:axId val="960051360"/>
        <c:scaling>
          <c:orientation val="minMax"/>
        </c:scaling>
        <c:delete val="false"/>
        <c:axPos val="b"/>
        <c:majorTickMark val="none"/>
        <c:minorTickMark val="none"/>
        <c:tickLblPos val="nextTo"/>
        <c:spPr>
          <a:noFill/>
          <a:ln w="9525" cap="flat" cmpd="sng" algn="ctr">
            <a:solidFill>
              <a:srgbClr val="D9D9D9">
                <a:lumMod val="15000"/>
                <a:lumOff val="85000"/>
              </a:srgbClr>
            </a:solidFill>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554505303"/>
        <c:crosses val="autoZero"/>
        <c:auto val="true"/>
        <c:lblAlgn val="ctr"/>
        <c:lblOffset val="100"/>
        <c:noMultiLvlLbl val="false"/>
      </c:catAx>
      <c:valAx>
        <c:axId val="554505303"/>
        <c:scaling>
          <c:orientation val="minMax"/>
        </c:scaling>
        <c:delete val="false"/>
        <c:axPos val="l"/>
        <c:majorGridlines>
          <c:spPr>
            <a:ln w="9525" cap="flat" cmpd="sng" algn="ctr">
              <a:solidFill>
                <a:srgbClr val="E6E6E6">
                  <a:lumMod val="90200"/>
                </a:srgb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960051360"/>
        <c:crosses val="autoZero"/>
        <c:crossBetween val="between"/>
      </c:valAx>
      <c:spPr>
        <a:noFill/>
        <a:ln>
          <a:noFill/>
        </a:ln>
        <a:effectLst/>
      </c:spPr>
    </c:plotArea>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rgbClr val="404040">
                    <a:lumMod val="75000"/>
                    <a:lumOff val="25000"/>
                  </a:srgbClr>
                </a:solidFill>
                <a:latin typeface="+mn-lt"/>
                <a:ea typeface="+mn-ea"/>
                <a:cs typeface="+mn-cs"/>
              </a:defRPr>
            </a:pPr>
            <a:r>
              <a:t>一般公共预算财政拨款支出决算变动情况</a:t>
            </a:r>
          </a:p>
        </c:rich>
      </c:tx>
      <c:layout/>
      <c:overlay val="false"/>
      <c:spPr>
        <a:noFill/>
        <a:ln>
          <a:noFill/>
        </a:ln>
        <a:effectLst/>
      </c:spPr>
    </c:title>
    <c:autoTitleDeleted val="false"/>
    <c:plotArea>
      <c:layout/>
      <c:barChart>
        <c:barDir val="col"/>
        <c:grouping val="clustered"/>
        <c:varyColors val="false"/>
        <c:ser>
          <c:idx val="0"/>
          <c:order val="0"/>
          <c:spPr>
            <a:solidFill>
              <a:srgbClr val="4472C4"/>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round/>
                    </a:ln>
                    <a:effectLst/>
                  </c:spPr>
                </c15:leaderLines>
              </c:ext>
            </c:extLst>
          </c:dLbls>
          <c:cat>
            <c:strRef>
              <c:f>'[部门预算项目支出绩效自评表(5).xlsx]Sheet1'!$B$34:$C$34</c:f>
              <c:strCache>
                <c:ptCount val="2"/>
                <c:pt idx="0">
                  <c:v>2023年</c:v>
                </c:pt>
                <c:pt idx="1">
                  <c:v>2024年</c:v>
                </c:pt>
              </c:strCache>
            </c:strRef>
          </c:cat>
          <c:val>
            <c:numRef>
              <c:f>'[部门预算项目支出绩效自评表(5).xlsx]Sheet1'!$B$35:$C$35</c:f>
              <c:numCache>
                <c:formatCode>General</c:formatCode>
                <c:ptCount val="2"/>
                <c:pt idx="0">
                  <c:v>301.27</c:v>
                </c:pt>
                <c:pt idx="1">
                  <c:v>318.14</c:v>
                </c:pt>
              </c:numCache>
            </c:numRef>
          </c:val>
        </c:ser>
        <c:dLbls>
          <c:showLegendKey val="false"/>
          <c:showVal val="true"/>
          <c:showCatName val="false"/>
          <c:showSerName val="false"/>
          <c:showPercent val="false"/>
          <c:showBubbleSize val="false"/>
        </c:dLbls>
        <c:gapWidth val="246"/>
        <c:overlap val="-28"/>
        <c:axId val="966795056"/>
        <c:axId val="789144661"/>
      </c:barChart>
      <c:catAx>
        <c:axId val="966795056"/>
        <c:scaling>
          <c:orientation val="minMax"/>
        </c:scaling>
        <c:delete val="false"/>
        <c:axPos val="b"/>
        <c:majorTickMark val="none"/>
        <c:minorTickMark val="none"/>
        <c:tickLblPos val="nextTo"/>
        <c:spPr>
          <a:noFill/>
          <a:ln w="9525" cap="flat" cmpd="sng" algn="ctr">
            <a:solidFill>
              <a:srgbClr val="D9D9D9">
                <a:lumMod val="15000"/>
                <a:lumOff val="85000"/>
              </a:srgbClr>
            </a:solidFill>
            <a:round/>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789144661"/>
        <c:crosses val="autoZero"/>
        <c:auto val="true"/>
        <c:lblAlgn val="ctr"/>
        <c:lblOffset val="100"/>
        <c:noMultiLvlLbl val="false"/>
      </c:catAx>
      <c:valAx>
        <c:axId val="789144661"/>
        <c:scaling>
          <c:orientation val="minMax"/>
        </c:scaling>
        <c:delete val="false"/>
        <c:axPos val="l"/>
        <c:majorGridlines>
          <c:spPr>
            <a:ln w="9525" cap="flat" cmpd="sng" algn="ctr">
              <a:solidFill>
                <a:srgbClr val="E6E6E6">
                  <a:lumMod val="90200"/>
                </a:srgb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crossAx val="966795056"/>
        <c:crosses val="autoZero"/>
        <c:crossBetween val="between"/>
      </c:valAx>
      <c:spPr>
        <a:noFill/>
        <a:ln>
          <a:noFill/>
        </a:ln>
        <a:effectLst/>
      </c:spPr>
    </c:plotArea>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rgbClr val="404040">
                    <a:lumMod val="75000"/>
                    <a:lumOff val="25000"/>
                  </a:srgbClr>
                </a:solidFill>
                <a:latin typeface="+mn-lt"/>
                <a:ea typeface="+mn-ea"/>
                <a:cs typeface="+mn-cs"/>
              </a:defRPr>
            </a:pPr>
            <a:r>
              <a:t>一般公共预算财政拨款支出决算结构表</a:t>
            </a:r>
            <a:endParaRPr lang="en-US" altLang="zh-CN"/>
          </a:p>
        </c:rich>
      </c:tx>
      <c:layout/>
      <c:overlay val="false"/>
      <c:spPr>
        <a:noFill/>
        <a:ln>
          <a:noFill/>
        </a:ln>
        <a:effectLst/>
      </c:spPr>
    </c:title>
    <c:autoTitleDeleted val="false"/>
    <c:plotArea>
      <c:layout/>
      <c:pieChart>
        <c:varyColors val="true"/>
        <c:ser>
          <c:idx val="0"/>
          <c:order val="0"/>
          <c:spPr/>
          <c:explosion val="0"/>
          <c:dPt>
            <c:idx val="0"/>
            <c:bubble3D val="false"/>
            <c:spPr>
              <a:solidFill>
                <a:srgbClr val="4472C4"/>
              </a:solidFill>
              <a:ln>
                <a:solidFill>
                  <a:srgbClr val="FFFFFF"/>
                </a:solidFill>
              </a:ln>
              <a:effectLst/>
            </c:spPr>
          </c:dPt>
          <c:dPt>
            <c:idx val="1"/>
            <c:bubble3D val="false"/>
            <c:spPr>
              <a:solidFill>
                <a:srgbClr val="ED7D31"/>
              </a:solidFill>
              <a:ln>
                <a:solidFill>
                  <a:srgbClr val="FFFFFF"/>
                </a:solidFill>
              </a:ln>
              <a:effectLst/>
            </c:spPr>
          </c:dPt>
          <c:dPt>
            <c:idx val="2"/>
            <c:bubble3D val="false"/>
            <c:spPr>
              <a:solidFill>
                <a:srgbClr val="A5A5A5"/>
              </a:solidFill>
              <a:ln>
                <a:solidFill>
                  <a:srgbClr val="FFFFFF"/>
                </a:solidFill>
              </a:ln>
              <a:effectLst/>
            </c:spPr>
          </c:dPt>
          <c:dPt>
            <c:idx val="3"/>
            <c:bubble3D val="false"/>
            <c:spPr>
              <a:solidFill>
                <a:srgbClr val="FFC000"/>
              </a:solidFill>
              <a:ln>
                <a:solidFill>
                  <a:srgbClr val="FFFFFF"/>
                </a:solidFill>
              </a:ln>
              <a:effectLst/>
            </c:spPr>
          </c:dPt>
          <c:dLbls>
            <c:dLbl>
              <c:idx val="1"/>
              <c:layout>
                <c:manualLayout>
                  <c:x val="-0.217136479584228"/>
                  <c:y val="-0.0016762022002804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035649477116066"/>
                  <c:y val="-0.02591343576366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184835077558855"/>
                  <c:y val="-0.00504888485934181"/>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round/>
                    </a:ln>
                    <a:effectLst/>
                  </c:spPr>
                </c15:leaderLines>
              </c:ext>
            </c:extLst>
          </c:dLbls>
          <c:cat>
            <c:strRef>
              <c:f>'[部门预算项目支出绩效自评表(5).xlsx]Sheet1'!$B$52:$B$55</c:f>
              <c:strCache>
                <c:ptCount val="4"/>
                <c:pt idx="0">
                  <c:v>一般公共服务支出</c:v>
                </c:pt>
                <c:pt idx="1">
                  <c:v>社会保障和就业支出</c:v>
                </c:pt>
                <c:pt idx="2">
                  <c:v>卫生健康支出</c:v>
                </c:pt>
                <c:pt idx="3">
                  <c:v>住房保障支出</c:v>
                </c:pt>
              </c:strCache>
            </c:strRef>
          </c:cat>
          <c:val>
            <c:numRef>
              <c:f>'[部门预算项目支出绩效自评表(5).xlsx]Sheet1'!$C$52:$C$55</c:f>
              <c:numCache>
                <c:formatCode>0.00%</c:formatCode>
                <c:ptCount val="4"/>
                <c:pt idx="0">
                  <c:v>0.94244672156912</c:v>
                </c:pt>
                <c:pt idx="1">
                  <c:v>0.0265292009807003</c:v>
                </c:pt>
                <c:pt idx="2">
                  <c:v>0.00939837807254668</c:v>
                </c:pt>
                <c:pt idx="3">
                  <c:v>0.0216256993776325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rgbClr val="404040">
                    <a:lumMod val="75000"/>
                    <a:lumOff val="25000"/>
                  </a:srgbClr>
                </a:solidFill>
                <a:latin typeface="+mn-lt"/>
                <a:ea typeface="+mn-ea"/>
                <a:cs typeface="+mn-cs"/>
              </a:defRPr>
            </a:pPr>
            <a:r>
              <a:t>“三公”经费财政拨款支出结构	</a:t>
            </a:r>
          </a:p>
        </c:rich>
      </c:tx>
      <c:layout/>
      <c:overlay val="false"/>
      <c:spPr>
        <a:noFill/>
        <a:ln>
          <a:noFill/>
        </a:ln>
        <a:effectLst/>
      </c:spPr>
    </c:title>
    <c:autoTitleDeleted val="false"/>
    <c:plotArea>
      <c:layout/>
      <c:pieChart>
        <c:varyColors val="true"/>
        <c:ser>
          <c:idx val="0"/>
          <c:order val="0"/>
          <c:spPr/>
          <c:explosion val="0"/>
          <c:dPt>
            <c:idx val="0"/>
            <c:bubble3D val="false"/>
            <c:spPr>
              <a:solidFill>
                <a:srgbClr val="4472C4"/>
              </a:solidFill>
              <a:ln>
                <a:solidFill>
                  <a:srgbClr val="FFFFFF"/>
                </a:solidFill>
              </a:ln>
              <a:effectLst/>
            </c:spPr>
          </c:dPt>
          <c:dPt>
            <c:idx val="1"/>
            <c:bubble3D val="false"/>
            <c:spPr>
              <a:solidFill>
                <a:srgbClr val="ED7D31"/>
              </a:solidFill>
              <a:ln>
                <a:solidFill>
                  <a:srgbClr val="FFFFFF"/>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rgbClr val="404040">
                        <a:lumMod val="75000"/>
                        <a:lumOff val="25000"/>
                      </a:srgb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rgbClr val="A6A6A6">
                          <a:lumMod val="35000"/>
                          <a:lumOff val="65000"/>
                        </a:srgbClr>
                      </a:solidFill>
                      <a:round/>
                    </a:ln>
                    <a:effectLst/>
                  </c:spPr>
                </c15:leaderLines>
              </c:ext>
            </c:extLst>
          </c:dLbls>
          <c:cat>
            <c:strRef>
              <c:f>'[部门预算项目支出绩效自评表(5).xlsx]Sheet1'!$B$61:$B$62</c:f>
              <c:strCache>
                <c:ptCount val="2"/>
                <c:pt idx="0">
                  <c:v>“三公”经费财政拨款支出结构</c:v>
                </c:pt>
                <c:pt idx="1">
                  <c:v>公务接待支出</c:v>
                </c:pt>
              </c:strCache>
            </c:strRef>
          </c:cat>
          <c:val>
            <c:numRef>
              <c:f>'[部门预算项目支出绩效自评表(5).xlsx]Sheet1'!$C$61:$C$62</c:f>
              <c:numCache>
                <c:formatCode>General</c:formatCode>
                <c:ptCount val="2"/>
                <c:pt idx="1" c:formatCode="0%">
                  <c:v>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egendEntry>
        <c:idx val="0"/>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rgbClr val="595959">
                  <a:lumMod val="65000"/>
                  <a:lumOff val="35000"/>
                </a:srgbClr>
              </a:solidFill>
              <a:latin typeface="+mn-lt"/>
              <a:ea typeface="+mn-ea"/>
              <a:cs typeface="+mn-cs"/>
            </a:defRPr>
          </a:pPr>
        </a:p>
      </c:txPr>
    </c:legend>
    <c:plotVisOnly val="true"/>
    <c:dispBlanksAs val="gap"/>
    <c:showDLblsOverMax val="false"/>
  </c:chart>
  <c:spPr>
    <a:solidFill>
      <a:srgbClr val="FFFFFF"/>
    </a:solidFill>
    <a:ln w="9525" cap="flat" cmpd="sng" algn="ctr">
      <a:solidFill>
        <a:srgbClr val="D9D9D9">
          <a:lumMod val="15000"/>
          <a:lumOff val="85000"/>
        </a:srgb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rgbClr val="000000"/>
    </cs:fontRef>
    <cs:spPr>
      <a:ln>
        <a:noFill/>
      </a:ln>
      <a:effectLst/>
    </cs:spPr>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rgbClr val="000000"/>
    </cs:fontRef>
    <cs:spPr>
      <a:ln>
        <a:noFill/>
      </a:ln>
      <a:effectLst/>
    </cs:spPr>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rgbClr val="000000"/>
    </cs:fontRef>
    <cs:spPr>
      <a:ln>
        <a:noFill/>
      </a:ln>
      <a:effectLst/>
    </cs:spPr>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35</Pages>
  <Words>3686</Words>
  <Characters>4089</Characters>
  <TotalTime>1</TotalTime>
  <ScaleCrop>false</ScaleCrop>
  <LinksUpToDate>false</LinksUpToDate>
  <CharactersWithSpaces>4143</CharactersWithSpaces>
  <Application>WPS Office_11.8.2.9980_F1E327BC-269C-435d-A152-05C5408002CA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2025-09-03T01:26:00Z</dcterms:created>
  <dc:creator>Administrator</dc:creator>
  <cp:lastModifiedBy> </cp:lastModifiedBy>
  <dcterms:modified xsi:type="dcterms:W3CDTF">2025-10-13T20:39:09Z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eyJoZGlkIjoiYTc2ZGZiNzZiNDVlOGViOWVmM2JhOTY0NGJkNjUyYzgiLCJ1c2VySWQiOiIyMjA2OTAwNTAifQ==</vt:lpwstr>
  </property>
  <property fmtid="{D5CDD505-2E9C-101B-9397-08002B2CF9AE}" pid="3" name="KSOProductBuildVer">
    <vt:lpwstr>2052-11.8.2.9980</vt:lpwstr>
  </property>
  <property fmtid="{D5CDD505-2E9C-101B-9397-08002B2CF9AE}" pid="4" name="ICV">
    <vt:lpwstr>8FFD6E7262A943999C3C6C53312596F1_13</vt:lpwstr>
  </property>
</Properties>
</file>