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hAnsi="宋体" w:eastAsia="方正小标宋简体" w:cs="Times New Roman"/>
          <w:color w:val="auto"/>
          <w:w w:val="90"/>
          <w:kern w:val="2"/>
          <w:sz w:val="44"/>
          <w:szCs w:val="44"/>
          <w:highlight w:val="none"/>
          <w:lang w:val="en-US" w:eastAsia="zh-CN" w:bidi="ar-SA"/>
        </w:rPr>
      </w:pPr>
      <w:r>
        <w:rPr>
          <w:rFonts w:hint="eastAsia" w:ascii="方正小标宋简体" w:hAnsi="宋体" w:eastAsia="方正小标宋简体" w:cs="Times New Roman"/>
          <w:color w:val="auto"/>
          <w:w w:val="90"/>
          <w:kern w:val="2"/>
          <w:sz w:val="44"/>
          <w:szCs w:val="44"/>
          <w:highlight w:val="none"/>
          <w:lang w:val="en-US" w:eastAsia="zh-CN" w:bidi="ar-SA"/>
        </w:rPr>
        <w:t>2024年度广元市林业科学研究院单位决算</w:t>
      </w:r>
    </w:p>
    <w:p>
      <w:pPr>
        <w:widowControl/>
        <w:jc w:val="center"/>
        <w:rPr>
          <w:rFonts w:ascii="黑体" w:hAnsi="黑体" w:eastAsia="黑体" w:cs="Times New Roman"/>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0"/>
        <w:rPr>
          <w:color w:val="auto"/>
          <w:highlight w:val="none"/>
        </w:rPr>
      </w:pPr>
      <w:r>
        <w:rPr>
          <w:rFonts w:hint="eastAsia"/>
          <w:color w:val="auto"/>
          <w:highlight w:val="none"/>
        </w:rPr>
        <w:t>公开时间：20</w:t>
      </w:r>
      <w:r>
        <w:rPr>
          <w:rFonts w:hint="eastAsia"/>
          <w:color w:val="auto"/>
          <w:highlight w:val="none"/>
          <w:lang w:val="en-US" w:eastAsia="zh-CN"/>
        </w:rPr>
        <w:t>25</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14</w:t>
      </w:r>
      <w:r>
        <w:rPr>
          <w:rFonts w:hint="eastAsia"/>
          <w:color w:val="auto"/>
          <w:highlight w:val="none"/>
        </w:rPr>
        <w:t>日</w:t>
      </w:r>
    </w:p>
    <w:p>
      <w:pPr>
        <w:rPr>
          <w:color w:val="auto"/>
          <w:highlight w:val="none"/>
        </w:rPr>
      </w:pPr>
    </w:p>
    <w:sdt>
      <w:sdtPr>
        <w:rPr>
          <w:rFonts w:ascii="宋体" w:hAnsi="宋体" w:eastAsia="宋体" w:cs="Times New Roman"/>
          <w:color w:val="auto"/>
          <w:kern w:val="2"/>
          <w:sz w:val="21"/>
          <w:szCs w:val="24"/>
          <w:lang w:val="en-US" w:eastAsia="zh-CN" w:bidi="ar-SA"/>
        </w:rPr>
        <w:id w:val="147463404"/>
        <w15:color w:val="DBDBDB"/>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10"/>
            <w:tabs>
              <w:tab w:val="right" w:leader="dot" w:pos="8306"/>
              <w:tab w:val="clear" w:pos="8296"/>
            </w:tabs>
            <w:rPr>
              <w:rFonts w:hint="eastAsia" w:ascii="仿宋_GB2312" w:hAnsi="仿宋_GB2312" w:eastAsia="仿宋_GB2312" w:cs="仿宋_GB2312"/>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TOC \o "1-2" \h \u </w:instrText>
          </w:r>
          <w:r>
            <w:rPr>
              <w:rFonts w:hint="eastAsia" w:asciiTheme="minorEastAsia" w:hAnsiTheme="minorEastAsia" w:eastAsiaTheme="minorEastAsia" w:cstheme="minorEastAsia"/>
              <w:sz w:val="28"/>
              <w:szCs w:val="28"/>
            </w:rPr>
            <w:fldChar w:fldCharType="separate"/>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_Toc13845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 xml:space="preserve">第一部分 </w:t>
          </w:r>
          <w:r>
            <w:rPr>
              <w:rFonts w:hint="eastAsia" w:ascii="仿宋_GB2312" w:hAnsi="仿宋_GB2312" w:eastAsia="仿宋_GB2312" w:cs="仿宋_GB2312"/>
              <w:sz w:val="28"/>
              <w:szCs w:val="28"/>
              <w:highlight w:val="none"/>
              <w:lang w:eastAsia="zh-CN"/>
            </w:rPr>
            <w:t>单位</w:t>
          </w:r>
          <w:r>
            <w:rPr>
              <w:rFonts w:hint="eastAsia" w:ascii="仿宋_GB2312" w:hAnsi="仿宋_GB2312" w:eastAsia="仿宋_GB2312" w:cs="仿宋_GB2312"/>
              <w:bCs w:val="0"/>
              <w:sz w:val="28"/>
              <w:szCs w:val="28"/>
              <w:highlight w:val="none"/>
            </w:rPr>
            <w:t>概况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_Toc13845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_Toc5643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lang w:eastAsia="zh-CN"/>
            </w:rPr>
            <w:t xml:space="preserve">一、 </w:t>
          </w:r>
          <w:r>
            <w:rPr>
              <w:rFonts w:hint="eastAsia" w:ascii="仿宋_GB2312" w:hAnsi="仿宋_GB2312" w:eastAsia="仿宋_GB2312" w:cs="仿宋_GB2312"/>
              <w:bCs w:val="0"/>
              <w:sz w:val="28"/>
              <w:szCs w:val="28"/>
              <w:highlight w:val="none"/>
              <w:lang w:eastAsia="zh-CN"/>
            </w:rPr>
            <w:t>主要职责</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_Toc5643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_Toc12063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 xml:space="preserve">二、 </w:t>
          </w:r>
          <w:r>
            <w:rPr>
              <w:rFonts w:hint="eastAsia" w:ascii="仿宋_GB2312" w:hAnsi="仿宋_GB2312" w:eastAsia="仿宋_GB2312" w:cs="仿宋_GB2312"/>
              <w:sz w:val="28"/>
              <w:szCs w:val="28"/>
              <w:highlight w:val="none"/>
              <w:lang w:val="en-US" w:eastAsia="zh-CN"/>
            </w:rPr>
            <w:t>机构设置</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_Toc12063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_Toc30445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highlight w:val="none"/>
            </w:rPr>
            <w:t xml:space="preserve">第二部分 </w:t>
          </w:r>
          <w:r>
            <w:rPr>
              <w:rFonts w:hint="eastAsia" w:ascii="仿宋_GB2312" w:hAnsi="仿宋_GB2312" w:eastAsia="仿宋_GB2312" w:cs="仿宋_GB2312"/>
              <w:bCs/>
              <w:sz w:val="28"/>
              <w:szCs w:val="28"/>
              <w:highlight w:val="none"/>
              <w:lang w:val="en-US" w:eastAsia="zh-CN"/>
            </w:rPr>
            <w:t>2024年度</w:t>
          </w:r>
          <w:r>
            <w:rPr>
              <w:rFonts w:hint="eastAsia" w:ascii="仿宋_GB2312" w:hAnsi="仿宋_GB2312" w:eastAsia="仿宋_GB2312" w:cs="仿宋_GB2312"/>
              <w:bCs/>
              <w:sz w:val="28"/>
              <w:szCs w:val="28"/>
              <w:highlight w:val="none"/>
              <w:lang w:eastAsia="zh-CN"/>
            </w:rPr>
            <w:t>单位</w:t>
          </w:r>
          <w:r>
            <w:rPr>
              <w:rFonts w:hint="eastAsia" w:ascii="仿宋_GB2312" w:hAnsi="仿宋_GB2312" w:eastAsia="仿宋_GB2312" w:cs="仿宋_GB2312"/>
              <w:bCs/>
              <w:sz w:val="28"/>
              <w:szCs w:val="28"/>
              <w:highlight w:val="none"/>
            </w:rPr>
            <w:t>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_Toc30445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_Toc27793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xml:space="preserve">一、 </w:t>
          </w:r>
          <w:r>
            <w:rPr>
              <w:rFonts w:hint="eastAsia" w:ascii="仿宋_GB2312" w:hAnsi="仿宋_GB2312" w:eastAsia="仿宋_GB2312" w:cs="仿宋_GB2312"/>
              <w:sz w:val="28"/>
              <w:szCs w:val="28"/>
              <w:highlight w:val="none"/>
            </w:rPr>
            <w:t>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_Toc27793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_Toc20973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xml:space="preserve">二、 </w:t>
          </w:r>
          <w:r>
            <w:rPr>
              <w:rFonts w:hint="eastAsia" w:ascii="仿宋_GB2312" w:hAnsi="仿宋_GB2312" w:eastAsia="仿宋_GB2312" w:cs="仿宋_GB2312"/>
              <w:sz w:val="28"/>
              <w:szCs w:val="28"/>
              <w:highlight w:val="none"/>
            </w:rPr>
            <w:t>收入决算情况说明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_Toc20973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_Toc1708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xml:space="preserve">三、 </w:t>
          </w:r>
          <w:r>
            <w:rPr>
              <w:rFonts w:hint="eastAsia" w:ascii="仿宋_GB2312" w:hAnsi="仿宋_GB2312" w:eastAsia="仿宋_GB2312" w:cs="仿宋_GB2312"/>
              <w:sz w:val="28"/>
              <w:szCs w:val="28"/>
              <w:highlight w:val="none"/>
            </w:rPr>
            <w:t>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_Toc1708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_Toc21228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四、财政拨款收入支出决算总体情况说明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_Toc21228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_Toc9192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五、一般公共预算财政拨款支出决算情况说明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_Toc9192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306"/>
              <w:tab w:val="clear" w:pos="8296"/>
            </w:tabs>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_Toc28714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（一）一般公共预算财政拨款支出决算总体情况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_Toc28714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306"/>
              <w:tab w:val="clear" w:pos="8296"/>
            </w:tabs>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_Toc27757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（二）一般公共预算财政拨款支出决算结构情况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_Toc27757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306"/>
              <w:tab w:val="clear" w:pos="8296"/>
            </w:tabs>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_Toc14460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（三）一般公共预算财政拨款支出决算具体情况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_Toc14460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_Toc9722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六、一般公共预算财政拨款基本支出决算情况说明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_Toc9722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_Toc27634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七、财政拨款“三公”经费支出决算情况说明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_Toc27634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306"/>
              <w:tab w:val="clear" w:pos="8296"/>
            </w:tabs>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_Toc9316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（一）“三公”经费财政拨款支出决算总体情况说明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_Toc9316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306"/>
              <w:tab w:val="clear" w:pos="8296"/>
            </w:tabs>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_Toc31470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（二）“三公”经费财政拨款支出决算具体情况说明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_Toc31470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_Toc23265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八、政府性基金预算支出决算情况说明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_Toc23265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_Toc9920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xml:space="preserve">九、 </w:t>
          </w:r>
          <w:r>
            <w:rPr>
              <w:rFonts w:hint="eastAsia" w:ascii="仿宋_GB2312" w:hAnsi="仿宋_GB2312" w:eastAsia="仿宋_GB2312" w:cs="仿宋_GB2312"/>
              <w:sz w:val="28"/>
              <w:szCs w:val="28"/>
              <w:highlight w:val="none"/>
            </w:rPr>
            <w:t>国有资本经营预算支出决算情况说明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_Toc9920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_Toc31917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xml:space="preserve">十、 </w:t>
          </w:r>
          <w:r>
            <w:rPr>
              <w:rFonts w:hint="eastAsia" w:ascii="仿宋_GB2312" w:hAnsi="仿宋_GB2312" w:eastAsia="仿宋_GB2312" w:cs="仿宋_GB2312"/>
              <w:sz w:val="28"/>
              <w:szCs w:val="28"/>
              <w:highlight w:val="none"/>
            </w:rPr>
            <w:t>其他重要事项的情况说明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_Toc31917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306"/>
              <w:tab w:val="clear" w:pos="8296"/>
            </w:tabs>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_Toc6201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（一）机关运行经费支出情况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_Toc6201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306"/>
              <w:tab w:val="clear" w:pos="8296"/>
            </w:tabs>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_Toc20427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（二）政府采购支出情况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_Toc20427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306"/>
              <w:tab w:val="clear" w:pos="8296"/>
            </w:tabs>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_Toc9183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（三）国有资产占有使用情况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_Toc9183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306"/>
              <w:tab w:val="clear" w:pos="8296"/>
            </w:tabs>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_Toc11001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（四）预算绩效管理情况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_Toc11001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_Toc28829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lang w:eastAsia="zh-CN"/>
            </w:rPr>
            <w:t>第三部分</w:t>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名词解释</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_Toc28829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_Toc8201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第四部分 附件</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_Toc8201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0"/>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_Toc7468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highlight w:val="none"/>
            </w:rPr>
            <w:t>第五部分 附表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_Toc7468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306"/>
              <w:tab w:val="clear" w:pos="8296"/>
            </w:tabs>
            <w:rPr>
              <w:rFonts w:hint="eastAsia" w:asciiTheme="minorEastAsia" w:hAnsiTheme="minorEastAsia" w:eastAsiaTheme="minorEastAsia" w:cstheme="minorEastAsia"/>
              <w:sz w:val="28"/>
              <w:szCs w:val="28"/>
            </w:rPr>
          </w:pPr>
        </w:p>
        <w:p>
          <w:r>
            <w:rPr>
              <w:rFonts w:hint="eastAsia" w:asciiTheme="minorEastAsia" w:hAnsiTheme="minorEastAsia" w:eastAsiaTheme="minorEastAsia" w:cstheme="minorEastAsia"/>
              <w:sz w:val="28"/>
              <w:szCs w:val="28"/>
            </w:rPr>
            <w:fldChar w:fldCharType="end"/>
          </w:r>
        </w:p>
      </w:sdtContent>
    </w:sdt>
    <w:p/>
    <w:p>
      <w:pPr>
        <w:pStyle w:val="3"/>
        <w:jc w:val="center"/>
        <w:rPr>
          <w:rFonts w:hint="eastAsia" w:ascii="黑体" w:hAnsi="黑体" w:eastAsia="黑体"/>
          <w:b w:val="0"/>
          <w:color w:val="auto"/>
          <w:highlight w:val="none"/>
        </w:rPr>
        <w:sectPr>
          <w:pgSz w:w="11906" w:h="16838"/>
          <w:pgMar w:top="1440" w:right="1800" w:bottom="1440" w:left="1800" w:header="720" w:footer="720" w:gutter="0"/>
          <w:cols w:space="720" w:num="1"/>
          <w:docGrid w:type="lines" w:linePitch="312" w:charSpace="0"/>
        </w:sectPr>
      </w:pPr>
      <w:bookmarkStart w:id="0" w:name="_Toc13845"/>
    </w:p>
    <w:p>
      <w:pPr>
        <w:pStyle w:val="3"/>
        <w:jc w:val="center"/>
        <w:rPr>
          <w:rStyle w:val="16"/>
          <w:rFonts w:ascii="黑体" w:hAnsi="黑体" w:eastAsia="黑体"/>
          <w:b/>
          <w:bCs w:val="0"/>
          <w:color w:val="auto"/>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6"/>
          <w:rFonts w:hint="eastAsia" w:ascii="黑体" w:hAnsi="黑体" w:eastAsia="黑体"/>
          <w:b w:val="0"/>
          <w:bCs w:val="0"/>
          <w:color w:val="auto"/>
          <w:highlight w:val="none"/>
        </w:rPr>
        <w:t>概况</w:t>
      </w:r>
      <w:bookmarkEnd w:id="0"/>
    </w:p>
    <w:p>
      <w:pPr>
        <w:widowControl/>
        <w:jc w:val="left"/>
        <w:rPr>
          <w:rFonts w:ascii="黑体" w:eastAsia="黑体"/>
          <w:color w:val="auto"/>
          <w:sz w:val="32"/>
          <w:szCs w:val="32"/>
          <w:highlight w:val="none"/>
        </w:rPr>
      </w:pPr>
    </w:p>
    <w:p>
      <w:pPr>
        <w:pStyle w:val="4"/>
        <w:numPr>
          <w:ilvl w:val="0"/>
          <w:numId w:val="1"/>
        </w:numPr>
        <w:outlineLvl w:val="0"/>
        <w:rPr>
          <w:rStyle w:val="17"/>
          <w:rFonts w:hint="eastAsia" w:ascii="黑体" w:hAnsi="黑体" w:eastAsia="黑体"/>
          <w:b w:val="0"/>
          <w:bCs w:val="0"/>
          <w:color w:val="auto"/>
          <w:highlight w:val="none"/>
          <w:lang w:eastAsia="zh-CN"/>
        </w:rPr>
      </w:pPr>
      <w:bookmarkStart w:id="1" w:name="_Toc5643"/>
      <w:r>
        <w:rPr>
          <w:rStyle w:val="17"/>
          <w:rFonts w:hint="eastAsia" w:ascii="黑体" w:hAnsi="黑体" w:eastAsia="黑体"/>
          <w:b w:val="0"/>
          <w:bCs w:val="0"/>
          <w:color w:val="auto"/>
          <w:highlight w:val="none"/>
          <w:lang w:eastAsia="zh-CN"/>
        </w:rPr>
        <w:t>主要职责</w:t>
      </w:r>
      <w:bookmarkEnd w:id="1"/>
    </w:p>
    <w:p>
      <w:pPr>
        <w:pageBreakBefore w:val="0"/>
        <w:widowControl w:val="0"/>
        <w:shd w:val="clear" w:color="auto" w:fill="auto"/>
        <w:kinsoku/>
        <w:wordWrap/>
        <w:overflowPunct/>
        <w:topLinePunct w:val="0"/>
        <w:autoSpaceDE/>
        <w:autoSpaceDN/>
        <w:bidi w:val="0"/>
        <w:adjustRightInd/>
        <w:snapToGrid/>
        <w:spacing w:line="576" w:lineRule="exact"/>
        <w:ind w:firstLine="640" w:firstLineChars="200"/>
        <w:textAlignment w:val="auto"/>
        <w:rPr>
          <w:rFonts w:hint="eastAsia"/>
          <w:color w:val="auto"/>
          <w:highlight w:val="none"/>
          <w:lang w:eastAsia="zh-CN"/>
        </w:rPr>
      </w:pPr>
      <w:r>
        <w:rPr>
          <w:rFonts w:hint="eastAsia" w:ascii="仿宋" w:hAnsi="仿宋" w:eastAsia="仿宋" w:cs="仿宋_GB2312"/>
          <w:color w:val="auto"/>
          <w:kern w:val="2"/>
          <w:sz w:val="32"/>
          <w:szCs w:val="32"/>
          <w:highlight w:val="none"/>
        </w:rPr>
        <w:t>主要职能是负责林木良种选育、新品种试验示范和推广，经济林丰产栽培技术研究、森林生态保护与利用研究；负责花卉产业和林下经济科研与实用技术推广；负责林业技术实验示范研究，林业技术人员培训及科技项目指导，林业科技信息服务、宣传咨询等。</w:t>
      </w:r>
    </w:p>
    <w:p>
      <w:pPr>
        <w:pStyle w:val="4"/>
        <w:numPr>
          <w:ilvl w:val="0"/>
          <w:numId w:val="1"/>
        </w:numPr>
        <w:ind w:left="0" w:leftChars="0" w:firstLine="0" w:firstLineChars="0"/>
        <w:outlineLvl w:val="0"/>
        <w:rPr>
          <w:rFonts w:hint="eastAsia" w:ascii="黑体" w:hAnsi="黑体" w:eastAsia="黑体"/>
          <w:b w:val="0"/>
          <w:color w:val="auto"/>
          <w:highlight w:val="none"/>
          <w:lang w:val="en-US" w:eastAsia="zh-CN"/>
        </w:rPr>
      </w:pPr>
      <w:bookmarkStart w:id="2" w:name="_Toc12063"/>
      <w:r>
        <w:rPr>
          <w:rFonts w:hint="eastAsia" w:ascii="黑体" w:hAnsi="黑体" w:eastAsia="黑体"/>
          <w:b w:val="0"/>
          <w:color w:val="auto"/>
          <w:highlight w:val="none"/>
          <w:lang w:val="en-US" w:eastAsia="zh-CN"/>
        </w:rPr>
        <w:t>机构设置</w:t>
      </w:r>
      <w:bookmarkEnd w:id="2"/>
    </w:p>
    <w:p>
      <w:pPr>
        <w:pageBreakBefore w:val="0"/>
        <w:widowControl w:val="0"/>
        <w:shd w:val="clear" w:color="auto" w:fill="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 w:hAnsi="仿宋" w:eastAsia="仿宋" w:cs="仿宋_GB2312"/>
          <w:color w:val="auto"/>
          <w:kern w:val="2"/>
          <w:sz w:val="32"/>
          <w:szCs w:val="32"/>
          <w:highlight w:val="none"/>
        </w:rPr>
        <w:t>本单位是广元市林业局二级单位，属独立全额财政预算单位</w:t>
      </w:r>
      <w:r>
        <w:rPr>
          <w:rFonts w:hint="eastAsia" w:ascii="仿宋" w:hAnsi="仿宋" w:eastAsia="仿宋" w:cs="仿宋_GB2312"/>
          <w:color w:val="auto"/>
          <w:kern w:val="2"/>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设有内设机构5个。无下级单位。</w:t>
      </w:r>
    </w:p>
    <w:p>
      <w:pPr>
        <w:numPr>
          <w:ilvl w:val="0"/>
          <w:numId w:val="0"/>
        </w:numPr>
        <w:ind w:leftChars="0" w:firstLine="210" w:firstLineChars="100"/>
        <w:rPr>
          <w:rFonts w:hint="eastAsia"/>
          <w:lang w:val="en-US" w:eastAsia="zh-CN"/>
        </w:rPr>
      </w:pPr>
    </w:p>
    <w:p>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ind w:right="440"/>
        <w:jc w:val="center"/>
        <w:rPr>
          <w:rStyle w:val="16"/>
          <w:rFonts w:ascii="黑体" w:hAnsi="黑体" w:eastAsia="黑体"/>
          <w:b w:val="0"/>
          <w:bCs/>
          <w:color w:val="auto"/>
          <w:highlight w:val="none"/>
        </w:rPr>
      </w:pPr>
      <w:bookmarkStart w:id="3" w:name="_Toc30445"/>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2024年度</w:t>
      </w:r>
      <w:r>
        <w:rPr>
          <w:rStyle w:val="16"/>
          <w:rFonts w:hint="eastAsia" w:ascii="黑体" w:hAnsi="黑体" w:eastAsia="黑体"/>
          <w:b w:val="0"/>
          <w:bCs/>
          <w:color w:val="auto"/>
          <w:highlight w:val="none"/>
          <w:lang w:eastAsia="zh-CN"/>
        </w:rPr>
        <w:t>单位</w:t>
      </w:r>
      <w:r>
        <w:rPr>
          <w:rStyle w:val="16"/>
          <w:rFonts w:hint="eastAsia" w:ascii="黑体" w:hAnsi="黑体" w:eastAsia="黑体"/>
          <w:b w:val="0"/>
          <w:bCs/>
          <w:color w:val="auto"/>
          <w:highlight w:val="none"/>
        </w:rPr>
        <w:t>决算情况说明</w:t>
      </w:r>
      <w:bookmarkEnd w:id="3"/>
    </w:p>
    <w:p>
      <w:pPr>
        <w:rPr>
          <w:color w:val="auto"/>
          <w:highlight w:val="none"/>
        </w:rPr>
      </w:pPr>
    </w:p>
    <w:p>
      <w:pPr>
        <w:pStyle w:val="18"/>
        <w:numPr>
          <w:ilvl w:val="0"/>
          <w:numId w:val="2"/>
        </w:numPr>
        <w:spacing w:line="600" w:lineRule="exact"/>
        <w:ind w:left="1360" w:leftChars="0" w:hanging="720" w:firstLineChars="0"/>
        <w:outlineLvl w:val="0"/>
        <w:rPr>
          <w:rStyle w:val="17"/>
          <w:rFonts w:ascii="黑体" w:hAnsi="黑体" w:eastAsia="黑体"/>
          <w:b w:val="0"/>
          <w:color w:val="auto"/>
          <w:highlight w:val="none"/>
        </w:rPr>
      </w:pPr>
      <w:bookmarkStart w:id="4" w:name="_Toc15396603"/>
      <w:bookmarkStart w:id="5" w:name="_Toc27793"/>
      <w:bookmarkStart w:id="6" w:name="_Toc15377205"/>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入支出决算总体情况说明</w:t>
      </w:r>
      <w:bookmarkEnd w:id="4"/>
      <w:bookmarkEnd w:id="5"/>
      <w:bookmarkEnd w:id="6"/>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eastAsia="zh-CN"/>
        </w:rPr>
        <w:t>均为</w:t>
      </w:r>
      <w:r>
        <w:rPr>
          <w:rFonts w:hint="eastAsia" w:ascii="仿宋_GB2312" w:hAnsi="仿宋_GB2312" w:eastAsia="仿宋_GB2312" w:cs="仿宋_GB2312"/>
          <w:color w:val="auto"/>
          <w:sz w:val="32"/>
          <w:szCs w:val="32"/>
          <w:highlight w:val="none"/>
          <w:lang w:val="en-US" w:eastAsia="zh-CN"/>
        </w:rPr>
        <w:t>948.75</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相比，收、支总计各减少</w:t>
      </w:r>
      <w:r>
        <w:rPr>
          <w:rFonts w:hint="eastAsia" w:ascii="仿宋_GB2312" w:hAnsi="仿宋_GB2312" w:eastAsia="仿宋_GB2312" w:cs="仿宋_GB2312"/>
          <w:color w:val="auto"/>
          <w:sz w:val="32"/>
          <w:szCs w:val="32"/>
          <w:highlight w:val="none"/>
          <w:lang w:val="en-US" w:eastAsia="zh-CN"/>
        </w:rPr>
        <w:t>38.75</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3.92</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eastAsia="zh-CN"/>
        </w:rPr>
        <w:t>项目经费减少。</w:t>
      </w:r>
    </w:p>
    <w:p>
      <w:pPr>
        <w:pStyle w:val="2"/>
        <w:jc w:val="center"/>
        <w:rPr>
          <w:rFonts w:hint="eastAsia"/>
          <w:lang w:eastAsia="zh-CN"/>
        </w:rPr>
      </w:pPr>
      <w:r>
        <w:rPr>
          <w:rFonts w:hint="eastAsia"/>
          <w:lang w:eastAsia="zh-CN"/>
        </w:rPr>
        <w:object>
          <v:shape id="_x0000_i1025" o:spt="75" type="#_x0000_t75" style="height:0.05pt;width:0.05pt;" o:ole="t" filled="f" stroked="f" coordsize="21600,21600">
            <v:path/>
            <v:fill on="f" focussize="0,0"/>
            <v:stroke on="f"/>
            <v:imagedata o:title=""/>
            <o:lock v:ext="edit" aspectratio="t"/>
            <w10:wrap type="none"/>
            <w10:anchorlock/>
          </v:shape>
          <o:OLEObject Type="Embed" ProgID="Excel.Chart.8" ShapeID="_x0000_i1025" DrawAspect="Content" ObjectID="_1468075725" r:id="rId5">
            <o:LockedField>false</o:LockedField>
          </o:OLEObject>
        </w:object>
      </w:r>
      <w:r>
        <w:rPr>
          <w:rFonts w:hint="eastAsia"/>
          <w:lang w:eastAsia="zh-CN"/>
        </w:rPr>
        <w:object>
          <v:shape id="_x0000_i1026" o:spt="75" type="#_x0000_t75" style="height:0.05pt;width:0.05pt;" o:ole="t" filled="f" stroked="f" coordsize="21600,21600">
            <v:path/>
            <v:fill on="f" focussize="0,0"/>
            <v:stroke on="f"/>
            <v:imagedata o:title=""/>
            <o:lock v:ext="edit" aspectratio="t"/>
            <w10:wrap type="none"/>
            <w10:anchorlock/>
          </v:shape>
          <o:OLEObject Type="Embed" ProgID="Excel.Chart.8" ShapeID="_x0000_i1026" DrawAspect="Content" ObjectID="_1468075726" r:id="rId6">
            <o:LockedField>false</o:LockedField>
          </o:OLEObject>
        </w:object>
      </w:r>
      <w:r>
        <w:rPr>
          <w:rFonts w:hint="eastAsia"/>
          <w:lang w:eastAsia="zh-CN"/>
        </w:rPr>
        <w:object>
          <v:shape id="_x0000_i1027" o:spt="75" type="#_x0000_t75" style="height:0.05pt;width:0.05pt;" o:ole="t" filled="f" stroked="f" coordsize="21600,21600">
            <v:path/>
            <v:fill on="f" focussize="0,0"/>
            <v:stroke on="f"/>
            <v:imagedata o:title=""/>
            <o:lock v:ext="edit" aspectratio="t"/>
            <w10:wrap type="none"/>
            <w10:anchorlock/>
          </v:shape>
          <o:OLEObject Type="Embed" ProgID="Excel.Chart.8" ShapeID="_x0000_i1027" DrawAspect="Content" ObjectID="_1468075727" r:id="rId7">
            <o:LockedField>false</o:LockedField>
          </o:OLEObject>
        </w:object>
      </w:r>
      <w:r>
        <w:rPr>
          <w:rFonts w:hint="eastAsia"/>
          <w:lang w:eastAsia="zh-CN"/>
        </w:rPr>
        <w:object>
          <v:shape id="_x0000_i1028" o:spt="75" type="#_x0000_t75" style="height:0.05pt;width:0.05pt;" o:ole="t" filled="f" stroked="f" coordsize="21600,21600">
            <v:path/>
            <v:fill on="f" focussize="0,0"/>
            <v:stroke on="f"/>
            <v:imagedata o:title=""/>
            <o:lock v:ext="edit" aspectratio="t"/>
            <w10:wrap type="none"/>
            <w10:anchorlock/>
          </v:shape>
          <o:OLEObject Type="Embed" ProgID="Excel.Chart.8" ShapeID="_x0000_i1028" DrawAspect="Content" ObjectID="_1468075728" r:id="rId8">
            <o:LockedField>false</o:LockedField>
          </o:OLEObject>
        </w:object>
      </w:r>
      <w:r>
        <w:rPr>
          <w:rFonts w:hint="eastAsia"/>
          <w:lang w:eastAsia="zh-CN"/>
        </w:rPr>
        <w:drawing>
          <wp:inline distT="0" distB="0" distL="114300" distR="114300">
            <wp:extent cx="4259580" cy="1830705"/>
            <wp:effectExtent l="4445" t="4445" r="18415" b="889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（图1：收、支决算总计变动情况图）</w:t>
      </w:r>
    </w:p>
    <w:p>
      <w:pPr>
        <w:pStyle w:val="18"/>
        <w:numPr>
          <w:ilvl w:val="0"/>
          <w:numId w:val="2"/>
        </w:numPr>
        <w:spacing w:line="600" w:lineRule="exact"/>
        <w:ind w:left="1360" w:leftChars="0" w:hanging="720" w:firstLineChars="0"/>
        <w:outlineLvl w:val="0"/>
        <w:rPr>
          <w:rStyle w:val="17"/>
          <w:rFonts w:ascii="黑体" w:hAnsi="黑体" w:eastAsia="黑体"/>
          <w:b w:val="0"/>
          <w:color w:val="auto"/>
          <w:highlight w:val="none"/>
        </w:rPr>
      </w:pPr>
      <w:bookmarkStart w:id="7" w:name="_Toc15377206"/>
      <w:bookmarkStart w:id="8" w:name="_Toc15396604"/>
      <w:bookmarkStart w:id="9" w:name="_Toc20973"/>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入决算情况说明</w:t>
      </w:r>
      <w:bookmarkEnd w:id="7"/>
      <w:bookmarkEnd w:id="8"/>
      <w:bookmarkEnd w:id="9"/>
    </w:p>
    <w:p>
      <w:pPr>
        <w:spacing w:line="600" w:lineRule="exact"/>
        <w:ind w:firstLine="640" w:firstLineChars="200"/>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本年收入合计774.56万元，其中：一般公共预算财政拨款收入774.49万元，占</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%；其他收入</w:t>
      </w:r>
      <w:r>
        <w:rPr>
          <w:rFonts w:hint="eastAsia" w:ascii="仿宋_GB2312" w:hAnsi="仿宋_GB2312" w:eastAsia="仿宋_GB2312" w:cs="仿宋_GB2312"/>
          <w:color w:val="auto"/>
          <w:sz w:val="32"/>
          <w:szCs w:val="32"/>
          <w:highlight w:val="none"/>
          <w:lang w:val="en-US" w:eastAsia="zh-CN"/>
        </w:rPr>
        <w:t>0.07</w:t>
      </w:r>
      <w:r>
        <w:rPr>
          <w:rFonts w:hint="eastAsia" w:ascii="仿宋_GB2312" w:hAnsi="仿宋_GB2312" w:eastAsia="仿宋_GB2312" w:cs="仿宋_GB2312"/>
          <w:color w:val="auto"/>
          <w:sz w:val="32"/>
          <w:szCs w:val="32"/>
          <w:highlight w:val="none"/>
        </w:rPr>
        <w:t>万元。</w:t>
      </w:r>
    </w:p>
    <w:p>
      <w:pPr>
        <w:spacing w:line="600" w:lineRule="exact"/>
        <w:ind w:firstLine="642" w:firstLineChars="200"/>
        <w:outlineLvl w:val="9"/>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lang w:eastAsia="zh-CN"/>
        </w:rPr>
        <w:drawing>
          <wp:anchor distT="0" distB="0" distL="114300" distR="114300" simplePos="0" relativeHeight="251660288" behindDoc="1" locked="0" layoutInCell="1" allowOverlap="1">
            <wp:simplePos x="0" y="0"/>
            <wp:positionH relativeFrom="column">
              <wp:posOffset>283845</wp:posOffset>
            </wp:positionH>
            <wp:positionV relativeFrom="paragraph">
              <wp:posOffset>108585</wp:posOffset>
            </wp:positionV>
            <wp:extent cx="4950460" cy="2165985"/>
            <wp:effectExtent l="5080" t="4445" r="12700" b="889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outlineLvl w:val="9"/>
        <w:rPr>
          <w:rFonts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w:t>
      </w:r>
    </w:p>
    <w:p>
      <w:pPr>
        <w:pStyle w:val="18"/>
        <w:numPr>
          <w:ilvl w:val="0"/>
          <w:numId w:val="2"/>
        </w:numPr>
        <w:spacing w:line="600" w:lineRule="exact"/>
        <w:ind w:left="1360" w:leftChars="0" w:hanging="720" w:firstLineChars="0"/>
        <w:outlineLvl w:val="0"/>
        <w:rPr>
          <w:rStyle w:val="17"/>
          <w:rFonts w:ascii="黑体" w:hAnsi="黑体" w:eastAsia="黑体"/>
          <w:b w:val="0"/>
          <w:color w:val="auto"/>
          <w:highlight w:val="none"/>
        </w:rPr>
      </w:pPr>
      <w:bookmarkStart w:id="10" w:name="_Toc1708"/>
      <w:bookmarkStart w:id="11" w:name="_Toc15377207"/>
      <w:bookmarkStart w:id="12" w:name="_Toc15396605"/>
      <w:r>
        <w:rPr>
          <w:rFonts w:hint="eastAsia" w:ascii="黑体" w:hAnsi="黑体" w:eastAsia="黑体"/>
          <w:color w:val="auto"/>
          <w:sz w:val="32"/>
          <w:szCs w:val="32"/>
          <w:highlight w:val="none"/>
        </w:rPr>
        <w:t>支</w:t>
      </w:r>
      <w:r>
        <w:rPr>
          <w:rStyle w:val="17"/>
          <w:rFonts w:hint="eastAsia" w:ascii="黑体" w:hAnsi="黑体" w:eastAsia="黑体"/>
          <w:b w:val="0"/>
          <w:color w:val="auto"/>
          <w:highlight w:val="none"/>
        </w:rPr>
        <w:t>出决算情况说明</w:t>
      </w:r>
      <w:bookmarkEnd w:id="10"/>
      <w:bookmarkEnd w:id="11"/>
      <w:bookmarkEnd w:id="12"/>
    </w:p>
    <w:p>
      <w:pPr>
        <w:spacing w:line="600" w:lineRule="exact"/>
        <w:ind w:firstLine="640" w:firstLineChars="200"/>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本年支出合计930.18万元，其中：基本支出522.91万元，占</w:t>
      </w:r>
      <w:r>
        <w:rPr>
          <w:rFonts w:hint="eastAsia" w:ascii="仿宋_GB2312" w:hAnsi="仿宋_GB2312" w:eastAsia="仿宋_GB2312" w:cs="仿宋_GB2312"/>
          <w:color w:val="auto"/>
          <w:sz w:val="32"/>
          <w:szCs w:val="32"/>
          <w:highlight w:val="none"/>
          <w:lang w:val="en-US" w:eastAsia="zh-CN"/>
        </w:rPr>
        <w:t>56.21</w:t>
      </w:r>
      <w:r>
        <w:rPr>
          <w:rFonts w:hint="eastAsia" w:ascii="仿宋_GB2312" w:hAnsi="仿宋_GB2312" w:eastAsia="仿宋_GB2312" w:cs="仿宋_GB2312"/>
          <w:color w:val="auto"/>
          <w:sz w:val="32"/>
          <w:szCs w:val="32"/>
          <w:highlight w:val="none"/>
        </w:rPr>
        <w:t>%；项目支出407.27万元，占</w:t>
      </w:r>
      <w:r>
        <w:rPr>
          <w:rFonts w:hint="eastAsia" w:ascii="仿宋_GB2312" w:hAnsi="仿宋_GB2312" w:eastAsia="仿宋_GB2312" w:cs="仿宋_GB2312"/>
          <w:color w:val="auto"/>
          <w:sz w:val="32"/>
          <w:szCs w:val="32"/>
          <w:highlight w:val="none"/>
          <w:lang w:val="en-US" w:eastAsia="zh-CN"/>
        </w:rPr>
        <w:t>43.79</w:t>
      </w:r>
      <w:r>
        <w:rPr>
          <w:rFonts w:hint="eastAsia" w:ascii="仿宋_GB2312" w:hAnsi="仿宋_GB2312" w:eastAsia="仿宋_GB2312" w:cs="仿宋_GB2312"/>
          <w:color w:val="auto"/>
          <w:sz w:val="32"/>
          <w:szCs w:val="32"/>
          <w:highlight w:val="none"/>
        </w:rPr>
        <w:t>%。</w:t>
      </w:r>
    </w:p>
    <w:p>
      <w:pPr>
        <w:pStyle w:val="2"/>
        <w:rPr>
          <w:rFonts w:hint="eastAsia" w:ascii="仿宋_GB2312" w:hAnsi="仿宋_GB2312" w:eastAsia="仿宋_GB2312" w:cs="仿宋_GB2312"/>
          <w:color w:val="auto"/>
          <w:sz w:val="32"/>
          <w:szCs w:val="32"/>
          <w:highlight w:val="none"/>
        </w:rPr>
      </w:pPr>
    </w:p>
    <w:p>
      <w:pPr>
        <w:pStyle w:val="2"/>
        <w:rPr>
          <w:rFonts w:ascii="仿宋" w:hAnsi="仿宋" w:eastAsia="仿宋"/>
          <w:color w:val="auto"/>
          <w:sz w:val="32"/>
          <w:szCs w:val="32"/>
          <w:highlight w:val="none"/>
          <w:shd w:val="pct10" w:color="auto" w:fill="FFFFFF"/>
        </w:rPr>
      </w:pPr>
      <w:r>
        <w:rPr>
          <w:rFonts w:hint="eastAsia" w:ascii="仿宋_GB2312" w:hAnsi="仿宋_GB2312" w:eastAsia="仿宋_GB2312" w:cs="仿宋_GB2312"/>
          <w:color w:val="auto"/>
          <w:sz w:val="32"/>
          <w:szCs w:val="32"/>
          <w:highlight w:val="none"/>
          <w:lang w:eastAsia="zh-CN"/>
        </w:rPr>
        <w:drawing>
          <wp:inline distT="0" distB="0" distL="114300" distR="114300">
            <wp:extent cx="5146675" cy="1769745"/>
            <wp:effectExtent l="5080" t="4445" r="14605" b="889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jc w:val="center"/>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bookmarkStart w:id="13" w:name="_Toc15377208"/>
      <w:bookmarkStart w:id="14" w:name="_Toc15396606"/>
    </w:p>
    <w:p>
      <w:pPr>
        <w:spacing w:line="600" w:lineRule="exact"/>
        <w:ind w:firstLine="640" w:firstLineChars="200"/>
        <w:outlineLvl w:val="0"/>
        <w:rPr>
          <w:rStyle w:val="17"/>
          <w:rFonts w:ascii="黑体" w:hAnsi="黑体" w:eastAsia="黑体"/>
          <w:b w:val="0"/>
          <w:color w:val="auto"/>
          <w:highlight w:val="none"/>
        </w:rPr>
      </w:pPr>
      <w:bookmarkStart w:id="15" w:name="_Toc21228"/>
      <w:r>
        <w:rPr>
          <w:rFonts w:hint="eastAsia" w:ascii="黑体" w:hAnsi="黑体" w:eastAsia="黑体"/>
          <w:color w:val="auto"/>
          <w:sz w:val="32"/>
          <w:szCs w:val="32"/>
          <w:highlight w:val="none"/>
        </w:rPr>
        <w:t>四、财</w:t>
      </w:r>
      <w:r>
        <w:rPr>
          <w:rStyle w:val="17"/>
          <w:rFonts w:hint="eastAsia" w:ascii="黑体" w:hAnsi="黑体" w:eastAsia="黑体"/>
          <w:b w:val="0"/>
          <w:color w:val="auto"/>
          <w:highlight w:val="none"/>
        </w:rPr>
        <w:t>政拨款收入支出决算总体情况说明</w:t>
      </w:r>
      <w:bookmarkEnd w:id="13"/>
      <w:bookmarkEnd w:id="14"/>
      <w:bookmarkEnd w:id="15"/>
    </w:p>
    <w:p>
      <w:pPr>
        <w:spacing w:line="600" w:lineRule="exact"/>
        <w:ind w:firstLine="640"/>
        <w:rPr>
          <w:rFonts w:hint="default" w:ascii="仿宋" w:hAnsi="仿宋" w:eastAsia="仿宋"/>
          <w:b/>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369570</wp:posOffset>
            </wp:positionH>
            <wp:positionV relativeFrom="paragraph">
              <wp:posOffset>1143000</wp:posOffset>
            </wp:positionV>
            <wp:extent cx="4571365" cy="2065655"/>
            <wp:effectExtent l="4445" t="4445" r="11430" b="17780"/>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财政拨款收、支总计</w:t>
      </w:r>
      <w:r>
        <w:rPr>
          <w:rFonts w:hint="eastAsia" w:ascii="仿宋_GB2312" w:hAnsi="仿宋_GB2312" w:eastAsia="仿宋_GB2312" w:cs="仿宋_GB2312"/>
          <w:color w:val="auto"/>
          <w:sz w:val="32"/>
          <w:szCs w:val="32"/>
          <w:highlight w:val="none"/>
          <w:lang w:eastAsia="zh-CN"/>
        </w:rPr>
        <w:t>均为940.93</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相比，财政拨款收、支总计各减少</w:t>
      </w:r>
      <w:r>
        <w:rPr>
          <w:rFonts w:hint="eastAsia" w:ascii="仿宋_GB2312" w:hAnsi="仿宋_GB2312" w:eastAsia="仿宋_GB2312" w:cs="仿宋_GB2312"/>
          <w:color w:val="auto"/>
          <w:sz w:val="32"/>
          <w:szCs w:val="32"/>
          <w:highlight w:val="none"/>
          <w:lang w:val="en-US" w:eastAsia="zh-CN"/>
        </w:rPr>
        <w:t>16.56</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eastAsia="zh-CN"/>
        </w:rPr>
        <w:t>人员退休，经费支出减少。</w:t>
      </w:r>
    </w:p>
    <w:p>
      <w:pPr>
        <w:spacing w:line="600" w:lineRule="exact"/>
        <w:rPr>
          <w:rFonts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lang w:eastAsia="zh-CN"/>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jc w:val="center"/>
        <w:rPr>
          <w:rFonts w:hint="eastAsia" w:ascii="仿宋" w:hAnsi="仿宋" w:eastAsia="仿宋"/>
          <w:color w:val="auto"/>
          <w:sz w:val="32"/>
          <w:szCs w:val="32"/>
          <w:highlight w:val="none"/>
        </w:rPr>
      </w:pPr>
    </w:p>
    <w:p>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pPr>
        <w:spacing w:line="600" w:lineRule="exact"/>
        <w:ind w:firstLine="640" w:firstLineChars="200"/>
        <w:outlineLvl w:val="0"/>
        <w:rPr>
          <w:rStyle w:val="17"/>
          <w:rFonts w:ascii="黑体" w:hAnsi="黑体" w:eastAsia="黑体"/>
          <w:b w:val="0"/>
          <w:color w:val="auto"/>
          <w:highlight w:val="none"/>
        </w:rPr>
      </w:pPr>
      <w:bookmarkStart w:id="16" w:name="_Toc15396607"/>
      <w:bookmarkStart w:id="17" w:name="_Toc15377209"/>
      <w:bookmarkStart w:id="18" w:name="_Toc9192"/>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般公共预算财政拨款支出决算情况说明</w:t>
      </w:r>
      <w:bookmarkEnd w:id="16"/>
      <w:bookmarkEnd w:id="17"/>
      <w:bookmarkEnd w:id="18"/>
    </w:p>
    <w:p>
      <w:pPr>
        <w:spacing w:line="600" w:lineRule="exact"/>
        <w:ind w:firstLine="642" w:firstLineChars="200"/>
        <w:outlineLvl w:val="1"/>
        <w:rPr>
          <w:rFonts w:hint="eastAsia" w:ascii="仿宋_GB2312" w:hAnsi="仿宋_GB2312" w:eastAsia="仿宋_GB2312" w:cs="仿宋_GB2312"/>
          <w:b/>
          <w:color w:val="auto"/>
          <w:sz w:val="32"/>
          <w:szCs w:val="32"/>
          <w:highlight w:val="none"/>
        </w:rPr>
      </w:pPr>
      <w:bookmarkStart w:id="19" w:name="_Toc15377210"/>
      <w:bookmarkStart w:id="20" w:name="_Toc28714"/>
      <w:r>
        <w:rPr>
          <w:rFonts w:hint="eastAsia" w:ascii="仿宋_GB2312" w:hAnsi="仿宋_GB2312" w:eastAsia="仿宋_GB2312" w:cs="仿宋_GB2312"/>
          <w:b/>
          <w:color w:val="auto"/>
          <w:sz w:val="32"/>
          <w:szCs w:val="32"/>
          <w:highlight w:val="none"/>
        </w:rPr>
        <w:t>（一）一般公共预算财政拨款支出决算总体情况</w:t>
      </w:r>
      <w:bookmarkEnd w:id="19"/>
      <w:bookmarkEnd w:id="20"/>
    </w:p>
    <w:p>
      <w:pPr>
        <w:spacing w:line="60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一般公共预算财政拨款支出930.14万元，占本年支出合计的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%。与</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相比，一般公共预算财政拨款</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增加</w:t>
      </w:r>
      <w:r>
        <w:rPr>
          <w:rFonts w:hint="eastAsia" w:ascii="仿宋_GB2312" w:hAnsi="仿宋_GB2312" w:eastAsia="仿宋_GB2312" w:cs="仿宋_GB2312"/>
          <w:color w:val="auto"/>
          <w:sz w:val="32"/>
          <w:szCs w:val="32"/>
          <w:highlight w:val="none"/>
          <w:lang w:val="en-US" w:eastAsia="zh-CN"/>
        </w:rPr>
        <w:t>139.1</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17.58</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2023年度结转林产品质量安全监测等项目资金，2024年度项目完结，资金支付。</w:t>
      </w:r>
    </w:p>
    <w:p>
      <w:pPr>
        <w:pStyle w:val="2"/>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drawing>
          <wp:inline distT="0" distB="0" distL="114300" distR="114300">
            <wp:extent cx="5307330" cy="2404110"/>
            <wp:effectExtent l="4445" t="4445" r="6985" b="1460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_GB2312" w:hAnsi="仿宋_GB2312" w:eastAsia="仿宋_GB2312" w:cs="仿宋_GB2312"/>
          <w:color w:val="auto"/>
          <w:sz w:val="32"/>
          <w:szCs w:val="32"/>
          <w:highlight w:val="none"/>
        </w:rPr>
        <w:t>（图5：一般公共预算财政拨款支出决算变动情况）</w:t>
      </w:r>
    </w:p>
    <w:p>
      <w:pPr>
        <w:spacing w:line="600" w:lineRule="exact"/>
        <w:ind w:firstLine="642" w:firstLineChars="200"/>
        <w:outlineLvl w:val="1"/>
        <w:rPr>
          <w:rFonts w:hint="eastAsia" w:ascii="仿宋_GB2312" w:hAnsi="仿宋_GB2312" w:eastAsia="仿宋_GB2312" w:cs="仿宋_GB2312"/>
          <w:b/>
          <w:color w:val="auto"/>
          <w:sz w:val="32"/>
          <w:szCs w:val="32"/>
          <w:highlight w:val="none"/>
        </w:rPr>
      </w:pPr>
      <w:bookmarkStart w:id="21" w:name="_Toc15377211"/>
      <w:bookmarkStart w:id="22" w:name="_Toc27757"/>
      <w:r>
        <w:rPr>
          <w:rFonts w:hint="eastAsia" w:ascii="仿宋_GB2312" w:hAnsi="仿宋_GB2312" w:eastAsia="仿宋_GB2312" w:cs="仿宋_GB2312"/>
          <w:b/>
          <w:color w:val="auto"/>
          <w:sz w:val="32"/>
          <w:szCs w:val="32"/>
          <w:highlight w:val="none"/>
        </w:rPr>
        <w:t>（二）一般公共预算财政拨款支出决算结构情况</w:t>
      </w:r>
      <w:bookmarkEnd w:id="21"/>
      <w:bookmarkEnd w:id="22"/>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一般公共预算财政拨款支出</w:t>
      </w:r>
      <w:r>
        <w:rPr>
          <w:rFonts w:hint="eastAsia" w:ascii="仿宋_GB2312" w:hAnsi="仿宋_GB2312" w:eastAsia="仿宋_GB2312" w:cs="仿宋_GB2312"/>
          <w:color w:val="auto"/>
          <w:sz w:val="32"/>
          <w:szCs w:val="32"/>
          <w:highlight w:val="none"/>
          <w:lang w:val="en-US" w:eastAsia="zh-CN"/>
        </w:rPr>
        <w:t>930.14</w:t>
      </w:r>
      <w:r>
        <w:rPr>
          <w:rFonts w:hint="eastAsia" w:ascii="仿宋_GB2312" w:hAnsi="仿宋_GB2312" w:eastAsia="仿宋_GB2312" w:cs="仿宋_GB2312"/>
          <w:color w:val="auto"/>
          <w:sz w:val="32"/>
          <w:szCs w:val="32"/>
          <w:highlight w:val="none"/>
        </w:rPr>
        <w:t>万元，主要用于以下方面</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color w:val="auto"/>
          <w:sz w:val="32"/>
          <w:szCs w:val="32"/>
          <w:highlight w:val="none"/>
        </w:rPr>
        <w:t>科学技术</w:t>
      </w:r>
      <w:r>
        <w:rPr>
          <w:rFonts w:hint="eastAsia" w:ascii="仿宋_GB2312" w:hAnsi="仿宋_GB2312" w:eastAsia="仿宋_GB2312" w:cs="仿宋_GB2312"/>
          <w:b/>
          <w:bCs/>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15.29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1.64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color w:val="auto"/>
          <w:sz w:val="32"/>
          <w:szCs w:val="32"/>
          <w:highlight w:val="none"/>
        </w:rPr>
        <w:t>社会保障和就业</w:t>
      </w:r>
      <w:r>
        <w:rPr>
          <w:rFonts w:hint="eastAsia" w:ascii="仿宋_GB2312" w:hAnsi="仿宋_GB2312" w:eastAsia="仿宋_GB2312" w:cs="仿宋_GB2312"/>
          <w:b/>
          <w:bCs/>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57.32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6.16</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bCs/>
          <w:color w:val="auto"/>
          <w:sz w:val="32"/>
          <w:szCs w:val="32"/>
          <w:highlight w:val="none"/>
        </w:rPr>
        <w:t>卫生健康支出</w:t>
      </w:r>
      <w:r>
        <w:rPr>
          <w:rFonts w:hint="eastAsia" w:ascii="仿宋_GB2312" w:hAnsi="仿宋_GB2312" w:eastAsia="仿宋_GB2312" w:cs="仿宋_GB2312"/>
          <w:color w:val="auto"/>
          <w:sz w:val="32"/>
          <w:szCs w:val="32"/>
          <w:highlight w:val="none"/>
          <w:lang w:val="en-US" w:eastAsia="zh-CN"/>
        </w:rPr>
        <w:t>15.81</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1.69</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bCs/>
          <w:color w:val="auto"/>
          <w:sz w:val="32"/>
          <w:szCs w:val="32"/>
          <w:highlight w:val="none"/>
          <w:lang w:eastAsia="zh-CN"/>
        </w:rPr>
        <w:t>农林水支出</w:t>
      </w:r>
      <w:r>
        <w:rPr>
          <w:rFonts w:hint="eastAsia" w:ascii="仿宋_GB2312" w:hAnsi="仿宋_GB2312" w:eastAsia="仿宋_GB2312" w:cs="仿宋_GB2312"/>
          <w:b/>
          <w:bCs/>
          <w:color w:val="auto"/>
          <w:sz w:val="32"/>
          <w:szCs w:val="32"/>
          <w:highlight w:val="none"/>
          <w:lang w:val="en-US" w:eastAsia="zh-CN"/>
        </w:rPr>
        <w:t>800.12万元</w:t>
      </w:r>
      <w:r>
        <w:rPr>
          <w:rFonts w:hint="eastAsia" w:ascii="仿宋_GB2312" w:hAnsi="仿宋_GB2312" w:eastAsia="仿宋_GB2312" w:cs="仿宋_GB2312"/>
          <w:color w:val="auto"/>
          <w:sz w:val="32"/>
          <w:szCs w:val="32"/>
          <w:highlight w:val="none"/>
          <w:lang w:val="en-US" w:eastAsia="zh-CN"/>
        </w:rPr>
        <w:t>，占86.02%；</w:t>
      </w:r>
      <w:r>
        <w:rPr>
          <w:rFonts w:hint="eastAsia" w:ascii="仿宋_GB2312" w:hAnsi="仿宋_GB2312" w:eastAsia="仿宋_GB2312" w:cs="仿宋_GB2312"/>
          <w:b/>
          <w:bCs/>
          <w:color w:val="auto"/>
          <w:sz w:val="32"/>
          <w:szCs w:val="32"/>
          <w:highlight w:val="none"/>
        </w:rPr>
        <w:t>住房保障支出</w:t>
      </w:r>
      <w:r>
        <w:rPr>
          <w:rFonts w:hint="eastAsia" w:ascii="仿宋_GB2312" w:hAnsi="仿宋_GB2312" w:eastAsia="仿宋_GB2312" w:cs="仿宋_GB2312"/>
          <w:color w:val="auto"/>
          <w:sz w:val="32"/>
          <w:szCs w:val="32"/>
          <w:highlight w:val="none"/>
          <w:lang w:val="en-US" w:eastAsia="zh-CN"/>
        </w:rPr>
        <w:t>41.59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4.47</w:t>
      </w:r>
      <w:r>
        <w:rPr>
          <w:rFonts w:hint="eastAsia" w:ascii="仿宋_GB2312" w:hAnsi="仿宋_GB2312" w:eastAsia="仿宋_GB2312" w:cs="仿宋_GB2312"/>
          <w:color w:val="auto"/>
          <w:sz w:val="32"/>
          <w:szCs w:val="32"/>
          <w:highlight w:val="none"/>
        </w:rPr>
        <w:t>%。</w:t>
      </w:r>
    </w:p>
    <w:p>
      <w:pPr>
        <w:pStyle w:val="2"/>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drawing>
          <wp:inline distT="0" distB="0" distL="114300" distR="114300">
            <wp:extent cx="4411980" cy="1153160"/>
            <wp:effectExtent l="4445" t="4445" r="18415" b="1587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pStyle w:val="2"/>
        <w:rPr>
          <w:rFonts w:hint="eastAsia" w:ascii="仿宋_GB2312" w:hAnsi="仿宋_GB2312" w:eastAsia="仿宋_GB2312" w:cs="仿宋_GB2312"/>
          <w:color w:val="auto"/>
          <w:sz w:val="32"/>
          <w:szCs w:val="32"/>
          <w:highlight w:val="none"/>
        </w:rPr>
      </w:pPr>
    </w:p>
    <w:p>
      <w:pPr>
        <w:spacing w:line="600" w:lineRule="exact"/>
        <w:jc w:val="center"/>
        <w:rPr>
          <w:rFonts w:ascii="仿宋" w:hAnsi="仿宋" w:eastAsia="仿宋"/>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w:t>
      </w:r>
    </w:p>
    <w:p>
      <w:pPr>
        <w:spacing w:line="600" w:lineRule="exact"/>
        <w:ind w:firstLine="642" w:firstLineChars="200"/>
        <w:outlineLvl w:val="1"/>
        <w:rPr>
          <w:rFonts w:hint="eastAsia" w:ascii="仿宋_GB2312" w:hAnsi="仿宋_GB2312" w:eastAsia="仿宋_GB2312" w:cs="仿宋_GB2312"/>
          <w:b/>
          <w:color w:val="auto"/>
          <w:sz w:val="32"/>
          <w:szCs w:val="32"/>
          <w:highlight w:val="none"/>
        </w:rPr>
      </w:pPr>
      <w:bookmarkStart w:id="23" w:name="_Toc14460"/>
      <w:bookmarkStart w:id="24" w:name="_Toc15377212"/>
      <w:r>
        <w:rPr>
          <w:rFonts w:hint="eastAsia" w:ascii="仿宋_GB2312" w:hAnsi="仿宋_GB2312" w:eastAsia="仿宋_GB2312" w:cs="仿宋_GB2312"/>
          <w:b/>
          <w:color w:val="auto"/>
          <w:sz w:val="32"/>
          <w:szCs w:val="32"/>
          <w:highlight w:val="none"/>
        </w:rPr>
        <w:t>（三）一般公共预算财政拨款支出决算具体情况</w:t>
      </w:r>
      <w:bookmarkEnd w:id="23"/>
      <w:bookmarkEnd w:id="24"/>
    </w:p>
    <w:p>
      <w:pPr>
        <w:spacing w:line="600" w:lineRule="exact"/>
        <w:ind w:firstLine="642" w:firstLineChars="200"/>
        <w:outlineLvl w:val="9"/>
        <w:rPr>
          <w:rFonts w:hint="eastAsia" w:ascii="仿宋_GB2312" w:hAnsi="仿宋_GB2312" w:eastAsia="仿宋_GB2312" w:cs="仿宋_GB2312"/>
          <w:color w:val="auto"/>
          <w:sz w:val="32"/>
          <w:szCs w:val="32"/>
          <w:highlight w:val="none"/>
        </w:rPr>
      </w:pPr>
      <w:bookmarkStart w:id="25" w:name="_Toc15378460"/>
      <w:bookmarkStart w:id="26" w:name="_Toc15377213"/>
      <w:bookmarkStart w:id="27" w:name="_Toc15377444"/>
      <w:r>
        <w:rPr>
          <w:rFonts w:hint="eastAsia" w:ascii="仿宋_GB2312" w:hAnsi="仿宋_GB2312" w:eastAsia="仿宋_GB2312" w:cs="仿宋_GB2312"/>
          <w:b/>
          <w:color w:val="auto"/>
          <w:sz w:val="32"/>
          <w:szCs w:val="32"/>
          <w:highlight w:val="none"/>
          <w:lang w:eastAsia="zh-CN"/>
        </w:rPr>
        <w:t>202</w:t>
      </w:r>
      <w:r>
        <w:rPr>
          <w:rFonts w:hint="eastAsia" w:ascii="仿宋_GB2312" w:hAnsi="仿宋_GB2312" w:eastAsia="仿宋_GB2312" w:cs="仿宋_GB2312"/>
          <w:b/>
          <w:color w:val="auto"/>
          <w:sz w:val="32"/>
          <w:szCs w:val="32"/>
          <w:highlight w:val="none"/>
          <w:lang w:val="en-US" w:eastAsia="zh-CN"/>
        </w:rPr>
        <w:t>4</w:t>
      </w:r>
      <w:r>
        <w:rPr>
          <w:rFonts w:hint="eastAsia" w:ascii="仿宋_GB2312" w:hAnsi="仿宋_GB2312" w:eastAsia="仿宋_GB2312" w:cs="仿宋_GB2312"/>
          <w:b/>
          <w:color w:val="auto"/>
          <w:sz w:val="32"/>
          <w:szCs w:val="32"/>
          <w:highlight w:val="none"/>
        </w:rPr>
        <w:t>年</w:t>
      </w:r>
      <w:r>
        <w:rPr>
          <w:rFonts w:hint="eastAsia" w:ascii="仿宋_GB2312" w:hAnsi="仿宋_GB2312" w:eastAsia="仿宋_GB2312" w:cs="仿宋_GB2312"/>
          <w:b/>
          <w:color w:val="auto"/>
          <w:sz w:val="32"/>
          <w:szCs w:val="32"/>
          <w:highlight w:val="none"/>
          <w:lang w:eastAsia="zh-CN"/>
        </w:rPr>
        <w:t>度一</w:t>
      </w:r>
      <w:r>
        <w:rPr>
          <w:rFonts w:hint="eastAsia" w:ascii="仿宋_GB2312" w:hAnsi="仿宋_GB2312" w:eastAsia="仿宋_GB2312" w:cs="仿宋_GB2312"/>
          <w:b/>
          <w:color w:val="auto"/>
          <w:sz w:val="32"/>
          <w:szCs w:val="32"/>
          <w:highlight w:val="none"/>
        </w:rPr>
        <w:t>般公共预算支出决算数为</w:t>
      </w:r>
      <w:r>
        <w:rPr>
          <w:rFonts w:hint="eastAsia" w:ascii="仿宋_GB2312" w:hAnsi="仿宋_GB2312" w:eastAsia="仿宋_GB2312" w:cs="仿宋_GB2312"/>
          <w:color w:val="auto"/>
          <w:sz w:val="32"/>
          <w:szCs w:val="32"/>
          <w:highlight w:val="none"/>
          <w:lang w:val="en-US" w:eastAsia="zh-CN"/>
        </w:rPr>
        <w:t>930.14</w:t>
      </w:r>
      <w:r>
        <w:rPr>
          <w:rFonts w:hint="eastAsia" w:ascii="仿宋_GB2312" w:hAnsi="仿宋_GB2312" w:eastAsia="仿宋_GB2312" w:cs="仿宋_GB2312"/>
          <w:b/>
          <w:color w:val="auto"/>
          <w:sz w:val="32"/>
          <w:szCs w:val="32"/>
          <w:highlight w:val="none"/>
          <w:lang w:eastAsia="zh-CN"/>
        </w:rPr>
        <w:t>万元</w:t>
      </w:r>
      <w:r>
        <w:rPr>
          <w:rFonts w:hint="eastAsia" w:ascii="仿宋_GB2312" w:hAnsi="仿宋_GB2312" w:eastAsia="仿宋_GB2312" w:cs="仿宋_GB2312"/>
          <w:color w:val="auto"/>
          <w:sz w:val="32"/>
          <w:szCs w:val="32"/>
          <w:highlight w:val="none"/>
        </w:rPr>
        <w:t>，</w:t>
      </w:r>
      <w:r>
        <w:rPr>
          <w:rStyle w:val="15"/>
          <w:rFonts w:hint="eastAsia" w:ascii="仿宋_GB2312" w:hAnsi="仿宋_GB2312" w:eastAsia="仿宋_GB2312" w:cs="仿宋_GB2312"/>
          <w:bCs/>
          <w:color w:val="auto"/>
          <w:sz w:val="32"/>
          <w:szCs w:val="32"/>
          <w:highlight w:val="none"/>
        </w:rPr>
        <w:t>完成预算</w:t>
      </w:r>
      <w:r>
        <w:rPr>
          <w:rStyle w:val="15"/>
          <w:rFonts w:hint="eastAsia" w:ascii="仿宋_GB2312" w:hAnsi="仿宋_GB2312" w:eastAsia="仿宋_GB2312" w:cs="仿宋_GB2312"/>
          <w:bCs/>
          <w:color w:val="auto"/>
          <w:sz w:val="32"/>
          <w:szCs w:val="32"/>
          <w:highlight w:val="none"/>
          <w:lang w:val="en-US" w:eastAsia="zh-CN"/>
        </w:rPr>
        <w:t>98.85</w:t>
      </w:r>
      <w:r>
        <w:rPr>
          <w:rStyle w:val="15"/>
          <w:rFonts w:hint="eastAsia" w:ascii="仿宋_GB2312" w:hAnsi="仿宋_GB2312" w:eastAsia="仿宋_GB2312" w:cs="仿宋_GB2312"/>
          <w:bCs/>
          <w:color w:val="auto"/>
          <w:sz w:val="32"/>
          <w:szCs w:val="32"/>
          <w:highlight w:val="none"/>
        </w:rPr>
        <w:t>%。其中：</w:t>
      </w:r>
      <w:bookmarkEnd w:id="25"/>
      <w:bookmarkEnd w:id="26"/>
      <w:bookmarkEnd w:id="27"/>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642" w:firstLineChars="200"/>
        <w:textAlignment w:val="auto"/>
        <w:rPr>
          <w:rFonts w:hint="eastAsia" w:ascii="仿宋_GB2312" w:hAnsi="仿宋_GB2312" w:eastAsia="仿宋_GB2312" w:cs="仿宋_GB2312"/>
          <w:b/>
          <w:color w:val="auto"/>
          <w:sz w:val="32"/>
          <w:szCs w:val="32"/>
          <w:highlight w:val="none"/>
        </w:rPr>
      </w:pPr>
      <w:r>
        <w:rPr>
          <w:rStyle w:val="15"/>
          <w:rFonts w:hint="eastAsia" w:ascii="仿宋" w:hAnsi="仿宋" w:eastAsia="仿宋"/>
          <w:bCs/>
          <w:color w:val="auto"/>
          <w:sz w:val="32"/>
          <w:szCs w:val="32"/>
          <w:highlight w:val="none"/>
          <w:lang w:val="en-US" w:eastAsia="zh-CN"/>
        </w:rPr>
        <w:t>科学技术支出</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其他科学技术支出</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其他科学技术支出</w:t>
      </w:r>
      <w:r>
        <w:rPr>
          <w:rStyle w:val="15"/>
          <w:rFonts w:hint="eastAsia" w:ascii="仿宋" w:hAnsi="仿宋" w:eastAsia="仿宋"/>
          <w:bCs/>
          <w:color w:val="auto"/>
          <w:sz w:val="32"/>
          <w:szCs w:val="32"/>
          <w:highlight w:val="none"/>
        </w:rPr>
        <w:t>（项）</w:t>
      </w:r>
      <w:r>
        <w:rPr>
          <w:rStyle w:val="15"/>
          <w:rFonts w:hint="eastAsia" w:ascii="仿宋" w:hAnsi="仿宋" w:eastAsia="仿宋"/>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15.29</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89.84</w:t>
      </w:r>
      <w:r>
        <w:rPr>
          <w:rStyle w:val="15"/>
          <w:rFonts w:hint="eastAsia" w:ascii="仿宋_GB2312" w:hAnsi="仿宋_GB2312" w:eastAsia="仿宋_GB2312" w:cs="仿宋_GB2312"/>
          <w:b w:val="0"/>
          <w:bCs/>
          <w:color w:val="auto"/>
          <w:sz w:val="32"/>
          <w:szCs w:val="32"/>
          <w:highlight w:val="none"/>
        </w:rPr>
        <w:t>%，</w:t>
      </w:r>
      <w:r>
        <w:rPr>
          <w:rStyle w:val="15"/>
          <w:rFonts w:hint="eastAsia" w:ascii="仿宋" w:hAnsi="仿宋" w:eastAsia="仿宋"/>
          <w:b w:val="0"/>
          <w:bCs/>
          <w:color w:val="auto"/>
          <w:sz w:val="32"/>
          <w:szCs w:val="32"/>
          <w:highlight w:val="none"/>
          <w:lang w:eastAsia="zh-CN"/>
        </w:rPr>
        <w:t>项目持续实施中</w:t>
      </w:r>
      <w:r>
        <w:rPr>
          <w:rStyle w:val="15"/>
          <w:rFonts w:hint="eastAsia" w:ascii="仿宋" w:hAnsi="仿宋" w:eastAsia="仿宋"/>
          <w:b w:val="0"/>
          <w:bCs/>
          <w:color w:val="auto"/>
          <w:sz w:val="32"/>
          <w:szCs w:val="32"/>
          <w:highlight w:val="none"/>
        </w:rPr>
        <w:t>。</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642" w:firstLineChars="200"/>
        <w:textAlignment w:val="auto"/>
        <w:rPr>
          <w:rFonts w:hint="eastAsia"/>
          <w:color w:val="auto"/>
          <w:highlight w:val="none"/>
        </w:rPr>
      </w:pPr>
      <w:r>
        <w:rPr>
          <w:rStyle w:val="15"/>
          <w:rFonts w:hint="eastAsia" w:ascii="仿宋" w:hAnsi="仿宋" w:eastAsia="仿宋"/>
          <w:bCs/>
          <w:color w:val="auto"/>
          <w:sz w:val="32"/>
          <w:szCs w:val="32"/>
          <w:highlight w:val="none"/>
        </w:rPr>
        <w:t>社会保障和就业（类）行政事业单位养老支出（款）</w:t>
      </w:r>
      <w:r>
        <w:rPr>
          <w:rStyle w:val="15"/>
          <w:rFonts w:hint="eastAsia" w:ascii="仿宋" w:hAnsi="仿宋" w:eastAsia="仿宋"/>
          <w:bCs/>
          <w:color w:val="auto"/>
          <w:sz w:val="32"/>
          <w:szCs w:val="32"/>
          <w:highlight w:val="none"/>
          <w:lang w:eastAsia="zh-CN"/>
        </w:rPr>
        <w:t>事业单位离退休</w:t>
      </w:r>
      <w:r>
        <w:rPr>
          <w:rStyle w:val="15"/>
          <w:rFonts w:hint="eastAsia" w:ascii="仿宋" w:hAnsi="仿宋" w:eastAsia="仿宋"/>
          <w:bCs/>
          <w:color w:val="auto"/>
          <w:sz w:val="32"/>
          <w:szCs w:val="32"/>
          <w:highlight w:val="none"/>
        </w:rPr>
        <w:t>（项）</w:t>
      </w:r>
      <w:r>
        <w:rPr>
          <w:rStyle w:val="15"/>
          <w:rFonts w:hint="eastAsia" w:ascii="仿宋" w:hAnsi="仿宋" w:eastAsia="仿宋"/>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7.56</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642" w:firstLineChars="200"/>
        <w:textAlignment w:val="auto"/>
        <w:rPr>
          <w:rStyle w:val="15"/>
          <w:rFonts w:hint="eastAsia" w:ascii="仿宋_GB2312" w:hAnsi="仿宋_GB2312" w:eastAsia="仿宋_GB2312" w:cs="仿宋_GB2312"/>
          <w:b w:val="0"/>
          <w:bCs/>
          <w:color w:val="auto"/>
          <w:sz w:val="32"/>
          <w:szCs w:val="32"/>
          <w:highlight w:val="none"/>
        </w:rPr>
      </w:pPr>
      <w:r>
        <w:rPr>
          <w:rStyle w:val="15"/>
          <w:rFonts w:hint="eastAsia" w:ascii="仿宋" w:hAnsi="仿宋" w:eastAsia="仿宋"/>
          <w:bCs/>
          <w:color w:val="auto"/>
          <w:sz w:val="32"/>
          <w:szCs w:val="32"/>
          <w:highlight w:val="none"/>
        </w:rPr>
        <w:t>社会保障和就业（类）行政事业单位养老支出（款）机关事业单位基本养老保险缴费支出（项）</w:t>
      </w:r>
      <w:r>
        <w:rPr>
          <w:rStyle w:val="15"/>
          <w:rFonts w:hint="eastAsia" w:ascii="仿宋" w:hAnsi="仿宋" w:eastAsia="仿宋"/>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48.16</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642" w:firstLineChars="200"/>
        <w:textAlignment w:val="auto"/>
        <w:rPr>
          <w:rFonts w:hint="eastAsia"/>
          <w:color w:val="auto"/>
          <w:highlight w:val="none"/>
        </w:rPr>
      </w:pPr>
      <w:r>
        <w:rPr>
          <w:rStyle w:val="15"/>
          <w:rFonts w:hint="eastAsia" w:ascii="仿宋" w:hAnsi="仿宋" w:eastAsia="仿宋"/>
          <w:bCs/>
          <w:color w:val="auto"/>
          <w:sz w:val="32"/>
          <w:szCs w:val="32"/>
          <w:highlight w:val="none"/>
        </w:rPr>
        <w:t>社会保障和就业（类）</w:t>
      </w:r>
      <w:r>
        <w:rPr>
          <w:rStyle w:val="15"/>
          <w:rFonts w:hint="eastAsia" w:ascii="仿宋" w:hAnsi="仿宋" w:eastAsia="仿宋"/>
          <w:bCs/>
          <w:color w:val="auto"/>
          <w:sz w:val="32"/>
          <w:szCs w:val="32"/>
          <w:highlight w:val="none"/>
          <w:lang w:eastAsia="zh-CN"/>
        </w:rPr>
        <w:t>其他社会保障和就业支出</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其他社会保障和就业支出</w:t>
      </w:r>
      <w:r>
        <w:rPr>
          <w:rStyle w:val="15"/>
          <w:rFonts w:hint="eastAsia" w:ascii="仿宋" w:hAnsi="仿宋" w:eastAsia="仿宋"/>
          <w:bCs/>
          <w:color w:val="auto"/>
          <w:sz w:val="32"/>
          <w:szCs w:val="32"/>
          <w:highlight w:val="none"/>
        </w:rPr>
        <w:t>（项）</w:t>
      </w:r>
      <w:r>
        <w:rPr>
          <w:rStyle w:val="15"/>
          <w:rFonts w:hint="eastAsia" w:ascii="仿宋" w:hAnsi="仿宋" w:eastAsia="仿宋"/>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1.6</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642" w:firstLineChars="200"/>
        <w:textAlignment w:val="auto"/>
        <w:rPr>
          <w:rStyle w:val="15"/>
          <w:rFonts w:hint="eastAsia" w:ascii="仿宋" w:hAnsi="仿宋" w:eastAsia="仿宋"/>
          <w:b w:val="0"/>
          <w:bCs/>
          <w:color w:val="auto"/>
          <w:sz w:val="32"/>
          <w:szCs w:val="32"/>
          <w:highlight w:val="none"/>
        </w:rPr>
      </w:pPr>
      <w:r>
        <w:rPr>
          <w:rFonts w:hint="eastAsia" w:ascii="仿宋" w:hAnsi="仿宋" w:eastAsia="仿宋"/>
          <w:b/>
          <w:bCs/>
          <w:color w:val="auto"/>
          <w:sz w:val="32"/>
          <w:szCs w:val="32"/>
          <w:highlight w:val="none"/>
        </w:rPr>
        <w:t>卫生健康</w:t>
      </w:r>
      <w:r>
        <w:rPr>
          <w:rStyle w:val="15"/>
          <w:rFonts w:hint="eastAsia" w:ascii="仿宋" w:hAnsi="仿宋" w:eastAsia="仿宋"/>
          <w:bCs/>
          <w:color w:val="auto"/>
          <w:sz w:val="32"/>
          <w:szCs w:val="32"/>
          <w:highlight w:val="none"/>
        </w:rPr>
        <w:t>（类）行政事业单位医疗（款）事业单位医疗（项）</w:t>
      </w:r>
      <w:r>
        <w:rPr>
          <w:rStyle w:val="15"/>
          <w:rFonts w:hint="eastAsia" w:ascii="仿宋" w:hAnsi="仿宋" w:eastAsia="仿宋"/>
          <w:bCs/>
          <w:color w:val="auto"/>
          <w:sz w:val="32"/>
          <w:szCs w:val="32"/>
          <w:highlight w:val="none"/>
          <w:lang w:eastAsia="zh-CN"/>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15.81</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642" w:firstLineChars="200"/>
        <w:textAlignment w:val="auto"/>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农林水支出</w:t>
      </w:r>
      <w:r>
        <w:rPr>
          <w:rStyle w:val="15"/>
          <w:rFonts w:hint="eastAsia" w:ascii="仿宋" w:hAnsi="仿宋" w:eastAsia="仿宋"/>
          <w:bCs/>
          <w:color w:val="auto"/>
          <w:sz w:val="32"/>
          <w:szCs w:val="32"/>
          <w:highlight w:val="none"/>
        </w:rPr>
        <w:t>（类）林业和草原（款）事业机构（项）</w:t>
      </w:r>
      <w:r>
        <w:rPr>
          <w:rStyle w:val="15"/>
          <w:rFonts w:hint="eastAsia" w:ascii="仿宋" w:hAnsi="仿宋" w:eastAsia="仿宋"/>
          <w:bCs/>
          <w:color w:val="auto"/>
          <w:sz w:val="32"/>
          <w:szCs w:val="32"/>
          <w:highlight w:val="none"/>
          <w:lang w:eastAsia="zh-CN"/>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408.14</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99.78</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642" w:firstLineChars="200"/>
        <w:textAlignment w:val="auto"/>
        <w:rPr>
          <w:rStyle w:val="15"/>
          <w:rFonts w:hint="eastAsia" w:ascii="仿宋" w:hAnsi="仿宋" w:eastAsia="仿宋"/>
          <w:bCs/>
          <w:color w:val="auto"/>
          <w:sz w:val="32"/>
          <w:szCs w:val="32"/>
          <w:highlight w:val="none"/>
          <w:lang w:val="en-US" w:eastAsia="zh-CN"/>
        </w:rPr>
      </w:pPr>
      <w:r>
        <w:rPr>
          <w:rStyle w:val="15"/>
          <w:rFonts w:hint="eastAsia" w:ascii="仿宋" w:hAnsi="仿宋" w:eastAsia="仿宋"/>
          <w:bCs/>
          <w:color w:val="auto"/>
          <w:sz w:val="32"/>
          <w:szCs w:val="32"/>
          <w:highlight w:val="none"/>
          <w:lang w:val="en-US" w:eastAsia="zh-CN"/>
        </w:rPr>
        <w:t>农林水支出</w:t>
      </w:r>
      <w:r>
        <w:rPr>
          <w:rStyle w:val="15"/>
          <w:rFonts w:hint="eastAsia" w:ascii="仿宋" w:hAnsi="仿宋" w:eastAsia="仿宋"/>
          <w:bCs/>
          <w:color w:val="auto"/>
          <w:sz w:val="32"/>
          <w:szCs w:val="32"/>
          <w:highlight w:val="none"/>
        </w:rPr>
        <w:t>（类）林业和草原（款）森林资源培育（项）</w:t>
      </w:r>
      <w:r>
        <w:rPr>
          <w:rStyle w:val="15"/>
          <w:rFonts w:hint="eastAsia" w:ascii="仿宋" w:hAnsi="仿宋" w:eastAsia="仿宋"/>
          <w:bCs/>
          <w:color w:val="auto"/>
          <w:sz w:val="32"/>
          <w:szCs w:val="32"/>
          <w:highlight w:val="none"/>
          <w:lang w:eastAsia="zh-CN"/>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93.54</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642" w:firstLineChars="200"/>
        <w:textAlignment w:val="auto"/>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农林水支出（类）林业和草原（款）技术推广与转化（项）：</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196.02</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98.98</w:t>
      </w:r>
      <w:r>
        <w:rPr>
          <w:rStyle w:val="15"/>
          <w:rFonts w:ascii="仿宋" w:hAnsi="仿宋" w:eastAsia="仿宋"/>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642" w:firstLineChars="200"/>
        <w:textAlignment w:val="auto"/>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农林水支出（类）林业和草原（款）行业业务管理（项）：</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90.56</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43</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lang w:eastAsia="zh-CN"/>
        </w:rPr>
        <w:t>，</w:t>
      </w:r>
      <w:r>
        <w:rPr>
          <w:rStyle w:val="15"/>
          <w:rFonts w:hint="eastAsia" w:ascii="仿宋" w:hAnsi="仿宋" w:eastAsia="仿宋"/>
          <w:b w:val="0"/>
          <w:bCs/>
          <w:color w:val="auto"/>
          <w:sz w:val="32"/>
          <w:szCs w:val="32"/>
          <w:highlight w:val="none"/>
        </w:rPr>
        <w:t>决算数小于预算数的主要原因是：</w:t>
      </w:r>
      <w:r>
        <w:rPr>
          <w:rStyle w:val="15"/>
          <w:rFonts w:hint="eastAsia" w:ascii="仿宋" w:hAnsi="仿宋" w:eastAsia="仿宋"/>
          <w:b w:val="0"/>
          <w:bCs/>
          <w:color w:val="auto"/>
          <w:sz w:val="32"/>
          <w:szCs w:val="32"/>
          <w:highlight w:val="none"/>
          <w:lang w:eastAsia="zh-CN"/>
        </w:rPr>
        <w:t>林产品质量安全项目</w:t>
      </w:r>
      <w:r>
        <w:rPr>
          <w:rStyle w:val="15"/>
          <w:rFonts w:hint="eastAsia" w:ascii="仿宋" w:hAnsi="仿宋" w:eastAsia="仿宋"/>
          <w:b w:val="0"/>
          <w:bCs/>
          <w:color w:val="auto"/>
          <w:sz w:val="32"/>
          <w:szCs w:val="32"/>
          <w:highlight w:val="none"/>
        </w:rPr>
        <w:t>跨年完成。</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642" w:firstLineChars="200"/>
        <w:textAlignment w:val="auto"/>
        <w:rPr>
          <w:rStyle w:val="15"/>
          <w:rFonts w:hint="default" w:ascii="仿宋" w:hAnsi="仿宋" w:eastAsia="仿宋"/>
          <w:b w:val="0"/>
          <w:bCs/>
          <w:color w:val="auto"/>
          <w:sz w:val="32"/>
          <w:szCs w:val="32"/>
          <w:highlight w:val="none"/>
          <w:lang w:val="en-US" w:eastAsia="zh-CN"/>
        </w:rPr>
      </w:pPr>
      <w:r>
        <w:rPr>
          <w:rStyle w:val="15"/>
          <w:rFonts w:hint="eastAsia" w:ascii="仿宋" w:hAnsi="仿宋" w:eastAsia="仿宋"/>
          <w:bCs/>
          <w:color w:val="auto"/>
          <w:sz w:val="32"/>
          <w:szCs w:val="32"/>
          <w:highlight w:val="none"/>
          <w:lang w:val="en-US" w:eastAsia="zh-CN"/>
        </w:rPr>
        <w:t>农林水支出（类）林业和草原（款）其他林业和草原支出</w:t>
      </w:r>
      <w:r>
        <w:rPr>
          <w:rStyle w:val="15"/>
          <w:rFonts w:hint="eastAsia" w:ascii="仿宋" w:hAnsi="仿宋" w:eastAsia="仿宋"/>
          <w:bCs/>
          <w:color w:val="auto"/>
          <w:sz w:val="32"/>
          <w:szCs w:val="32"/>
          <w:highlight w:val="none"/>
        </w:rPr>
        <w:t>（项）</w:t>
      </w:r>
      <w:r>
        <w:rPr>
          <w:rStyle w:val="15"/>
          <w:rFonts w:hint="eastAsia" w:ascii="仿宋" w:hAnsi="仿宋" w:eastAsia="仿宋"/>
          <w:bCs/>
          <w:color w:val="auto"/>
          <w:sz w:val="32"/>
          <w:szCs w:val="32"/>
          <w:highlight w:val="none"/>
          <w:lang w:eastAsia="zh-CN"/>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11.86</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65.8</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lang w:eastAsia="zh-CN"/>
        </w:rPr>
        <w:t>，项目持续实施中</w:t>
      </w:r>
      <w:r>
        <w:rPr>
          <w:rStyle w:val="15"/>
          <w:rFonts w:hint="eastAsia" w:ascii="仿宋" w:hAnsi="仿宋" w:eastAsia="仿宋"/>
          <w:b w:val="0"/>
          <w:bCs/>
          <w:color w:val="auto"/>
          <w:sz w:val="32"/>
          <w:szCs w:val="32"/>
          <w:highlight w:val="none"/>
        </w:rPr>
        <w:t>。</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576" w:lineRule="exact"/>
        <w:ind w:left="0" w:leftChars="0" w:firstLine="642" w:firstLineChars="200"/>
        <w:textAlignment w:val="auto"/>
        <w:rPr>
          <w:rFonts w:ascii="仿宋" w:hAnsi="仿宋" w:eastAsia="仿宋"/>
          <w:b/>
          <w:color w:val="auto"/>
          <w:sz w:val="32"/>
          <w:szCs w:val="32"/>
          <w:highlight w:val="none"/>
        </w:rPr>
      </w:pPr>
      <w:r>
        <w:rPr>
          <w:rStyle w:val="15"/>
          <w:rFonts w:hint="eastAsia" w:ascii="仿宋" w:hAnsi="仿宋" w:eastAsia="仿宋"/>
          <w:bCs/>
          <w:color w:val="auto"/>
          <w:sz w:val="32"/>
          <w:szCs w:val="32"/>
          <w:highlight w:val="none"/>
          <w:lang w:val="en-US" w:eastAsia="zh-CN"/>
        </w:rPr>
        <w:t>住房保障支出（类）住房改革支出（款）住房公积金（项）：</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41.59</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tabs>
          <w:tab w:val="right" w:pos="8306"/>
        </w:tabs>
        <w:spacing w:line="600" w:lineRule="exact"/>
        <w:ind w:firstLine="640" w:firstLineChars="0"/>
        <w:outlineLvl w:val="0"/>
        <w:rPr>
          <w:rStyle w:val="17"/>
          <w:color w:val="auto"/>
          <w:highlight w:val="none"/>
        </w:rPr>
      </w:pPr>
      <w:bookmarkStart w:id="28" w:name="_Toc15377214"/>
      <w:bookmarkStart w:id="29" w:name="_Toc9722"/>
      <w:bookmarkStart w:id="30"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般公共预算财政拨款基本支出决算情况说明</w:t>
      </w:r>
      <w:bookmarkEnd w:id="28"/>
      <w:bookmarkEnd w:id="29"/>
      <w:bookmarkEnd w:id="30"/>
      <w:r>
        <w:rPr>
          <w:rStyle w:val="17"/>
          <w:rFonts w:ascii="黑体" w:hAnsi="黑体" w:eastAsia="黑体"/>
          <w:b w:val="0"/>
          <w:color w:val="auto"/>
          <w:highlight w:val="none"/>
        </w:rPr>
        <w:tab/>
      </w:r>
    </w:p>
    <w:p>
      <w:pP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一般公共预算财政拨款基本支出</w:t>
      </w:r>
      <w:r>
        <w:rPr>
          <w:rFonts w:hint="eastAsia" w:ascii="仿宋_GB2312" w:hAnsi="仿宋_GB2312" w:eastAsia="仿宋_GB2312" w:cs="仿宋_GB2312"/>
          <w:color w:val="auto"/>
          <w:sz w:val="32"/>
          <w:szCs w:val="32"/>
          <w:highlight w:val="none"/>
          <w:lang w:val="en-US" w:eastAsia="zh-CN"/>
        </w:rPr>
        <w:t>522.87</w:t>
      </w:r>
      <w:r>
        <w:rPr>
          <w:rFonts w:hint="eastAsia" w:ascii="仿宋_GB2312" w:hAnsi="仿宋_GB2312" w:eastAsia="仿宋_GB2312" w:cs="仿宋_GB2312"/>
          <w:color w:val="auto"/>
          <w:sz w:val="32"/>
          <w:szCs w:val="32"/>
          <w:highlight w:val="none"/>
        </w:rPr>
        <w:t>万元，其中：</w:t>
      </w:r>
    </w:p>
    <w:p>
      <w:pP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481.16</w:t>
      </w:r>
      <w:r>
        <w:rPr>
          <w:rFonts w:hint="eastAsia" w:ascii="仿宋_GB2312" w:hAnsi="仿宋_GB2312" w:eastAsia="仿宋_GB2312" w:cs="仿宋_GB2312"/>
          <w:color w:val="auto"/>
          <w:sz w:val="32"/>
          <w:szCs w:val="32"/>
          <w:highlight w:val="none"/>
        </w:rPr>
        <w:t>万元，主要包括：基本工资、津贴补贴、奖金、绩效工资、机关事业单位基本养老保险缴费、职工基本医疗保险缴费、其他社会保障缴费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住房公积金、生活补助、奖励金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其他对个人和家庭的补助支出。</w:t>
      </w:r>
    </w:p>
    <w:p>
      <w:pPr>
        <w:keepNext w:val="0"/>
        <w:keepLines w:val="0"/>
        <w:pageBreakBefore w:val="0"/>
        <w:widowControl w:val="0"/>
        <w:shd w:val="clear" w:color="auto" w:fill="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公用经费</w:t>
      </w:r>
      <w:r>
        <w:rPr>
          <w:rFonts w:hint="eastAsia" w:ascii="仿宋_GB2312" w:hAnsi="仿宋_GB2312" w:eastAsia="仿宋_GB2312" w:cs="仿宋_GB2312"/>
          <w:color w:val="auto"/>
          <w:sz w:val="32"/>
          <w:szCs w:val="32"/>
          <w:highlight w:val="none"/>
          <w:lang w:val="en-US" w:eastAsia="zh-CN"/>
        </w:rPr>
        <w:t>41.71</w:t>
      </w:r>
      <w:r>
        <w:rPr>
          <w:rFonts w:hint="eastAsia" w:ascii="仿宋_GB2312" w:hAnsi="仿宋_GB2312" w:eastAsia="仿宋_GB2312" w:cs="仿宋_GB2312"/>
          <w:color w:val="auto"/>
          <w:sz w:val="32"/>
          <w:szCs w:val="32"/>
          <w:highlight w:val="none"/>
        </w:rPr>
        <w:t>万元，主要包括：办公费、印刷费、咨询费、水费、电费、邮电费、物业管理费、差旅费、维修（护）费、租赁费、培训费、公务接待费、专用材料费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劳务费、工会经费、福利费、公务用车运行维护费、其他交通费</w:t>
      </w:r>
      <w:r>
        <w:rPr>
          <w:rFonts w:hint="eastAsia" w:ascii="仿宋_GB2312" w:hAnsi="仿宋_GB2312" w:eastAsia="仿宋_GB2312" w:cs="仿宋_GB2312"/>
          <w:color w:val="auto"/>
          <w:sz w:val="32"/>
          <w:szCs w:val="32"/>
          <w:highlight w:val="none"/>
          <w:lang w:val="en-US" w:eastAsia="zh-CN"/>
        </w:rPr>
        <w:t>用</w:t>
      </w:r>
      <w:r>
        <w:rPr>
          <w:rFonts w:hint="eastAsia" w:ascii="仿宋_GB2312" w:hAnsi="仿宋_GB2312" w:eastAsia="仿宋_GB2312" w:cs="仿宋_GB2312"/>
          <w:color w:val="auto"/>
          <w:sz w:val="32"/>
          <w:szCs w:val="32"/>
          <w:highlight w:val="none"/>
        </w:rPr>
        <w:t>、其他商品和服务支出。</w:t>
      </w:r>
    </w:p>
    <w:p>
      <w:pPr>
        <w:spacing w:line="600" w:lineRule="exact"/>
        <w:ind w:firstLine="640" w:firstLineChars="0"/>
        <w:outlineLvl w:val="0"/>
        <w:rPr>
          <w:rStyle w:val="17"/>
          <w:rFonts w:ascii="黑体" w:hAnsi="黑体" w:eastAsia="黑体"/>
          <w:b w:val="0"/>
          <w:color w:val="auto"/>
          <w:highlight w:val="none"/>
        </w:rPr>
      </w:pPr>
      <w:bookmarkStart w:id="31" w:name="_Toc15396609"/>
      <w:bookmarkStart w:id="32" w:name="_Toc15377215"/>
      <w:bookmarkStart w:id="33" w:name="_Toc27634"/>
      <w:r>
        <w:rPr>
          <w:rFonts w:hint="eastAsia" w:ascii="黑体" w:eastAsia="黑体"/>
          <w:color w:val="auto"/>
          <w:sz w:val="32"/>
          <w:szCs w:val="32"/>
          <w:highlight w:val="none"/>
        </w:rPr>
        <w:t>七、</w:t>
      </w:r>
      <w:r>
        <w:rPr>
          <w:rStyle w:val="17"/>
          <w:rFonts w:hint="eastAsia" w:ascii="黑体" w:hAnsi="黑体" w:eastAsia="黑体"/>
          <w:b w:val="0"/>
          <w:color w:val="auto"/>
          <w:highlight w:val="none"/>
        </w:rPr>
        <w:t>财政拨款</w:t>
      </w:r>
      <w:r>
        <w:rPr>
          <w:rStyle w:val="17"/>
          <w:rFonts w:hint="eastAsia" w:ascii="黑体" w:hAnsi="黑体" w:eastAsia="黑体"/>
          <w:color w:val="auto"/>
          <w:highlight w:val="none"/>
        </w:rPr>
        <w:t>“</w:t>
      </w:r>
      <w:r>
        <w:rPr>
          <w:rStyle w:val="17"/>
          <w:rFonts w:hint="eastAsia" w:ascii="黑体" w:hAnsi="黑体" w:eastAsia="黑体"/>
          <w:b w:val="0"/>
          <w:color w:val="auto"/>
          <w:highlight w:val="none"/>
        </w:rPr>
        <w:t>三公”经费支出决算情况说明</w:t>
      </w:r>
      <w:bookmarkEnd w:id="31"/>
      <w:bookmarkEnd w:id="32"/>
      <w:bookmarkEnd w:id="33"/>
    </w:p>
    <w:p>
      <w:pPr>
        <w:spacing w:line="600" w:lineRule="exact"/>
        <w:ind w:firstLine="640" w:firstLineChars="0"/>
        <w:outlineLvl w:val="1"/>
        <w:rPr>
          <w:rFonts w:hint="eastAsia" w:ascii="仿宋_GB2312" w:hAnsi="仿宋_GB2312" w:eastAsia="仿宋_GB2312" w:cs="仿宋_GB2312"/>
          <w:b/>
          <w:color w:val="auto"/>
          <w:sz w:val="32"/>
          <w:szCs w:val="32"/>
          <w:highlight w:val="none"/>
        </w:rPr>
      </w:pPr>
      <w:bookmarkStart w:id="34" w:name="_Toc9316"/>
      <w:bookmarkStart w:id="35" w:name="_Toc15377216"/>
      <w:r>
        <w:rPr>
          <w:rFonts w:hint="eastAsia" w:ascii="仿宋_GB2312" w:hAnsi="仿宋_GB2312" w:eastAsia="仿宋_GB2312" w:cs="仿宋_GB2312"/>
          <w:b/>
          <w:color w:val="auto"/>
          <w:sz w:val="32"/>
          <w:szCs w:val="32"/>
          <w:highlight w:val="none"/>
        </w:rPr>
        <w:t>（一）“三公”经费财政拨款支出决算总体情况说明</w:t>
      </w:r>
      <w:bookmarkEnd w:id="34"/>
      <w:bookmarkEnd w:id="35"/>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“三公”经费财政拨款支出决算为</w:t>
      </w:r>
      <w:r>
        <w:rPr>
          <w:rFonts w:hint="eastAsia" w:ascii="仿宋_GB2312" w:hAnsi="仿宋_GB2312" w:eastAsia="仿宋_GB2312" w:cs="仿宋_GB2312"/>
          <w:color w:val="auto"/>
          <w:sz w:val="32"/>
          <w:szCs w:val="32"/>
          <w:highlight w:val="none"/>
          <w:lang w:val="en-US" w:eastAsia="zh-CN"/>
        </w:rPr>
        <w:t>1.95</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86</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较上年度增加</w:t>
      </w:r>
      <w:r>
        <w:rPr>
          <w:rFonts w:hint="eastAsia" w:ascii="仿宋_GB2312" w:hAnsi="仿宋_GB2312" w:eastAsia="仿宋_GB2312" w:cs="仿宋_GB2312"/>
          <w:color w:val="auto"/>
          <w:sz w:val="32"/>
          <w:szCs w:val="32"/>
          <w:highlight w:val="none"/>
          <w:lang w:val="en-US" w:eastAsia="zh-CN"/>
        </w:rPr>
        <w:t>0.58万元，增长43%。</w:t>
      </w:r>
      <w:r>
        <w:rPr>
          <w:rFonts w:hint="eastAsia" w:ascii="仿宋_GB2312" w:hAnsi="仿宋_GB2312" w:eastAsia="仿宋_GB2312" w:cs="仿宋_GB2312"/>
          <w:color w:val="auto"/>
          <w:sz w:val="32"/>
          <w:szCs w:val="32"/>
          <w:highlight w:val="none"/>
        </w:rPr>
        <w:t>决算数小于预算数的主要原因是</w:t>
      </w:r>
      <w:r>
        <w:rPr>
          <w:rFonts w:hint="eastAsia" w:ascii="仿宋" w:hAnsi="仿宋" w:eastAsia="仿宋"/>
          <w:color w:val="auto"/>
          <w:sz w:val="32"/>
          <w:szCs w:val="32"/>
          <w:highlight w:val="none"/>
          <w:lang w:eastAsia="zh-CN"/>
        </w:rPr>
        <w:t>持续</w:t>
      </w:r>
      <w:r>
        <w:rPr>
          <w:rFonts w:hint="eastAsia" w:ascii="仿宋" w:hAnsi="仿宋" w:eastAsia="仿宋"/>
          <w:color w:val="auto"/>
          <w:sz w:val="32"/>
          <w:szCs w:val="32"/>
          <w:highlight w:val="none"/>
        </w:rPr>
        <w:t>坚持厉行节约，严格控制“三公”经费支出。</w:t>
      </w:r>
    </w:p>
    <w:p>
      <w:pPr>
        <w:spacing w:line="600" w:lineRule="exact"/>
        <w:ind w:firstLine="640" w:firstLineChars="0"/>
        <w:outlineLvl w:val="1"/>
        <w:rPr>
          <w:rFonts w:hint="eastAsia" w:ascii="仿宋_GB2312" w:hAnsi="仿宋_GB2312" w:eastAsia="仿宋_GB2312" w:cs="仿宋_GB2312"/>
          <w:b/>
          <w:color w:val="auto"/>
          <w:sz w:val="32"/>
          <w:szCs w:val="32"/>
          <w:highlight w:val="none"/>
        </w:rPr>
      </w:pPr>
      <w:bookmarkStart w:id="36" w:name="_Toc15377217"/>
      <w:bookmarkStart w:id="37" w:name="_Toc31470"/>
      <w:r>
        <w:rPr>
          <w:rFonts w:hint="eastAsia" w:ascii="仿宋_GB2312" w:hAnsi="仿宋_GB2312" w:eastAsia="仿宋_GB2312" w:cs="仿宋_GB2312"/>
          <w:b/>
          <w:color w:val="auto"/>
          <w:sz w:val="32"/>
          <w:szCs w:val="32"/>
          <w:highlight w:val="none"/>
        </w:rPr>
        <w:t>（二）“三公”经费财政拨款支出决算具体情况说明</w:t>
      </w:r>
      <w:bookmarkEnd w:id="36"/>
      <w:bookmarkEnd w:id="37"/>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万元；公务用车购置及运行维护费支出决算</w:t>
      </w:r>
      <w:r>
        <w:rPr>
          <w:rFonts w:hint="eastAsia" w:ascii="仿宋_GB2312" w:hAnsi="仿宋_GB2312" w:eastAsia="仿宋_GB2312" w:cs="仿宋_GB2312"/>
          <w:color w:val="auto"/>
          <w:sz w:val="32"/>
          <w:szCs w:val="32"/>
          <w:highlight w:val="none"/>
          <w:lang w:val="en-US" w:eastAsia="zh-CN"/>
        </w:rPr>
        <w:t>1.72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89</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0.23</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%。具体情况如下：</w:t>
      </w:r>
    </w:p>
    <w:p>
      <w:pPr>
        <w:pStyle w:val="2"/>
        <w:rPr>
          <w:rFonts w:hint="eastAsia" w:ascii="仿宋_GB2312" w:hAnsi="仿宋_GB2312" w:eastAsia="仿宋_GB2312" w:cs="仿宋_GB2312"/>
          <w:color w:val="auto"/>
          <w:sz w:val="32"/>
          <w:szCs w:val="32"/>
          <w:highlight w:val="none"/>
        </w:rPr>
      </w:pPr>
    </w:p>
    <w:p>
      <w:pPr>
        <w:pStyle w:val="2"/>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drawing>
          <wp:inline distT="0" distB="0" distL="114300" distR="114300">
            <wp:extent cx="4493895" cy="1802765"/>
            <wp:effectExtent l="4445" t="4445" r="12700" b="635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（图7：“三公”经费财政拨款支出结构）</w:t>
      </w:r>
    </w:p>
    <w:p>
      <w:pPr>
        <w:keepNext w:val="0"/>
        <w:keepLines w:val="0"/>
        <w:pageBreakBefore w:val="0"/>
        <w:widowControl w:val="0"/>
        <w:numPr>
          <w:ilvl w:val="0"/>
          <w:numId w:val="0"/>
        </w:numPr>
        <w:shd w:val="clear" w:color="auto" w:fill="auto"/>
        <w:kinsoku/>
        <w:wordWrap/>
        <w:overflowPunct/>
        <w:topLinePunct w:val="0"/>
        <w:bidi w:val="0"/>
        <w:spacing w:line="576" w:lineRule="exact"/>
        <w:ind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1.因公出国（境）经费支出</w:t>
      </w:r>
      <w:r>
        <w:rPr>
          <w:rFonts w:hint="eastAsia" w:ascii="仿宋_GB2312" w:eastAsia="仿宋_GB2312"/>
          <w:b/>
          <w:color w:val="auto"/>
          <w:sz w:val="32"/>
          <w:szCs w:val="32"/>
          <w:highlight w:val="none"/>
          <w:lang w:eastAsia="zh-CN"/>
        </w:rPr>
        <w:t>：</w:t>
      </w:r>
      <w:r>
        <w:rPr>
          <w:rFonts w:hint="eastAsia" w:ascii="仿宋_GB2312" w:hAnsi="仿宋_GB2312" w:eastAsia="仿宋_GB2312" w:cs="仿宋_GB2312"/>
          <w:color w:val="auto"/>
          <w:sz w:val="32"/>
          <w:szCs w:val="32"/>
          <w:highlight w:val="none"/>
        </w:rPr>
        <w:t>因公出国（境）经费支出0万元，年初未安排预算</w:t>
      </w:r>
      <w:r>
        <w:rPr>
          <w:rFonts w:hint="eastAsia" w:ascii="仿宋_GB2312" w:hAnsi="仿宋_GB2312" w:eastAsia="仿宋_GB2312" w:cs="仿宋_GB2312"/>
          <w:color w:val="auto"/>
          <w:sz w:val="32"/>
          <w:szCs w:val="32"/>
          <w:highlight w:val="none"/>
          <w:lang w:eastAsia="zh-CN"/>
        </w:rPr>
        <w:t>，较上年无变化</w:t>
      </w:r>
      <w:r>
        <w:rPr>
          <w:rFonts w:hint="eastAsia" w:ascii="仿宋_GB2312" w:hAnsi="仿宋_GB2312" w:eastAsia="仿宋_GB2312" w:cs="仿宋_GB2312"/>
          <w:color w:val="auto"/>
          <w:sz w:val="32"/>
          <w:szCs w:val="32"/>
          <w:highlight w:val="none"/>
        </w:rPr>
        <w:t>。</w:t>
      </w: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2.公</w:t>
      </w:r>
      <w:r>
        <w:rPr>
          <w:rFonts w:hint="eastAsia" w:ascii="仿宋_GB2312" w:hAnsi="仿宋_GB2312" w:eastAsia="仿宋_GB2312" w:cs="仿宋_GB2312"/>
          <w:b/>
          <w:bCs/>
          <w:color w:val="auto"/>
          <w:sz w:val="32"/>
          <w:szCs w:val="32"/>
          <w:highlight w:val="none"/>
        </w:rPr>
        <w:t>务用车购置及运行维护费支出</w:t>
      </w:r>
      <w:r>
        <w:rPr>
          <w:rFonts w:hint="eastAsia" w:ascii="仿宋_GB2312" w:hAnsi="仿宋_GB2312" w:eastAsia="仿宋_GB2312" w:cs="仿宋_GB2312"/>
          <w:b w:val="0"/>
          <w:bCs w:val="0"/>
          <w:color w:val="auto"/>
          <w:sz w:val="32"/>
          <w:szCs w:val="32"/>
          <w:highlight w:val="none"/>
          <w:lang w:val="en-US" w:eastAsia="zh-CN"/>
        </w:rPr>
        <w:t>1.72</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color w:val="auto"/>
          <w:sz w:val="32"/>
          <w:szCs w:val="32"/>
          <w:highlight w:val="none"/>
        </w:rPr>
        <w:t>完成预算</w:t>
      </w:r>
      <w:r>
        <w:rPr>
          <w:rFonts w:hint="eastAsia" w:ascii="仿宋_GB2312" w:hAnsi="仿宋_GB2312" w:eastAsia="仿宋_GB2312" w:cs="仿宋_GB2312"/>
          <w:color w:val="auto"/>
          <w:sz w:val="32"/>
          <w:szCs w:val="32"/>
          <w:highlight w:val="none"/>
          <w:lang w:val="en-US" w:eastAsia="zh-CN"/>
        </w:rPr>
        <w:t>86</w:t>
      </w:r>
      <w:r>
        <w:rPr>
          <w:rFonts w:hint="eastAsia" w:ascii="仿宋_GB2312" w:hAnsi="仿宋_GB2312" w:eastAsia="仿宋_GB2312" w:cs="仿宋_GB2312"/>
          <w:color w:val="auto"/>
          <w:sz w:val="32"/>
          <w:szCs w:val="32"/>
          <w:highlight w:val="none"/>
        </w:rPr>
        <w:t>%。公务用车购置及运行维护费支出决算比</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增加</w:t>
      </w:r>
      <w:r>
        <w:rPr>
          <w:rFonts w:hint="eastAsia" w:ascii="仿宋_GB2312" w:hAnsi="仿宋_GB2312" w:eastAsia="仿宋_GB2312" w:cs="仿宋_GB2312"/>
          <w:color w:val="auto"/>
          <w:sz w:val="32"/>
          <w:szCs w:val="32"/>
          <w:highlight w:val="none"/>
          <w:lang w:val="en-US" w:eastAsia="zh-CN"/>
        </w:rPr>
        <w:t>0.38</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29</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color w:val="auto"/>
          <w:sz w:val="32"/>
          <w:szCs w:val="32"/>
          <w:highlight w:val="none"/>
          <w:lang w:eastAsia="zh-CN"/>
        </w:rPr>
        <w:t>公务用车使用年限较长，维修维护成本增加</w:t>
      </w:r>
      <w:r>
        <w:rPr>
          <w:rFonts w:hint="eastAsia" w:ascii="仿宋_GB2312" w:hAnsi="仿宋_GB2312" w:eastAsia="仿宋_GB2312" w:cs="仿宋_GB2312"/>
          <w:color w:val="auto"/>
          <w:sz w:val="32"/>
          <w:szCs w:val="32"/>
          <w:highlight w:val="none"/>
        </w:rPr>
        <w:t>。</w:t>
      </w: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其中：</w:t>
      </w:r>
      <w:r>
        <w:rPr>
          <w:rFonts w:hint="eastAsia" w:ascii="仿宋_GB2312" w:hAnsi="仿宋_GB2312" w:eastAsia="仿宋_GB2312" w:cs="仿宋_GB2312"/>
          <w:b/>
          <w:bCs/>
          <w:color w:val="auto"/>
          <w:sz w:val="32"/>
          <w:szCs w:val="32"/>
          <w:highlight w:val="none"/>
        </w:rPr>
        <w:t>公务用车购置支出</w:t>
      </w:r>
      <w:r>
        <w:rPr>
          <w:rFonts w:hint="eastAsia" w:ascii="仿宋_GB2312" w:hAnsi="仿宋_GB2312" w:eastAsia="仿宋_GB2312" w:cs="仿宋_GB2312"/>
          <w:b/>
          <w:bCs/>
          <w:color w:val="auto"/>
          <w:sz w:val="32"/>
          <w:szCs w:val="32"/>
          <w:highlight w:val="none"/>
          <w:lang w:val="en-US" w:eastAsia="zh-CN"/>
        </w:rPr>
        <w:t>0</w:t>
      </w:r>
      <w:r>
        <w:rPr>
          <w:rFonts w:hint="eastAsia" w:ascii="仿宋_GB2312" w:hAnsi="仿宋_GB2312" w:eastAsia="仿宋_GB2312" w:cs="仿宋_GB2312"/>
          <w:b/>
          <w:bCs/>
          <w:color w:val="auto"/>
          <w:sz w:val="32"/>
          <w:szCs w:val="32"/>
          <w:highlight w:val="none"/>
        </w:rPr>
        <w:t>万元</w:t>
      </w:r>
      <w:r>
        <w:rPr>
          <w:rFonts w:hint="eastAsia" w:ascii="仿宋_GB2312" w:hAnsi="仿宋_GB2312" w:eastAsia="仿宋_GB2312" w:cs="仿宋_GB2312"/>
          <w:b/>
          <w:bCs/>
          <w:color w:val="auto"/>
          <w:sz w:val="32"/>
          <w:szCs w:val="32"/>
          <w:highlight w:val="none"/>
          <w:lang w:eastAsia="zh-CN"/>
        </w:rPr>
        <w:t>，本年度未购置公务用车</w:t>
      </w:r>
      <w:r>
        <w:rPr>
          <w:rFonts w:hint="eastAsia" w:ascii="仿宋_GB2312" w:hAnsi="仿宋_GB2312" w:eastAsia="仿宋_GB2312" w:cs="仿宋_GB2312"/>
          <w:color w:val="auto"/>
          <w:sz w:val="32"/>
          <w:szCs w:val="32"/>
          <w:highlight w:val="none"/>
        </w:rPr>
        <w:t>。截至</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年12月</w:t>
      </w:r>
      <w:r>
        <w:rPr>
          <w:rFonts w:hint="eastAsia" w:ascii="仿宋_GB2312" w:hAnsi="仿宋_GB2312" w:eastAsia="仿宋_GB2312" w:cs="仿宋_GB2312"/>
          <w:color w:val="auto"/>
          <w:sz w:val="32"/>
          <w:szCs w:val="32"/>
          <w:highlight w:val="none"/>
          <w:lang w:val="en-US" w:eastAsia="zh-CN"/>
        </w:rPr>
        <w:t>31日</w:t>
      </w:r>
      <w:r>
        <w:rPr>
          <w:rFonts w:hint="eastAsia" w:ascii="仿宋_GB2312" w:hAnsi="仿宋_GB2312" w:eastAsia="仿宋_GB2312" w:cs="仿宋_GB2312"/>
          <w:color w:val="auto"/>
          <w:sz w:val="32"/>
          <w:szCs w:val="32"/>
          <w:highlight w:val="none"/>
        </w:rPr>
        <w:t>，单位共有公务用车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辆，其中：</w:t>
      </w:r>
      <w:r>
        <w:rPr>
          <w:rFonts w:hint="eastAsia" w:ascii="仿宋_GB2312" w:eastAsia="仿宋_GB2312"/>
          <w:color w:val="auto"/>
          <w:sz w:val="32"/>
          <w:szCs w:val="32"/>
          <w:highlight w:val="none"/>
        </w:rPr>
        <w:t>其中：越野车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hAnsi="仿宋_GB2312" w:eastAsia="仿宋_GB2312" w:cs="仿宋_GB2312"/>
          <w:color w:val="auto"/>
          <w:sz w:val="32"/>
          <w:szCs w:val="32"/>
          <w:highlight w:val="none"/>
        </w:rPr>
        <w:t>。</w:t>
      </w: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公务用车运行维护费支出</w:t>
      </w:r>
      <w:r>
        <w:rPr>
          <w:rFonts w:hint="eastAsia" w:ascii="仿宋_GB2312" w:hAnsi="仿宋_GB2312" w:eastAsia="仿宋_GB2312" w:cs="仿宋_GB2312"/>
          <w:b/>
          <w:bCs/>
          <w:color w:val="auto"/>
          <w:sz w:val="32"/>
          <w:szCs w:val="32"/>
          <w:highlight w:val="none"/>
          <w:lang w:val="en-US" w:eastAsia="zh-CN"/>
        </w:rPr>
        <w:t>1.72</w:t>
      </w:r>
      <w:r>
        <w:rPr>
          <w:rFonts w:hint="eastAsia" w:ascii="仿宋_GB2312" w:hAnsi="仿宋_GB2312" w:eastAsia="仿宋_GB2312" w:cs="仿宋_GB2312"/>
          <w:b/>
          <w:bCs/>
          <w:color w:val="auto"/>
          <w:sz w:val="32"/>
          <w:szCs w:val="32"/>
          <w:highlight w:val="none"/>
        </w:rPr>
        <w:t>万元</w:t>
      </w:r>
      <w:r>
        <w:rPr>
          <w:rFonts w:hint="eastAsia" w:ascii="仿宋_GB2312" w:hAnsi="仿宋_GB2312" w:eastAsia="仿宋_GB2312" w:cs="仿宋_GB2312"/>
          <w:color w:val="auto"/>
          <w:sz w:val="32"/>
          <w:szCs w:val="32"/>
          <w:highlight w:val="none"/>
        </w:rPr>
        <w:t>。</w:t>
      </w:r>
      <w:r>
        <w:rPr>
          <w:rFonts w:hint="eastAsia" w:ascii="仿宋_GB2312" w:eastAsia="仿宋_GB2312"/>
          <w:color w:val="auto"/>
          <w:sz w:val="32"/>
          <w:szCs w:val="32"/>
          <w:highlight w:val="none"/>
        </w:rPr>
        <w:t>主要用于</w:t>
      </w:r>
      <w:r>
        <w:rPr>
          <w:rFonts w:hint="eastAsia" w:ascii="仿宋_GB2312" w:eastAsia="仿宋_GB2312"/>
          <w:color w:val="auto"/>
          <w:sz w:val="32"/>
          <w:szCs w:val="32"/>
          <w:highlight w:val="none"/>
          <w:lang w:val="en-US" w:eastAsia="zh-CN"/>
        </w:rPr>
        <w:t>日常公务外出；大石、上西两个油橄榄基地管护</w:t>
      </w:r>
      <w:r>
        <w:rPr>
          <w:rFonts w:hint="eastAsia" w:ascii="仿宋_GB2312" w:eastAsia="仿宋_GB2312"/>
          <w:color w:val="auto"/>
          <w:sz w:val="32"/>
          <w:szCs w:val="32"/>
          <w:highlight w:val="none"/>
        </w:rPr>
        <w:t>等所需的公务用车燃料费、维修费、过路过桥费、保险费等支出</w:t>
      </w:r>
      <w:r>
        <w:rPr>
          <w:rFonts w:hint="eastAsia" w:ascii="仿宋_GB2312" w:hAnsi="仿宋_GB2312" w:eastAsia="仿宋_GB2312" w:cs="仿宋_GB2312"/>
          <w:color w:val="auto"/>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color w:val="auto"/>
          <w:sz w:val="32"/>
          <w:szCs w:val="32"/>
          <w:highlight w:val="none"/>
          <w:lang w:val="en-US" w:eastAsia="zh-CN"/>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0.23</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86</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增加</w:t>
      </w:r>
      <w:r>
        <w:rPr>
          <w:rFonts w:hint="eastAsia" w:ascii="仿宋_GB2312" w:eastAsia="仿宋_GB2312"/>
          <w:color w:val="auto"/>
          <w:sz w:val="32"/>
          <w:szCs w:val="32"/>
          <w:highlight w:val="none"/>
          <w:lang w:val="en-US" w:eastAsia="zh-CN"/>
        </w:rPr>
        <w:t>0.2</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667</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本年度与其他市州业务交流增多，往来次数增多，接待费增多。</w:t>
      </w:r>
      <w:r>
        <w:rPr>
          <w:rFonts w:hint="eastAsia" w:ascii="仿宋_GB2312" w:eastAsia="仿宋_GB2312"/>
          <w:color w:val="auto"/>
          <w:sz w:val="32"/>
          <w:szCs w:val="32"/>
          <w:highlight w:val="none"/>
        </w:rPr>
        <w:t>其中：</w:t>
      </w:r>
    </w:p>
    <w:p>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0.23</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eastAsia="zh-CN"/>
        </w:rPr>
        <w:t>接待南充市林科院来我院开展油橄榄、核桃、油茶、林产品质量安全检验监测考察学习、接待林产品质量安全项目资格复审专家、接待梁山林草科学研究院一行开展油橄榄产业调研的活动等</w:t>
      </w:r>
      <w:r>
        <w:rPr>
          <w:rFonts w:hint="eastAsia" w:ascii="仿宋_GB2312" w:eastAsia="仿宋_GB2312"/>
          <w:color w:val="auto"/>
          <w:sz w:val="32"/>
          <w:szCs w:val="32"/>
          <w:highlight w:val="none"/>
        </w:rPr>
        <w:t>开支的用餐费等。国内公务接待</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0.23</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eastAsia="zh-CN"/>
        </w:rPr>
        <w:t>餐费</w:t>
      </w:r>
      <w:r>
        <w:rPr>
          <w:rFonts w:hint="eastAsia" w:ascii="仿宋_GB2312" w:eastAsia="仿宋_GB2312"/>
          <w:color w:val="auto"/>
          <w:sz w:val="32"/>
          <w:szCs w:val="32"/>
          <w:highlight w:val="none"/>
          <w:lang w:val="en-US" w:eastAsia="zh-CN"/>
        </w:rPr>
        <w:t>0.23万元</w:t>
      </w:r>
      <w:r>
        <w:rPr>
          <w:rFonts w:hint="eastAsia" w:ascii="仿宋_GB2312" w:eastAsia="仿宋_GB2312"/>
          <w:color w:val="auto"/>
          <w:sz w:val="32"/>
          <w:szCs w:val="32"/>
          <w:highlight w:val="none"/>
        </w:rPr>
        <w:t>。</w:t>
      </w:r>
    </w:p>
    <w:p>
      <w:pPr>
        <w:spacing w:line="600" w:lineRule="exact"/>
        <w:ind w:firstLine="642"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firstLineChars="0"/>
        <w:outlineLvl w:val="0"/>
        <w:rPr>
          <w:rStyle w:val="17"/>
          <w:rFonts w:ascii="黑体" w:hAnsi="黑体" w:eastAsia="黑体"/>
          <w:color w:val="auto"/>
          <w:highlight w:val="none"/>
        </w:rPr>
      </w:pPr>
      <w:bookmarkStart w:id="38" w:name="_Toc15377218"/>
      <w:bookmarkStart w:id="39" w:name="_Toc15396610"/>
      <w:bookmarkStart w:id="40" w:name="_Toc23265"/>
      <w:r>
        <w:rPr>
          <w:rFonts w:hint="eastAsia" w:ascii="黑体" w:eastAsia="黑体"/>
          <w:color w:val="auto"/>
          <w:sz w:val="32"/>
          <w:szCs w:val="32"/>
          <w:highlight w:val="none"/>
        </w:rPr>
        <w:t>八、</w:t>
      </w:r>
      <w:r>
        <w:rPr>
          <w:rStyle w:val="17"/>
          <w:rFonts w:hint="eastAsia" w:ascii="黑体" w:hAnsi="黑体" w:eastAsia="黑体"/>
          <w:b w:val="0"/>
          <w:color w:val="auto"/>
          <w:highlight w:val="none"/>
        </w:rPr>
        <w:t>政府性基金预算支出决算情况说明</w:t>
      </w:r>
      <w:bookmarkEnd w:id="38"/>
      <w:bookmarkEnd w:id="39"/>
      <w:bookmarkEnd w:id="40"/>
    </w:p>
    <w:p>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4"/>
        </w:numPr>
        <w:spacing w:line="600" w:lineRule="exact"/>
        <w:ind w:firstLine="640" w:firstLineChars="0"/>
        <w:outlineLvl w:val="0"/>
        <w:rPr>
          <w:rStyle w:val="17"/>
          <w:rFonts w:ascii="黑体" w:hAnsi="黑体" w:eastAsia="黑体"/>
          <w:b w:val="0"/>
          <w:color w:val="auto"/>
          <w:highlight w:val="none"/>
        </w:rPr>
      </w:pPr>
      <w:bookmarkStart w:id="41" w:name="_Toc9920"/>
      <w:bookmarkStart w:id="42" w:name="_Toc15377219"/>
      <w:bookmarkStart w:id="43" w:name="_Toc15396611"/>
      <w:r>
        <w:rPr>
          <w:rStyle w:val="17"/>
          <w:rFonts w:hint="eastAsia" w:ascii="黑体" w:hAnsi="黑体" w:eastAsia="黑体"/>
          <w:b w:val="0"/>
          <w:color w:val="auto"/>
          <w:highlight w:val="none"/>
        </w:rPr>
        <w:t>国有资本经营预算支出决算情况说明</w:t>
      </w:r>
      <w:bookmarkEnd w:id="41"/>
      <w:bookmarkEnd w:id="42"/>
      <w:bookmarkEnd w:id="43"/>
    </w:p>
    <w:p>
      <w:pPr>
        <w:spacing w:line="600" w:lineRule="exact"/>
        <w:ind w:firstLine="640"/>
        <w:rPr>
          <w:rFonts w:ascii="方正小标宋简体" w:hAnsi="方正小标宋简体" w:eastAsia="方正小标宋简体" w:cs="方正小标宋简体"/>
          <w:color w:val="auto"/>
          <w:sz w:val="44"/>
          <w:szCs w:val="44"/>
          <w:highlight w:val="none"/>
        </w:rPr>
      </w:pP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4"/>
        </w:numPr>
        <w:spacing w:line="600" w:lineRule="exact"/>
        <w:ind w:firstLine="640" w:firstLineChars="0"/>
        <w:outlineLvl w:val="0"/>
        <w:rPr>
          <w:rStyle w:val="17"/>
          <w:rFonts w:hint="eastAsia" w:ascii="黑体" w:hAnsi="黑体" w:eastAsia="黑体"/>
          <w:b w:val="0"/>
          <w:color w:val="auto"/>
          <w:highlight w:val="none"/>
        </w:rPr>
      </w:pPr>
      <w:bookmarkStart w:id="44" w:name="_Toc15396612"/>
      <w:bookmarkStart w:id="45" w:name="_Toc31917"/>
      <w:bookmarkStart w:id="46" w:name="_Toc15377221"/>
      <w:r>
        <w:rPr>
          <w:rStyle w:val="17"/>
          <w:rFonts w:hint="eastAsia" w:ascii="黑体" w:hAnsi="黑体" w:eastAsia="黑体"/>
          <w:b w:val="0"/>
          <w:color w:val="auto"/>
          <w:highlight w:val="none"/>
        </w:rPr>
        <w:t>其他重要事项的情况说明</w:t>
      </w:r>
      <w:bookmarkEnd w:id="44"/>
      <w:bookmarkEnd w:id="45"/>
      <w:bookmarkEnd w:id="46"/>
    </w:p>
    <w:p>
      <w:pPr>
        <w:spacing w:line="600" w:lineRule="exact"/>
        <w:ind w:firstLine="642" w:firstLineChars="200"/>
        <w:outlineLvl w:val="1"/>
        <w:rPr>
          <w:rFonts w:ascii="仿宋" w:hAnsi="仿宋" w:eastAsia="仿宋"/>
          <w:color w:val="auto"/>
          <w:sz w:val="32"/>
          <w:szCs w:val="32"/>
          <w:highlight w:val="none"/>
        </w:rPr>
      </w:pPr>
      <w:bookmarkStart w:id="47" w:name="_Toc15377222"/>
      <w:bookmarkStart w:id="48" w:name="_Toc6201"/>
      <w:r>
        <w:rPr>
          <w:rFonts w:hint="eastAsia" w:ascii="仿宋" w:hAnsi="仿宋" w:eastAsia="仿宋"/>
          <w:b/>
          <w:color w:val="auto"/>
          <w:sz w:val="32"/>
          <w:szCs w:val="32"/>
          <w:highlight w:val="none"/>
        </w:rPr>
        <w:t>（一）机关运行经费支出情况</w:t>
      </w:r>
      <w:bookmarkEnd w:id="47"/>
      <w:bookmarkEnd w:id="48"/>
    </w:p>
    <w:p>
      <w:pPr>
        <w:pStyle w:val="2"/>
        <w:keepNext w:val="0"/>
        <w:keepLines w:val="0"/>
        <w:pageBreakBefore w:val="0"/>
        <w:widowControl w:val="0"/>
        <w:shd w:val="clear" w:color="auto" w:fill="auto"/>
        <w:kinsoku/>
        <w:wordWrap/>
        <w:overflowPunct/>
        <w:topLinePunct w:val="0"/>
        <w:bidi w:val="0"/>
        <w:spacing w:line="576" w:lineRule="exact"/>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本单位为事业单位，202</w:t>
      </w:r>
      <w:r>
        <w:rPr>
          <w:rFonts w:hint="eastAsia" w:ascii="仿宋_GB2312" w:eastAsia="仿宋_GB2312"/>
          <w:color w:val="auto"/>
          <w:sz w:val="32"/>
          <w:szCs w:val="32"/>
          <w:highlight w:val="none"/>
          <w:lang w:val="en-US" w:eastAsia="zh-CN"/>
        </w:rPr>
        <w:t>4年度</w:t>
      </w:r>
      <w:r>
        <w:rPr>
          <w:rFonts w:hint="eastAsia" w:ascii="仿宋_GB2312" w:eastAsia="仿宋_GB2312"/>
          <w:color w:val="auto"/>
          <w:sz w:val="32"/>
          <w:szCs w:val="32"/>
          <w:highlight w:val="none"/>
        </w:rPr>
        <w:t>未发生机关运行经费支出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与2023年度决算数持平。</w:t>
      </w:r>
    </w:p>
    <w:p>
      <w:pPr>
        <w:autoSpaceDE w:val="0"/>
        <w:autoSpaceDN w:val="0"/>
        <w:adjustRightInd w:val="0"/>
        <w:spacing w:line="600" w:lineRule="exact"/>
        <w:ind w:firstLine="642" w:firstLineChars="200"/>
        <w:jc w:val="left"/>
        <w:outlineLvl w:val="1"/>
        <w:rPr>
          <w:rFonts w:ascii="仿宋" w:hAnsi="仿宋" w:eastAsia="仿宋"/>
          <w:b/>
          <w:color w:val="auto"/>
          <w:sz w:val="32"/>
          <w:szCs w:val="32"/>
          <w:highlight w:val="none"/>
        </w:rPr>
      </w:pPr>
      <w:bookmarkStart w:id="49" w:name="_Toc20427"/>
      <w:bookmarkStart w:id="50" w:name="_Toc15377223"/>
      <w:r>
        <w:rPr>
          <w:rFonts w:hint="eastAsia" w:ascii="仿宋" w:hAnsi="仿宋" w:eastAsia="仿宋"/>
          <w:b/>
          <w:color w:val="auto"/>
          <w:sz w:val="32"/>
          <w:szCs w:val="32"/>
          <w:highlight w:val="none"/>
        </w:rPr>
        <w:t>（二）政府采购支出情况</w:t>
      </w:r>
      <w:bookmarkEnd w:id="49"/>
      <w:bookmarkEnd w:id="50"/>
    </w:p>
    <w:p>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47.88</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47.8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政府采购服务支出</w:t>
      </w:r>
      <w:r>
        <w:rPr>
          <w:rFonts w:hint="eastAsia" w:ascii="仿宋_GB2312" w:eastAsia="仿宋_GB2312"/>
          <w:color w:val="auto"/>
          <w:sz w:val="32"/>
          <w:szCs w:val="32"/>
          <w:highlight w:val="none"/>
          <w:lang w:val="en-US" w:eastAsia="zh-CN"/>
        </w:rPr>
        <w:t>0.08</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eastAsia="zh-CN"/>
        </w:rPr>
        <w:t>建设林下白及高效种植示范建设</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47.88</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2" w:firstLineChars="200"/>
        <w:jc w:val="left"/>
        <w:outlineLvl w:val="1"/>
        <w:rPr>
          <w:rFonts w:ascii="仿宋" w:hAnsi="仿宋" w:eastAsia="仿宋"/>
          <w:b/>
          <w:color w:val="auto"/>
          <w:sz w:val="32"/>
          <w:szCs w:val="32"/>
          <w:highlight w:val="none"/>
        </w:rPr>
      </w:pPr>
      <w:bookmarkStart w:id="51" w:name="_Toc15377224"/>
      <w:bookmarkStart w:id="52" w:name="_Toc9183"/>
      <w:r>
        <w:rPr>
          <w:rFonts w:hint="eastAsia" w:ascii="仿宋" w:hAnsi="仿宋" w:eastAsia="仿宋"/>
          <w:b/>
          <w:color w:val="auto"/>
          <w:sz w:val="32"/>
          <w:szCs w:val="32"/>
          <w:highlight w:val="none"/>
        </w:rPr>
        <w:t>（三）国有资产占有使用情况</w:t>
      </w:r>
      <w:bookmarkEnd w:id="51"/>
      <w:bookmarkEnd w:id="52"/>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我院</w:t>
      </w:r>
      <w:r>
        <w:rPr>
          <w:rFonts w:hint="eastAsia" w:ascii="仿宋_GB2312" w:eastAsia="仿宋_GB2312"/>
          <w:color w:val="auto"/>
          <w:sz w:val="32"/>
          <w:szCs w:val="32"/>
          <w:highlight w:val="none"/>
        </w:rPr>
        <w:t>有车辆</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辆，其中：主其他用车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日常</w:t>
      </w:r>
      <w:r>
        <w:rPr>
          <w:rFonts w:hint="eastAsia" w:ascii="仿宋" w:hAnsi="仿宋" w:eastAsia="仿宋"/>
          <w:color w:val="auto"/>
          <w:sz w:val="32"/>
          <w:szCs w:val="32"/>
          <w:highlight w:val="none"/>
          <w:lang w:val="en-US" w:eastAsia="zh-CN"/>
        </w:rPr>
        <w:t>开展业务活动</w:t>
      </w:r>
      <w:r>
        <w:rPr>
          <w:rFonts w:hint="eastAsia" w:ascii="仿宋" w:hAnsi="仿宋" w:eastAsia="仿宋"/>
          <w:color w:val="auto"/>
          <w:sz w:val="32"/>
          <w:szCs w:val="32"/>
          <w:highlight w:val="none"/>
        </w:rPr>
        <w:t>等</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2" w:firstLineChars="200"/>
        <w:jc w:val="left"/>
        <w:outlineLvl w:val="1"/>
        <w:rPr>
          <w:rFonts w:hint="eastAsia" w:ascii="仿宋" w:hAnsi="仿宋" w:eastAsia="仿宋"/>
          <w:b/>
          <w:color w:val="auto"/>
          <w:sz w:val="32"/>
          <w:szCs w:val="32"/>
          <w:highlight w:val="none"/>
          <w:lang w:eastAsia="zh-CN"/>
        </w:rPr>
      </w:pPr>
      <w:bookmarkStart w:id="53" w:name="_Toc11001"/>
      <w:r>
        <w:rPr>
          <w:rFonts w:hint="eastAsia" w:ascii="仿宋" w:hAnsi="仿宋" w:eastAsia="仿宋"/>
          <w:b/>
          <w:color w:val="auto"/>
          <w:sz w:val="32"/>
          <w:szCs w:val="32"/>
          <w:highlight w:val="none"/>
        </w:rPr>
        <w:t>（四）预算绩效管理情况</w:t>
      </w:r>
      <w:bookmarkEnd w:id="53"/>
    </w:p>
    <w:p>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w:t>
      </w:r>
      <w:r>
        <w:rPr>
          <w:rFonts w:hint="default" w:ascii="仿宋_GB2312" w:hAnsi="Times New Roman" w:eastAsia="仿宋_GB2312" w:cs="Times New Roman"/>
          <w:color w:val="auto"/>
          <w:sz w:val="32"/>
          <w:szCs w:val="32"/>
          <w:highlight w:val="none"/>
          <w:lang w:val="en" w:eastAsia="zh-CN"/>
        </w:rPr>
        <w:t>4</w:t>
      </w:r>
      <w:r>
        <w:rPr>
          <w:rFonts w:hint="eastAsia" w:ascii="仿宋_GB2312" w:hAnsi="Times New Roman" w:eastAsia="仿宋_GB2312" w:cs="Times New Roman"/>
          <w:color w:val="auto"/>
          <w:sz w:val="32"/>
          <w:szCs w:val="32"/>
          <w:highlight w:val="none"/>
          <w:lang w:val="en-US" w:eastAsia="zh-CN"/>
        </w:rPr>
        <w:t>年度</w:t>
      </w:r>
      <w:r>
        <w:rPr>
          <w:rFonts w:hint="eastAsia" w:ascii="仿宋_GB2312" w:hAnsi="Times New Roman" w:eastAsia="仿宋_GB2312" w:cs="Times New Roman"/>
          <w:color w:val="auto"/>
          <w:sz w:val="32"/>
          <w:szCs w:val="32"/>
          <w:highlight w:val="none"/>
          <w:lang w:eastAsia="zh-CN"/>
        </w:rPr>
        <w:t>预算编制阶段，组织对核桃、油橄榄育种研究及基地运维管护、林长制督查考核激励、“三区”科技人才支持计划（中央）、公开引进高层次人才安家补助和工作补助、</w:t>
      </w:r>
      <w:r>
        <w:rPr>
          <w:rFonts w:hint="eastAsia" w:ascii="仿宋_GB2312" w:hAnsi="Times New Roman" w:eastAsia="仿宋_GB2312" w:cs="Times New Roman"/>
          <w:color w:val="auto"/>
          <w:sz w:val="32"/>
          <w:szCs w:val="32"/>
          <w:highlight w:val="none"/>
          <w:lang w:val="en-US" w:eastAsia="zh-CN"/>
        </w:rPr>
        <w:t>2024年林产品质量安全补助5个项目</w:t>
      </w:r>
      <w:r>
        <w:rPr>
          <w:rFonts w:hint="eastAsia" w:ascii="仿宋_GB2312" w:hAnsi="Times New Roman" w:eastAsia="仿宋_GB2312" w:cs="Times New Roman"/>
          <w:color w:val="auto"/>
          <w:sz w:val="32"/>
          <w:szCs w:val="32"/>
          <w:highlight w:val="none"/>
          <w:lang w:eastAsia="zh-CN"/>
        </w:rPr>
        <w:t>开展了预算事前绩效评估，对</w:t>
      </w:r>
      <w:r>
        <w:rPr>
          <w:rFonts w:hint="eastAsia" w:ascii="仿宋_GB2312" w:hAnsi="Calibri" w:eastAsia="仿宋_GB2312" w:cs="Times New Roman"/>
          <w:color w:val="auto"/>
          <w:kern w:val="2"/>
          <w:sz w:val="32"/>
          <w:szCs w:val="32"/>
          <w:highlight w:val="none"/>
          <w:lang w:val="en-US" w:eastAsia="zh-CN" w:bidi="ar-SA"/>
        </w:rPr>
        <w:t>油橄榄提质增效技术研究与示范、乡村振兴、林产品质量安全、三区科技人才项目</w:t>
      </w:r>
      <w:r>
        <w:rPr>
          <w:rFonts w:hint="eastAsia" w:ascii="仿宋_GB2312" w:eastAsia="仿宋_GB2312" w:cs="Times New Roman"/>
          <w:color w:val="auto"/>
          <w:kern w:val="2"/>
          <w:sz w:val="32"/>
          <w:szCs w:val="32"/>
          <w:highlight w:val="none"/>
          <w:lang w:val="en-US" w:eastAsia="zh-CN" w:bidi="ar-SA"/>
        </w:rPr>
        <w:t>等</w:t>
      </w:r>
      <w:r>
        <w:rPr>
          <w:rFonts w:hint="eastAsia" w:ascii="仿宋_GB2312" w:hAnsi="Times New Roman" w:eastAsia="仿宋_GB2312" w:cs="Times New Roman"/>
          <w:color w:val="auto"/>
          <w:sz w:val="32"/>
          <w:szCs w:val="32"/>
          <w:highlight w:val="none"/>
          <w:lang w:val="en-US" w:eastAsia="zh-CN"/>
        </w:rPr>
        <w:t>19</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hAnsi="Times New Roman" w:eastAsia="仿宋_GB2312" w:cs="Times New Roman"/>
          <w:color w:val="auto"/>
          <w:sz w:val="32"/>
          <w:szCs w:val="32"/>
          <w:highlight w:val="none"/>
          <w:lang w:val="en-US" w:eastAsia="zh-CN"/>
        </w:rPr>
        <w:t>19</w:t>
      </w:r>
      <w:r>
        <w:rPr>
          <w:rFonts w:hint="eastAsia" w:ascii="仿宋_GB2312" w:hAnsi="Times New Roman" w:eastAsia="仿宋_GB2312" w:cs="Times New Roman"/>
          <w:color w:val="auto"/>
          <w:sz w:val="32"/>
          <w:szCs w:val="32"/>
          <w:highlight w:val="none"/>
          <w:lang w:eastAsia="zh-CN"/>
        </w:rPr>
        <w:t>个项目开展绩效监控，组织对</w:t>
      </w:r>
      <w:r>
        <w:rPr>
          <w:rFonts w:hint="eastAsia" w:ascii="仿宋_GB2312" w:hAnsi="Times New Roman" w:eastAsia="仿宋_GB2312" w:cs="Times New Roman"/>
          <w:color w:val="auto"/>
          <w:sz w:val="32"/>
          <w:szCs w:val="32"/>
          <w:highlight w:val="none"/>
          <w:lang w:val="en-US" w:eastAsia="zh-CN"/>
        </w:rPr>
        <w:t>19个项目开展绩效自评，绩效自评表详见第四部分附件。</w:t>
      </w:r>
    </w:p>
    <w:p>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pPr>
        <w:numPr>
          <w:ilvl w:val="0"/>
          <w:numId w:val="0"/>
        </w:numPr>
        <w:spacing w:line="600" w:lineRule="exact"/>
        <w:jc w:val="center"/>
        <w:outlineLvl w:val="0"/>
        <w:rPr>
          <w:rStyle w:val="16"/>
          <w:rFonts w:ascii="黑体" w:hAnsi="黑体" w:eastAsia="黑体"/>
          <w:b w:val="0"/>
          <w:color w:val="auto"/>
          <w:highlight w:val="none"/>
        </w:rPr>
      </w:pPr>
      <w:bookmarkStart w:id="54" w:name="_Toc28829"/>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6"/>
          <w:rFonts w:hint="eastAsia" w:ascii="黑体" w:hAnsi="黑体" w:eastAsia="黑体"/>
          <w:b w:val="0"/>
          <w:color w:val="auto"/>
          <w:highlight w:val="none"/>
        </w:rPr>
        <w:t>词解释</w:t>
      </w:r>
      <w:bookmarkEnd w:id="54"/>
    </w:p>
    <w:p>
      <w:pPr>
        <w:spacing w:line="600" w:lineRule="exact"/>
        <w:jc w:val="left"/>
        <w:rPr>
          <w:rFonts w:ascii="宋体"/>
          <w:b/>
          <w:color w:val="auto"/>
          <w:sz w:val="44"/>
          <w:szCs w:val="44"/>
          <w:highlight w:val="none"/>
        </w:rPr>
      </w:pPr>
    </w:p>
    <w:p>
      <w:pPr>
        <w:pStyle w:val="19"/>
        <w:numPr>
          <w:ilvl w:val="0"/>
          <w:numId w:val="5"/>
        </w:numPr>
        <w:shd w:val="clear" w:color="auto" w:fill="auto"/>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财政拨款收入：指单位从同级财政部门取得的财政预算资金。</w:t>
      </w:r>
    </w:p>
    <w:p>
      <w:pPr>
        <w:pStyle w:val="19"/>
        <w:numPr>
          <w:ilvl w:val="0"/>
          <w:numId w:val="5"/>
        </w:numPr>
        <w:shd w:val="clear" w:color="auto" w:fill="auto"/>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eastAsia="zh-CN"/>
        </w:rPr>
        <w:t>利息收入</w:t>
      </w:r>
      <w:r>
        <w:rPr>
          <w:rFonts w:hint="eastAsia" w:ascii="仿宋_GB2312" w:eastAsia="仿宋_GB2312"/>
          <w:color w:val="auto"/>
          <w:sz w:val="32"/>
          <w:szCs w:val="32"/>
          <w:highlight w:val="none"/>
        </w:rPr>
        <w:t>。</w:t>
      </w:r>
      <w:r>
        <w:rPr>
          <w:rFonts w:ascii="仿宋_GB2312" w:eastAsia="仿宋_GB2312"/>
          <w:color w:val="auto"/>
          <w:sz w:val="32"/>
          <w:szCs w:val="32"/>
          <w:highlight w:val="none"/>
        </w:rPr>
        <w:t xml:space="preserve"> </w:t>
      </w:r>
    </w:p>
    <w:p>
      <w:pPr>
        <w:pStyle w:val="19"/>
        <w:numPr>
          <w:ilvl w:val="0"/>
          <w:numId w:val="5"/>
        </w:numPr>
        <w:shd w:val="clear" w:color="auto" w:fill="auto"/>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19"/>
        <w:numPr>
          <w:ilvl w:val="0"/>
          <w:numId w:val="5"/>
        </w:numPr>
        <w:shd w:val="clear" w:color="auto" w:fill="auto"/>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年末结转和结余：指单位按有关规定结转到下年或以后年度继续使用的资金。</w:t>
      </w:r>
    </w:p>
    <w:p>
      <w:pPr>
        <w:numPr>
          <w:ilvl w:val="0"/>
          <w:numId w:val="5"/>
        </w:numPr>
        <w:shd w:val="clear" w:color="auto" w:fill="auto"/>
        <w:spacing w:line="600" w:lineRule="exact"/>
        <w:ind w:left="0" w:leftChars="0" w:firstLine="400" w:firstLineChars="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科学技术支出（类）其他科学技术支出（款）其他科学技术支出（项）：是指其他科学技术方面的支出。</w:t>
      </w:r>
    </w:p>
    <w:p>
      <w:pPr>
        <w:numPr>
          <w:ilvl w:val="0"/>
          <w:numId w:val="5"/>
        </w:numPr>
        <w:shd w:val="clear" w:color="auto" w:fill="auto"/>
        <w:spacing w:line="600" w:lineRule="exact"/>
        <w:ind w:left="0" w:leftChars="0" w:firstLine="400" w:firstLineChars="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社会保障和就业（类）行政事业单位养老支出（款）事业单位离退休（项）</w:t>
      </w:r>
      <w:r>
        <w:rPr>
          <w:rFonts w:hint="eastAsia" w:ascii="仿宋_GB2312" w:eastAsia="仿宋_GB2312" w:cs="仿宋"/>
          <w:color w:val="auto"/>
          <w:kern w:val="0"/>
          <w:sz w:val="32"/>
          <w:szCs w:val="32"/>
          <w:highlight w:val="none"/>
          <w:lang w:val="en-US" w:eastAsia="zh-CN" w:bidi="ar-SA"/>
        </w:rPr>
        <w:t>：</w:t>
      </w:r>
      <w:r>
        <w:rPr>
          <w:rFonts w:hint="eastAsia" w:ascii="仿宋_GB2312" w:hAnsi="Calibri" w:eastAsia="仿宋_GB2312" w:cs="仿宋"/>
          <w:color w:val="auto"/>
          <w:kern w:val="0"/>
          <w:sz w:val="32"/>
          <w:szCs w:val="32"/>
          <w:highlight w:val="none"/>
          <w:lang w:val="en-US" w:eastAsia="zh-CN" w:bidi="ar-SA"/>
        </w:rPr>
        <w:t xml:space="preserve"> 反映</w:t>
      </w:r>
      <w:bookmarkStart w:id="55" w:name="OLE_LINK83"/>
      <w:r>
        <w:rPr>
          <w:rFonts w:hint="eastAsia" w:ascii="仿宋_GB2312" w:hAnsi="Calibri" w:eastAsia="仿宋_GB2312" w:cs="仿宋"/>
          <w:color w:val="auto"/>
          <w:kern w:val="0"/>
          <w:sz w:val="32"/>
          <w:szCs w:val="32"/>
          <w:highlight w:val="none"/>
          <w:lang w:val="en-US" w:eastAsia="zh-CN" w:bidi="ar-SA"/>
        </w:rPr>
        <w:t>行政事业单位</w:t>
      </w:r>
      <w:bookmarkEnd w:id="55"/>
      <w:r>
        <w:rPr>
          <w:rFonts w:hint="eastAsia" w:ascii="仿宋_GB2312" w:hAnsi="Calibri" w:eastAsia="仿宋_GB2312" w:cs="仿宋"/>
          <w:color w:val="auto"/>
          <w:kern w:val="0"/>
          <w:sz w:val="32"/>
          <w:szCs w:val="32"/>
          <w:highlight w:val="none"/>
          <w:lang w:val="en-US" w:eastAsia="zh-CN" w:bidi="ar-SA"/>
        </w:rPr>
        <w:t>开支的离退休经费。</w:t>
      </w:r>
    </w:p>
    <w:p>
      <w:pPr>
        <w:numPr>
          <w:ilvl w:val="0"/>
          <w:numId w:val="5"/>
        </w:numPr>
        <w:shd w:val="clear" w:color="auto" w:fill="auto"/>
        <w:spacing w:line="600" w:lineRule="exact"/>
        <w:ind w:left="0" w:leftChars="0" w:firstLine="400" w:firstLineChars="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社会保障和就业（类）行政事业单位养老支出（款）机关事业单位基本养老保险缴费支出（项）</w:t>
      </w:r>
      <w:r>
        <w:rPr>
          <w:rFonts w:hint="eastAsia" w:ascii="仿宋_GB2312" w:eastAsia="仿宋_GB2312" w:cs="仿宋"/>
          <w:color w:val="auto"/>
          <w:kern w:val="0"/>
          <w:sz w:val="32"/>
          <w:szCs w:val="32"/>
          <w:highlight w:val="none"/>
          <w:lang w:val="en-US" w:eastAsia="zh-CN" w:bidi="ar-SA"/>
        </w:rPr>
        <w:t>：</w:t>
      </w:r>
      <w:r>
        <w:rPr>
          <w:rFonts w:hint="eastAsia" w:ascii="仿宋_GB2312" w:hAnsi="Calibri" w:eastAsia="仿宋_GB2312" w:cs="仿宋"/>
          <w:color w:val="auto"/>
          <w:kern w:val="0"/>
          <w:sz w:val="32"/>
          <w:szCs w:val="32"/>
          <w:highlight w:val="none"/>
          <w:lang w:val="en-US" w:eastAsia="zh-CN" w:bidi="ar-SA"/>
        </w:rPr>
        <w:t xml:space="preserve"> 反映机关事业单位实施养老保险制度有关单位缴纳的基本养老保险费支出。</w:t>
      </w:r>
    </w:p>
    <w:p>
      <w:pPr>
        <w:numPr>
          <w:ilvl w:val="0"/>
          <w:numId w:val="5"/>
        </w:numPr>
        <w:shd w:val="clear" w:color="auto" w:fill="auto"/>
        <w:spacing w:line="600" w:lineRule="exact"/>
        <w:ind w:left="0" w:leftChars="0" w:firstLine="400" w:firstLineChars="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社会保障和就业（类）其他社会保障和就业支出（款）其他社会保障和就业支出（项）</w:t>
      </w:r>
      <w:r>
        <w:rPr>
          <w:rFonts w:hint="eastAsia" w:ascii="仿宋_GB2312" w:eastAsia="仿宋_GB2312" w:cs="仿宋"/>
          <w:color w:val="auto"/>
          <w:kern w:val="0"/>
          <w:sz w:val="32"/>
          <w:szCs w:val="32"/>
          <w:highlight w:val="none"/>
          <w:lang w:val="en-US" w:eastAsia="zh-CN" w:bidi="ar-SA"/>
        </w:rPr>
        <w:t>：</w:t>
      </w:r>
      <w:r>
        <w:rPr>
          <w:rFonts w:hint="eastAsia" w:ascii="仿宋_GB2312" w:hAnsi="Calibri" w:eastAsia="仿宋_GB2312" w:cs="仿宋"/>
          <w:color w:val="auto"/>
          <w:kern w:val="0"/>
          <w:sz w:val="32"/>
          <w:szCs w:val="32"/>
          <w:highlight w:val="none"/>
          <w:lang w:val="en-US" w:eastAsia="zh-CN" w:bidi="ar-SA"/>
        </w:rPr>
        <w:t xml:space="preserve"> 指其他用于社会保障和就业支出方面的支出。</w:t>
      </w:r>
    </w:p>
    <w:p>
      <w:pPr>
        <w:pStyle w:val="19"/>
        <w:numPr>
          <w:ilvl w:val="0"/>
          <w:numId w:val="5"/>
        </w:numPr>
        <w:shd w:val="clear" w:color="auto" w:fill="auto"/>
        <w:spacing w:line="560" w:lineRule="exact"/>
        <w:ind w:left="0" w:leftChars="0" w:firstLine="400" w:firstLineChars="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卫生健康（类）行政事业单位医疗（款）事业单位医疗（项）</w:t>
      </w:r>
      <w:r>
        <w:rPr>
          <w:rFonts w:hint="eastAsia" w:ascii="仿宋_GB2312" w:eastAsia="仿宋_GB2312" w:cs="仿宋"/>
          <w:color w:val="auto"/>
          <w:kern w:val="0"/>
          <w:sz w:val="32"/>
          <w:szCs w:val="32"/>
          <w:highlight w:val="none"/>
          <w:lang w:val="en-US" w:eastAsia="zh-CN" w:bidi="ar-SA"/>
        </w:rPr>
        <w:t>：</w:t>
      </w:r>
      <w:r>
        <w:rPr>
          <w:rFonts w:hint="eastAsia" w:ascii="仿宋_GB2312" w:hAnsi="Calibri" w:eastAsia="仿宋_GB2312" w:cs="仿宋"/>
          <w:color w:val="auto"/>
          <w:kern w:val="0"/>
          <w:sz w:val="32"/>
          <w:szCs w:val="32"/>
          <w:highlight w:val="none"/>
          <w:lang w:val="en-US" w:eastAsia="zh-CN" w:bidi="ar-SA"/>
        </w:rPr>
        <w:t>指反映财政部门安排的事业单位缴纳的基本医疗经费。</w:t>
      </w:r>
    </w:p>
    <w:p>
      <w:pPr>
        <w:pageBreakBefore w:val="0"/>
        <w:numPr>
          <w:ilvl w:val="0"/>
          <w:numId w:val="5"/>
        </w:numPr>
        <w:shd w:val="clear" w:color="auto" w:fill="auto"/>
        <w:kinsoku/>
        <w:wordWrap/>
        <w:overflowPunct/>
        <w:topLinePunct w:val="0"/>
        <w:bidi w:val="0"/>
        <w:spacing w:line="576" w:lineRule="exact"/>
        <w:ind w:left="0" w:leftChars="0" w:firstLine="400" w:firstLineChars="0"/>
        <w:textAlignment w:val="auto"/>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农林水支出（类）林业和草原（款）事业机构（项）：反映事业单位的基本支出，不包括行政单位</w:t>
      </w:r>
      <w:r>
        <w:rPr>
          <w:rFonts w:hint="eastAsia" w:ascii="仿宋_GB2312" w:eastAsia="仿宋_GB2312" w:cs="仿宋"/>
          <w:color w:val="auto"/>
          <w:kern w:val="0"/>
          <w:sz w:val="32"/>
          <w:szCs w:val="32"/>
          <w:highlight w:val="none"/>
          <w:lang w:val="en-US" w:eastAsia="zh-CN" w:bidi="ar-SA"/>
        </w:rPr>
        <w:t>（</w:t>
      </w:r>
      <w:r>
        <w:rPr>
          <w:rFonts w:hint="eastAsia" w:ascii="仿宋_GB2312" w:hAnsi="Calibri" w:eastAsia="仿宋_GB2312" w:cs="仿宋"/>
          <w:color w:val="auto"/>
          <w:kern w:val="0"/>
          <w:sz w:val="32"/>
          <w:szCs w:val="32"/>
          <w:highlight w:val="none"/>
          <w:lang w:val="en-US" w:eastAsia="zh-CN" w:bidi="ar-SA"/>
        </w:rPr>
        <w:t>含实行公务员管理 的事业单位)后勤服务中心等附属事业单位的支出。</w:t>
      </w:r>
    </w:p>
    <w:p>
      <w:pPr>
        <w:pageBreakBefore w:val="0"/>
        <w:numPr>
          <w:ilvl w:val="0"/>
          <w:numId w:val="5"/>
        </w:numPr>
        <w:shd w:val="clear" w:color="auto" w:fill="auto"/>
        <w:kinsoku/>
        <w:wordWrap/>
        <w:overflowPunct/>
        <w:topLinePunct w:val="0"/>
        <w:bidi w:val="0"/>
        <w:spacing w:line="576" w:lineRule="exact"/>
        <w:ind w:left="0" w:leftChars="0" w:firstLine="400" w:firstLineChars="0"/>
        <w:textAlignment w:val="auto"/>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12.农林水支出（类）林业和草原（款）森林资源培育（项）：主要用于森林经营、利用、森林资源资产、林地保护及权属调处等森林资源管理方面发生的支出。</w:t>
      </w:r>
    </w:p>
    <w:p>
      <w:pPr>
        <w:pageBreakBefore w:val="0"/>
        <w:numPr>
          <w:ilvl w:val="0"/>
          <w:numId w:val="5"/>
        </w:numPr>
        <w:shd w:val="clear" w:color="auto" w:fill="auto"/>
        <w:kinsoku/>
        <w:wordWrap/>
        <w:overflowPunct/>
        <w:topLinePunct w:val="0"/>
        <w:bidi w:val="0"/>
        <w:spacing w:line="576" w:lineRule="exact"/>
        <w:ind w:left="0" w:leftChars="0" w:firstLine="400" w:firstLineChars="0"/>
        <w:textAlignment w:val="auto"/>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农林水支出（类）林业和草原（款）技术推广与转化（项）：指良种繁育、新技术引进、区域化试验、示范、技术推广、成果转化、科学普及等支出。</w:t>
      </w:r>
    </w:p>
    <w:p>
      <w:pPr>
        <w:pageBreakBefore w:val="0"/>
        <w:numPr>
          <w:ilvl w:val="0"/>
          <w:numId w:val="5"/>
        </w:numPr>
        <w:shd w:val="clear" w:color="auto" w:fill="auto"/>
        <w:kinsoku/>
        <w:wordWrap/>
        <w:overflowPunct/>
        <w:topLinePunct w:val="0"/>
        <w:bidi w:val="0"/>
        <w:spacing w:line="576" w:lineRule="exact"/>
        <w:ind w:left="0" w:leftChars="0" w:firstLine="400" w:firstLineChars="0"/>
        <w:textAlignment w:val="auto"/>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农林水支出（类）林业和草原（款）行业业务管理（项）：指行业标准、政策法规、规划规程制定，生态工程及项目的可研、评审评估、绩效评价、检查验收，资金资产监督管理，统计调查和数据分析发布，检疫检测、森林认证，林产品质量监管，新品种及知识产权保护，生物安全与遗传资源管理，重大宣传，人才发展等方面支出。</w:t>
      </w:r>
    </w:p>
    <w:p>
      <w:pPr>
        <w:pStyle w:val="19"/>
        <w:numPr>
          <w:ilvl w:val="0"/>
          <w:numId w:val="5"/>
        </w:numPr>
        <w:shd w:val="clear" w:color="auto" w:fill="auto"/>
        <w:spacing w:line="560" w:lineRule="exact"/>
        <w:ind w:left="0" w:leftChars="0" w:firstLine="400" w:firstLineChars="0"/>
        <w:rPr>
          <w:rFonts w:hint="default"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农林水支出（类）林业和草原（款）其他林业和草原支出（项）：反映除上述</w:t>
      </w:r>
      <w:r>
        <w:rPr>
          <w:rFonts w:hint="eastAsia" w:ascii="仿宋_GB2312" w:eastAsia="仿宋_GB2312" w:cs="仿宋"/>
          <w:color w:val="auto"/>
          <w:kern w:val="0"/>
          <w:sz w:val="32"/>
          <w:szCs w:val="32"/>
          <w:highlight w:val="none"/>
          <w:lang w:val="en-US" w:eastAsia="zh-CN" w:bidi="ar-SA"/>
        </w:rPr>
        <w:t>项目</w:t>
      </w:r>
      <w:r>
        <w:rPr>
          <w:rFonts w:hint="eastAsia" w:ascii="仿宋_GB2312" w:hAnsi="Calibri" w:eastAsia="仿宋_GB2312" w:cs="仿宋"/>
          <w:color w:val="auto"/>
          <w:kern w:val="0"/>
          <w:sz w:val="32"/>
          <w:szCs w:val="32"/>
          <w:highlight w:val="none"/>
          <w:lang w:val="en-US" w:eastAsia="zh-CN" w:bidi="ar-SA"/>
        </w:rPr>
        <w:t>以外其他用于林业和草原方面的支出。</w:t>
      </w:r>
    </w:p>
    <w:p>
      <w:pPr>
        <w:numPr>
          <w:ilvl w:val="0"/>
          <w:numId w:val="5"/>
        </w:numPr>
        <w:shd w:val="clear" w:color="auto" w:fill="auto"/>
        <w:ind w:left="0" w:leftChars="0" w:firstLine="400" w:firstLineChars="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住房保障支出（类）住房改革支出（款）住房公积金（项）：指行政事业单位按人力资源和社会保障部、财政部规定的基本工资和津贴补贴以及规定比例为职工缴纳的住房公积金。</w:t>
      </w:r>
    </w:p>
    <w:p>
      <w:pPr>
        <w:numPr>
          <w:ilvl w:val="0"/>
          <w:numId w:val="5"/>
        </w:numPr>
        <w:shd w:val="clear" w:color="auto" w:fill="auto"/>
        <w:ind w:left="0" w:leftChars="0" w:firstLine="400" w:firstLineChars="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基本支出：指为保障机构正常运转、完成日常工作任务而发生的人员支出和公用支出。</w:t>
      </w:r>
    </w:p>
    <w:p>
      <w:pPr>
        <w:numPr>
          <w:ilvl w:val="0"/>
          <w:numId w:val="5"/>
        </w:numPr>
        <w:shd w:val="clear" w:color="auto" w:fill="auto"/>
        <w:ind w:left="0" w:leftChars="0" w:firstLine="400" w:firstLineChars="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 xml:space="preserve">项目支出：指在基本支出之外为完成特定行政任务和事业发展目标所发生的支出。 </w:t>
      </w:r>
    </w:p>
    <w:p>
      <w:pPr>
        <w:pStyle w:val="19"/>
        <w:numPr>
          <w:ilvl w:val="0"/>
          <w:numId w:val="5"/>
        </w:numPr>
        <w:shd w:val="clear" w:color="auto" w:fill="auto"/>
        <w:spacing w:line="560" w:lineRule="exact"/>
        <w:ind w:left="0" w:leftChars="0" w:firstLine="400" w:firstLineChars="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9"/>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16"/>
          <w:rFonts w:ascii="黑体" w:hAnsi="黑体" w:eastAsia="黑体"/>
          <w:b w:val="0"/>
          <w:color w:val="auto"/>
          <w:highlight w:val="none"/>
        </w:rPr>
      </w:pPr>
      <w:r>
        <w:rPr>
          <w:rFonts w:ascii="宋体"/>
          <w:b/>
          <w:color w:val="auto"/>
          <w:sz w:val="44"/>
          <w:szCs w:val="44"/>
          <w:highlight w:val="none"/>
        </w:rPr>
        <w:br w:type="page"/>
      </w:r>
      <w:bookmarkStart w:id="56" w:name="_Toc8201"/>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四部分 附件</w:t>
      </w:r>
      <w:bookmarkEnd w:id="56"/>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18"/>
          <w:szCs w:val="18"/>
          <w:highlight w:val="none"/>
        </w:rPr>
      </w:pPr>
    </w:p>
    <w:p>
      <w:pPr>
        <w:pStyle w:val="6"/>
        <w:rPr>
          <w:rFonts w:hint="eastAsia" w:ascii="仿宋_GB2312" w:hAnsi="Calibri" w:eastAsia="仿宋_GB2312" w:cs="仿宋"/>
          <w:color w:val="auto"/>
          <w:kern w:val="0"/>
          <w:sz w:val="18"/>
          <w:szCs w:val="18"/>
          <w:highlight w:val="none"/>
          <w:lang w:val="en-US" w:eastAsia="zh-CN" w:bidi="ar-SA"/>
        </w:rPr>
        <w:sectPr>
          <w:footerReference r:id="rId3" w:type="default"/>
          <w:pgSz w:w="11906" w:h="16838"/>
          <w:pgMar w:top="1440" w:right="1800" w:bottom="1440" w:left="1800" w:header="720" w:footer="720" w:gutter="0"/>
          <w:pgNumType w:fmt="decimal" w:start="1"/>
          <w:cols w:space="720" w:num="1"/>
          <w:docGrid w:type="lines" w:linePitch="312" w:charSpace="0"/>
        </w:sectPr>
      </w:pPr>
    </w:p>
    <w:tbl>
      <w:tblPr>
        <w:tblStyle w:val="13"/>
        <w:tblW w:w="111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81"/>
        <w:gridCol w:w="1401"/>
        <w:gridCol w:w="1093"/>
        <w:gridCol w:w="1480"/>
        <w:gridCol w:w="920"/>
        <w:gridCol w:w="868"/>
        <w:gridCol w:w="396"/>
        <w:gridCol w:w="1669"/>
        <w:gridCol w:w="587"/>
        <w:gridCol w:w="627"/>
        <w:gridCol w:w="9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11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jc w:val="center"/>
        </w:trPr>
        <w:tc>
          <w:tcPr>
            <w:tcW w:w="25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56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51080021T000000054368-油橄榄提质增效技术研究与示范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25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166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1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jc w:val="center"/>
        </w:trPr>
        <w:tc>
          <w:tcPr>
            <w:tcW w:w="11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8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通过对191亩油橄榄示范基地日常管护，达到提高油橄榄产量，规范管理油橄榄示范基地的目标。</w:t>
            </w:r>
          </w:p>
        </w:tc>
        <w:tc>
          <w:tcPr>
            <w:tcW w:w="38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6" w:hRule="atLeast"/>
          <w:jc w:val="center"/>
        </w:trPr>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56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按照管理年历，开展日常管护。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jc w:val="center"/>
        </w:trPr>
        <w:tc>
          <w:tcPr>
            <w:tcW w:w="11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1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10.40</w:t>
            </w:r>
          </w:p>
        </w:tc>
        <w:tc>
          <w:tcPr>
            <w:tcW w:w="21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10.04</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96.54%</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jc w:val="center"/>
        </w:trPr>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10.40</w:t>
            </w:r>
          </w:p>
        </w:tc>
        <w:tc>
          <w:tcPr>
            <w:tcW w:w="21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10.04</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96.54%</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jc w:val="center"/>
        </w:trPr>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jc w:val="center"/>
        </w:trPr>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jc w:val="center"/>
        </w:trPr>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21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jc w:val="center"/>
        </w:trPr>
        <w:tc>
          <w:tcPr>
            <w:tcW w:w="11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jc w:val="center"/>
        </w:trPr>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油橄榄示范基地管理面积</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191</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亩</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191</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jc w:val="center"/>
        </w:trPr>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林业科技推广标准化示范区标准使用率</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土地租用时长</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jc w:val="center"/>
        </w:trPr>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持续开展油橄榄丰产栽培技术研究</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不断提高鲜果产量</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不断提高鲜果产量</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jc w:val="center"/>
        </w:trPr>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研究成果使用单位满意度</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土地租金</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104000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10万元</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jc w:val="center"/>
        </w:trPr>
        <w:tc>
          <w:tcPr>
            <w:tcW w:w="900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9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完成年度目标绩效。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9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96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60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pStyle w:val="6"/>
        <w:rPr>
          <w:rFonts w:hint="eastAsia" w:ascii="仿宋_GB2312" w:hAnsi="Calibri" w:eastAsia="仿宋_GB2312" w:cs="仿宋"/>
          <w:color w:val="auto"/>
          <w:kern w:val="0"/>
          <w:sz w:val="18"/>
          <w:szCs w:val="18"/>
          <w:highlight w:val="none"/>
          <w:lang w:val="en-US" w:eastAsia="zh-CN" w:bidi="ar-SA"/>
        </w:rPr>
      </w:pPr>
      <w:r>
        <w:rPr>
          <w:rFonts w:hint="eastAsia" w:ascii="仿宋_GB2312" w:hAnsi="Calibri" w:eastAsia="仿宋_GB2312" w:cs="仿宋"/>
          <w:color w:val="auto"/>
          <w:kern w:val="0"/>
          <w:sz w:val="18"/>
          <w:szCs w:val="18"/>
          <w:highlight w:val="none"/>
          <w:lang w:val="en-US" w:eastAsia="zh-CN" w:bidi="ar-SA"/>
        </w:rPr>
        <w:br w:type="column"/>
      </w:r>
    </w:p>
    <w:tbl>
      <w:tblPr>
        <w:tblStyle w:val="13"/>
        <w:tblW w:w="11146" w:type="dxa"/>
        <w:tblInd w:w="-130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62"/>
        <w:gridCol w:w="1894"/>
        <w:gridCol w:w="974"/>
        <w:gridCol w:w="1226"/>
        <w:gridCol w:w="396"/>
        <w:gridCol w:w="905"/>
        <w:gridCol w:w="396"/>
        <w:gridCol w:w="846"/>
        <w:gridCol w:w="486"/>
        <w:gridCol w:w="486"/>
        <w:gridCol w:w="23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114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trPr>
        <w:tc>
          <w:tcPr>
            <w:tcW w:w="30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05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30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9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84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2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9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1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trPr>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9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1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bookmarkStart w:id="80" w:name="_GoBack"/>
            <w:bookmarkEnd w:id="80"/>
            <w:r>
              <w:rPr>
                <w:rFonts w:hint="eastAsia" w:ascii="黑体" w:hAnsi="黑体" w:eastAsia="黑体" w:cs="黑体"/>
                <w:i w:val="0"/>
                <w:iCs w:val="0"/>
                <w:color w:val="000000"/>
                <w:kern w:val="0"/>
                <w:sz w:val="18"/>
                <w:szCs w:val="18"/>
                <w:u w:val="none"/>
                <w:lang w:val="en-US" w:eastAsia="zh-CN" w:bidi="ar"/>
              </w:rPr>
              <w:t>年度目标已完成年度目标已完成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1" w:hRule="atLeast"/>
        </w:trPr>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05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16.31</w:t>
            </w:r>
          </w:p>
        </w:tc>
        <w:tc>
          <w:tcPr>
            <w:tcW w:w="1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16.31</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16.31</w:t>
            </w:r>
          </w:p>
        </w:tc>
        <w:tc>
          <w:tcPr>
            <w:tcW w:w="1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16.31</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trPr>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1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6" w:hRule="atLeast"/>
        </w:trPr>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trPr>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8"/>
                <w:szCs w:val="18"/>
                <w:u w:val="none"/>
                <w:lang w:val="en-US" w:eastAsia="zh-CN"/>
              </w:rPr>
            </w:pPr>
            <w:r>
              <w:rPr>
                <w:rFonts w:hint="eastAsia" w:ascii="微软雅黑" w:hAnsi="微软雅黑" w:eastAsia="微软雅黑" w:cs="微软雅黑"/>
                <w:i/>
                <w:iCs/>
                <w:color w:val="000000"/>
                <w:sz w:val="18"/>
                <w:szCs w:val="18"/>
                <w:u w:val="none"/>
                <w:lang w:val="en-US" w:eastAsia="zh-CN"/>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60</w:t>
            </w:r>
          </w:p>
        </w:tc>
        <w:tc>
          <w:tcPr>
            <w:tcW w:w="24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trPr>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8"/>
                <w:szCs w:val="18"/>
                <w:u w:val="none"/>
                <w:lang w:val="en-US" w:eastAsia="zh-CN"/>
              </w:rPr>
            </w:pPr>
            <w:r>
              <w:rPr>
                <w:rFonts w:hint="eastAsia" w:ascii="微软雅黑" w:hAnsi="微软雅黑" w:eastAsia="微软雅黑" w:cs="微软雅黑"/>
                <w:i/>
                <w:iCs/>
                <w:color w:val="000000"/>
                <w:sz w:val="18"/>
                <w:szCs w:val="18"/>
                <w:u w:val="none"/>
                <w:lang w:val="en-US" w:eastAsia="zh-CN"/>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30</w:t>
            </w:r>
          </w:p>
        </w:tc>
        <w:tc>
          <w:tcPr>
            <w:tcW w:w="24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786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40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97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000000"/>
                <w:kern w:val="0"/>
                <w:sz w:val="18"/>
                <w:szCs w:val="18"/>
                <w:u w:val="none"/>
                <w:lang w:val="en-US" w:eastAsia="zh-CN" w:bidi="ar"/>
              </w:rPr>
              <w:t>完成年度目标绩效。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97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97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57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44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pStyle w:val="6"/>
        <w:rPr>
          <w:rFonts w:hint="eastAsia" w:ascii="仿宋_GB2312" w:hAnsi="Calibri" w:eastAsia="仿宋_GB2312" w:cs="仿宋"/>
          <w:color w:val="auto"/>
          <w:kern w:val="0"/>
          <w:sz w:val="18"/>
          <w:szCs w:val="18"/>
          <w:highlight w:val="none"/>
          <w:lang w:val="en-US" w:eastAsia="zh-CN" w:bidi="ar-SA"/>
        </w:rPr>
        <w:sectPr>
          <w:pgSz w:w="11906" w:h="16838"/>
          <w:pgMar w:top="1440" w:right="1800" w:bottom="1440" w:left="1800" w:header="720" w:footer="720" w:gutter="0"/>
          <w:pgNumType w:fmt="decimal"/>
          <w:cols w:space="720" w:num="1"/>
          <w:docGrid w:type="lines" w:linePitch="312" w:charSpace="0"/>
        </w:sectPr>
      </w:pPr>
    </w:p>
    <w:tbl>
      <w:tblPr>
        <w:tblStyle w:val="13"/>
        <w:tblW w:w="11128" w:type="dxa"/>
        <w:tblInd w:w="-133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86"/>
        <w:gridCol w:w="1454"/>
        <w:gridCol w:w="1307"/>
        <w:gridCol w:w="1933"/>
        <w:gridCol w:w="573"/>
        <w:gridCol w:w="1267"/>
        <w:gridCol w:w="533"/>
        <w:gridCol w:w="1080"/>
        <w:gridCol w:w="507"/>
        <w:gridCol w:w="493"/>
        <w:gridCol w:w="7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1112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1" w:hRule="atLeast"/>
        </w:trPr>
        <w:tc>
          <w:tcPr>
            <w:tcW w:w="26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4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51080022T000004929379-乡村振兴工作经费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trPr>
        <w:tc>
          <w:tcPr>
            <w:tcW w:w="26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6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6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8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3" w:hRule="atLeast"/>
        </w:trPr>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6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通过开展选派驻村第一书记及工作队员，驻村帮扶，从而达到巩固拓展脱贫攻坚成果，促进帮扶村全面推进乡村振兴的目标。</w:t>
            </w:r>
          </w:p>
        </w:tc>
        <w:tc>
          <w:tcPr>
            <w:tcW w:w="28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auto"/>
                <w:kern w:val="0"/>
                <w:sz w:val="18"/>
                <w:szCs w:val="18"/>
                <w:highlight w:val="none"/>
                <w:u w:val="none"/>
                <w:lang w:val="en-US" w:eastAsia="zh-CN" w:bidi="ar"/>
              </w:rPr>
              <w:t>完成帮扶任务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4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auto"/>
                <w:kern w:val="0"/>
                <w:sz w:val="18"/>
                <w:szCs w:val="18"/>
                <w:highlight w:val="none"/>
                <w:u w:val="none"/>
                <w:lang w:val="en-US" w:eastAsia="zh-CN" w:bidi="ar"/>
              </w:rPr>
              <w:t>选派驻村书记，按要求开展帮扶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1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3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3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99.73%</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3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99.73%</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23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8" w:hRule="atLeast"/>
        </w:trPr>
        <w:tc>
          <w:tcPr>
            <w:tcW w:w="11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驻村工作人员数量</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乡村振兴补贴发放率</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驻村工作时间</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1" w:hRule="atLeast"/>
        </w:trPr>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指导群众开展经济林木管护工作，为群众提供各类技术指导</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不断提高群众经济林木的经济价值</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ascii="宋体" w:hAnsi="宋体" w:eastAsia="宋体" w:cs="宋体"/>
                <w:i w:val="0"/>
                <w:iCs w:val="0"/>
                <w:color w:val="000000"/>
                <w:kern w:val="0"/>
                <w:sz w:val="18"/>
                <w:szCs w:val="18"/>
                <w:u w:val="none"/>
                <w:lang w:val="en-US" w:eastAsia="zh-CN" w:bidi="ar"/>
              </w:rPr>
              <w:t>不断提高群众经济林木的经济价值</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帮扶对象满意度指标</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其他交通费</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ascii="宋体" w:hAnsi="宋体" w:eastAsia="宋体" w:cs="宋体"/>
                <w:i w:val="0"/>
                <w:iCs w:val="0"/>
                <w:color w:val="000000"/>
                <w:kern w:val="0"/>
                <w:sz w:val="18"/>
                <w:szCs w:val="18"/>
                <w:u w:val="none"/>
                <w:lang w:val="en-US" w:eastAsia="zh-CN" w:bidi="ar"/>
              </w:rPr>
              <w:t>4200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1" w:hRule="atLeast"/>
        </w:trPr>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差旅费</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14000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8"/>
                <w:szCs w:val="18"/>
                <w:u w:val="none"/>
              </w:rPr>
            </w:pPr>
            <w:r>
              <w:rPr>
                <w:rFonts w:ascii="宋体" w:hAnsi="宋体" w:eastAsia="宋体" w:cs="宋体"/>
                <w:i w:val="0"/>
                <w:iCs w:val="0"/>
                <w:color w:val="000000"/>
                <w:kern w:val="0"/>
                <w:sz w:val="18"/>
                <w:szCs w:val="18"/>
                <w:u w:val="none"/>
                <w:lang w:val="en-US" w:eastAsia="zh-CN" w:bidi="ar"/>
              </w:rPr>
              <w:t>14000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933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94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r>
              <w:rPr>
                <w:rFonts w:hint="eastAsia" w:ascii="微软雅黑" w:hAnsi="微软雅黑" w:eastAsia="微软雅黑" w:cs="微软雅黑"/>
                <w:i/>
                <w:iCs/>
                <w:color w:val="auto"/>
                <w:kern w:val="0"/>
                <w:sz w:val="18"/>
                <w:szCs w:val="18"/>
                <w:highlight w:val="none"/>
                <w:u w:val="none"/>
                <w:lang w:val="en-US" w:eastAsia="zh-CN" w:bidi="ar"/>
              </w:rPr>
              <w:t>完成年度目标绩效。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94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94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64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6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rPr>
          <w:rFonts w:hint="eastAsia" w:ascii="宋体" w:hAnsi="宋体" w:eastAsia="宋体" w:cs="宋体"/>
          <w:i w:val="0"/>
          <w:iCs w:val="0"/>
          <w:color w:val="000000"/>
          <w:sz w:val="18"/>
          <w:szCs w:val="18"/>
          <w:u w:val="none"/>
        </w:rPr>
        <w:sectPr>
          <w:pgSz w:w="11906" w:h="16838"/>
          <w:pgMar w:top="1440" w:right="1800" w:bottom="1440" w:left="1800" w:header="720" w:footer="720" w:gutter="0"/>
          <w:pgNumType w:fmt="decimal"/>
          <w:cols w:space="720" w:num="1"/>
          <w:docGrid w:type="lines" w:linePitch="312" w:charSpace="0"/>
        </w:sectPr>
      </w:pPr>
    </w:p>
    <w:tbl>
      <w:tblPr>
        <w:tblStyle w:val="13"/>
        <w:tblW w:w="11300" w:type="dxa"/>
        <w:tblInd w:w="-134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5"/>
        <w:gridCol w:w="1490"/>
        <w:gridCol w:w="1977"/>
        <w:gridCol w:w="1556"/>
        <w:gridCol w:w="396"/>
        <w:gridCol w:w="1153"/>
        <w:gridCol w:w="396"/>
        <w:gridCol w:w="846"/>
        <w:gridCol w:w="486"/>
        <w:gridCol w:w="486"/>
        <w:gridCol w:w="17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13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23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98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3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6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78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5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6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6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3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98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20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20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20.80</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38.37</w:t>
            </w:r>
          </w:p>
        </w:tc>
        <w:tc>
          <w:tcPr>
            <w:tcW w:w="19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38.37</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18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20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20.80</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38.37</w:t>
            </w:r>
          </w:p>
        </w:tc>
        <w:tc>
          <w:tcPr>
            <w:tcW w:w="19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38.37</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20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20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20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19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3"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20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20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8"/>
                <w:szCs w:val="18"/>
                <w:u w:val="none"/>
                <w:lang w:val="en-US" w:eastAsia="zh-CN"/>
              </w:rPr>
            </w:pPr>
            <w:r>
              <w:rPr>
                <w:rFonts w:hint="eastAsia" w:ascii="微软雅黑" w:hAnsi="微软雅黑" w:eastAsia="微软雅黑" w:cs="微软雅黑"/>
                <w:i/>
                <w:iCs/>
                <w:color w:val="000000"/>
                <w:sz w:val="18"/>
                <w:szCs w:val="18"/>
                <w:u w:val="none"/>
                <w:lang w:val="en-US" w:eastAsia="zh-CN"/>
              </w:rPr>
              <w:t>100%</w:t>
            </w:r>
          </w:p>
        </w:tc>
        <w:tc>
          <w:tcPr>
            <w:tcW w:w="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60</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20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8"/>
                <w:szCs w:val="18"/>
                <w:u w:val="none"/>
                <w:lang w:val="en-US" w:eastAsia="zh-CN"/>
              </w:rPr>
            </w:pPr>
            <w:r>
              <w:rPr>
                <w:rFonts w:hint="eastAsia" w:ascii="微软雅黑" w:hAnsi="微软雅黑" w:eastAsia="微软雅黑" w:cs="微软雅黑"/>
                <w:i/>
                <w:iCs/>
                <w:color w:val="000000"/>
                <w:sz w:val="18"/>
                <w:szCs w:val="18"/>
                <w:u w:val="none"/>
                <w:lang w:val="en-US" w:eastAsia="zh-CN"/>
              </w:rPr>
              <w:t>100%</w:t>
            </w:r>
          </w:p>
        </w:tc>
        <w:tc>
          <w:tcPr>
            <w:tcW w:w="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30</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874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54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8"/>
                <w:szCs w:val="18"/>
                <w:u w:val="none"/>
                <w:lang w:val="en-US" w:eastAsia="zh-CN"/>
              </w:rPr>
            </w:pPr>
            <w:r>
              <w:rPr>
                <w:rFonts w:hint="eastAsia" w:ascii="微软雅黑" w:hAnsi="微软雅黑" w:eastAsia="微软雅黑" w:cs="微软雅黑"/>
                <w:i/>
                <w:iCs/>
                <w:color w:val="000000"/>
                <w:sz w:val="18"/>
                <w:szCs w:val="18"/>
                <w:u w:val="none"/>
                <w:lang w:val="en-US" w:eastAsia="zh-CN"/>
              </w:rPr>
              <w:t>完成目标绩效。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54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54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63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9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br w:type="column"/>
      </w:r>
    </w:p>
    <w:tbl>
      <w:tblPr>
        <w:tblStyle w:val="13"/>
        <w:tblW w:w="11162" w:type="dxa"/>
        <w:tblInd w:w="-134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7"/>
        <w:gridCol w:w="2551"/>
        <w:gridCol w:w="1146"/>
        <w:gridCol w:w="1573"/>
        <w:gridCol w:w="800"/>
        <w:gridCol w:w="1067"/>
        <w:gridCol w:w="653"/>
        <w:gridCol w:w="1080"/>
        <w:gridCol w:w="520"/>
        <w:gridCol w:w="507"/>
        <w:gridCol w:w="5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1116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15"/>
                <w:szCs w:val="15"/>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1" w:hRule="atLeast"/>
        </w:trPr>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85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51080023T000009644296-林业科技推广示范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5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6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1.广元市昭化区柏林沟镇建成林下白及高效种植示范基地。</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2.项目举办全市林下白及种植技术培训。</w:t>
            </w:r>
          </w:p>
        </w:tc>
        <w:tc>
          <w:tcPr>
            <w:tcW w:w="26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85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按照年度目标，建设种植基地及开展技术培训。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67.40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84.25%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5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67.40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84.25%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4"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3"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在广元市昭化区柏林沟镇建设林下白及高效种植示范基地</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亩</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开展技术培训</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4</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目标任务完成率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90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当期任务完成率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85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对森林生态系统生态效益发挥</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对森林生态系统生态效益发挥</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对森林生态系统生态效益发挥</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3"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森林、草原、荒漠生态系统功能改善可持续影响</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森林、草原、荒漠生态系统功能改善可持续影响</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r>
              <w:rPr>
                <w:rFonts w:ascii="宋体" w:hAnsi="宋体" w:eastAsia="宋体" w:cs="宋体"/>
                <w:i w:val="0"/>
                <w:iCs w:val="0"/>
                <w:color w:val="000000"/>
                <w:kern w:val="0"/>
                <w:sz w:val="18"/>
                <w:szCs w:val="18"/>
                <w:u w:val="none"/>
                <w:lang w:val="en-US" w:eastAsia="zh-CN" w:bidi="ar"/>
              </w:rPr>
              <w:t>森林、草原、荒漠生态系统功能改善可持续影响</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项目涉及职工和周边群众满意度</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4"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简易基础设施费0.5万元、小型设备购置0.1万元、技术培训费3万元、技术咨询费1.6万元</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示范基地建设费</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74.8</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68</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96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4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lang w:eastAsia="zh-CN"/>
              </w:rPr>
            </w:pPr>
            <w:r>
              <w:rPr>
                <w:rFonts w:hint="eastAsia" w:ascii="微软雅黑" w:hAnsi="微软雅黑" w:eastAsia="微软雅黑" w:cs="微软雅黑"/>
                <w:i/>
                <w:iCs/>
                <w:color w:val="000000"/>
                <w:sz w:val="18"/>
                <w:szCs w:val="18"/>
                <w:u w:val="none"/>
                <w:lang w:eastAsia="zh-CN"/>
              </w:rPr>
              <w:t>完成目标任务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4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4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68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3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sectPr>
          <w:pgSz w:w="11906" w:h="16838"/>
          <w:pgMar w:top="1440" w:right="1800" w:bottom="1440" w:left="1800" w:header="720" w:footer="720" w:gutter="0"/>
          <w:pgNumType w:fmt="decimal"/>
          <w:cols w:space="720" w:num="1"/>
          <w:docGrid w:type="lines" w:linePitch="312" w:charSpace="0"/>
        </w:sect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tbl>
      <w:tblPr>
        <w:tblStyle w:val="13"/>
        <w:tblW w:w="665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963"/>
        <w:gridCol w:w="1918"/>
        <w:gridCol w:w="740"/>
        <w:gridCol w:w="1739"/>
        <w:gridCol w:w="356"/>
        <w:gridCol w:w="1090"/>
        <w:gridCol w:w="342"/>
        <w:gridCol w:w="816"/>
        <w:gridCol w:w="398"/>
        <w:gridCol w:w="398"/>
        <w:gridCol w:w="14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26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19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367"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9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19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3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8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9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3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26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足额、</w:t>
            </w:r>
            <w:r>
              <w:rPr>
                <w:rFonts w:ascii="宋体" w:hAnsi="宋体" w:eastAsia="宋体" w:cs="宋体"/>
                <w:i w:val="0"/>
                <w:iCs w:val="0"/>
                <w:color w:val="000000"/>
                <w:kern w:val="0"/>
                <w:sz w:val="18"/>
                <w:szCs w:val="18"/>
                <w:u w:val="none"/>
                <w:lang w:val="en-US" w:eastAsia="zh-CN" w:bidi="ar"/>
              </w:rPr>
              <w:t>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106.46</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106.46</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103.73</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97.43%</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6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106.46</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106.46</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103.73</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97.43%</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60</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30</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02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12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完成目标绩效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12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12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01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198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snapToGrid w:val="0"/>
        <w:rPr>
          <w:rFonts w:hint="eastAsia" w:ascii="宋体" w:hAnsi="宋体" w:eastAsia="宋体" w:cs="宋体"/>
          <w:i w:val="0"/>
          <w:iCs w:val="0"/>
          <w:color w:val="000000"/>
          <w:sz w:val="18"/>
          <w:szCs w:val="18"/>
          <w:u w:val="none"/>
        </w:rPr>
        <w:sectPr>
          <w:pgSz w:w="11906" w:h="16838"/>
          <w:pgMar w:top="1440" w:right="1800" w:bottom="1440" w:left="1800" w:header="720" w:footer="720" w:gutter="0"/>
          <w:pgNumType w:fmt="decimal"/>
          <w:cols w:space="720" w:num="1"/>
          <w:docGrid w:type="lines" w:linePitch="312" w:charSpace="0"/>
        </w:sectPr>
      </w:pPr>
    </w:p>
    <w:tbl>
      <w:tblPr>
        <w:tblStyle w:val="13"/>
        <w:tblW w:w="665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961"/>
        <w:gridCol w:w="1918"/>
        <w:gridCol w:w="740"/>
        <w:gridCol w:w="1739"/>
        <w:gridCol w:w="356"/>
        <w:gridCol w:w="1090"/>
        <w:gridCol w:w="342"/>
        <w:gridCol w:w="818"/>
        <w:gridCol w:w="398"/>
        <w:gridCol w:w="398"/>
        <w:gridCol w:w="14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85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3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77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63"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56"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6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7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3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656"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19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367"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9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19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3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8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9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3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26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足额、</w:t>
            </w:r>
            <w:r>
              <w:rPr>
                <w:rFonts w:ascii="宋体" w:hAnsi="宋体" w:eastAsia="宋体" w:cs="宋体"/>
                <w:i w:val="0"/>
                <w:iCs w:val="0"/>
                <w:color w:val="000000"/>
                <w:kern w:val="0"/>
                <w:sz w:val="18"/>
                <w:szCs w:val="18"/>
                <w:u w:val="none"/>
                <w:lang w:val="en-US" w:eastAsia="zh-CN" w:bidi="ar"/>
              </w:rPr>
              <w:t>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215.62</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215.62</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215.62</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6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215.62</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215.62</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215.62</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60</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30</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02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12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sz w:val="16"/>
                <w:szCs w:val="16"/>
                <w:u w:val="none"/>
                <w:lang w:eastAsia="zh-CN"/>
              </w:rPr>
              <w:t>完成目标绩效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12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12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0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198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snapToGrid w:val="0"/>
        <w:rPr>
          <w:rFonts w:hint="eastAsia" w:ascii="宋体" w:hAnsi="宋体" w:eastAsia="宋体" w:cs="宋体"/>
          <w:i w:val="0"/>
          <w:iCs w:val="0"/>
          <w:color w:val="000000"/>
          <w:sz w:val="18"/>
          <w:szCs w:val="18"/>
          <w:u w:val="none"/>
        </w:rPr>
        <w:sectPr>
          <w:pgSz w:w="11906" w:h="16838"/>
          <w:pgMar w:top="1440" w:right="1800" w:bottom="1440" w:left="1800" w:header="720" w:footer="720" w:gutter="0"/>
          <w:pgNumType w:fmt="decimal"/>
          <w:cols w:space="720" w:num="1"/>
          <w:docGrid w:type="lines" w:linePitch="312" w:charSpace="0"/>
        </w:sectPr>
      </w:pPr>
    </w:p>
    <w:tbl>
      <w:tblPr>
        <w:tblStyle w:val="13"/>
        <w:tblW w:w="665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954"/>
        <w:gridCol w:w="1918"/>
        <w:gridCol w:w="740"/>
        <w:gridCol w:w="1739"/>
        <w:gridCol w:w="356"/>
        <w:gridCol w:w="1090"/>
        <w:gridCol w:w="342"/>
        <w:gridCol w:w="825"/>
        <w:gridCol w:w="398"/>
        <w:gridCol w:w="398"/>
        <w:gridCol w:w="14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85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3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77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63"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56"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7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7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3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656"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26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19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371"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9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19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3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8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9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3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26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足额、</w:t>
            </w:r>
            <w:r>
              <w:rPr>
                <w:rFonts w:ascii="宋体" w:hAnsi="宋体" w:eastAsia="宋体" w:cs="宋体"/>
                <w:i w:val="0"/>
                <w:iCs w:val="0"/>
                <w:color w:val="000000"/>
                <w:kern w:val="0"/>
                <w:sz w:val="18"/>
                <w:szCs w:val="18"/>
                <w:u w:val="none"/>
                <w:lang w:val="en-US" w:eastAsia="zh-CN" w:bidi="ar"/>
              </w:rPr>
              <w:t>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90.15</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90.15</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89.77</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99.58%</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6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90.15</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90.15</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89.77</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99.58%</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both"/>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60</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30</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02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38"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12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sz w:val="16"/>
                <w:szCs w:val="16"/>
                <w:u w:val="none"/>
                <w:lang w:eastAsia="zh-CN"/>
              </w:rPr>
              <w:t>完成目标绩效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12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12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0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19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snapToGrid w:val="0"/>
        <w:rPr>
          <w:rFonts w:hint="eastAsia" w:ascii="宋体" w:hAnsi="宋体" w:eastAsia="宋体" w:cs="宋体"/>
          <w:i w:val="0"/>
          <w:iCs w:val="0"/>
          <w:color w:val="000000"/>
          <w:sz w:val="18"/>
          <w:szCs w:val="18"/>
          <w:u w:val="none"/>
        </w:rPr>
        <w:sectPr>
          <w:pgSz w:w="11906" w:h="16838"/>
          <w:pgMar w:top="1440" w:right="1800" w:bottom="1440" w:left="1800" w:header="720" w:footer="720" w:gutter="0"/>
          <w:pgNumType w:fmt="decimal"/>
          <w:cols w:space="720" w:num="1"/>
          <w:docGrid w:type="lines" w:linePitch="312" w:charSpace="0"/>
        </w:sectPr>
      </w:pPr>
    </w:p>
    <w:tbl>
      <w:tblPr>
        <w:tblStyle w:val="13"/>
        <w:tblW w:w="665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952"/>
        <w:gridCol w:w="1917"/>
        <w:gridCol w:w="739"/>
        <w:gridCol w:w="1737"/>
        <w:gridCol w:w="359"/>
        <w:gridCol w:w="1089"/>
        <w:gridCol w:w="341"/>
        <w:gridCol w:w="828"/>
        <w:gridCol w:w="398"/>
        <w:gridCol w:w="398"/>
        <w:gridCol w:w="1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85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2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77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5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52"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6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7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7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652"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7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27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7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19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367"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19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37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8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9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37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27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足额、</w:t>
            </w:r>
            <w:r>
              <w:rPr>
                <w:rFonts w:ascii="宋体" w:hAnsi="宋体" w:eastAsia="宋体" w:cs="宋体"/>
                <w:i w:val="0"/>
                <w:iCs w:val="0"/>
                <w:color w:val="000000"/>
                <w:kern w:val="0"/>
                <w:sz w:val="18"/>
                <w:szCs w:val="18"/>
                <w:u w:val="none"/>
                <w:lang w:val="en-US" w:eastAsia="zh-CN" w:bidi="ar"/>
              </w:rPr>
              <w:t>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79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79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6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79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9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60</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60</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9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12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完成目标绩效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12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12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98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201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snapToGrid w:val="0"/>
        <w:rPr>
          <w:rFonts w:hint="eastAsia" w:ascii="宋体" w:hAnsi="宋体" w:eastAsia="宋体" w:cs="宋体"/>
          <w:i w:val="0"/>
          <w:iCs w:val="0"/>
          <w:color w:val="000000"/>
          <w:sz w:val="18"/>
          <w:szCs w:val="18"/>
          <w:u w:val="none"/>
        </w:rPr>
        <w:sectPr>
          <w:pgSz w:w="11906" w:h="16838"/>
          <w:pgMar w:top="1440" w:right="1800" w:bottom="1440" w:left="1800" w:header="720" w:footer="720" w:gutter="0"/>
          <w:pgNumType w:fmt="decimal"/>
          <w:cols w:space="720" w:num="1"/>
          <w:docGrid w:type="lines" w:linePitch="312" w:charSpace="0"/>
        </w:sectPr>
      </w:pPr>
    </w:p>
    <w:tbl>
      <w:tblPr>
        <w:tblStyle w:val="13"/>
        <w:tblW w:w="665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1943"/>
        <w:gridCol w:w="1915"/>
        <w:gridCol w:w="732"/>
        <w:gridCol w:w="1733"/>
        <w:gridCol w:w="366"/>
        <w:gridCol w:w="1089"/>
        <w:gridCol w:w="547"/>
        <w:gridCol w:w="947"/>
        <w:gridCol w:w="573"/>
        <w:gridCol w:w="520"/>
        <w:gridCol w:w="8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853"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26"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772"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63"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43"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2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5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3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82"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7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28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51080024T000011018476-核桃、油橄榄育种研究及基地运维管护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7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19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421"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8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19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29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9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完成191亩油橄榄科研基地施肥、打药、灌水、修剪、刷干、病虫害防治等年度管护任务，持续收集保存油橄榄品种19个，开展油橄榄丰产管护技术示范，维修维护科研基地生产管理用房、山坪塘、滴灌、蓄水池、水沟、堡坎等基础设施和植保无人机、割灌机、电动喷雾器等生产用设备设施。2.完成40亩油橄榄种质资源圃的除草、施肥、打药、灌水、修剪、刷干等管护任务，维修维护圃内蓄水池、水沟、堡坎等基础设施和割灌机、电动喷雾器等生产用设备设施。3.完成引进驯化的1200株品种核桃补充嫁接、精细管护任务，观测生长收集数据等；完成杂交获得的F1代240株苗木精细管护任务，观测生长发育情况并收集数据；完成布设杂交育种试验核桃树管护任务，开展人工授粉等工作。4.完成在7个县区开展的核桃、油橄榄、油茶等技术示范活动17场次，完成在7个县区开展的核桃、油橄榄、油茶等技术培训11场、330人次。</w:t>
            </w:r>
          </w:p>
        </w:tc>
        <w:tc>
          <w:tcPr>
            <w:tcW w:w="129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28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ind w:firstLine="485" w:firstLineChars="0"/>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按照管理年历，开展日常管护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8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8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51.18</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85.29%</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8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51.18</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85.29%</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8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240株杂交获得的F1代核桃苗木管护任务</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株</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240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1200株引进驯化的品种核桃年度管护任务</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株</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1200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油橄榄品种收集保存</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种</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19</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2024年林业技术示范工作</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17</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完成2024年林业技术培训工作</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11</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油橄榄种质资源圃得到科学管护</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亩</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40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油橄榄科研基地得到标准化管理</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191</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亩</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191</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有效保护油橄榄种质资源</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份</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70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标准化技术推广率</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90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标准化管护技术使用率</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90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种质资源圃保护管理技术规范使用率</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90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满足经济社会发展对林产品的需求</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通过引进驯化、杂交方式，选育2-3个最适宜当地的优良核桃品种，为产业可持续发展提供良种保障</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不断实现</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满足经济社会发展对油橄榄的需求</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保护管理好油橄榄种质资源圃，有效保护种质资源，为需求者提供优质、多样的油橄榄品种资源</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sz w:val="16"/>
                <w:szCs w:val="16"/>
                <w:u w:val="none"/>
                <w:lang w:eastAsia="zh-CN"/>
              </w:rPr>
              <w:t>不断实现</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促进油橄榄产业发展</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油橄榄产业增收</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sz w:val="16"/>
                <w:szCs w:val="16"/>
                <w:u w:val="none"/>
                <w:lang w:eastAsia="zh-CN"/>
              </w:rPr>
              <w:t>不断实现</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促进林业产业发展</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长期</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长期</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管理部门及培训对象满意度</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90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90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17场次核桃、油橄榄、油茶等技术示范差旅、交通等</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3.4</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技术咨询、交通等费用</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1.4</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11场次核桃、油橄榄、油茶等技术培训差旅、交通等</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6.6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191亩油橄榄示范林管护劳务、材料等费用</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22.44</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22.44</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油橄榄种质资源圃管护</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9.6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基地设施设备维修维护等</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2.4</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基地设施设备维修维护费用</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5.56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5.56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8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核桃苗木的管护经费</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微软雅黑" w:hAnsi="微软雅黑" w:eastAsia="微软雅黑" w:cs="微软雅黑"/>
                <w:i/>
                <w:iCs/>
                <w:color w:val="000000"/>
                <w:sz w:val="16"/>
                <w:szCs w:val="16"/>
                <w:u w:val="none"/>
                <w:lang w:val="en-US"/>
              </w:rPr>
            </w:pPr>
            <w:r>
              <w:rPr>
                <w:rFonts w:hint="eastAsia" w:ascii="宋体" w:hAnsi="宋体" w:cs="宋体"/>
                <w:i w:val="0"/>
                <w:iCs w:val="0"/>
                <w:color w:val="000000"/>
                <w:kern w:val="0"/>
                <w:sz w:val="18"/>
                <w:szCs w:val="18"/>
                <w:u w:val="none"/>
                <w:lang w:val="en-US" w:eastAsia="zh-CN" w:bidi="ar"/>
              </w:rPr>
              <w:t>2.6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13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15" w:hRule="atLeast"/>
          <w:jc w:val="center"/>
        </w:trPr>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13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按照目标绩效设置情况，开展项目工作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13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13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9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20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snapToGrid w:val="0"/>
        <w:rPr>
          <w:rFonts w:hint="eastAsia" w:ascii="宋体" w:hAnsi="宋体" w:eastAsia="宋体" w:cs="宋体"/>
          <w:i w:val="0"/>
          <w:iCs w:val="0"/>
          <w:color w:val="000000"/>
          <w:sz w:val="18"/>
          <w:szCs w:val="18"/>
          <w:u w:val="none"/>
        </w:rPr>
        <w:sectPr>
          <w:pgSz w:w="11906" w:h="16838"/>
          <w:pgMar w:top="1440" w:right="1800" w:bottom="1440" w:left="1800" w:header="720" w:footer="720" w:gutter="0"/>
          <w:pgNumType w:fmt="decimal"/>
          <w:cols w:space="720" w:num="1"/>
          <w:docGrid w:type="lines" w:linePitch="312" w:charSpace="0"/>
        </w:sectPr>
      </w:pPr>
    </w:p>
    <w:tbl>
      <w:tblPr>
        <w:tblStyle w:val="13"/>
        <w:tblW w:w="665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222"/>
        <w:gridCol w:w="2110"/>
        <w:gridCol w:w="1246"/>
        <w:gridCol w:w="1731"/>
        <w:gridCol w:w="373"/>
        <w:gridCol w:w="1086"/>
        <w:gridCol w:w="341"/>
        <w:gridCol w:w="833"/>
        <w:gridCol w:w="398"/>
        <w:gridCol w:w="398"/>
        <w:gridCol w:w="14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55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77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6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5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6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7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7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66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51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51080024T000011301307-林长制督查考核激励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694" w:hRule="atLeast"/>
          <w:jc w:val="center"/>
        </w:trPr>
        <w:tc>
          <w:tcPr>
            <w:tcW w:w="14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2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369"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1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2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38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12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加强林长制督查考核，林长制运行保障。</w:t>
            </w:r>
          </w:p>
        </w:tc>
        <w:tc>
          <w:tcPr>
            <w:tcW w:w="138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51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按照目标设置情况，开展项目工作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20" w:hRule="atLeast"/>
          <w:jc w:val="center"/>
        </w:trPr>
        <w:tc>
          <w:tcPr>
            <w:tcW w:w="5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6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项目成果综合报告（专著并出版）</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项目成果专题报告（简版）</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篇</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项目验收合格率</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95</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自项目正式启动之日起6个月</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6</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生态系统和生物多样性</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得到有效保护</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得到有效保护</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持续发挥生态作用</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明显</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明显</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85</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聘用省内林下种植、养殖知名专家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6</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产业人才现状调查与人才支撑产业发展策略研究：概算调查差旅费、资料费、专家咨询费、报告编撰与专著出版费</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14</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8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45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45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45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9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202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55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77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6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5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6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7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7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66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51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51080024T000011301338-营造林任务资金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2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369"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1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2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38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12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开展国土绿化工作</w:t>
            </w:r>
          </w:p>
        </w:tc>
        <w:tc>
          <w:tcPr>
            <w:tcW w:w="138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51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与县区共建示范基地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93.54</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93.54%</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6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93.54</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93.54%</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用材林森林质量提升科技示范点</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3</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经济林森林质量提升科技示范点</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4</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项目验收合格率</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95</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项目建设到期完成率</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95</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森林、草原生态系统生态效益发挥</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明显</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明显</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持续发挥经济生态效益（是/否）</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持续发挥生态经济效益</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持续发挥生态经济效益</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项目设计职工和周边群众满意度</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微软雅黑" w:hAnsi="微软雅黑" w:eastAsia="微软雅黑" w:cs="微软雅黑"/>
                <w:i/>
                <w:iCs/>
                <w:color w:val="000000"/>
                <w:sz w:val="16"/>
                <w:szCs w:val="16"/>
                <w:u w:val="none"/>
                <w:lang w:val="en-US"/>
              </w:rPr>
            </w:pPr>
            <w:r>
              <w:rPr>
                <w:rFonts w:hint="eastAsia" w:ascii="宋体" w:hAnsi="宋体" w:cs="宋体"/>
                <w:i w:val="0"/>
                <w:iCs w:val="0"/>
                <w:color w:val="000000"/>
                <w:kern w:val="0"/>
                <w:sz w:val="18"/>
                <w:szCs w:val="18"/>
                <w:u w:val="none"/>
                <w:lang w:val="en-US" w:eastAsia="zh-CN" w:bidi="ar"/>
              </w:rPr>
              <w:t>85</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示范点建设直接费（抚育含间伐、施肥灌溉、整形修剪、病虫害防治、生产资料采购等）</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90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技术咨询费</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4</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8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45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eastAsia="zh-CN"/>
              </w:rPr>
              <w:t>建成</w:t>
            </w:r>
            <w:r>
              <w:rPr>
                <w:rFonts w:hint="eastAsia" w:ascii="微软雅黑" w:hAnsi="微软雅黑" w:eastAsia="微软雅黑" w:cs="微软雅黑"/>
                <w:i/>
                <w:iCs/>
                <w:color w:val="000000"/>
                <w:sz w:val="16"/>
                <w:szCs w:val="16"/>
                <w:u w:val="none"/>
                <w:lang w:val="en-US" w:eastAsia="zh-CN"/>
              </w:rPr>
              <w:t>7个示范基地。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45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45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9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202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55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77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6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50"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6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7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7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66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51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51080024T000011629745-公开引进高层次人才安家补助和工作补助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2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369"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1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2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38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12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为深入实施人才强市战略，优化人才队伍结构，加快建设川陕甘结合部绿色产业人才聚集地，助推经济设施高质量发展。</w:t>
            </w:r>
          </w:p>
        </w:tc>
        <w:tc>
          <w:tcPr>
            <w:tcW w:w="138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51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eastAsia="zh-CN"/>
              </w:rPr>
              <w:t>引进人才</w:t>
            </w:r>
            <w:r>
              <w:rPr>
                <w:rFonts w:hint="eastAsia" w:ascii="宋体" w:hAnsi="宋体" w:eastAsia="宋体" w:cs="宋体"/>
                <w:i w:val="0"/>
                <w:iCs w:val="0"/>
                <w:color w:val="000000"/>
                <w:sz w:val="18"/>
                <w:szCs w:val="18"/>
                <w:u w:val="none"/>
                <w:lang w:val="en-US" w:eastAsia="zh-CN"/>
              </w:rPr>
              <w:t>1名，及时、足额发放补助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8.30</w:t>
            </w: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6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8.30</w:t>
            </w: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8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引进人才数量</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名</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补助发放率</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补助发放时间</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6</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加强干部队伍建设，为广元林业高质量发展增添“新活力”</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不断提高</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不断提高</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用人单位满意度</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90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安家补助 （元）</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80000</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80000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岗位补助 （元/月）</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元/月</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500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8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45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优化人才队伍结构</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助推</w:t>
            </w:r>
            <w:r>
              <w:rPr>
                <w:rFonts w:hint="eastAsia" w:ascii="宋体" w:hAnsi="宋体" w:cs="宋体"/>
                <w:i w:val="0"/>
                <w:iCs w:val="0"/>
                <w:color w:val="000000"/>
                <w:kern w:val="0"/>
                <w:sz w:val="18"/>
                <w:szCs w:val="18"/>
                <w:u w:val="none"/>
                <w:lang w:val="en-US" w:eastAsia="zh-CN" w:bidi="ar"/>
              </w:rPr>
              <w:t>林业</w:t>
            </w:r>
            <w:r>
              <w:rPr>
                <w:rFonts w:ascii="宋体" w:hAnsi="宋体" w:eastAsia="宋体" w:cs="宋体"/>
                <w:i w:val="0"/>
                <w:iCs w:val="0"/>
                <w:color w:val="000000"/>
                <w:kern w:val="0"/>
                <w:sz w:val="18"/>
                <w:szCs w:val="18"/>
                <w:u w:val="none"/>
                <w:lang w:val="en-US" w:eastAsia="zh-CN" w:bidi="ar"/>
              </w:rPr>
              <w:t>经济高质量发展。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45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45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9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202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snapToGrid w:val="0"/>
        <w:rPr>
          <w:rFonts w:hint="eastAsia" w:ascii="宋体" w:hAnsi="宋体" w:eastAsia="宋体" w:cs="宋体"/>
          <w:i w:val="0"/>
          <w:iCs w:val="0"/>
          <w:color w:val="000000"/>
          <w:sz w:val="18"/>
          <w:szCs w:val="18"/>
          <w:u w:val="none"/>
        </w:rPr>
        <w:sectPr>
          <w:pgSz w:w="11906" w:h="16838"/>
          <w:pgMar w:top="1440" w:right="1800" w:bottom="1440" w:left="1800" w:header="720" w:footer="720" w:gutter="0"/>
          <w:pgNumType w:fmt="decimal"/>
          <w:cols w:space="720" w:num="1"/>
          <w:docGrid w:type="lines" w:linePitch="312" w:charSpace="0"/>
        </w:sectPr>
      </w:pPr>
    </w:p>
    <w:tbl>
      <w:tblPr>
        <w:tblStyle w:val="13"/>
        <w:tblW w:w="665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1219"/>
        <w:gridCol w:w="2110"/>
        <w:gridCol w:w="1246"/>
        <w:gridCol w:w="1731"/>
        <w:gridCol w:w="373"/>
        <w:gridCol w:w="1082"/>
        <w:gridCol w:w="642"/>
        <w:gridCol w:w="543"/>
        <w:gridCol w:w="513"/>
        <w:gridCol w:w="453"/>
        <w:gridCol w:w="13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55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77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66"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2"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4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2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58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51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51080024T000012076543-2024年林产品质量安全补助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241"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1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25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2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持续加强我市食用林产品质量安全监管，助力广元市创建国家食品安全示范城市，保障“天府森林粮库”建设广元行动实施，市林业局下达给市林业科学研究院（市林产品质量安全检验监测站）（以下简称“我院”）2024年度食用林产品质量安全监测任务800批次，监测核桃、竹笋、油橄榄、林下中药材等大宗经济林果产品及产地土壤质量安全，为我市开展食用林产品安全监管提供基础支撑，确保食用林产品“舌尖上的安全”。</w:t>
            </w:r>
          </w:p>
        </w:tc>
        <w:tc>
          <w:tcPr>
            <w:tcW w:w="125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51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按照目标任务进行采样及检测，完成年度目标任务。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120.00</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7.65</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6.37%</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5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120.00</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7.65</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6.37%</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食用林产品质量安全监测任务</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批次</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800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采集样品检测率</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保障林产品食用安全</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为人民食用绿色林产品提供了安全保障</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不断实现</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90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材料费</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84" w:type="pct"/>
            <w:vMerge w:val="restart"/>
            <w:tcBorders>
              <w:top w:val="single" w:color="000000" w:sz="4" w:space="0"/>
              <w:left w:val="single" w:color="000000" w:sz="4" w:space="0"/>
              <w:right w:val="single" w:color="000000" w:sz="4" w:space="0"/>
            </w:tcBorders>
            <w:shd w:val="clear" w:color="auto" w:fill="auto"/>
            <w:vAlign w:val="center"/>
          </w:tcPr>
          <w:p>
            <w:pPr>
              <w:snapToGrid w:val="0"/>
              <w:jc w:val="both"/>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通过政府采购购置实验室仪器设备一台，由于是进口设备，采购程序正在进行中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设备更新维护费</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84" w:type="pct"/>
            <w:vMerge w:val="continue"/>
            <w:tcBorders>
              <w:left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测试化验加工费</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84" w:type="pct"/>
            <w:vMerge w:val="continue"/>
            <w:tcBorders>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差旅、劳务、专家咨询等费用</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default" w:ascii="微软雅黑" w:hAnsi="微软雅黑" w:eastAsia="微软雅黑" w:cs="微软雅黑"/>
                <w:i/>
                <w:iCs/>
                <w:color w:val="000000"/>
                <w:sz w:val="16"/>
                <w:szCs w:val="16"/>
                <w:u w:val="none"/>
                <w:lang w:val="en-US"/>
              </w:rPr>
            </w:pPr>
            <w:r>
              <w:rPr>
                <w:rFonts w:hint="eastAsia" w:ascii="宋体" w:hAnsi="宋体" w:cs="宋体"/>
                <w:i w:val="0"/>
                <w:iCs w:val="0"/>
                <w:color w:val="000000"/>
                <w:kern w:val="0"/>
                <w:sz w:val="18"/>
                <w:szCs w:val="18"/>
                <w:u w:val="none"/>
                <w:lang w:val="en-US" w:eastAsia="zh-CN" w:bidi="ar"/>
              </w:rPr>
              <w:t>7.65</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8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4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sz w:val="18"/>
                <w:szCs w:val="18"/>
                <w:u w:val="none"/>
                <w:lang w:eastAsia="zh-CN"/>
              </w:rPr>
              <w:t>完成年度目标任务</w:t>
            </w:r>
            <w:r>
              <w:rPr>
                <w:rFonts w:hint="eastAsia" w:ascii="宋体" w:hAnsi="宋体" w:cs="宋体"/>
                <w:i w:val="0"/>
                <w:iCs w:val="0"/>
                <w:color w:val="000000"/>
                <w:sz w:val="18"/>
                <w:szCs w:val="18"/>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4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4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97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202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snapToGrid w:val="0"/>
        <w:rPr>
          <w:rFonts w:hint="eastAsia" w:ascii="宋体" w:hAnsi="宋体" w:eastAsia="宋体" w:cs="宋体"/>
          <w:i w:val="0"/>
          <w:iCs w:val="0"/>
          <w:color w:val="000000"/>
          <w:sz w:val="18"/>
          <w:szCs w:val="18"/>
          <w:u w:val="none"/>
        </w:rPr>
        <w:sectPr>
          <w:pgSz w:w="11906" w:h="16838"/>
          <w:pgMar w:top="1440" w:right="1800" w:bottom="1440" w:left="1800" w:header="720" w:footer="720" w:gutter="0"/>
          <w:pgNumType w:fmt="decimal"/>
          <w:cols w:space="720" w:num="1"/>
          <w:docGrid w:type="lines" w:linePitch="312" w:charSpace="0"/>
        </w:sectPr>
      </w:pPr>
    </w:p>
    <w:tbl>
      <w:tblPr>
        <w:tblStyle w:val="13"/>
        <w:tblW w:w="665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1219"/>
        <w:gridCol w:w="2110"/>
        <w:gridCol w:w="1246"/>
        <w:gridCol w:w="1731"/>
        <w:gridCol w:w="373"/>
        <w:gridCol w:w="1082"/>
        <w:gridCol w:w="642"/>
        <w:gridCol w:w="543"/>
        <w:gridCol w:w="513"/>
        <w:gridCol w:w="453"/>
        <w:gridCol w:w="13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55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77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66"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2"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4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28"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584"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51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241"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1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25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2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125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51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按照预算执行。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6.54</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6.54</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6.54</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6.54</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6.54</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6.54</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341"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8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4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4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4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97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202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snapToGrid w:val="0"/>
        <w:rPr>
          <w:rFonts w:hint="eastAsia" w:ascii="宋体" w:hAnsi="宋体" w:eastAsia="宋体" w:cs="宋体"/>
          <w:i w:val="0"/>
          <w:iCs w:val="0"/>
          <w:color w:val="000000"/>
          <w:sz w:val="18"/>
          <w:szCs w:val="18"/>
          <w:u w:val="none"/>
        </w:rPr>
        <w:sectPr>
          <w:pgSz w:w="11906" w:h="16838"/>
          <w:pgMar w:top="1440" w:right="1800" w:bottom="1440" w:left="1800" w:header="720" w:footer="720" w:gutter="0"/>
          <w:pgNumType w:fmt="decimal"/>
          <w:cols w:space="720" w:num="1"/>
          <w:docGrid w:type="lines" w:linePitch="312" w:charSpace="0"/>
        </w:sectPr>
      </w:pPr>
    </w:p>
    <w:tbl>
      <w:tblPr>
        <w:tblStyle w:val="13"/>
        <w:tblW w:w="665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1219"/>
        <w:gridCol w:w="2110"/>
        <w:gridCol w:w="1246"/>
        <w:gridCol w:w="1731"/>
        <w:gridCol w:w="373"/>
        <w:gridCol w:w="1082"/>
        <w:gridCol w:w="642"/>
        <w:gridCol w:w="896"/>
        <w:gridCol w:w="426"/>
        <w:gridCol w:w="534"/>
        <w:gridCol w:w="9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55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77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66"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2"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9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8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3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2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51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399"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8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25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2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125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51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按照预算执行。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794" w:hRule="atLeast"/>
          <w:jc w:val="center"/>
        </w:trPr>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4.69</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4.69</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4.69</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4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4.69</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4.69</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4.69</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14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4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4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4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97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202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snapToGrid w:val="0"/>
        <w:rPr>
          <w:rFonts w:hint="eastAsia" w:ascii="宋体" w:hAnsi="宋体" w:eastAsia="宋体" w:cs="宋体"/>
          <w:i w:val="0"/>
          <w:iCs w:val="0"/>
          <w:color w:val="000000"/>
          <w:sz w:val="18"/>
          <w:szCs w:val="18"/>
          <w:u w:val="none"/>
        </w:rPr>
        <w:sectPr>
          <w:pgSz w:w="11906" w:h="16838"/>
          <w:pgMar w:top="1440" w:right="1800" w:bottom="1440" w:left="1800" w:header="720" w:footer="720" w:gutter="0"/>
          <w:pgNumType w:fmt="decimal"/>
          <w:cols w:space="720" w:num="1"/>
          <w:docGrid w:type="lines" w:linePitch="312" w:charSpace="0"/>
        </w:sectPr>
      </w:pPr>
    </w:p>
    <w:tbl>
      <w:tblPr>
        <w:tblStyle w:val="13"/>
        <w:tblW w:w="665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1219"/>
        <w:gridCol w:w="2110"/>
        <w:gridCol w:w="1246"/>
        <w:gridCol w:w="1731"/>
        <w:gridCol w:w="373"/>
        <w:gridCol w:w="1082"/>
        <w:gridCol w:w="642"/>
        <w:gridCol w:w="896"/>
        <w:gridCol w:w="426"/>
        <w:gridCol w:w="534"/>
        <w:gridCol w:w="9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55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771"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66"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82"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85"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39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18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37"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429" w:type="pct"/>
            <w:tcBorders>
              <w:top w:val="nil"/>
              <w:left w:val="nil"/>
              <w:bottom w:val="nil"/>
              <w:right w:val="nil"/>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51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51080025T000012243317-“三区”科技人才支持计划（中央）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399" w:type="pct"/>
            <w:tcBorders>
              <w:top w:val="nil"/>
              <w:left w:val="nil"/>
              <w:bottom w:val="nil"/>
              <w:right w:val="nil"/>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8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25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226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通过三区科技人才到服务村开展技术服务，达到提高林业技术支撑的目标。</w:t>
            </w:r>
          </w:p>
        </w:tc>
        <w:tc>
          <w:tcPr>
            <w:tcW w:w="125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51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按目标任务开展技术服务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派驻专家开展三区科技服</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3</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按期完成率</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90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项目实施时间</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12</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提高实际操作能力，逐步培养示范带动能力强、有一定科技水平的科技示范户和乡土专家，强化自我发展能力和辐射带动能力</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良</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良</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受援对象满意度</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90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宋体" w:hAnsi="宋体" w:eastAsia="宋体" w:cs="宋体"/>
                <w:i w:val="0"/>
                <w:iCs w:val="0"/>
                <w:color w:val="000000"/>
                <w:sz w:val="18"/>
                <w:szCs w:val="18"/>
                <w:u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对派驻专家补助（用于专家到受援地的工作补助、交通差旅费、保险和培训费用）</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60000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14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4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完成目标任务。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4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45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97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202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rPr>
          <w:rFonts w:hint="eastAsia" w:ascii="黑体" w:hAnsi="黑体" w:eastAsia="黑体"/>
          <w:color w:val="auto"/>
          <w:sz w:val="44"/>
          <w:szCs w:val="44"/>
          <w:highlight w:val="none"/>
        </w:rPr>
      </w:pPr>
    </w:p>
    <w:p>
      <w:pPr>
        <w:pStyle w:val="2"/>
        <w:rPr>
          <w:rFonts w:hint="eastAsia"/>
        </w:rPr>
      </w:pPr>
    </w:p>
    <w:p>
      <w:pPr>
        <w:spacing w:line="600" w:lineRule="exact"/>
        <w:jc w:val="center"/>
        <w:outlineLvl w:val="0"/>
        <w:rPr>
          <w:rFonts w:hint="eastAsia" w:ascii="仿宋" w:hAnsi="仿宋" w:eastAsia="仿宋"/>
          <w:b w:val="0"/>
          <w:color w:val="auto"/>
          <w:highlight w:val="none"/>
        </w:rPr>
      </w:pPr>
      <w:bookmarkStart w:id="57" w:name="_Toc7468"/>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五部分 附表</w:t>
      </w:r>
      <w:bookmarkEnd w:id="57"/>
    </w:p>
    <w:p>
      <w:pPr>
        <w:pStyle w:val="4"/>
        <w:outlineLvl w:val="9"/>
        <w:rPr>
          <w:rFonts w:ascii="仿宋" w:hAnsi="仿宋" w:eastAsia="仿宋"/>
          <w:color w:val="auto"/>
          <w:highlight w:val="none"/>
        </w:rPr>
      </w:pPr>
      <w:r>
        <w:rPr>
          <w:rFonts w:hint="eastAsia" w:ascii="仿宋" w:hAnsi="仿宋" w:eastAsia="仿宋"/>
          <w:b w:val="0"/>
          <w:color w:val="auto"/>
          <w:highlight w:val="none"/>
        </w:rPr>
        <w:t>一、收</w:t>
      </w:r>
      <w:r>
        <w:rPr>
          <w:rStyle w:val="17"/>
          <w:rFonts w:hint="eastAsia" w:ascii="仿宋" w:hAnsi="仿宋" w:eastAsia="仿宋"/>
          <w:b w:val="0"/>
          <w:bCs w:val="0"/>
          <w:color w:val="auto"/>
          <w:highlight w:val="none"/>
        </w:rPr>
        <w:t>入支出决算总表</w:t>
      </w:r>
    </w:p>
    <w:p>
      <w:pPr>
        <w:pStyle w:val="4"/>
        <w:outlineLvl w:val="9"/>
        <w:rPr>
          <w:rFonts w:ascii="仿宋" w:hAnsi="仿宋" w:eastAsia="仿宋"/>
          <w:color w:val="auto"/>
          <w:highlight w:val="none"/>
        </w:rPr>
      </w:pPr>
      <w:r>
        <w:rPr>
          <w:rFonts w:hint="eastAsia" w:ascii="仿宋" w:hAnsi="仿宋" w:eastAsia="仿宋"/>
          <w:b w:val="0"/>
          <w:color w:val="auto"/>
          <w:highlight w:val="none"/>
        </w:rPr>
        <w:t>二、收</w:t>
      </w:r>
      <w:r>
        <w:rPr>
          <w:rStyle w:val="17"/>
          <w:rFonts w:hint="eastAsia" w:ascii="仿宋" w:hAnsi="仿宋" w:eastAsia="仿宋"/>
          <w:b w:val="0"/>
          <w:bCs w:val="0"/>
          <w:color w:val="auto"/>
          <w:highlight w:val="none"/>
        </w:rPr>
        <w:t>入决算表</w:t>
      </w:r>
    </w:p>
    <w:p>
      <w:pPr>
        <w:pStyle w:val="4"/>
        <w:outlineLvl w:val="9"/>
        <w:rPr>
          <w:rFonts w:ascii="仿宋" w:hAnsi="仿宋" w:eastAsia="仿宋"/>
          <w:color w:val="auto"/>
          <w:highlight w:val="none"/>
        </w:rPr>
      </w:pPr>
      <w:bookmarkStart w:id="58" w:name="_Toc29599"/>
      <w:bookmarkStart w:id="59" w:name="_Toc7742"/>
      <w:r>
        <w:rPr>
          <w:rStyle w:val="17"/>
          <w:rFonts w:hint="eastAsia" w:ascii="仿宋" w:hAnsi="仿宋" w:eastAsia="仿宋"/>
          <w:b w:val="0"/>
          <w:bCs w:val="0"/>
          <w:color w:val="auto"/>
          <w:highlight w:val="none"/>
        </w:rPr>
        <w:t>三、</w:t>
      </w:r>
      <w:bookmarkEnd w:id="58"/>
      <w:bookmarkEnd w:id="59"/>
      <w:r>
        <w:rPr>
          <w:rFonts w:hint="eastAsia" w:ascii="仿宋" w:hAnsi="仿宋" w:eastAsia="仿宋"/>
          <w:b w:val="0"/>
          <w:color w:val="auto"/>
          <w:highlight w:val="none"/>
        </w:rPr>
        <w:t>支</w:t>
      </w:r>
      <w:r>
        <w:rPr>
          <w:rStyle w:val="17"/>
          <w:rFonts w:hint="eastAsia" w:ascii="仿宋" w:hAnsi="仿宋" w:eastAsia="仿宋"/>
          <w:b w:val="0"/>
          <w:bCs w:val="0"/>
          <w:color w:val="auto"/>
          <w:highlight w:val="none"/>
        </w:rPr>
        <w:t>出决算表</w:t>
      </w:r>
    </w:p>
    <w:p>
      <w:pPr>
        <w:pStyle w:val="4"/>
        <w:outlineLvl w:val="9"/>
        <w:rPr>
          <w:rFonts w:ascii="仿宋" w:hAnsi="仿宋" w:eastAsia="仿宋"/>
          <w:b w:val="0"/>
          <w:color w:val="auto"/>
          <w:highlight w:val="none"/>
        </w:rPr>
      </w:pPr>
      <w:bookmarkStart w:id="60" w:name="_Toc8582"/>
      <w:bookmarkStart w:id="61" w:name="_Toc1145"/>
      <w:r>
        <w:rPr>
          <w:rStyle w:val="17"/>
          <w:rFonts w:hint="eastAsia" w:ascii="仿宋" w:hAnsi="仿宋" w:eastAsia="仿宋"/>
          <w:b w:val="0"/>
          <w:bCs w:val="0"/>
          <w:color w:val="auto"/>
          <w:highlight w:val="none"/>
        </w:rPr>
        <w:t>四、</w:t>
      </w:r>
      <w:bookmarkEnd w:id="60"/>
      <w:bookmarkEnd w:id="61"/>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政拨款收入支出决算总表</w:t>
      </w:r>
    </w:p>
    <w:p>
      <w:pPr>
        <w:pStyle w:val="4"/>
        <w:outlineLvl w:val="9"/>
        <w:rPr>
          <w:rStyle w:val="17"/>
          <w:rFonts w:ascii="仿宋" w:hAnsi="仿宋" w:eastAsia="仿宋"/>
          <w:b w:val="0"/>
          <w:bCs w:val="0"/>
          <w:color w:val="auto"/>
          <w:highlight w:val="none"/>
        </w:rPr>
      </w:pPr>
      <w:bookmarkStart w:id="62" w:name="_Toc3222"/>
      <w:bookmarkStart w:id="63" w:name="_Toc29795"/>
      <w:r>
        <w:rPr>
          <w:rStyle w:val="17"/>
          <w:rFonts w:hint="eastAsia" w:ascii="仿宋" w:hAnsi="仿宋" w:eastAsia="仿宋"/>
          <w:b w:val="0"/>
          <w:bCs w:val="0"/>
          <w:color w:val="auto"/>
          <w:highlight w:val="none"/>
        </w:rPr>
        <w:t>五、</w:t>
      </w:r>
      <w:bookmarkEnd w:id="62"/>
      <w:bookmarkEnd w:id="63"/>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政拨款支出决算明细表</w:t>
      </w:r>
    </w:p>
    <w:p>
      <w:pPr>
        <w:pStyle w:val="4"/>
        <w:outlineLvl w:val="9"/>
        <w:rPr>
          <w:rFonts w:ascii="仿宋" w:hAnsi="仿宋" w:eastAsia="仿宋"/>
          <w:color w:val="auto"/>
          <w:highlight w:val="none"/>
        </w:rPr>
      </w:pPr>
      <w:bookmarkStart w:id="64" w:name="_Toc21789"/>
      <w:bookmarkStart w:id="65" w:name="_Toc19052"/>
      <w:r>
        <w:rPr>
          <w:rStyle w:val="17"/>
          <w:rFonts w:hint="eastAsia" w:ascii="仿宋" w:hAnsi="仿宋" w:eastAsia="仿宋"/>
          <w:b w:val="0"/>
          <w:bCs w:val="0"/>
          <w:color w:val="auto"/>
          <w:highlight w:val="none"/>
        </w:rPr>
        <w:t>六、</w:t>
      </w:r>
      <w:bookmarkEnd w:id="64"/>
      <w:bookmarkEnd w:id="65"/>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般公共预算财政拨款支出决算表</w:t>
      </w:r>
    </w:p>
    <w:p>
      <w:pPr>
        <w:pStyle w:val="4"/>
        <w:outlineLvl w:val="9"/>
        <w:rPr>
          <w:rFonts w:ascii="仿宋" w:hAnsi="仿宋" w:eastAsia="仿宋"/>
          <w:color w:val="auto"/>
          <w:highlight w:val="none"/>
        </w:rPr>
      </w:pPr>
      <w:bookmarkStart w:id="66" w:name="_Toc15318"/>
      <w:bookmarkStart w:id="67" w:name="_Toc6317"/>
      <w:r>
        <w:rPr>
          <w:rStyle w:val="17"/>
          <w:rFonts w:hint="eastAsia" w:ascii="仿宋" w:hAnsi="仿宋" w:eastAsia="仿宋"/>
          <w:b w:val="0"/>
          <w:bCs w:val="0"/>
          <w:color w:val="auto"/>
          <w:highlight w:val="none"/>
        </w:rPr>
        <w:t>七、</w:t>
      </w:r>
      <w:bookmarkEnd w:id="66"/>
      <w:bookmarkEnd w:id="67"/>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般公共预算财政拨款支出决算明细表</w:t>
      </w:r>
    </w:p>
    <w:p>
      <w:pPr>
        <w:pStyle w:val="4"/>
        <w:outlineLvl w:val="9"/>
        <w:rPr>
          <w:rFonts w:ascii="仿宋" w:hAnsi="仿宋" w:eastAsia="仿宋"/>
          <w:color w:val="auto"/>
          <w:highlight w:val="none"/>
        </w:rPr>
      </w:pPr>
      <w:bookmarkStart w:id="68" w:name="_Toc1971"/>
      <w:bookmarkStart w:id="69" w:name="_Toc7818"/>
      <w:r>
        <w:rPr>
          <w:rStyle w:val="17"/>
          <w:rFonts w:hint="eastAsia" w:ascii="仿宋" w:hAnsi="仿宋" w:eastAsia="仿宋"/>
          <w:b w:val="0"/>
          <w:bCs w:val="0"/>
          <w:color w:val="auto"/>
          <w:highlight w:val="none"/>
        </w:rPr>
        <w:t>八、</w:t>
      </w:r>
      <w:bookmarkEnd w:id="68"/>
      <w:bookmarkEnd w:id="69"/>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般公共预算财政拨款基本支出决算表</w:t>
      </w:r>
    </w:p>
    <w:p>
      <w:pPr>
        <w:pStyle w:val="4"/>
        <w:outlineLvl w:val="9"/>
        <w:rPr>
          <w:rFonts w:ascii="仿宋" w:hAnsi="仿宋" w:eastAsia="仿宋"/>
          <w:color w:val="auto"/>
          <w:highlight w:val="none"/>
        </w:rPr>
      </w:pPr>
      <w:bookmarkStart w:id="70" w:name="_Toc3247"/>
      <w:bookmarkStart w:id="71" w:name="_Toc27272"/>
      <w:r>
        <w:rPr>
          <w:rStyle w:val="17"/>
          <w:rFonts w:hint="eastAsia" w:ascii="仿宋" w:hAnsi="仿宋" w:eastAsia="仿宋"/>
          <w:b w:val="0"/>
          <w:bCs w:val="0"/>
          <w:color w:val="auto"/>
          <w:highlight w:val="none"/>
        </w:rPr>
        <w:t>九、</w:t>
      </w:r>
      <w:bookmarkEnd w:id="70"/>
      <w:bookmarkEnd w:id="71"/>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般公共预算财政拨款项目支出决算表</w:t>
      </w:r>
    </w:p>
    <w:p>
      <w:pPr>
        <w:pStyle w:val="4"/>
        <w:outlineLvl w:val="9"/>
        <w:rPr>
          <w:rFonts w:ascii="仿宋" w:hAnsi="仿宋" w:eastAsia="仿宋"/>
          <w:color w:val="auto"/>
          <w:highlight w:val="none"/>
        </w:rPr>
      </w:pPr>
      <w:bookmarkStart w:id="72" w:name="_Toc18946"/>
      <w:bookmarkStart w:id="73" w:name="_Toc8042"/>
      <w:r>
        <w:rPr>
          <w:rStyle w:val="17"/>
          <w:rFonts w:hint="eastAsia" w:ascii="仿宋" w:hAnsi="仿宋" w:eastAsia="仿宋"/>
          <w:b w:val="0"/>
          <w:bCs w:val="0"/>
          <w:color w:val="auto"/>
          <w:highlight w:val="none"/>
        </w:rPr>
        <w:t>十、</w:t>
      </w:r>
      <w:bookmarkEnd w:id="72"/>
      <w:bookmarkEnd w:id="73"/>
      <w:r>
        <w:rPr>
          <w:rFonts w:hint="eastAsia" w:ascii="仿宋" w:hAnsi="仿宋" w:eastAsia="仿宋"/>
          <w:b w:val="0"/>
          <w:color w:val="auto"/>
          <w:highlight w:val="none"/>
        </w:rPr>
        <w:t>政</w:t>
      </w:r>
      <w:r>
        <w:rPr>
          <w:rStyle w:val="17"/>
          <w:rFonts w:hint="eastAsia" w:ascii="仿宋" w:hAnsi="仿宋" w:eastAsia="仿宋"/>
          <w:b w:val="0"/>
          <w:bCs w:val="0"/>
          <w:color w:val="auto"/>
          <w:highlight w:val="none"/>
        </w:rPr>
        <w:t>府性基金预算财政拨款收入支出决算表</w:t>
      </w:r>
    </w:p>
    <w:p>
      <w:pPr>
        <w:pStyle w:val="4"/>
        <w:outlineLvl w:val="9"/>
        <w:rPr>
          <w:rFonts w:ascii="仿宋" w:hAnsi="仿宋" w:eastAsia="仿宋"/>
          <w:color w:val="auto"/>
          <w:highlight w:val="none"/>
        </w:rPr>
      </w:pPr>
      <w:bookmarkStart w:id="74" w:name="_Toc5789"/>
      <w:bookmarkStart w:id="75" w:name="_Toc9701"/>
      <w:r>
        <w:rPr>
          <w:rStyle w:val="17"/>
          <w:rFonts w:hint="eastAsia" w:ascii="仿宋" w:hAnsi="仿宋" w:eastAsia="仿宋"/>
          <w:b w:val="0"/>
          <w:bCs w:val="0"/>
          <w:color w:val="auto"/>
          <w:highlight w:val="none"/>
        </w:rPr>
        <w:t>十一、</w:t>
      </w:r>
      <w:bookmarkEnd w:id="74"/>
      <w:bookmarkEnd w:id="75"/>
      <w:r>
        <w:rPr>
          <w:rFonts w:hint="eastAsia" w:ascii="仿宋" w:hAnsi="仿宋" w:eastAsia="仿宋"/>
          <w:b w:val="0"/>
          <w:color w:val="auto"/>
          <w:highlight w:val="none"/>
        </w:rPr>
        <w:t>国</w:t>
      </w:r>
      <w:r>
        <w:rPr>
          <w:rStyle w:val="17"/>
          <w:rFonts w:hint="eastAsia" w:ascii="仿宋" w:hAnsi="仿宋" w:eastAsia="仿宋"/>
          <w:b w:val="0"/>
          <w:bCs w:val="0"/>
          <w:color w:val="auto"/>
          <w:highlight w:val="none"/>
        </w:rPr>
        <w:t>有资本经营预算</w:t>
      </w:r>
      <w:r>
        <w:rPr>
          <w:rStyle w:val="17"/>
          <w:rFonts w:hint="eastAsia" w:ascii="仿宋" w:hAnsi="仿宋" w:eastAsia="仿宋"/>
          <w:b w:val="0"/>
          <w:bCs w:val="0"/>
          <w:color w:val="auto"/>
          <w:highlight w:val="none"/>
          <w:lang w:eastAsia="zh-CN"/>
        </w:rPr>
        <w:t>财政拨款收入</w:t>
      </w:r>
      <w:r>
        <w:rPr>
          <w:rStyle w:val="17"/>
          <w:rFonts w:hint="eastAsia" w:ascii="仿宋" w:hAnsi="仿宋" w:eastAsia="仿宋"/>
          <w:b w:val="0"/>
          <w:bCs w:val="0"/>
          <w:color w:val="auto"/>
          <w:highlight w:val="none"/>
        </w:rPr>
        <w:t>支出决算表</w:t>
      </w:r>
    </w:p>
    <w:p>
      <w:pPr>
        <w:pStyle w:val="4"/>
        <w:outlineLvl w:val="9"/>
        <w:rPr>
          <w:rFonts w:ascii="仿宋" w:hAnsi="仿宋" w:eastAsia="仿宋"/>
          <w:color w:val="auto"/>
          <w:highlight w:val="none"/>
        </w:rPr>
      </w:pPr>
      <w:bookmarkStart w:id="76" w:name="_Toc11415"/>
      <w:bookmarkStart w:id="77" w:name="_Toc3630"/>
      <w:r>
        <w:rPr>
          <w:rStyle w:val="17"/>
          <w:rFonts w:hint="eastAsia" w:ascii="仿宋" w:hAnsi="仿宋" w:eastAsia="仿宋"/>
          <w:b w:val="0"/>
          <w:bCs w:val="0"/>
          <w:color w:val="auto"/>
          <w:highlight w:val="none"/>
        </w:rPr>
        <w:t>十二、</w:t>
      </w:r>
      <w:r>
        <w:rPr>
          <w:rStyle w:val="17"/>
          <w:rFonts w:hint="eastAsia" w:ascii="仿宋" w:hAnsi="仿宋" w:eastAsia="仿宋"/>
          <w:b w:val="0"/>
          <w:bCs w:val="0"/>
          <w:color w:val="auto"/>
          <w:highlight w:val="none"/>
          <w:lang w:eastAsia="zh-CN"/>
        </w:rPr>
        <w:t>国有资本经营预算财政拨款支出决算表</w:t>
      </w:r>
      <w:bookmarkEnd w:id="76"/>
      <w:bookmarkEnd w:id="77"/>
    </w:p>
    <w:p>
      <w:pPr>
        <w:pStyle w:val="4"/>
        <w:outlineLvl w:val="9"/>
        <w:rPr>
          <w:rFonts w:hint="eastAsia" w:eastAsia="仿宋"/>
          <w:color w:val="auto"/>
          <w:highlight w:val="none"/>
          <w:lang w:eastAsia="zh-CN"/>
        </w:rPr>
      </w:pPr>
      <w:bookmarkStart w:id="78" w:name="_Toc1954"/>
      <w:bookmarkStart w:id="79" w:name="_Toc29682"/>
      <w:r>
        <w:rPr>
          <w:rStyle w:val="17"/>
          <w:rFonts w:hint="eastAsia" w:ascii="仿宋" w:hAnsi="仿宋" w:eastAsia="仿宋"/>
          <w:b w:val="0"/>
          <w:bCs w:val="0"/>
          <w:color w:val="auto"/>
          <w:highlight w:val="none"/>
        </w:rPr>
        <w:t>十三、</w:t>
      </w:r>
      <w:r>
        <w:rPr>
          <w:rStyle w:val="17"/>
          <w:rFonts w:hint="eastAsia" w:ascii="仿宋" w:hAnsi="仿宋" w:eastAsia="仿宋"/>
          <w:b w:val="0"/>
          <w:bCs w:val="0"/>
          <w:color w:val="auto"/>
          <w:highlight w:val="none"/>
          <w:lang w:eastAsia="zh-CN"/>
        </w:rPr>
        <w:t>财政拨款“三公”经费支出决算表</w:t>
      </w:r>
      <w:bookmarkEnd w:id="78"/>
      <w:bookmarkEnd w:id="79"/>
    </w:p>
    <w:p/>
    <w:p/>
    <w:sectPr>
      <w:pgSz w:w="11906" w:h="16838"/>
      <w:pgMar w:top="1440" w:right="1800" w:bottom="1440" w:left="1800" w:header="720" w:footer="72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iMuAO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DiMuAOGwIAACkEAAAOAAAAAAAAAAEAIAAAADU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EF0C71"/>
    <w:multiLevelType w:val="singleLevel"/>
    <w:tmpl w:val="85EF0C71"/>
    <w:lvl w:ilvl="0" w:tentative="0">
      <w:start w:val="1"/>
      <w:numFmt w:val="decimal"/>
      <w:suff w:val="nothing"/>
      <w:lvlText w:val="%1．"/>
      <w:lvlJc w:val="left"/>
      <w:pPr>
        <w:ind w:left="0" w:firstLine="397"/>
      </w:pPr>
      <w:rPr>
        <w:rFonts w:hint="default"/>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abstractNum w:abstractNumId="4">
    <w:nsid w:val="6721E029"/>
    <w:multiLevelType w:val="singleLevel"/>
    <w:tmpl w:val="6721E029"/>
    <w:lvl w:ilvl="0" w:tentative="0">
      <w:start w:val="1"/>
      <w:numFmt w:val="decimal"/>
      <w:suff w:val="nothing"/>
      <w:lvlText w:val="%1．"/>
      <w:lvlJc w:val="left"/>
      <w:pPr>
        <w:ind w:left="0" w:firstLine="400"/>
      </w:pPr>
      <w:rPr>
        <w:rFont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2E584D"/>
    <w:rsid w:val="00412B05"/>
    <w:rsid w:val="07416A2C"/>
    <w:rsid w:val="0A0A3862"/>
    <w:rsid w:val="0B416FFB"/>
    <w:rsid w:val="0BEC470E"/>
    <w:rsid w:val="0C685D21"/>
    <w:rsid w:val="0E8A2AD8"/>
    <w:rsid w:val="1021624A"/>
    <w:rsid w:val="1078136A"/>
    <w:rsid w:val="179A0A53"/>
    <w:rsid w:val="17AE1A8E"/>
    <w:rsid w:val="1AAA576C"/>
    <w:rsid w:val="1C6964E9"/>
    <w:rsid w:val="347C716F"/>
    <w:rsid w:val="377E4FAF"/>
    <w:rsid w:val="42084A97"/>
    <w:rsid w:val="461D5993"/>
    <w:rsid w:val="4D421BF2"/>
    <w:rsid w:val="4E2E584D"/>
    <w:rsid w:val="50706FA0"/>
    <w:rsid w:val="552943C3"/>
    <w:rsid w:val="5AC4067B"/>
    <w:rsid w:val="61C6574A"/>
    <w:rsid w:val="6418674C"/>
    <w:rsid w:val="65A4123D"/>
    <w:rsid w:val="676868EE"/>
    <w:rsid w:val="6AE45BAB"/>
    <w:rsid w:val="6D8E20F1"/>
    <w:rsid w:val="78996779"/>
    <w:rsid w:val="E7C70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5">
    <w:name w:val="index 6"/>
    <w:basedOn w:val="1"/>
    <w:next w:val="1"/>
    <w:qFormat/>
    <w:uiPriority w:val="0"/>
    <w:pPr>
      <w:ind w:left="2100"/>
      <w:jc w:val="center"/>
    </w:pPr>
  </w:style>
  <w:style w:type="paragraph" w:styleId="6">
    <w:name w:val="Body Text"/>
    <w:basedOn w:val="1"/>
    <w:qFormat/>
    <w:uiPriority w:val="0"/>
    <w:pPr>
      <w:spacing w:before="0" w:after="140" w:line="276" w:lineRule="auto"/>
    </w:p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next w:val="5"/>
    <w:unhideWhenUsed/>
    <w:qFormat/>
    <w:uiPriority w:val="99"/>
    <w:pPr>
      <w:ind w:firstLine="420" w:firstLineChars="200"/>
    </w:p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footnote text"/>
    <w:basedOn w:val="1"/>
    <w:next w:val="8"/>
    <w:semiHidden/>
    <w:qFormat/>
    <w:uiPriority w:val="0"/>
    <w:pPr>
      <w:snapToGrid w:val="0"/>
      <w:jc w:val="left"/>
    </w:pPr>
    <w:rPr>
      <w:sz w:val="18"/>
      <w:szCs w:val="1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customStyle="1" w:styleId="16">
    <w:name w:val="标题 1 Char"/>
    <w:basedOn w:val="14"/>
    <w:link w:val="3"/>
    <w:qFormat/>
    <w:uiPriority w:val="9"/>
    <w:rPr>
      <w:b/>
      <w:bCs/>
      <w:kern w:val="44"/>
      <w:sz w:val="44"/>
      <w:szCs w:val="44"/>
    </w:rPr>
  </w:style>
  <w:style w:type="character" w:customStyle="1" w:styleId="17">
    <w:name w:val="标题 2 Char"/>
    <w:basedOn w:val="14"/>
    <w:link w:val="4"/>
    <w:qFormat/>
    <w:uiPriority w:val="9"/>
    <w:rPr>
      <w:rFonts w:ascii="Cambria" w:hAnsi="Cambria" w:eastAsia="宋体" w:cs="Times New Roman"/>
      <w:b/>
      <w:bCs/>
      <w:sz w:val="32"/>
      <w:szCs w:val="32"/>
    </w:rPr>
  </w:style>
  <w:style w:type="paragraph" w:styleId="18">
    <w:name w:val="List Paragraph"/>
    <w:basedOn w:val="1"/>
    <w:qFormat/>
    <w:uiPriority w:val="34"/>
    <w:pPr>
      <w:ind w:firstLine="420" w:firstLineChars="200"/>
    </w:pPr>
  </w:style>
  <w:style w:type="paragraph" w:customStyle="1" w:styleId="1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oleObject" Target="embeddings/oleObject4.bin"/><Relationship Id="rId7" Type="http://schemas.openxmlformats.org/officeDocument/2006/relationships/oleObject" Target="embeddings/oleObject3.bin"/><Relationship Id="rId6" Type="http://schemas.openxmlformats.org/officeDocument/2006/relationships/oleObject" Target="embeddings/oleObject2.bin"/><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050" b="0" i="0" u="none" strike="noStrike" kern="1200" baseline="0">
                <a:solidFill>
                  <a:schemeClr val="tx1">
                    <a:lumMod val="75000"/>
                    <a:lumOff val="25000"/>
                  </a:schemeClr>
                </a:solidFill>
                <a:latin typeface="+mn-lt"/>
                <a:ea typeface="+mn-ea"/>
                <a:cs typeface="+mn-cs"/>
              </a:defRPr>
            </a:pPr>
            <a:r>
              <a:rPr sz="1050" b="0"/>
              <a:t>单位：万元</a:t>
            </a:r>
            <a:endParaRPr sz="1050" b="0"/>
          </a:p>
        </c:rich>
      </c:tx>
      <c:layout>
        <c:manualLayout>
          <c:xMode val="edge"/>
          <c:yMode val="edge"/>
          <c:x val="0.812515100265765"/>
          <c:y val="0.00871228219294517"/>
        </c:manualLayout>
      </c:layout>
      <c:overlay val="false"/>
      <c:spPr>
        <a:noFill/>
        <a:ln>
          <a:noFill/>
        </a:ln>
        <a:effectLst/>
      </c:spPr>
    </c:title>
    <c:autoTitleDeleted val="false"/>
    <c:plotArea>
      <c:layout/>
      <c:barChart>
        <c:barDir val="col"/>
        <c:grouping val="clustered"/>
        <c:varyColors val="false"/>
        <c:ser>
          <c:idx val="0"/>
          <c:order val="0"/>
          <c:tx>
            <c:strRef>
              <c:f>Sheet1!$A$2:$A$3</c:f>
              <c:strCache>
                <c:ptCount val="1"/>
                <c:pt idx="0">
                  <c:v>2025年 2024年</c:v>
                </c:pt>
              </c:strCache>
            </c:strRef>
          </c:tx>
          <c:spPr>
            <a:solidFill>
              <a:schemeClr val="accent1"/>
            </a:solidFill>
            <a:ln>
              <a:noFill/>
            </a:ln>
            <a:effectLst/>
          </c:spPr>
          <c:invertIfNegative val="false"/>
          <c:dPt>
            <c:idx val="1"/>
            <c:invertIfNegative val="false"/>
            <c:bubble3D val="false"/>
            <c:spPr>
              <a:solidFill>
                <a:schemeClr val="accent3"/>
              </a:solidFill>
              <a:ln>
                <a:noFill/>
              </a:ln>
              <a:effectLst/>
            </c:spPr>
          </c:dPt>
          <c:dLbls>
            <c:delete val="true"/>
          </c:dLbls>
          <c:cat>
            <c:strRef>
              <c:f>Sheet1!$B$1:$C$1</c:f>
              <c:strCache>
                <c:ptCount val="2"/>
                <c:pt idx="0">
                  <c:v>2023年</c:v>
                </c:pt>
                <c:pt idx="1">
                  <c:v>2024年</c:v>
                </c:pt>
              </c:strCache>
            </c:strRef>
          </c:cat>
          <c:val>
            <c:numRef>
              <c:f>Sheet1!$B$2:$C$2</c:f>
              <c:numCache>
                <c:formatCode>General</c:formatCode>
                <c:ptCount val="2"/>
                <c:pt idx="0">
                  <c:v>987.5</c:v>
                </c:pt>
                <c:pt idx="1">
                  <c:v>948.8</c:v>
                </c:pt>
              </c:numCache>
            </c:numRef>
          </c:val>
        </c:ser>
        <c:dLbls>
          <c:showLegendKey val="false"/>
          <c:showVal val="false"/>
          <c:showCatName val="false"/>
          <c:showSerName val="false"/>
          <c:showPercent val="false"/>
          <c:showBubbleSize val="false"/>
        </c:dLbls>
        <c:gapWidth val="246"/>
        <c:overlap val="-28"/>
        <c:axId val="569030711"/>
        <c:axId val="565680374"/>
      </c:barChart>
      <c:catAx>
        <c:axId val="56903071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65680374"/>
        <c:crosses val="autoZero"/>
        <c:auto val="true"/>
        <c:lblAlgn val="ctr"/>
        <c:lblOffset val="100"/>
        <c:noMultiLvlLbl val="false"/>
      </c:catAx>
      <c:valAx>
        <c:axId val="565680374"/>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69030711"/>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其他收入</c:v>
                </c:pt>
              </c:strCache>
            </c:strRef>
          </c:cat>
          <c:val>
            <c:numRef>
              <c:f>Sheet1!$B$2:$B$3</c:f>
              <c:numCache>
                <c:formatCode>General</c:formatCode>
                <c:ptCount val="2"/>
                <c:pt idx="0">
                  <c:v>774.49</c:v>
                </c:pt>
                <c:pt idx="1">
                  <c:v>0.07</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基本支出</c:v>
                </c:pt>
                <c:pt idx="1">
                  <c:v>项目支出</c:v>
                </c:pt>
              </c:strCache>
            </c:strRef>
          </c:cat>
          <c:val>
            <c:numRef>
              <c:extLst>
                <c:ext xmlns:c15="http://schemas.microsoft.com/office/drawing/2012/chart" uri="{02D57815-91ED-43cb-92C2-25804820EDAC}">
                  <c15:fullRef>
                    <c15:sqref>Sheet1!$B$2:$B$5</c15:sqref>
                  </c15:fullRef>
                </c:ext>
              </c:extLst>
              <c:f>Sheet1!$B$2:$B$3</c:f>
              <c:numCache>
                <c:formatCode>0.00%</c:formatCode>
                <c:ptCount val="2"/>
                <c:pt idx="0">
                  <c:v>0.5621</c:v>
                </c:pt>
                <c:pt idx="1">
                  <c:v>0.4379</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900" b="1" i="0" u="none" strike="noStrike" kern="1200" baseline="0">
                <a:solidFill>
                  <a:schemeClr val="tx1">
                    <a:lumMod val="75000"/>
                    <a:lumOff val="25000"/>
                  </a:schemeClr>
                </a:solidFill>
                <a:latin typeface="+mn-lt"/>
                <a:ea typeface="+mn-ea"/>
                <a:cs typeface="+mn-cs"/>
              </a:defRPr>
            </a:pPr>
            <a:r>
              <a:rPr sz="900"/>
              <a:t>单位：万元</a:t>
            </a:r>
            <a:endParaRPr sz="900"/>
          </a:p>
        </c:rich>
      </c:tx>
      <c:layout>
        <c:manualLayout>
          <c:xMode val="edge"/>
          <c:yMode val="edge"/>
          <c:x val="0.718226916058923"/>
          <c:y val="0.0605294552354118"/>
        </c:manualLayout>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2024年</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75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940.93</c:v>
                </c:pt>
              </c:numCache>
            </c:numRef>
          </c:val>
        </c:ser>
        <c:ser>
          <c:idx val="1"/>
          <c:order val="1"/>
          <c:tx>
            <c:strRef>
              <c:f>Sheet1!$C$1</c:f>
              <c:strCache>
                <c:ptCount val="1"/>
                <c:pt idx="0">
                  <c:v>2023年</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75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957.49</c:v>
                </c:pt>
              </c:numCache>
            </c:numRef>
          </c:val>
        </c:ser>
        <c:dLbls>
          <c:showLegendKey val="false"/>
          <c:showVal val="true"/>
          <c:showCatName val="false"/>
          <c:showSerName val="false"/>
          <c:showPercent val="false"/>
          <c:showBubbleSize val="false"/>
        </c:dLbls>
        <c:gapWidth val="246"/>
        <c:overlap val="-28"/>
        <c:axId val="53624628"/>
        <c:axId val="734568503"/>
      </c:barChart>
      <c:catAx>
        <c:axId val="5362462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750" b="0" i="0" u="none" strike="noStrike" kern="1200" baseline="0">
                <a:solidFill>
                  <a:schemeClr val="tx1">
                    <a:lumMod val="65000"/>
                    <a:lumOff val="35000"/>
                  </a:schemeClr>
                </a:solidFill>
                <a:latin typeface="+mn-lt"/>
                <a:ea typeface="+mn-ea"/>
                <a:cs typeface="+mn-cs"/>
              </a:defRPr>
            </a:pPr>
          </a:p>
        </c:txPr>
        <c:crossAx val="734568503"/>
        <c:crosses val="autoZero"/>
        <c:auto val="true"/>
        <c:lblAlgn val="ctr"/>
        <c:lblOffset val="100"/>
        <c:noMultiLvlLbl val="false"/>
      </c:catAx>
      <c:valAx>
        <c:axId val="734568503"/>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750" b="0" i="0" u="none" strike="noStrike" kern="1200" baseline="0">
                <a:solidFill>
                  <a:schemeClr val="tx1">
                    <a:lumMod val="65000"/>
                    <a:lumOff val="35000"/>
                  </a:schemeClr>
                </a:solidFill>
                <a:latin typeface="+mn-lt"/>
                <a:ea typeface="+mn-ea"/>
                <a:cs typeface="+mn-cs"/>
              </a:defRPr>
            </a:pPr>
          </a:p>
        </c:txPr>
        <c:crossAx val="53624628"/>
        <c:crosses val="autoZero"/>
        <c:crossBetween val="between"/>
      </c:valAx>
      <c:spPr>
        <a:noFill/>
        <a:ln>
          <a:noFill/>
        </a:ln>
        <a:effectLst/>
      </c:spPr>
    </c:plotArea>
    <c:legend>
      <c:legendPos val="b"/>
      <c:legendEntry>
        <c:idx val="0"/>
        <c:txPr>
          <a:bodyPr rot="0" spcFirstLastPara="0" vertOverflow="ellipsis" vert="horz" wrap="square" anchor="ctr" anchorCtr="true"/>
          <a:lstStyle/>
          <a:p>
            <a:pPr>
              <a:defRPr lang="zh-CN" sz="75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750" b="0"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75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750"/>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080" b="1" i="0" u="none" strike="noStrike" kern="1200" baseline="0">
                <a:solidFill>
                  <a:schemeClr val="tx1">
                    <a:lumMod val="75000"/>
                    <a:lumOff val="25000"/>
                  </a:schemeClr>
                </a:solidFill>
                <a:latin typeface="+mn-lt"/>
                <a:ea typeface="+mn-ea"/>
                <a:cs typeface="+mn-cs"/>
              </a:defRPr>
            </a:pPr>
            <a:r>
              <a:rPr sz="1080"/>
              <a:t>单位：万元</a:t>
            </a:r>
            <a:endParaRPr sz="1080"/>
          </a:p>
        </c:rich>
      </c:tx>
      <c:layout>
        <c:manualLayout>
          <c:xMode val="edge"/>
          <c:yMode val="edge"/>
          <c:x val="0.778932109205122"/>
          <c:y val="0.0427114322141946"/>
        </c:manualLayout>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2024年</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930.14</c:v>
                </c:pt>
              </c:numCache>
            </c:numRef>
          </c:val>
        </c:ser>
        <c:ser>
          <c:idx val="1"/>
          <c:order val="1"/>
          <c:tx>
            <c:strRef>
              <c:f>Sheet1!$C$1</c:f>
              <c:strCache>
                <c:ptCount val="1"/>
                <c:pt idx="0">
                  <c:v>2023年</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791.04</c:v>
                </c:pt>
              </c:numCache>
            </c:numRef>
          </c:val>
        </c:ser>
        <c:dLbls>
          <c:showLegendKey val="false"/>
          <c:showVal val="true"/>
          <c:showCatName val="false"/>
          <c:showSerName val="false"/>
          <c:showPercent val="false"/>
          <c:showBubbleSize val="false"/>
        </c:dLbls>
        <c:gapWidth val="260"/>
        <c:overlap val="-32"/>
        <c:axId val="473813974"/>
        <c:axId val="496027272"/>
      </c:barChart>
      <c:catAx>
        <c:axId val="47381397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96027272"/>
        <c:crosses val="autoZero"/>
        <c:auto val="true"/>
        <c:lblAlgn val="ctr"/>
        <c:lblOffset val="100"/>
        <c:noMultiLvlLbl val="false"/>
      </c:catAx>
      <c:valAx>
        <c:axId val="496027272"/>
        <c:scaling>
          <c:orientation val="minMax"/>
        </c:scaling>
        <c:delete val="true"/>
        <c:axPos val="l"/>
        <c:numFmt formatCode="General" sourceLinked="true"/>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73813974"/>
        <c:crosses val="autoZero"/>
        <c:crossBetween val="between"/>
      </c:valAx>
      <c:spPr>
        <a:noFill/>
        <a:ln>
          <a:noFill/>
        </a:ln>
        <a:effectLst/>
      </c:spPr>
    </c:plotArea>
    <c:legend>
      <c:legendPos val="t"/>
      <c:legendEntry>
        <c:idx val="0"/>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900"/>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Sheet1!$A$2</c:f>
              <c:strCache>
                <c:ptCount val="1"/>
                <c:pt idx="0">
                  <c:v/>
                </c:pt>
              </c:strCache>
            </c:strRef>
          </c:tx>
          <c:spPr>
            <a:effectLst/>
          </c:spPr>
          <c:explosion val="0"/>
          <c:dPt>
            <c:idx val="0"/>
            <c:bubble3D val="false"/>
            <c:spPr>
              <a:solidFill>
                <a:schemeClr val="accent1"/>
              </a:solidFill>
              <a:ln>
                <a:noFill/>
              </a:ln>
              <a:effectLst/>
            </c:spPr>
          </c:dPt>
          <c:dPt>
            <c:idx val="1"/>
            <c:bubble3D val="false"/>
            <c:spPr>
              <a:solidFill>
                <a:schemeClr val="accent2"/>
              </a:solidFill>
              <a:ln>
                <a:noFill/>
              </a:ln>
              <a:effectLst/>
            </c:spPr>
          </c:dPt>
          <c:dPt>
            <c:idx val="2"/>
            <c:bubble3D val="false"/>
            <c:spPr>
              <a:solidFill>
                <a:schemeClr val="accent3"/>
              </a:solidFill>
              <a:ln>
                <a:noFill/>
              </a:ln>
              <a:effectLst/>
            </c:spPr>
          </c:dPt>
          <c:dPt>
            <c:idx val="3"/>
            <c:bubble3D val="false"/>
            <c:spPr>
              <a:solidFill>
                <a:schemeClr val="accent4"/>
              </a:solidFill>
              <a:ln>
                <a:noFill/>
              </a:ln>
              <a:effectLst/>
            </c:spPr>
          </c:dPt>
          <c:dPt>
            <c:idx val="4"/>
            <c:bubble3D val="false"/>
            <c:spPr>
              <a:solidFill>
                <a:schemeClr val="accent5"/>
              </a:solidFill>
              <a:ln>
                <a:noFill/>
              </a:ln>
              <a:effectLst/>
            </c:spPr>
          </c:dPt>
          <c:dLbls>
            <c:delete val="true"/>
          </c:dLbls>
          <c:cat>
            <c:strRef>
              <c:f>Sheet1!$B$1:$F$1</c:f>
              <c:strCache>
                <c:ptCount val="5"/>
                <c:pt idx="0">
                  <c:v>科学技术支出</c:v>
                </c:pt>
                <c:pt idx="1">
                  <c:v>社会保障和就业支出</c:v>
                </c:pt>
                <c:pt idx="2">
                  <c:v>卫生健康支出</c:v>
                </c:pt>
                <c:pt idx="3">
                  <c:v>农林水支</c:v>
                </c:pt>
                <c:pt idx="4">
                  <c:v>住房保障支出</c:v>
                </c:pt>
              </c:strCache>
            </c:strRef>
          </c:cat>
          <c:val>
            <c:numRef>
              <c:f>Sheet1!$B$2:$F$2</c:f>
              <c:numCache>
                <c:formatCode>0.00%</c:formatCode>
                <c:ptCount val="5"/>
                <c:pt idx="0">
                  <c:v>0.0164</c:v>
                </c:pt>
                <c:pt idx="1">
                  <c:v>0.0616</c:v>
                </c:pt>
                <c:pt idx="2">
                  <c:v>0.0169</c:v>
                </c:pt>
                <c:pt idx="3">
                  <c:v>0.8602</c:v>
                </c:pt>
                <c:pt idx="4">
                  <c:v>0.0447</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delete val="true"/>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formatCode="0%">
                  <c:v>0.89</c:v>
                </c:pt>
                <c:pt idx="2" c:formatCode="0%">
                  <c:v>0.11</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5365</Words>
  <Characters>5956</Characters>
  <Lines>0</Lines>
  <Paragraphs>0</Paragraphs>
  <TotalTime>0</TotalTime>
  <ScaleCrop>false</ScaleCrop>
  <LinksUpToDate>false</LinksUpToDate>
  <CharactersWithSpaces>6017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2025-09-12T17:22:00Z</dcterms:created>
  <dc:creator>Administrator</dc:creator>
  <cp:lastModifiedBy> </cp:lastModifiedBy>
  <dcterms:modified xsi:type="dcterms:W3CDTF">2025-10-13T19:01:00Z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B5B63EC99732494688700890A3AE3F5E_11</vt:lpwstr>
  </property>
  <property fmtid="{D5CDD505-2E9C-101B-9397-08002B2CF9AE}" pid="4" name="KSOTemplateDocerSaveRecord">
    <vt:lpwstr>eyJoZGlkIjoiYTc2ZGZiNzZiNDVlOGViOWVmM2JhOTY0NGJkNjUyYzgiLCJ1c2VySWQiOiIyMjA2OTAwNTAifQ==</vt:lpwstr>
  </property>
</Properties>
</file>