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hint="eastAsia" w:ascii="Times New Roman" w:hAnsi="Times New Roman" w:eastAsia="方正小标宋简体" w:cs="Times New Roman"/>
          <w:color w:val="auto"/>
          <w:kern w:val="2"/>
          <w:sz w:val="72"/>
          <w:szCs w:val="72"/>
          <w:highlight w:val="none"/>
          <w:lang w:val="en-US" w:eastAsia="zh-CN" w:bidi="ar-SA"/>
        </w:rPr>
      </w:pPr>
      <w:bookmarkStart w:id="0" w:name="_Toc15378441"/>
      <w:bookmarkStart w:id="1" w:name="_Toc15377193"/>
      <w:bookmarkStart w:id="2" w:name="_Toc15306267"/>
      <w:bookmarkStart w:id="3" w:name="_Toc15377425"/>
      <w:bookmarkStart w:id="4" w:name="_Toc15396597"/>
      <w:bookmarkStart w:id="5" w:name="_Toc15396475"/>
    </w:p>
    <w:p>
      <w:pPr>
        <w:pStyle w:val="2"/>
        <w:rPr>
          <w:rFonts w:hint="eastAsia" w:ascii="Times New Roman" w:hAnsi="Times New Roman" w:eastAsia="方正小标宋简体" w:cs="Times New Roman"/>
          <w:color w:val="auto"/>
          <w:kern w:val="2"/>
          <w:sz w:val="72"/>
          <w:szCs w:val="72"/>
          <w:highlight w:val="none"/>
          <w:lang w:val="en-US" w:eastAsia="zh-CN" w:bidi="ar-SA"/>
        </w:rPr>
      </w:pPr>
    </w:p>
    <w:p>
      <w:pPr>
        <w:pStyle w:val="2"/>
        <w:rPr>
          <w:rFonts w:hint="eastAsia" w:ascii="Times New Roman" w:hAnsi="Times New Roman" w:eastAsia="方正小标宋简体" w:cs="Times New Roman"/>
          <w:color w:val="auto"/>
          <w:kern w:val="2"/>
          <w:sz w:val="72"/>
          <w:szCs w:val="72"/>
          <w:highlight w:val="none"/>
          <w:lang w:val="en-US" w:eastAsia="zh-CN" w:bidi="ar-SA"/>
        </w:rPr>
      </w:pPr>
    </w:p>
    <w:p>
      <w:pPr>
        <w:pStyle w:val="2"/>
        <w:jc w:val="center"/>
        <w:rPr>
          <w:rFonts w:hint="eastAsia" w:ascii="Times New Roman" w:eastAsia="方正小标宋简体" w:cs="Times New Roman"/>
          <w:color w:val="auto"/>
          <w:kern w:val="2"/>
          <w:sz w:val="44"/>
          <w:szCs w:val="44"/>
          <w:highlight w:val="none"/>
          <w:lang w:val="en-US" w:eastAsia="zh-CN" w:bidi="ar-SA"/>
        </w:rPr>
      </w:pPr>
      <w:r>
        <w:rPr>
          <w:rFonts w:hint="eastAsia" w:ascii="Times New Roman" w:hAnsi="Times New Roman" w:eastAsia="方正小标宋简体" w:cs="Times New Roman"/>
          <w:color w:val="auto"/>
          <w:kern w:val="2"/>
          <w:sz w:val="44"/>
          <w:szCs w:val="44"/>
          <w:highlight w:val="none"/>
          <w:lang w:val="en-US" w:eastAsia="zh-CN" w:bidi="ar-SA"/>
        </w:rPr>
        <w:t>2024年度</w:t>
      </w:r>
      <w:r>
        <w:rPr>
          <w:rFonts w:hint="eastAsia" w:ascii="Times New Roman" w:eastAsia="方正小标宋简体" w:cs="Times New Roman"/>
          <w:color w:val="auto"/>
          <w:kern w:val="2"/>
          <w:sz w:val="44"/>
          <w:szCs w:val="44"/>
          <w:highlight w:val="none"/>
          <w:lang w:val="en-US" w:eastAsia="zh-CN" w:bidi="ar-SA"/>
        </w:rPr>
        <w:t>广元市政务服务和数据局</w:t>
      </w:r>
    </w:p>
    <w:p>
      <w:pPr>
        <w:pStyle w:val="2"/>
        <w:jc w:val="center"/>
        <w:rPr>
          <w:rFonts w:hint="default" w:ascii="Times New Roman" w:hAnsi="Times New Roman" w:eastAsia="方正小标宋简体" w:cs="Times New Roman"/>
          <w:color w:val="auto"/>
          <w:kern w:val="2"/>
          <w:sz w:val="44"/>
          <w:szCs w:val="44"/>
          <w:highlight w:val="none"/>
          <w:lang w:val="en-US" w:eastAsia="zh-CN" w:bidi="ar-SA"/>
        </w:rPr>
      </w:pPr>
      <w:r>
        <w:rPr>
          <w:rFonts w:hint="eastAsia" w:ascii="Times New Roman" w:eastAsia="方正小标宋简体" w:cs="Times New Roman"/>
          <w:color w:val="auto"/>
          <w:kern w:val="2"/>
          <w:sz w:val="44"/>
          <w:szCs w:val="44"/>
          <w:highlight w:val="none"/>
          <w:lang w:val="en-US" w:eastAsia="zh-CN" w:bidi="ar-SA"/>
        </w:rPr>
        <w:t>单位</w:t>
      </w:r>
      <w:r>
        <w:rPr>
          <w:rFonts w:hint="eastAsia" w:ascii="Times New Roman" w:hAnsi="Times New Roman" w:eastAsia="方正小标宋简体" w:cs="Times New Roman"/>
          <w:color w:val="auto"/>
          <w:kern w:val="2"/>
          <w:sz w:val="44"/>
          <w:szCs w:val="44"/>
          <w:highlight w:val="none"/>
          <w:lang w:val="en-US" w:eastAsia="zh-CN" w:bidi="ar-SA"/>
        </w:rPr>
        <w:t>决算</w:t>
      </w:r>
    </w:p>
    <w:p>
      <w:pPr>
        <w:spacing w:line="600" w:lineRule="exact"/>
        <w:jc w:val="center"/>
        <w:outlineLvl w:val="0"/>
        <w:rPr>
          <w:rFonts w:ascii="Times New Roman" w:hAnsi="Times New Roman" w:eastAsia="方正小标宋简体"/>
          <w:color w:val="auto"/>
          <w:sz w:val="72"/>
          <w:szCs w:val="72"/>
          <w:highlight w:val="none"/>
        </w:rPr>
      </w:pPr>
    </w:p>
    <w:p>
      <w:pPr>
        <w:pStyle w:val="26"/>
        <w:rPr>
          <w:rFonts w:ascii="Times New Roman" w:hAnsi="Times New Roman"/>
        </w:rPr>
        <w:sectPr>
          <w:headerReference r:id="rId3" w:type="default"/>
          <w:footerReference r:id="rId4" w:type="default"/>
          <w:pgSz w:w="11906" w:h="16838"/>
          <w:pgMar w:top="1440" w:right="1800" w:bottom="1440" w:left="1800" w:header="851" w:footer="992" w:gutter="0"/>
          <w:pgNumType w:fmt="numberInDash" w:start="1"/>
          <w:cols w:space="425" w:num="1"/>
          <w:titlePg/>
          <w:docGrid w:type="lines" w:linePitch="312" w:charSpace="0"/>
        </w:sectPr>
      </w:pPr>
    </w:p>
    <w:p>
      <w:pPr>
        <w:rPr>
          <w:rFonts w:ascii="Times New Roman" w:hAnsi="Times New Roman"/>
        </w:rPr>
      </w:pPr>
    </w:p>
    <w:bookmarkEnd w:id="0"/>
    <w:bookmarkEnd w:id="1"/>
    <w:bookmarkEnd w:id="2"/>
    <w:bookmarkEnd w:id="3"/>
    <w:bookmarkEnd w:id="4"/>
    <w:bookmarkEnd w:id="5"/>
    <w:p>
      <w:pPr>
        <w:widowControl/>
        <w:jc w:val="center"/>
        <w:rPr>
          <w:rFonts w:ascii="Times New Roman" w:hAnsi="Times New Roman" w:eastAsia="黑体" w:cstheme="minorBidi"/>
          <w:color w:val="auto"/>
          <w:sz w:val="28"/>
          <w:szCs w:val="28"/>
          <w:highlight w:val="none"/>
        </w:rPr>
      </w:pPr>
      <w:r>
        <w:rPr>
          <w:rFonts w:hint="eastAsia" w:ascii="Times New Roman" w:hAnsi="Times New Roman" w:eastAsia="黑体"/>
          <w:color w:val="auto"/>
          <w:sz w:val="48"/>
          <w:szCs w:val="48"/>
          <w:highlight w:val="none"/>
        </w:rPr>
        <w:t>目录</w:t>
      </w:r>
    </w:p>
    <w:p>
      <w:pPr>
        <w:pStyle w:val="13"/>
        <w:suppressAutoHyphens/>
        <w:bidi w:val="0"/>
        <w:rPr>
          <w:rFonts w:hint="eastAsia" w:ascii="仿宋" w:hAnsi="仿宋" w:eastAsia="仿宋" w:cs="Times New Roman"/>
          <w:color w:val="auto"/>
          <w:highlight w:val="none"/>
        </w:rPr>
      </w:pPr>
      <w:r>
        <w:rPr>
          <w:rFonts w:hint="eastAsia" w:ascii="仿宋" w:hAnsi="仿宋" w:eastAsia="仿宋" w:cs="Times New Roman"/>
          <w:color w:val="auto"/>
          <w:highlight w:val="none"/>
        </w:rPr>
        <w:t>公开时间：20</w:t>
      </w:r>
      <w:r>
        <w:rPr>
          <w:rFonts w:hint="eastAsia" w:ascii="仿宋" w:hAnsi="仿宋" w:eastAsia="仿宋" w:cs="Times New Roman"/>
          <w:color w:val="auto"/>
          <w:highlight w:val="none"/>
          <w:lang w:val="en-US" w:eastAsia="zh-CN"/>
        </w:rPr>
        <w:t>2</w:t>
      </w:r>
      <w:r>
        <w:rPr>
          <w:rFonts w:hint="eastAsia" w:cs="Times New Roman"/>
          <w:color w:val="auto"/>
          <w:highlight w:val="none"/>
          <w:lang w:val="en-US" w:eastAsia="zh-CN"/>
        </w:rPr>
        <w:t>5</w:t>
      </w:r>
      <w:bookmarkStart w:id="108" w:name="_GoBack"/>
      <w:bookmarkEnd w:id="108"/>
      <w:r>
        <w:rPr>
          <w:rFonts w:hint="eastAsia" w:ascii="仿宋" w:hAnsi="仿宋" w:eastAsia="仿宋" w:cs="Times New Roman"/>
          <w:color w:val="auto"/>
          <w:highlight w:val="none"/>
        </w:rPr>
        <w:t>年</w:t>
      </w:r>
      <w:r>
        <w:rPr>
          <w:rFonts w:hint="eastAsia" w:ascii="仿宋" w:hAnsi="仿宋" w:eastAsia="仿宋" w:cs="Times New Roman"/>
          <w:color w:val="auto"/>
          <w:highlight w:val="none"/>
          <w:lang w:val="en-US" w:eastAsia="zh-CN"/>
        </w:rPr>
        <w:t xml:space="preserve"> 10 </w:t>
      </w:r>
      <w:r>
        <w:rPr>
          <w:rFonts w:hint="eastAsia" w:ascii="仿宋" w:hAnsi="仿宋" w:eastAsia="仿宋" w:cs="Times New Roman"/>
          <w:color w:val="auto"/>
          <w:highlight w:val="none"/>
        </w:rPr>
        <w:t>月</w:t>
      </w:r>
      <w:r>
        <w:rPr>
          <w:rFonts w:hint="eastAsia" w:ascii="仿宋" w:hAnsi="仿宋" w:eastAsia="仿宋" w:cs="Times New Roman"/>
          <w:color w:val="auto"/>
          <w:highlight w:val="none"/>
          <w:lang w:val="en-US" w:eastAsia="zh-CN"/>
        </w:rPr>
        <w:t xml:space="preserve"> 14 </w:t>
      </w:r>
      <w:r>
        <w:rPr>
          <w:rFonts w:hint="eastAsia" w:ascii="仿宋" w:hAnsi="仿宋" w:eastAsia="仿宋" w:cs="Times New Roman"/>
          <w:color w:val="auto"/>
          <w:highlight w:val="none"/>
        </w:rPr>
        <w:t>日</w:t>
      </w:r>
    </w:p>
    <w:sdt>
      <w:sdtPr>
        <w:rPr>
          <w:rFonts w:ascii="宋体" w:hAnsi="宋体" w:eastAsia="宋体" w:cs="Times New Roman"/>
          <w:kern w:val="2"/>
          <w:sz w:val="21"/>
          <w:szCs w:val="24"/>
          <w:lang w:val="en-US" w:eastAsia="zh-CN" w:bidi="ar-SA"/>
        </w:rPr>
        <w:id w:val="147451559"/>
        <w15:color w:val="DBDBDB"/>
        <w:docPartObj>
          <w:docPartGallery w:val="Table of Contents"/>
          <w:docPartUnique/>
        </w:docPartObj>
      </w:sdtPr>
      <w:sdtEndPr>
        <w:rPr>
          <w:rFonts w:hint="eastAsia" w:asciiTheme="majorEastAsia" w:hAnsiTheme="majorEastAsia" w:eastAsiaTheme="majorEastAsia" w:cstheme="majorEastAsia"/>
          <w:kern w:val="2"/>
          <w:sz w:val="20"/>
          <w:szCs w:val="24"/>
          <w:lang w:val="en-US" w:eastAsia="zh-CN" w:bidi="ar-SA"/>
        </w:rPr>
      </w:sdtEndPr>
      <w:sdtContent>
        <w:p>
          <w:pPr>
            <w:spacing w:before="0" w:beforeLines="0" w:after="0" w:afterLines="0" w:line="240" w:lineRule="auto"/>
            <w:ind w:left="0" w:leftChars="0" w:right="0" w:rightChars="0" w:firstLine="0" w:firstLineChars="0"/>
            <w:jc w:val="center"/>
          </w:pPr>
        </w:p>
        <w:p>
          <w:pPr>
            <w:pStyle w:val="13"/>
            <w:tabs>
              <w:tab w:val="right" w:leader="dot" w:pos="8306"/>
              <w:tab w:val="clear" w:pos="8296"/>
            </w:tabs>
          </w:pPr>
          <w:r>
            <w:rPr>
              <w:rFonts w:hint="eastAsia" w:asciiTheme="majorEastAsia" w:hAnsiTheme="majorEastAsia" w:eastAsiaTheme="majorEastAsia" w:cstheme="majorEastAsia"/>
              <w:sz w:val="24"/>
              <w:szCs w:val="24"/>
            </w:rPr>
            <w:fldChar w:fldCharType="begin"/>
          </w:r>
          <w:r>
            <w:rPr>
              <w:rFonts w:hint="eastAsia" w:asciiTheme="majorEastAsia" w:hAnsiTheme="majorEastAsia" w:eastAsiaTheme="majorEastAsia" w:cstheme="majorEastAsia"/>
              <w:sz w:val="24"/>
              <w:szCs w:val="24"/>
            </w:rPr>
            <w:instrText xml:space="preserve">TOC \o "1-3" \h \u </w:instrText>
          </w:r>
          <w:r>
            <w:rPr>
              <w:rFonts w:hint="eastAsia" w:asciiTheme="majorEastAsia" w:hAnsiTheme="majorEastAsia" w:eastAsiaTheme="majorEastAsia" w:cstheme="majorEastAsia"/>
              <w:sz w:val="24"/>
              <w:szCs w:val="24"/>
            </w:rPr>
            <w:fldChar w:fldCharType="separate"/>
          </w:r>
          <w:r>
            <w:rPr>
              <w:rFonts w:hint="eastAsia" w:asciiTheme="majorEastAsia" w:hAnsiTheme="majorEastAsia" w:eastAsiaTheme="majorEastAsia" w:cstheme="majorEastAsia"/>
              <w:szCs w:val="24"/>
            </w:rPr>
            <w:fldChar w:fldCharType="begin"/>
          </w:r>
          <w:r>
            <w:rPr>
              <w:rFonts w:hint="eastAsia" w:asciiTheme="majorEastAsia" w:hAnsiTheme="majorEastAsia" w:eastAsiaTheme="majorEastAsia" w:cstheme="majorEastAsia"/>
              <w:szCs w:val="24"/>
            </w:rPr>
            <w:instrText xml:space="preserve"> HYPERLINK \l _Toc16745 </w:instrText>
          </w:r>
          <w:r>
            <w:rPr>
              <w:rFonts w:hint="eastAsia" w:asciiTheme="majorEastAsia" w:hAnsiTheme="majorEastAsia" w:eastAsiaTheme="majorEastAsia" w:cstheme="majorEastAsia"/>
              <w:szCs w:val="24"/>
            </w:rPr>
            <w:fldChar w:fldCharType="separate"/>
          </w:r>
          <w:r>
            <w:rPr>
              <w:rFonts w:hint="eastAsia" w:ascii="Times New Roman" w:hAnsi="Times New Roman" w:eastAsia="方正小标宋简体" w:cs="方正小标宋简体"/>
              <w:highlight w:val="none"/>
            </w:rPr>
            <w:t>第一部分</w:t>
          </w:r>
          <w:r>
            <w:rPr>
              <w:rFonts w:hint="eastAsia" w:ascii="Times New Roman" w:hAnsi="Times New Roman" w:eastAsia="方正小标宋简体" w:cs="方正小标宋简体"/>
              <w:highlight w:val="none"/>
              <w:lang w:val="en-US" w:eastAsia="zh-CN"/>
            </w:rPr>
            <w:t xml:space="preserve"> </w:t>
          </w:r>
          <w:r>
            <w:rPr>
              <w:rFonts w:hint="eastAsia" w:ascii="Times New Roman" w:hAnsi="Times New Roman" w:eastAsia="方正小标宋简体" w:cs="方正小标宋简体"/>
              <w:highlight w:val="none"/>
            </w:rPr>
            <w:t xml:space="preserve"> </w:t>
          </w:r>
          <w:r>
            <w:rPr>
              <w:rFonts w:hint="eastAsia" w:eastAsia="方正小标宋简体" w:cs="方正小标宋简体"/>
              <w:highlight w:val="none"/>
              <w:lang w:eastAsia="zh-CN"/>
            </w:rPr>
            <w:t>单位</w:t>
          </w:r>
          <w:r>
            <w:rPr>
              <w:rFonts w:hint="eastAsia" w:ascii="Times New Roman" w:hAnsi="Times New Roman" w:eastAsia="方正小标宋简体" w:cs="方正小标宋简体"/>
              <w:bCs w:val="0"/>
              <w:highlight w:val="none"/>
            </w:rPr>
            <w:t>概况</w:t>
          </w:r>
          <w:r>
            <w:tab/>
          </w:r>
          <w:r>
            <w:fldChar w:fldCharType="begin"/>
          </w:r>
          <w:r>
            <w:instrText xml:space="preserve"> PAGEREF _Toc16745 \h </w:instrText>
          </w:r>
          <w:r>
            <w:fldChar w:fldCharType="separate"/>
          </w:r>
          <w:r>
            <w:t>- 1 -</w:t>
          </w:r>
          <w:r>
            <w:fldChar w:fldCharType="end"/>
          </w:r>
          <w:r>
            <w:rPr>
              <w:rFonts w:hint="eastAsia" w:asciiTheme="majorEastAsia" w:hAnsiTheme="majorEastAsia" w:eastAsiaTheme="majorEastAsia" w:cstheme="majorEastAsia"/>
              <w:szCs w:val="24"/>
            </w:rPr>
            <w:fldChar w:fldCharType="end"/>
          </w:r>
        </w:p>
        <w:p>
          <w:pPr>
            <w:pStyle w:val="15"/>
            <w:tabs>
              <w:tab w:val="right" w:leader="dot" w:pos="8306"/>
              <w:tab w:val="clear" w:pos="8296"/>
            </w:tabs>
          </w:pPr>
          <w:r>
            <w:rPr>
              <w:rFonts w:hint="eastAsia" w:asciiTheme="majorEastAsia" w:hAnsiTheme="majorEastAsia" w:eastAsiaTheme="majorEastAsia" w:cstheme="majorEastAsia"/>
              <w:szCs w:val="24"/>
            </w:rPr>
            <w:fldChar w:fldCharType="begin"/>
          </w:r>
          <w:r>
            <w:rPr>
              <w:rFonts w:hint="eastAsia" w:asciiTheme="majorEastAsia" w:hAnsiTheme="majorEastAsia" w:eastAsiaTheme="majorEastAsia" w:cstheme="majorEastAsia"/>
              <w:szCs w:val="24"/>
            </w:rPr>
            <w:instrText xml:space="preserve"> HYPERLINK \l _Toc22155 </w:instrText>
          </w:r>
          <w:r>
            <w:rPr>
              <w:rFonts w:hint="eastAsia" w:asciiTheme="majorEastAsia" w:hAnsiTheme="majorEastAsia" w:eastAsiaTheme="majorEastAsia" w:cstheme="majorEastAsia"/>
              <w:szCs w:val="24"/>
            </w:rPr>
            <w:fldChar w:fldCharType="separate"/>
          </w:r>
          <w:r>
            <w:rPr>
              <w:rFonts w:hint="eastAsia" w:ascii="Times New Roman" w:hAnsi="Times New Roman" w:eastAsia="黑体"/>
              <w:lang w:eastAsia="zh-CN"/>
            </w:rPr>
            <w:t xml:space="preserve">一、 </w:t>
          </w:r>
          <w:r>
            <w:rPr>
              <w:rFonts w:hint="eastAsia" w:ascii="Times New Roman" w:hAnsi="Times New Roman" w:eastAsia="黑体"/>
              <w:highlight w:val="none"/>
              <w:lang w:eastAsia="zh-CN"/>
            </w:rPr>
            <w:t>主要职责</w:t>
          </w:r>
          <w:r>
            <w:tab/>
          </w:r>
          <w:r>
            <w:fldChar w:fldCharType="begin"/>
          </w:r>
          <w:r>
            <w:instrText xml:space="preserve"> PAGEREF _Toc22155 \h </w:instrText>
          </w:r>
          <w:r>
            <w:fldChar w:fldCharType="separate"/>
          </w:r>
          <w:r>
            <w:t>- 1 -</w:t>
          </w:r>
          <w:r>
            <w:fldChar w:fldCharType="end"/>
          </w:r>
          <w:r>
            <w:rPr>
              <w:rFonts w:hint="eastAsia" w:asciiTheme="majorEastAsia" w:hAnsiTheme="majorEastAsia" w:eastAsiaTheme="majorEastAsia" w:cstheme="majorEastAsia"/>
              <w:szCs w:val="24"/>
            </w:rPr>
            <w:fldChar w:fldCharType="end"/>
          </w:r>
        </w:p>
        <w:p>
          <w:pPr>
            <w:pStyle w:val="15"/>
            <w:tabs>
              <w:tab w:val="right" w:leader="dot" w:pos="8306"/>
              <w:tab w:val="clear" w:pos="8296"/>
            </w:tabs>
          </w:pPr>
          <w:r>
            <w:rPr>
              <w:rFonts w:hint="eastAsia" w:asciiTheme="majorEastAsia" w:hAnsiTheme="majorEastAsia" w:eastAsiaTheme="majorEastAsia" w:cstheme="majorEastAsia"/>
              <w:szCs w:val="24"/>
            </w:rPr>
            <w:fldChar w:fldCharType="begin"/>
          </w:r>
          <w:r>
            <w:rPr>
              <w:rFonts w:hint="eastAsia" w:asciiTheme="majorEastAsia" w:hAnsiTheme="majorEastAsia" w:eastAsiaTheme="majorEastAsia" w:cstheme="majorEastAsia"/>
              <w:szCs w:val="24"/>
            </w:rPr>
            <w:instrText xml:space="preserve"> HYPERLINK \l _Toc29297 </w:instrText>
          </w:r>
          <w:r>
            <w:rPr>
              <w:rFonts w:hint="eastAsia" w:asciiTheme="majorEastAsia" w:hAnsiTheme="majorEastAsia" w:eastAsiaTheme="majorEastAsia" w:cstheme="majorEastAsia"/>
              <w:szCs w:val="24"/>
            </w:rPr>
            <w:fldChar w:fldCharType="separate"/>
          </w:r>
          <w:r>
            <w:rPr>
              <w:rFonts w:hint="eastAsia" w:ascii="Times New Roman" w:hAnsi="Times New Roman" w:eastAsia="黑体"/>
              <w:highlight w:val="none"/>
            </w:rPr>
            <w:t>二、机</w:t>
          </w:r>
          <w:r>
            <w:rPr>
              <w:rFonts w:hint="eastAsia" w:ascii="Times New Roman" w:hAnsi="Times New Roman" w:eastAsia="黑体"/>
              <w:bCs w:val="0"/>
              <w:highlight w:val="none"/>
            </w:rPr>
            <w:t>构设置</w:t>
          </w:r>
          <w:r>
            <w:tab/>
          </w:r>
          <w:r>
            <w:fldChar w:fldCharType="begin"/>
          </w:r>
          <w:r>
            <w:instrText xml:space="preserve"> PAGEREF _Toc29297 \h </w:instrText>
          </w:r>
          <w:r>
            <w:fldChar w:fldCharType="separate"/>
          </w:r>
          <w:r>
            <w:t>- 3 -</w:t>
          </w:r>
          <w:r>
            <w:fldChar w:fldCharType="end"/>
          </w:r>
          <w:r>
            <w:rPr>
              <w:rFonts w:hint="eastAsia" w:asciiTheme="majorEastAsia" w:hAnsiTheme="majorEastAsia" w:eastAsiaTheme="majorEastAsia" w:cstheme="majorEastAsia"/>
              <w:szCs w:val="24"/>
            </w:rPr>
            <w:fldChar w:fldCharType="end"/>
          </w:r>
        </w:p>
        <w:p>
          <w:pPr>
            <w:pStyle w:val="13"/>
            <w:tabs>
              <w:tab w:val="right" w:leader="dot" w:pos="8306"/>
              <w:tab w:val="clear" w:pos="8296"/>
            </w:tabs>
          </w:pPr>
          <w:r>
            <w:rPr>
              <w:rFonts w:hint="eastAsia" w:asciiTheme="majorEastAsia" w:hAnsiTheme="majorEastAsia" w:eastAsiaTheme="majorEastAsia" w:cstheme="majorEastAsia"/>
              <w:szCs w:val="24"/>
            </w:rPr>
            <w:fldChar w:fldCharType="begin"/>
          </w:r>
          <w:r>
            <w:rPr>
              <w:rFonts w:hint="eastAsia" w:asciiTheme="majorEastAsia" w:hAnsiTheme="majorEastAsia" w:eastAsiaTheme="majorEastAsia" w:cstheme="majorEastAsia"/>
              <w:szCs w:val="24"/>
            </w:rPr>
            <w:instrText xml:space="preserve"> HYPERLINK \l _Toc22924 </w:instrText>
          </w:r>
          <w:r>
            <w:rPr>
              <w:rFonts w:hint="eastAsia" w:asciiTheme="majorEastAsia" w:hAnsiTheme="majorEastAsia" w:eastAsiaTheme="majorEastAsia" w:cstheme="majorEastAsia"/>
              <w:szCs w:val="24"/>
            </w:rPr>
            <w:fldChar w:fldCharType="separate"/>
          </w:r>
          <w:r>
            <w:rPr>
              <w:rFonts w:hint="eastAsia" w:ascii="Times New Roman" w:hAnsi="Times New Roman" w:eastAsia="方正小标宋简体" w:cs="方正小标宋简体"/>
              <w:highlight w:val="none"/>
            </w:rPr>
            <w:t>第二部分</w:t>
          </w:r>
          <w:r>
            <w:rPr>
              <w:rFonts w:hint="eastAsia" w:ascii="Times New Roman" w:hAnsi="Times New Roman" w:eastAsia="方正小标宋简体" w:cs="方正小标宋简体"/>
              <w:highlight w:val="none"/>
              <w:lang w:val="en-US" w:eastAsia="zh-CN"/>
            </w:rPr>
            <w:t xml:space="preserve"> </w:t>
          </w:r>
          <w:r>
            <w:rPr>
              <w:rFonts w:hint="eastAsia" w:ascii="Times New Roman" w:hAnsi="Times New Roman" w:eastAsia="方正小标宋简体" w:cs="方正小标宋简体"/>
              <w:highlight w:val="none"/>
            </w:rPr>
            <w:t xml:space="preserve"> </w:t>
          </w:r>
          <w:r>
            <w:rPr>
              <w:rFonts w:hint="eastAsia" w:ascii="Times New Roman" w:hAnsi="Times New Roman" w:eastAsia="方正小标宋简体" w:cs="方正小标宋简体"/>
              <w:highlight w:val="none"/>
              <w:lang w:val="en-US" w:eastAsia="zh-CN"/>
            </w:rPr>
            <w:t>2024年度</w:t>
          </w:r>
          <w:r>
            <w:rPr>
              <w:rFonts w:hint="eastAsia" w:eastAsia="方正小标宋简体" w:cs="方正小标宋简体"/>
              <w:highlight w:val="none"/>
              <w:lang w:eastAsia="zh-CN"/>
            </w:rPr>
            <w:t>单位</w:t>
          </w:r>
          <w:r>
            <w:rPr>
              <w:rFonts w:hint="eastAsia" w:ascii="Times New Roman" w:hAnsi="Times New Roman" w:eastAsia="方正小标宋简体" w:cs="方正小标宋简体"/>
              <w:highlight w:val="none"/>
            </w:rPr>
            <w:t>决算情况说明</w:t>
          </w:r>
          <w:r>
            <w:tab/>
          </w:r>
          <w:r>
            <w:fldChar w:fldCharType="begin"/>
          </w:r>
          <w:r>
            <w:instrText xml:space="preserve"> PAGEREF _Toc22924 \h </w:instrText>
          </w:r>
          <w:r>
            <w:fldChar w:fldCharType="separate"/>
          </w:r>
          <w:r>
            <w:t>- 4 -</w:t>
          </w:r>
          <w:r>
            <w:fldChar w:fldCharType="end"/>
          </w:r>
          <w:r>
            <w:rPr>
              <w:rFonts w:hint="eastAsia" w:asciiTheme="majorEastAsia" w:hAnsiTheme="majorEastAsia" w:eastAsiaTheme="majorEastAsia" w:cstheme="majorEastAsia"/>
              <w:szCs w:val="24"/>
            </w:rPr>
            <w:fldChar w:fldCharType="end"/>
          </w:r>
        </w:p>
        <w:p>
          <w:pPr>
            <w:pStyle w:val="15"/>
            <w:tabs>
              <w:tab w:val="right" w:leader="dot" w:pos="8306"/>
              <w:tab w:val="clear" w:pos="8296"/>
            </w:tabs>
          </w:pPr>
          <w:r>
            <w:rPr>
              <w:rFonts w:hint="eastAsia" w:asciiTheme="majorEastAsia" w:hAnsiTheme="majorEastAsia" w:eastAsiaTheme="majorEastAsia" w:cstheme="majorEastAsia"/>
              <w:szCs w:val="24"/>
            </w:rPr>
            <w:fldChar w:fldCharType="begin"/>
          </w:r>
          <w:r>
            <w:rPr>
              <w:rFonts w:hint="eastAsia" w:asciiTheme="majorEastAsia" w:hAnsiTheme="majorEastAsia" w:eastAsiaTheme="majorEastAsia" w:cstheme="majorEastAsia"/>
              <w:szCs w:val="24"/>
            </w:rPr>
            <w:instrText xml:space="preserve"> HYPERLINK \l _Toc19908 </w:instrText>
          </w:r>
          <w:r>
            <w:rPr>
              <w:rFonts w:hint="eastAsia" w:asciiTheme="majorEastAsia" w:hAnsiTheme="majorEastAsia" w:eastAsiaTheme="majorEastAsia" w:cstheme="majorEastAsia"/>
              <w:szCs w:val="24"/>
            </w:rPr>
            <w:fldChar w:fldCharType="separate"/>
          </w:r>
          <w:r>
            <w:rPr>
              <w:rFonts w:hint="eastAsia" w:ascii="Times New Roman" w:hAnsi="Times New Roman" w:eastAsia="黑体"/>
              <w:szCs w:val="32"/>
              <w:highlight w:val="none"/>
              <w:lang w:eastAsia="zh-CN"/>
            </w:rPr>
            <w:t>一、</w:t>
          </w:r>
          <w:r>
            <w:rPr>
              <w:rFonts w:hint="eastAsia" w:ascii="Times New Roman" w:hAnsi="Times New Roman" w:eastAsia="黑体"/>
              <w:szCs w:val="32"/>
              <w:highlight w:val="none"/>
            </w:rPr>
            <w:t>收</w:t>
          </w:r>
          <w:r>
            <w:rPr>
              <w:rFonts w:hint="eastAsia" w:ascii="Times New Roman" w:hAnsi="Times New Roman" w:eastAsia="黑体"/>
              <w:highlight w:val="none"/>
            </w:rPr>
            <w:t>入支出决算总体情况说明</w:t>
          </w:r>
          <w:r>
            <w:tab/>
          </w:r>
          <w:r>
            <w:fldChar w:fldCharType="begin"/>
          </w:r>
          <w:r>
            <w:instrText xml:space="preserve"> PAGEREF _Toc19908 \h </w:instrText>
          </w:r>
          <w:r>
            <w:fldChar w:fldCharType="separate"/>
          </w:r>
          <w:r>
            <w:t>- 4 -</w:t>
          </w:r>
          <w:r>
            <w:fldChar w:fldCharType="end"/>
          </w:r>
          <w:r>
            <w:rPr>
              <w:rFonts w:hint="eastAsia" w:asciiTheme="majorEastAsia" w:hAnsiTheme="majorEastAsia" w:eastAsiaTheme="majorEastAsia" w:cstheme="majorEastAsia"/>
              <w:szCs w:val="24"/>
            </w:rPr>
            <w:fldChar w:fldCharType="end"/>
          </w:r>
        </w:p>
        <w:p>
          <w:pPr>
            <w:pStyle w:val="15"/>
            <w:tabs>
              <w:tab w:val="right" w:leader="dot" w:pos="8306"/>
              <w:tab w:val="clear" w:pos="8296"/>
            </w:tabs>
          </w:pPr>
          <w:r>
            <w:rPr>
              <w:rFonts w:hint="eastAsia" w:asciiTheme="majorEastAsia" w:hAnsiTheme="majorEastAsia" w:eastAsiaTheme="majorEastAsia" w:cstheme="majorEastAsia"/>
              <w:szCs w:val="24"/>
            </w:rPr>
            <w:fldChar w:fldCharType="begin"/>
          </w:r>
          <w:r>
            <w:rPr>
              <w:rFonts w:hint="eastAsia" w:asciiTheme="majorEastAsia" w:hAnsiTheme="majorEastAsia" w:eastAsiaTheme="majorEastAsia" w:cstheme="majorEastAsia"/>
              <w:szCs w:val="24"/>
            </w:rPr>
            <w:instrText xml:space="preserve"> HYPERLINK \l _Toc9338 </w:instrText>
          </w:r>
          <w:r>
            <w:rPr>
              <w:rFonts w:hint="eastAsia" w:asciiTheme="majorEastAsia" w:hAnsiTheme="majorEastAsia" w:eastAsiaTheme="majorEastAsia" w:cstheme="majorEastAsia"/>
              <w:szCs w:val="24"/>
            </w:rPr>
            <w:fldChar w:fldCharType="separate"/>
          </w:r>
          <w:r>
            <w:rPr>
              <w:rFonts w:hint="eastAsia" w:ascii="Times New Roman" w:hAnsi="Times New Roman" w:eastAsia="黑体"/>
              <w:szCs w:val="32"/>
              <w:highlight w:val="none"/>
              <w:lang w:eastAsia="zh-CN"/>
            </w:rPr>
            <w:t>二、收入决算情况说明</w:t>
          </w:r>
          <w:r>
            <w:tab/>
          </w:r>
          <w:r>
            <w:fldChar w:fldCharType="begin"/>
          </w:r>
          <w:r>
            <w:instrText xml:space="preserve"> PAGEREF _Toc9338 \h </w:instrText>
          </w:r>
          <w:r>
            <w:fldChar w:fldCharType="separate"/>
          </w:r>
          <w:r>
            <w:t>- 4 -</w:t>
          </w:r>
          <w:r>
            <w:fldChar w:fldCharType="end"/>
          </w:r>
          <w:r>
            <w:rPr>
              <w:rFonts w:hint="eastAsia" w:asciiTheme="majorEastAsia" w:hAnsiTheme="majorEastAsia" w:eastAsiaTheme="majorEastAsia" w:cstheme="majorEastAsia"/>
              <w:szCs w:val="24"/>
            </w:rPr>
            <w:fldChar w:fldCharType="end"/>
          </w:r>
        </w:p>
        <w:p>
          <w:pPr>
            <w:pStyle w:val="15"/>
            <w:tabs>
              <w:tab w:val="right" w:leader="dot" w:pos="8306"/>
              <w:tab w:val="clear" w:pos="8296"/>
            </w:tabs>
          </w:pPr>
          <w:r>
            <w:rPr>
              <w:rFonts w:hint="eastAsia" w:asciiTheme="majorEastAsia" w:hAnsiTheme="majorEastAsia" w:eastAsiaTheme="majorEastAsia" w:cstheme="majorEastAsia"/>
              <w:szCs w:val="24"/>
            </w:rPr>
            <w:fldChar w:fldCharType="begin"/>
          </w:r>
          <w:r>
            <w:rPr>
              <w:rFonts w:hint="eastAsia" w:asciiTheme="majorEastAsia" w:hAnsiTheme="majorEastAsia" w:eastAsiaTheme="majorEastAsia" w:cstheme="majorEastAsia"/>
              <w:szCs w:val="24"/>
            </w:rPr>
            <w:instrText xml:space="preserve"> HYPERLINK \l _Toc15044 </w:instrText>
          </w:r>
          <w:r>
            <w:rPr>
              <w:rFonts w:hint="eastAsia" w:asciiTheme="majorEastAsia" w:hAnsiTheme="majorEastAsia" w:eastAsiaTheme="majorEastAsia" w:cstheme="majorEastAsia"/>
              <w:szCs w:val="24"/>
            </w:rPr>
            <w:fldChar w:fldCharType="separate"/>
          </w:r>
          <w:r>
            <w:rPr>
              <w:rFonts w:hint="eastAsia" w:ascii="Times New Roman" w:hAnsi="Times New Roman" w:eastAsia="黑体"/>
              <w:szCs w:val="32"/>
              <w:highlight w:val="none"/>
              <w:lang w:eastAsia="zh-CN"/>
            </w:rPr>
            <w:t>三、</w:t>
          </w:r>
          <w:r>
            <w:rPr>
              <w:rFonts w:hint="eastAsia" w:ascii="Times New Roman" w:hAnsi="Times New Roman" w:eastAsia="黑体"/>
              <w:szCs w:val="32"/>
              <w:highlight w:val="none"/>
            </w:rPr>
            <w:t>支</w:t>
          </w:r>
          <w:r>
            <w:rPr>
              <w:rFonts w:hint="eastAsia" w:ascii="Times New Roman" w:hAnsi="Times New Roman" w:eastAsia="黑体"/>
              <w:highlight w:val="none"/>
            </w:rPr>
            <w:t>出决算情况说明</w:t>
          </w:r>
          <w:r>
            <w:tab/>
          </w:r>
          <w:r>
            <w:fldChar w:fldCharType="begin"/>
          </w:r>
          <w:r>
            <w:instrText xml:space="preserve"> PAGEREF _Toc15044 \h </w:instrText>
          </w:r>
          <w:r>
            <w:fldChar w:fldCharType="separate"/>
          </w:r>
          <w:r>
            <w:t>- 5 -</w:t>
          </w:r>
          <w:r>
            <w:fldChar w:fldCharType="end"/>
          </w:r>
          <w:r>
            <w:rPr>
              <w:rFonts w:hint="eastAsia" w:asciiTheme="majorEastAsia" w:hAnsiTheme="majorEastAsia" w:eastAsiaTheme="majorEastAsia" w:cstheme="majorEastAsia"/>
              <w:szCs w:val="24"/>
            </w:rPr>
            <w:fldChar w:fldCharType="end"/>
          </w:r>
        </w:p>
        <w:p>
          <w:pPr>
            <w:pStyle w:val="15"/>
            <w:tabs>
              <w:tab w:val="right" w:leader="dot" w:pos="8306"/>
              <w:tab w:val="clear" w:pos="8296"/>
            </w:tabs>
          </w:pPr>
          <w:r>
            <w:rPr>
              <w:rFonts w:hint="eastAsia" w:asciiTheme="majorEastAsia" w:hAnsiTheme="majorEastAsia" w:eastAsiaTheme="majorEastAsia" w:cstheme="majorEastAsia"/>
              <w:szCs w:val="24"/>
            </w:rPr>
            <w:fldChar w:fldCharType="begin"/>
          </w:r>
          <w:r>
            <w:rPr>
              <w:rFonts w:hint="eastAsia" w:asciiTheme="majorEastAsia" w:hAnsiTheme="majorEastAsia" w:eastAsiaTheme="majorEastAsia" w:cstheme="majorEastAsia"/>
              <w:szCs w:val="24"/>
            </w:rPr>
            <w:instrText xml:space="preserve"> HYPERLINK \l _Toc21157 </w:instrText>
          </w:r>
          <w:r>
            <w:rPr>
              <w:rFonts w:hint="eastAsia" w:asciiTheme="majorEastAsia" w:hAnsiTheme="majorEastAsia" w:eastAsiaTheme="majorEastAsia" w:cstheme="majorEastAsia"/>
              <w:szCs w:val="24"/>
            </w:rPr>
            <w:fldChar w:fldCharType="separate"/>
          </w:r>
          <w:r>
            <w:rPr>
              <w:rFonts w:hint="eastAsia" w:ascii="Times New Roman" w:hAnsi="Times New Roman" w:eastAsia="黑体"/>
              <w:szCs w:val="32"/>
              <w:highlight w:val="none"/>
            </w:rPr>
            <w:t>四、财</w:t>
          </w:r>
          <w:r>
            <w:rPr>
              <w:rFonts w:hint="eastAsia" w:ascii="Times New Roman" w:hAnsi="Times New Roman" w:eastAsia="黑体"/>
              <w:highlight w:val="none"/>
            </w:rPr>
            <w:t>政拨款收入支出决算总体情况说明</w:t>
          </w:r>
          <w:r>
            <w:tab/>
          </w:r>
          <w:r>
            <w:fldChar w:fldCharType="begin"/>
          </w:r>
          <w:r>
            <w:instrText xml:space="preserve"> PAGEREF _Toc21157 \h </w:instrText>
          </w:r>
          <w:r>
            <w:fldChar w:fldCharType="separate"/>
          </w:r>
          <w:r>
            <w:t>- 6 -</w:t>
          </w:r>
          <w:r>
            <w:fldChar w:fldCharType="end"/>
          </w:r>
          <w:r>
            <w:rPr>
              <w:rFonts w:hint="eastAsia" w:asciiTheme="majorEastAsia" w:hAnsiTheme="majorEastAsia" w:eastAsiaTheme="majorEastAsia" w:cstheme="majorEastAsia"/>
              <w:szCs w:val="24"/>
            </w:rPr>
            <w:fldChar w:fldCharType="end"/>
          </w:r>
        </w:p>
        <w:p>
          <w:pPr>
            <w:pStyle w:val="15"/>
            <w:tabs>
              <w:tab w:val="right" w:leader="dot" w:pos="8306"/>
              <w:tab w:val="clear" w:pos="8296"/>
            </w:tabs>
          </w:pPr>
          <w:r>
            <w:rPr>
              <w:rFonts w:hint="eastAsia" w:asciiTheme="majorEastAsia" w:hAnsiTheme="majorEastAsia" w:eastAsiaTheme="majorEastAsia" w:cstheme="majorEastAsia"/>
              <w:szCs w:val="24"/>
            </w:rPr>
            <w:fldChar w:fldCharType="begin"/>
          </w:r>
          <w:r>
            <w:rPr>
              <w:rFonts w:hint="eastAsia" w:asciiTheme="majorEastAsia" w:hAnsiTheme="majorEastAsia" w:eastAsiaTheme="majorEastAsia" w:cstheme="majorEastAsia"/>
              <w:szCs w:val="24"/>
            </w:rPr>
            <w:instrText xml:space="preserve"> HYPERLINK \l _Toc7634 </w:instrText>
          </w:r>
          <w:r>
            <w:rPr>
              <w:rFonts w:hint="eastAsia" w:asciiTheme="majorEastAsia" w:hAnsiTheme="majorEastAsia" w:eastAsiaTheme="majorEastAsia" w:cstheme="majorEastAsia"/>
              <w:szCs w:val="24"/>
            </w:rPr>
            <w:fldChar w:fldCharType="separate"/>
          </w:r>
          <w:r>
            <w:rPr>
              <w:rFonts w:hint="eastAsia" w:ascii="Times New Roman" w:hAnsi="Times New Roman" w:eastAsia="黑体"/>
              <w:szCs w:val="32"/>
              <w:highlight w:val="none"/>
            </w:rPr>
            <w:t>五、一</w:t>
          </w:r>
          <w:r>
            <w:rPr>
              <w:rFonts w:hint="eastAsia" w:ascii="Times New Roman" w:hAnsi="Times New Roman" w:eastAsia="黑体"/>
              <w:highlight w:val="none"/>
            </w:rPr>
            <w:t>般公共预算财政拨款支出决算情况说明</w:t>
          </w:r>
          <w:r>
            <w:tab/>
          </w:r>
          <w:r>
            <w:fldChar w:fldCharType="begin"/>
          </w:r>
          <w:r>
            <w:instrText xml:space="preserve"> PAGEREF _Toc7634 \h </w:instrText>
          </w:r>
          <w:r>
            <w:fldChar w:fldCharType="separate"/>
          </w:r>
          <w:r>
            <w:t>- 7 -</w:t>
          </w:r>
          <w:r>
            <w:fldChar w:fldCharType="end"/>
          </w:r>
          <w:r>
            <w:rPr>
              <w:rFonts w:hint="eastAsia" w:asciiTheme="majorEastAsia" w:hAnsiTheme="majorEastAsia" w:eastAsiaTheme="majorEastAsia" w:cstheme="majorEastAsia"/>
              <w:szCs w:val="24"/>
            </w:rPr>
            <w:fldChar w:fldCharType="end"/>
          </w:r>
        </w:p>
        <w:p>
          <w:pPr>
            <w:pStyle w:val="15"/>
            <w:tabs>
              <w:tab w:val="right" w:leader="dot" w:pos="8306"/>
              <w:tab w:val="clear" w:pos="8296"/>
            </w:tabs>
          </w:pPr>
          <w:r>
            <w:rPr>
              <w:rFonts w:hint="eastAsia" w:asciiTheme="majorEastAsia" w:hAnsiTheme="majorEastAsia" w:eastAsiaTheme="majorEastAsia" w:cstheme="majorEastAsia"/>
              <w:szCs w:val="24"/>
            </w:rPr>
            <w:fldChar w:fldCharType="begin"/>
          </w:r>
          <w:r>
            <w:rPr>
              <w:rFonts w:hint="eastAsia" w:asciiTheme="majorEastAsia" w:hAnsiTheme="majorEastAsia" w:eastAsiaTheme="majorEastAsia" w:cstheme="majorEastAsia"/>
              <w:szCs w:val="24"/>
            </w:rPr>
            <w:instrText xml:space="preserve"> HYPERLINK \l _Toc1899 </w:instrText>
          </w:r>
          <w:r>
            <w:rPr>
              <w:rFonts w:hint="eastAsia" w:asciiTheme="majorEastAsia" w:hAnsiTheme="majorEastAsia" w:eastAsiaTheme="majorEastAsia" w:cstheme="majorEastAsia"/>
              <w:szCs w:val="24"/>
            </w:rPr>
            <w:fldChar w:fldCharType="separate"/>
          </w:r>
          <w:r>
            <w:rPr>
              <w:rFonts w:hint="eastAsia" w:ascii="Times New Roman" w:hAnsi="Times New Roman" w:eastAsia="黑体"/>
              <w:szCs w:val="32"/>
              <w:highlight w:val="none"/>
            </w:rPr>
            <w:t>六、一</w:t>
          </w:r>
          <w:r>
            <w:rPr>
              <w:rFonts w:hint="eastAsia" w:ascii="Times New Roman" w:hAnsi="Times New Roman" w:eastAsia="黑体"/>
              <w:highlight w:val="none"/>
            </w:rPr>
            <w:t>般公共预算财政拨款基本支出决算情况说明</w:t>
          </w:r>
          <w:r>
            <w:tab/>
          </w:r>
          <w:r>
            <w:fldChar w:fldCharType="begin"/>
          </w:r>
          <w:r>
            <w:instrText xml:space="preserve"> PAGEREF _Toc1899 \h </w:instrText>
          </w:r>
          <w:r>
            <w:fldChar w:fldCharType="separate"/>
          </w:r>
          <w:r>
            <w:t>- 10 -</w:t>
          </w:r>
          <w:r>
            <w:fldChar w:fldCharType="end"/>
          </w:r>
          <w:r>
            <w:rPr>
              <w:rFonts w:hint="eastAsia" w:asciiTheme="majorEastAsia" w:hAnsiTheme="majorEastAsia" w:eastAsiaTheme="majorEastAsia" w:cstheme="majorEastAsia"/>
              <w:szCs w:val="24"/>
            </w:rPr>
            <w:fldChar w:fldCharType="end"/>
          </w:r>
        </w:p>
        <w:p>
          <w:pPr>
            <w:pStyle w:val="15"/>
            <w:tabs>
              <w:tab w:val="right" w:leader="dot" w:pos="8306"/>
              <w:tab w:val="clear" w:pos="8296"/>
            </w:tabs>
          </w:pPr>
          <w:r>
            <w:rPr>
              <w:rFonts w:hint="eastAsia" w:asciiTheme="majorEastAsia" w:hAnsiTheme="majorEastAsia" w:eastAsiaTheme="majorEastAsia" w:cstheme="majorEastAsia"/>
              <w:szCs w:val="24"/>
            </w:rPr>
            <w:fldChar w:fldCharType="begin"/>
          </w:r>
          <w:r>
            <w:rPr>
              <w:rFonts w:hint="eastAsia" w:asciiTheme="majorEastAsia" w:hAnsiTheme="majorEastAsia" w:eastAsiaTheme="majorEastAsia" w:cstheme="majorEastAsia"/>
              <w:szCs w:val="24"/>
            </w:rPr>
            <w:instrText xml:space="preserve"> HYPERLINK \l _Toc32061 </w:instrText>
          </w:r>
          <w:r>
            <w:rPr>
              <w:rFonts w:hint="eastAsia" w:asciiTheme="majorEastAsia" w:hAnsiTheme="majorEastAsia" w:eastAsiaTheme="majorEastAsia" w:cstheme="majorEastAsia"/>
              <w:szCs w:val="24"/>
            </w:rPr>
            <w:fldChar w:fldCharType="separate"/>
          </w:r>
          <w:r>
            <w:rPr>
              <w:rFonts w:hint="eastAsia" w:ascii="Times New Roman" w:hAnsi="Times New Roman" w:eastAsia="黑体"/>
              <w:szCs w:val="32"/>
              <w:highlight w:val="none"/>
            </w:rPr>
            <w:t>七、</w:t>
          </w:r>
          <w:r>
            <w:rPr>
              <w:rFonts w:hint="eastAsia" w:ascii="Times New Roman" w:hAnsi="Times New Roman" w:eastAsia="黑体"/>
              <w:highlight w:val="none"/>
            </w:rPr>
            <w:t>财政拨款“三公”经费支出决算情况说明</w:t>
          </w:r>
          <w:r>
            <w:tab/>
          </w:r>
          <w:r>
            <w:fldChar w:fldCharType="begin"/>
          </w:r>
          <w:r>
            <w:instrText xml:space="preserve"> PAGEREF _Toc32061 \h </w:instrText>
          </w:r>
          <w:r>
            <w:fldChar w:fldCharType="separate"/>
          </w:r>
          <w:r>
            <w:t>- 11 -</w:t>
          </w:r>
          <w:r>
            <w:fldChar w:fldCharType="end"/>
          </w:r>
          <w:r>
            <w:rPr>
              <w:rFonts w:hint="eastAsia" w:asciiTheme="majorEastAsia" w:hAnsiTheme="majorEastAsia" w:eastAsiaTheme="majorEastAsia" w:cstheme="majorEastAsia"/>
              <w:szCs w:val="24"/>
            </w:rPr>
            <w:fldChar w:fldCharType="end"/>
          </w:r>
        </w:p>
        <w:p>
          <w:pPr>
            <w:pStyle w:val="15"/>
            <w:tabs>
              <w:tab w:val="right" w:leader="dot" w:pos="8306"/>
              <w:tab w:val="clear" w:pos="8296"/>
            </w:tabs>
          </w:pPr>
          <w:r>
            <w:rPr>
              <w:rFonts w:hint="eastAsia" w:asciiTheme="majorEastAsia" w:hAnsiTheme="majorEastAsia" w:eastAsiaTheme="majorEastAsia" w:cstheme="majorEastAsia"/>
              <w:szCs w:val="24"/>
            </w:rPr>
            <w:fldChar w:fldCharType="begin"/>
          </w:r>
          <w:r>
            <w:rPr>
              <w:rFonts w:hint="eastAsia" w:asciiTheme="majorEastAsia" w:hAnsiTheme="majorEastAsia" w:eastAsiaTheme="majorEastAsia" w:cstheme="majorEastAsia"/>
              <w:szCs w:val="24"/>
            </w:rPr>
            <w:instrText xml:space="preserve"> HYPERLINK \l _Toc4687 </w:instrText>
          </w:r>
          <w:r>
            <w:rPr>
              <w:rFonts w:hint="eastAsia" w:asciiTheme="majorEastAsia" w:hAnsiTheme="majorEastAsia" w:eastAsiaTheme="majorEastAsia" w:cstheme="majorEastAsia"/>
              <w:szCs w:val="24"/>
            </w:rPr>
            <w:fldChar w:fldCharType="separate"/>
          </w:r>
          <w:r>
            <w:rPr>
              <w:rFonts w:hint="eastAsia" w:ascii="Times New Roman" w:hAnsi="Times New Roman" w:eastAsia="黑体"/>
              <w:szCs w:val="32"/>
              <w:highlight w:val="none"/>
            </w:rPr>
            <w:t>八、</w:t>
          </w:r>
          <w:r>
            <w:rPr>
              <w:rFonts w:hint="eastAsia" w:ascii="Times New Roman" w:hAnsi="Times New Roman" w:eastAsia="黑体"/>
              <w:highlight w:val="none"/>
            </w:rPr>
            <w:t>政府性基金预算支出决算情况说明</w:t>
          </w:r>
          <w:r>
            <w:tab/>
          </w:r>
          <w:r>
            <w:fldChar w:fldCharType="begin"/>
          </w:r>
          <w:r>
            <w:instrText xml:space="preserve"> PAGEREF _Toc4687 \h </w:instrText>
          </w:r>
          <w:r>
            <w:fldChar w:fldCharType="separate"/>
          </w:r>
          <w:r>
            <w:t>- 13 -</w:t>
          </w:r>
          <w:r>
            <w:fldChar w:fldCharType="end"/>
          </w:r>
          <w:r>
            <w:rPr>
              <w:rFonts w:hint="eastAsia" w:asciiTheme="majorEastAsia" w:hAnsiTheme="majorEastAsia" w:eastAsiaTheme="majorEastAsia" w:cstheme="majorEastAsia"/>
              <w:szCs w:val="24"/>
            </w:rPr>
            <w:fldChar w:fldCharType="end"/>
          </w:r>
        </w:p>
        <w:p>
          <w:pPr>
            <w:pStyle w:val="15"/>
            <w:tabs>
              <w:tab w:val="right" w:leader="dot" w:pos="8306"/>
              <w:tab w:val="clear" w:pos="8296"/>
            </w:tabs>
          </w:pPr>
          <w:r>
            <w:rPr>
              <w:rFonts w:hint="eastAsia" w:asciiTheme="majorEastAsia" w:hAnsiTheme="majorEastAsia" w:eastAsiaTheme="majorEastAsia" w:cstheme="majorEastAsia"/>
              <w:szCs w:val="24"/>
            </w:rPr>
            <w:fldChar w:fldCharType="begin"/>
          </w:r>
          <w:r>
            <w:rPr>
              <w:rFonts w:hint="eastAsia" w:asciiTheme="majorEastAsia" w:hAnsiTheme="majorEastAsia" w:eastAsiaTheme="majorEastAsia" w:cstheme="majorEastAsia"/>
              <w:szCs w:val="24"/>
            </w:rPr>
            <w:instrText xml:space="preserve"> HYPERLINK \l _Toc29859 </w:instrText>
          </w:r>
          <w:r>
            <w:rPr>
              <w:rFonts w:hint="eastAsia" w:asciiTheme="majorEastAsia" w:hAnsiTheme="majorEastAsia" w:eastAsiaTheme="majorEastAsia" w:cstheme="majorEastAsia"/>
              <w:szCs w:val="24"/>
            </w:rPr>
            <w:fldChar w:fldCharType="separate"/>
          </w:r>
          <w:r>
            <w:rPr>
              <w:rFonts w:hint="eastAsia" w:ascii="Times New Roman" w:hAnsi="Times New Roman" w:eastAsia="黑体"/>
              <w:highlight w:val="none"/>
              <w:lang w:eastAsia="zh-CN"/>
            </w:rPr>
            <w:t>九、</w:t>
          </w:r>
          <w:r>
            <w:rPr>
              <w:rFonts w:hint="eastAsia" w:ascii="Times New Roman" w:hAnsi="Times New Roman" w:eastAsia="黑体"/>
              <w:highlight w:val="none"/>
            </w:rPr>
            <w:t>国有资本经营预算支出决算情况说明</w:t>
          </w:r>
          <w:r>
            <w:tab/>
          </w:r>
          <w:r>
            <w:fldChar w:fldCharType="begin"/>
          </w:r>
          <w:r>
            <w:instrText xml:space="preserve"> PAGEREF _Toc29859 \h </w:instrText>
          </w:r>
          <w:r>
            <w:fldChar w:fldCharType="separate"/>
          </w:r>
          <w:r>
            <w:t>- 13 -</w:t>
          </w:r>
          <w:r>
            <w:fldChar w:fldCharType="end"/>
          </w:r>
          <w:r>
            <w:rPr>
              <w:rFonts w:hint="eastAsia" w:asciiTheme="majorEastAsia" w:hAnsiTheme="majorEastAsia" w:eastAsiaTheme="majorEastAsia" w:cstheme="majorEastAsia"/>
              <w:szCs w:val="24"/>
            </w:rPr>
            <w:fldChar w:fldCharType="end"/>
          </w:r>
        </w:p>
        <w:p>
          <w:pPr>
            <w:pStyle w:val="15"/>
            <w:tabs>
              <w:tab w:val="right" w:leader="dot" w:pos="8306"/>
              <w:tab w:val="clear" w:pos="8296"/>
            </w:tabs>
          </w:pPr>
          <w:r>
            <w:rPr>
              <w:rFonts w:hint="eastAsia" w:asciiTheme="majorEastAsia" w:hAnsiTheme="majorEastAsia" w:eastAsiaTheme="majorEastAsia" w:cstheme="majorEastAsia"/>
              <w:szCs w:val="24"/>
            </w:rPr>
            <w:fldChar w:fldCharType="begin"/>
          </w:r>
          <w:r>
            <w:rPr>
              <w:rFonts w:hint="eastAsia" w:asciiTheme="majorEastAsia" w:hAnsiTheme="majorEastAsia" w:eastAsiaTheme="majorEastAsia" w:cstheme="majorEastAsia"/>
              <w:szCs w:val="24"/>
            </w:rPr>
            <w:instrText xml:space="preserve"> HYPERLINK \l _Toc30913 </w:instrText>
          </w:r>
          <w:r>
            <w:rPr>
              <w:rFonts w:hint="eastAsia" w:asciiTheme="majorEastAsia" w:hAnsiTheme="majorEastAsia" w:eastAsiaTheme="majorEastAsia" w:cstheme="majorEastAsia"/>
              <w:szCs w:val="24"/>
            </w:rPr>
            <w:fldChar w:fldCharType="separate"/>
          </w:r>
          <w:r>
            <w:rPr>
              <w:rFonts w:hint="eastAsia" w:ascii="Times New Roman" w:hAnsi="Times New Roman" w:eastAsia="黑体"/>
              <w:highlight w:val="none"/>
              <w:lang w:eastAsia="zh-CN"/>
            </w:rPr>
            <w:t>十、</w:t>
          </w:r>
          <w:r>
            <w:rPr>
              <w:rFonts w:hint="eastAsia" w:ascii="Times New Roman" w:hAnsi="Times New Roman" w:eastAsia="黑体"/>
              <w:highlight w:val="none"/>
            </w:rPr>
            <w:t>其他重要事项的情况说明</w:t>
          </w:r>
          <w:r>
            <w:tab/>
          </w:r>
          <w:r>
            <w:fldChar w:fldCharType="begin"/>
          </w:r>
          <w:r>
            <w:instrText xml:space="preserve"> PAGEREF _Toc30913 \h </w:instrText>
          </w:r>
          <w:r>
            <w:fldChar w:fldCharType="separate"/>
          </w:r>
          <w:r>
            <w:t>- 13 -</w:t>
          </w:r>
          <w:r>
            <w:fldChar w:fldCharType="end"/>
          </w:r>
          <w:r>
            <w:rPr>
              <w:rFonts w:hint="eastAsia" w:asciiTheme="majorEastAsia" w:hAnsiTheme="majorEastAsia" w:eastAsiaTheme="majorEastAsia" w:cstheme="majorEastAsia"/>
              <w:szCs w:val="24"/>
            </w:rPr>
            <w:fldChar w:fldCharType="end"/>
          </w:r>
        </w:p>
        <w:p>
          <w:pPr>
            <w:pStyle w:val="13"/>
            <w:tabs>
              <w:tab w:val="right" w:leader="dot" w:pos="8306"/>
              <w:tab w:val="clear" w:pos="8296"/>
            </w:tabs>
          </w:pPr>
          <w:r>
            <w:rPr>
              <w:rFonts w:hint="eastAsia" w:asciiTheme="majorEastAsia" w:hAnsiTheme="majorEastAsia" w:eastAsiaTheme="majorEastAsia" w:cstheme="majorEastAsia"/>
              <w:szCs w:val="24"/>
            </w:rPr>
            <w:fldChar w:fldCharType="begin"/>
          </w:r>
          <w:r>
            <w:rPr>
              <w:rFonts w:hint="eastAsia" w:asciiTheme="majorEastAsia" w:hAnsiTheme="majorEastAsia" w:eastAsiaTheme="majorEastAsia" w:cstheme="majorEastAsia"/>
              <w:szCs w:val="24"/>
            </w:rPr>
            <w:instrText xml:space="preserve"> HYPERLINK \l _Toc796 </w:instrText>
          </w:r>
          <w:r>
            <w:rPr>
              <w:rFonts w:hint="eastAsia" w:asciiTheme="majorEastAsia" w:hAnsiTheme="majorEastAsia" w:eastAsiaTheme="majorEastAsia" w:cstheme="majorEastAsia"/>
              <w:szCs w:val="24"/>
            </w:rPr>
            <w:fldChar w:fldCharType="separate"/>
          </w:r>
          <w:r>
            <w:rPr>
              <w:rFonts w:hint="eastAsia" w:ascii="Times New Roman" w:hAnsi="Times New Roman" w:eastAsia="黑体"/>
              <w:szCs w:val="44"/>
              <w:highlight w:val="none"/>
            </w:rPr>
            <w:t>第</w:t>
          </w:r>
          <w:r>
            <w:rPr>
              <w:rFonts w:hint="eastAsia" w:eastAsia="黑体"/>
              <w:szCs w:val="44"/>
              <w:highlight w:val="none"/>
              <w:lang w:eastAsia="zh-CN"/>
            </w:rPr>
            <w:t>三</w:t>
          </w:r>
          <w:r>
            <w:rPr>
              <w:rFonts w:hint="eastAsia" w:ascii="Times New Roman" w:hAnsi="Times New Roman" w:eastAsia="黑体"/>
              <w:szCs w:val="44"/>
              <w:highlight w:val="none"/>
            </w:rPr>
            <w:t>部分</w:t>
          </w:r>
          <w:r>
            <w:rPr>
              <w:rFonts w:hint="eastAsia" w:ascii="Times New Roman" w:hAnsi="Times New Roman" w:eastAsia="黑体"/>
              <w:szCs w:val="44"/>
              <w:highlight w:val="none"/>
              <w:lang w:val="en-US" w:eastAsia="zh-CN"/>
            </w:rPr>
            <w:t xml:space="preserve"> </w:t>
          </w:r>
          <w:r>
            <w:rPr>
              <w:rFonts w:hint="eastAsia" w:eastAsia="黑体"/>
              <w:szCs w:val="44"/>
              <w:highlight w:val="none"/>
              <w:lang w:val="en-US" w:eastAsia="zh-CN"/>
            </w:rPr>
            <w:t xml:space="preserve"> </w:t>
          </w:r>
          <w:r>
            <w:rPr>
              <w:rFonts w:hint="eastAsia" w:ascii="Times New Roman" w:hAnsi="Times New Roman" w:eastAsia="黑体"/>
              <w:szCs w:val="44"/>
              <w:highlight w:val="none"/>
            </w:rPr>
            <w:t>名词解释</w:t>
          </w:r>
          <w:r>
            <w:tab/>
          </w:r>
          <w:r>
            <w:fldChar w:fldCharType="begin"/>
          </w:r>
          <w:r>
            <w:instrText xml:space="preserve"> PAGEREF _Toc796 \h </w:instrText>
          </w:r>
          <w:r>
            <w:fldChar w:fldCharType="separate"/>
          </w:r>
          <w:r>
            <w:t>- 15 -</w:t>
          </w:r>
          <w:r>
            <w:fldChar w:fldCharType="end"/>
          </w:r>
          <w:r>
            <w:rPr>
              <w:rFonts w:hint="eastAsia" w:asciiTheme="majorEastAsia" w:hAnsiTheme="majorEastAsia" w:eastAsiaTheme="majorEastAsia" w:cstheme="majorEastAsia"/>
              <w:szCs w:val="24"/>
            </w:rPr>
            <w:fldChar w:fldCharType="end"/>
          </w:r>
        </w:p>
        <w:p>
          <w:pPr>
            <w:pStyle w:val="13"/>
            <w:tabs>
              <w:tab w:val="right" w:leader="dot" w:pos="8306"/>
              <w:tab w:val="clear" w:pos="8296"/>
            </w:tabs>
          </w:pPr>
          <w:r>
            <w:rPr>
              <w:rFonts w:hint="eastAsia" w:asciiTheme="majorEastAsia" w:hAnsiTheme="majorEastAsia" w:eastAsiaTheme="majorEastAsia" w:cstheme="majorEastAsia"/>
              <w:szCs w:val="24"/>
            </w:rPr>
            <w:fldChar w:fldCharType="begin"/>
          </w:r>
          <w:r>
            <w:rPr>
              <w:rFonts w:hint="eastAsia" w:asciiTheme="majorEastAsia" w:hAnsiTheme="majorEastAsia" w:eastAsiaTheme="majorEastAsia" w:cstheme="majorEastAsia"/>
              <w:szCs w:val="24"/>
            </w:rPr>
            <w:instrText xml:space="preserve"> HYPERLINK \l _Toc4643 </w:instrText>
          </w:r>
          <w:r>
            <w:rPr>
              <w:rFonts w:hint="eastAsia" w:asciiTheme="majorEastAsia" w:hAnsiTheme="majorEastAsia" w:eastAsiaTheme="majorEastAsia" w:cstheme="majorEastAsia"/>
              <w:szCs w:val="24"/>
            </w:rPr>
            <w:fldChar w:fldCharType="separate"/>
          </w:r>
          <w:r>
            <w:rPr>
              <w:rFonts w:hint="eastAsia" w:ascii="Times New Roman" w:hAnsi="Times New Roman" w:eastAsia="黑体"/>
              <w:szCs w:val="44"/>
              <w:highlight w:val="none"/>
            </w:rPr>
            <w:t>第四部分</w:t>
          </w:r>
          <w:r>
            <w:rPr>
              <w:rFonts w:hint="eastAsia" w:ascii="Times New Roman" w:hAnsi="Times New Roman" w:eastAsia="黑体"/>
              <w:szCs w:val="44"/>
              <w:highlight w:val="none"/>
              <w:lang w:val="en-US" w:eastAsia="zh-CN"/>
            </w:rPr>
            <w:t xml:space="preserve"> </w:t>
          </w:r>
          <w:r>
            <w:rPr>
              <w:rFonts w:hint="eastAsia" w:ascii="Times New Roman" w:hAnsi="Times New Roman" w:eastAsia="黑体"/>
              <w:szCs w:val="44"/>
              <w:highlight w:val="none"/>
            </w:rPr>
            <w:t xml:space="preserve"> 附件</w:t>
          </w:r>
          <w:r>
            <w:tab/>
          </w:r>
          <w:r>
            <w:fldChar w:fldCharType="begin"/>
          </w:r>
          <w:r>
            <w:instrText xml:space="preserve"> PAGEREF _Toc4643 \h </w:instrText>
          </w:r>
          <w:r>
            <w:fldChar w:fldCharType="separate"/>
          </w:r>
          <w:r>
            <w:t>- 18 -</w:t>
          </w:r>
          <w:r>
            <w:fldChar w:fldCharType="end"/>
          </w:r>
          <w:r>
            <w:rPr>
              <w:rFonts w:hint="eastAsia" w:asciiTheme="majorEastAsia" w:hAnsiTheme="majorEastAsia" w:eastAsiaTheme="majorEastAsia" w:cstheme="majorEastAsia"/>
              <w:szCs w:val="24"/>
            </w:rPr>
            <w:fldChar w:fldCharType="end"/>
          </w:r>
        </w:p>
        <w:p>
          <w:pPr>
            <w:pStyle w:val="13"/>
            <w:tabs>
              <w:tab w:val="right" w:leader="dot" w:pos="8306"/>
              <w:tab w:val="clear" w:pos="8296"/>
            </w:tabs>
          </w:pPr>
          <w:r>
            <w:rPr>
              <w:rFonts w:hint="eastAsia" w:asciiTheme="majorEastAsia" w:hAnsiTheme="majorEastAsia" w:eastAsiaTheme="majorEastAsia" w:cstheme="majorEastAsia"/>
              <w:szCs w:val="24"/>
            </w:rPr>
            <w:fldChar w:fldCharType="begin"/>
          </w:r>
          <w:r>
            <w:rPr>
              <w:rFonts w:hint="eastAsia" w:asciiTheme="majorEastAsia" w:hAnsiTheme="majorEastAsia" w:eastAsiaTheme="majorEastAsia" w:cstheme="majorEastAsia"/>
              <w:szCs w:val="24"/>
            </w:rPr>
            <w:instrText xml:space="preserve"> HYPERLINK \l _Toc19627 </w:instrText>
          </w:r>
          <w:r>
            <w:rPr>
              <w:rFonts w:hint="eastAsia" w:asciiTheme="majorEastAsia" w:hAnsiTheme="majorEastAsia" w:eastAsiaTheme="majorEastAsia" w:cstheme="majorEastAsia"/>
              <w:szCs w:val="24"/>
            </w:rPr>
            <w:fldChar w:fldCharType="separate"/>
          </w:r>
          <w:r>
            <w:rPr>
              <w:rFonts w:hint="eastAsia" w:ascii="Times New Roman" w:hAnsi="Times New Roman" w:eastAsia="黑体"/>
              <w:szCs w:val="44"/>
              <w:highlight w:val="none"/>
            </w:rPr>
            <w:t>第</w:t>
          </w:r>
          <w:r>
            <w:rPr>
              <w:rFonts w:hint="eastAsia" w:ascii="Times New Roman" w:hAnsi="Times New Roman" w:eastAsia="黑体"/>
              <w:bCs/>
              <w:highlight w:val="none"/>
            </w:rPr>
            <w:t>五部分 附表</w:t>
          </w:r>
          <w:r>
            <w:tab/>
          </w:r>
          <w:r>
            <w:fldChar w:fldCharType="begin"/>
          </w:r>
          <w:r>
            <w:instrText xml:space="preserve"> PAGEREF _Toc19627 \h </w:instrText>
          </w:r>
          <w:r>
            <w:fldChar w:fldCharType="separate"/>
          </w:r>
          <w:r>
            <w:t>- 83 -</w:t>
          </w:r>
          <w:r>
            <w:fldChar w:fldCharType="end"/>
          </w:r>
          <w:r>
            <w:rPr>
              <w:rFonts w:hint="eastAsia" w:asciiTheme="majorEastAsia" w:hAnsiTheme="majorEastAsia" w:eastAsiaTheme="majorEastAsia" w:cstheme="majorEastAsia"/>
              <w:szCs w:val="24"/>
            </w:rPr>
            <w:fldChar w:fldCharType="end"/>
          </w:r>
        </w:p>
        <w:p>
          <w:pPr>
            <w:pStyle w:val="15"/>
            <w:tabs>
              <w:tab w:val="right" w:leader="dot" w:pos="8306"/>
              <w:tab w:val="clear" w:pos="8296"/>
            </w:tabs>
          </w:pPr>
          <w:r>
            <w:rPr>
              <w:rFonts w:hint="eastAsia" w:asciiTheme="majorEastAsia" w:hAnsiTheme="majorEastAsia" w:eastAsiaTheme="majorEastAsia" w:cstheme="majorEastAsia"/>
              <w:szCs w:val="24"/>
            </w:rPr>
            <w:fldChar w:fldCharType="begin"/>
          </w:r>
          <w:r>
            <w:rPr>
              <w:rFonts w:hint="eastAsia" w:asciiTheme="majorEastAsia" w:hAnsiTheme="majorEastAsia" w:eastAsiaTheme="majorEastAsia" w:cstheme="majorEastAsia"/>
              <w:szCs w:val="24"/>
            </w:rPr>
            <w:instrText xml:space="preserve"> HYPERLINK \l _Toc30433 </w:instrText>
          </w:r>
          <w:r>
            <w:rPr>
              <w:rFonts w:hint="eastAsia" w:asciiTheme="majorEastAsia" w:hAnsiTheme="majorEastAsia" w:eastAsiaTheme="majorEastAsia" w:cstheme="majorEastAsia"/>
              <w:szCs w:val="24"/>
            </w:rPr>
            <w:fldChar w:fldCharType="separate"/>
          </w:r>
          <w:r>
            <w:rPr>
              <w:rFonts w:hint="eastAsia"/>
              <w:bCs w:val="0"/>
            </w:rPr>
            <w:t>一、收入支出决算总表</w:t>
          </w:r>
          <w:r>
            <w:tab/>
          </w:r>
          <w:r>
            <w:fldChar w:fldCharType="begin"/>
          </w:r>
          <w:r>
            <w:instrText xml:space="preserve"> PAGEREF _Toc30433 \h </w:instrText>
          </w:r>
          <w:r>
            <w:fldChar w:fldCharType="separate"/>
          </w:r>
          <w:r>
            <w:t>- 83 -</w:t>
          </w:r>
          <w:r>
            <w:fldChar w:fldCharType="end"/>
          </w:r>
          <w:r>
            <w:rPr>
              <w:rFonts w:hint="eastAsia" w:asciiTheme="majorEastAsia" w:hAnsiTheme="majorEastAsia" w:eastAsiaTheme="majorEastAsia" w:cstheme="majorEastAsia"/>
              <w:szCs w:val="24"/>
            </w:rPr>
            <w:fldChar w:fldCharType="end"/>
          </w:r>
        </w:p>
        <w:p>
          <w:pPr>
            <w:pStyle w:val="15"/>
            <w:tabs>
              <w:tab w:val="right" w:leader="dot" w:pos="8306"/>
              <w:tab w:val="clear" w:pos="8296"/>
            </w:tabs>
          </w:pPr>
          <w:r>
            <w:rPr>
              <w:rFonts w:hint="eastAsia" w:asciiTheme="majorEastAsia" w:hAnsiTheme="majorEastAsia" w:eastAsiaTheme="majorEastAsia" w:cstheme="majorEastAsia"/>
              <w:szCs w:val="24"/>
            </w:rPr>
            <w:fldChar w:fldCharType="begin"/>
          </w:r>
          <w:r>
            <w:rPr>
              <w:rFonts w:hint="eastAsia" w:asciiTheme="majorEastAsia" w:hAnsiTheme="majorEastAsia" w:eastAsiaTheme="majorEastAsia" w:cstheme="majorEastAsia"/>
              <w:szCs w:val="24"/>
            </w:rPr>
            <w:instrText xml:space="preserve"> HYPERLINK \l _Toc3757 </w:instrText>
          </w:r>
          <w:r>
            <w:rPr>
              <w:rFonts w:hint="eastAsia" w:asciiTheme="majorEastAsia" w:hAnsiTheme="majorEastAsia" w:eastAsiaTheme="majorEastAsia" w:cstheme="majorEastAsia"/>
              <w:szCs w:val="24"/>
            </w:rPr>
            <w:fldChar w:fldCharType="separate"/>
          </w:r>
          <w:r>
            <w:rPr>
              <w:rFonts w:hint="eastAsia"/>
              <w:bCs w:val="0"/>
            </w:rPr>
            <w:t>二、收入决算表</w:t>
          </w:r>
          <w:r>
            <w:tab/>
          </w:r>
          <w:r>
            <w:fldChar w:fldCharType="begin"/>
          </w:r>
          <w:r>
            <w:instrText xml:space="preserve"> PAGEREF _Toc3757 \h </w:instrText>
          </w:r>
          <w:r>
            <w:fldChar w:fldCharType="separate"/>
          </w:r>
          <w:r>
            <w:t>- 83 -</w:t>
          </w:r>
          <w:r>
            <w:fldChar w:fldCharType="end"/>
          </w:r>
          <w:r>
            <w:rPr>
              <w:rFonts w:hint="eastAsia" w:asciiTheme="majorEastAsia" w:hAnsiTheme="majorEastAsia" w:eastAsiaTheme="majorEastAsia" w:cstheme="majorEastAsia"/>
              <w:szCs w:val="24"/>
            </w:rPr>
            <w:fldChar w:fldCharType="end"/>
          </w:r>
        </w:p>
        <w:p>
          <w:pPr>
            <w:pStyle w:val="15"/>
            <w:tabs>
              <w:tab w:val="right" w:leader="dot" w:pos="8306"/>
              <w:tab w:val="clear" w:pos="8296"/>
            </w:tabs>
          </w:pPr>
          <w:r>
            <w:rPr>
              <w:rFonts w:hint="eastAsia" w:asciiTheme="majorEastAsia" w:hAnsiTheme="majorEastAsia" w:eastAsiaTheme="majorEastAsia" w:cstheme="majorEastAsia"/>
              <w:szCs w:val="24"/>
            </w:rPr>
            <w:fldChar w:fldCharType="begin"/>
          </w:r>
          <w:r>
            <w:rPr>
              <w:rFonts w:hint="eastAsia" w:asciiTheme="majorEastAsia" w:hAnsiTheme="majorEastAsia" w:eastAsiaTheme="majorEastAsia" w:cstheme="majorEastAsia"/>
              <w:szCs w:val="24"/>
            </w:rPr>
            <w:instrText xml:space="preserve"> HYPERLINK \l _Toc626 </w:instrText>
          </w:r>
          <w:r>
            <w:rPr>
              <w:rFonts w:hint="eastAsia" w:asciiTheme="majorEastAsia" w:hAnsiTheme="majorEastAsia" w:eastAsiaTheme="majorEastAsia" w:cstheme="majorEastAsia"/>
              <w:szCs w:val="24"/>
            </w:rPr>
            <w:fldChar w:fldCharType="separate"/>
          </w:r>
          <w:r>
            <w:rPr>
              <w:rFonts w:hint="eastAsia"/>
              <w:bCs w:val="0"/>
            </w:rPr>
            <w:t>三、支出决算表</w:t>
          </w:r>
          <w:r>
            <w:tab/>
          </w:r>
          <w:r>
            <w:fldChar w:fldCharType="begin"/>
          </w:r>
          <w:r>
            <w:instrText xml:space="preserve"> PAGEREF _Toc626 \h </w:instrText>
          </w:r>
          <w:r>
            <w:fldChar w:fldCharType="separate"/>
          </w:r>
          <w:r>
            <w:t>- 83 -</w:t>
          </w:r>
          <w:r>
            <w:fldChar w:fldCharType="end"/>
          </w:r>
          <w:r>
            <w:rPr>
              <w:rFonts w:hint="eastAsia" w:asciiTheme="majorEastAsia" w:hAnsiTheme="majorEastAsia" w:eastAsiaTheme="majorEastAsia" w:cstheme="majorEastAsia"/>
              <w:szCs w:val="24"/>
            </w:rPr>
            <w:fldChar w:fldCharType="end"/>
          </w:r>
        </w:p>
        <w:p>
          <w:pPr>
            <w:pStyle w:val="15"/>
            <w:tabs>
              <w:tab w:val="right" w:leader="dot" w:pos="8306"/>
              <w:tab w:val="clear" w:pos="8296"/>
            </w:tabs>
          </w:pPr>
          <w:r>
            <w:rPr>
              <w:rFonts w:hint="eastAsia" w:asciiTheme="majorEastAsia" w:hAnsiTheme="majorEastAsia" w:eastAsiaTheme="majorEastAsia" w:cstheme="majorEastAsia"/>
              <w:szCs w:val="24"/>
            </w:rPr>
            <w:fldChar w:fldCharType="begin"/>
          </w:r>
          <w:r>
            <w:rPr>
              <w:rFonts w:hint="eastAsia" w:asciiTheme="majorEastAsia" w:hAnsiTheme="majorEastAsia" w:eastAsiaTheme="majorEastAsia" w:cstheme="majorEastAsia"/>
              <w:szCs w:val="24"/>
            </w:rPr>
            <w:instrText xml:space="preserve"> HYPERLINK \l _Toc14934 </w:instrText>
          </w:r>
          <w:r>
            <w:rPr>
              <w:rFonts w:hint="eastAsia" w:asciiTheme="majorEastAsia" w:hAnsiTheme="majorEastAsia" w:eastAsiaTheme="majorEastAsia" w:cstheme="majorEastAsia"/>
              <w:szCs w:val="24"/>
            </w:rPr>
            <w:fldChar w:fldCharType="separate"/>
          </w:r>
          <w:r>
            <w:rPr>
              <w:rFonts w:hint="eastAsia"/>
              <w:bCs w:val="0"/>
            </w:rPr>
            <w:t>四、财政拨款收入支出决算总表</w:t>
          </w:r>
          <w:r>
            <w:tab/>
          </w:r>
          <w:r>
            <w:fldChar w:fldCharType="begin"/>
          </w:r>
          <w:r>
            <w:instrText xml:space="preserve"> PAGEREF _Toc14934 \h </w:instrText>
          </w:r>
          <w:r>
            <w:fldChar w:fldCharType="separate"/>
          </w:r>
          <w:r>
            <w:t>- 83 -</w:t>
          </w:r>
          <w:r>
            <w:fldChar w:fldCharType="end"/>
          </w:r>
          <w:r>
            <w:rPr>
              <w:rFonts w:hint="eastAsia" w:asciiTheme="majorEastAsia" w:hAnsiTheme="majorEastAsia" w:eastAsiaTheme="majorEastAsia" w:cstheme="majorEastAsia"/>
              <w:szCs w:val="24"/>
            </w:rPr>
            <w:fldChar w:fldCharType="end"/>
          </w:r>
        </w:p>
        <w:p>
          <w:pPr>
            <w:pStyle w:val="15"/>
            <w:tabs>
              <w:tab w:val="right" w:leader="dot" w:pos="8306"/>
              <w:tab w:val="clear" w:pos="8296"/>
            </w:tabs>
          </w:pPr>
          <w:r>
            <w:rPr>
              <w:rFonts w:hint="eastAsia" w:asciiTheme="majorEastAsia" w:hAnsiTheme="majorEastAsia" w:eastAsiaTheme="majorEastAsia" w:cstheme="majorEastAsia"/>
              <w:szCs w:val="24"/>
            </w:rPr>
            <w:fldChar w:fldCharType="begin"/>
          </w:r>
          <w:r>
            <w:rPr>
              <w:rFonts w:hint="eastAsia" w:asciiTheme="majorEastAsia" w:hAnsiTheme="majorEastAsia" w:eastAsiaTheme="majorEastAsia" w:cstheme="majorEastAsia"/>
              <w:szCs w:val="24"/>
            </w:rPr>
            <w:instrText xml:space="preserve"> HYPERLINK \l _Toc19200 </w:instrText>
          </w:r>
          <w:r>
            <w:rPr>
              <w:rFonts w:hint="eastAsia" w:asciiTheme="majorEastAsia" w:hAnsiTheme="majorEastAsia" w:eastAsiaTheme="majorEastAsia" w:cstheme="majorEastAsia"/>
              <w:szCs w:val="24"/>
            </w:rPr>
            <w:fldChar w:fldCharType="separate"/>
          </w:r>
          <w:r>
            <w:rPr>
              <w:rFonts w:hint="eastAsia"/>
              <w:bCs w:val="0"/>
            </w:rPr>
            <w:t>五、财政拨款支出决算明细表</w:t>
          </w:r>
          <w:r>
            <w:tab/>
          </w:r>
          <w:r>
            <w:fldChar w:fldCharType="begin"/>
          </w:r>
          <w:r>
            <w:instrText xml:space="preserve"> PAGEREF _Toc19200 \h </w:instrText>
          </w:r>
          <w:r>
            <w:fldChar w:fldCharType="separate"/>
          </w:r>
          <w:r>
            <w:t>- 83 -</w:t>
          </w:r>
          <w:r>
            <w:fldChar w:fldCharType="end"/>
          </w:r>
          <w:r>
            <w:rPr>
              <w:rFonts w:hint="eastAsia" w:asciiTheme="majorEastAsia" w:hAnsiTheme="majorEastAsia" w:eastAsiaTheme="majorEastAsia" w:cstheme="majorEastAsia"/>
              <w:szCs w:val="24"/>
            </w:rPr>
            <w:fldChar w:fldCharType="end"/>
          </w:r>
        </w:p>
        <w:p>
          <w:pPr>
            <w:pStyle w:val="15"/>
            <w:tabs>
              <w:tab w:val="right" w:leader="dot" w:pos="8306"/>
              <w:tab w:val="clear" w:pos="8296"/>
            </w:tabs>
          </w:pPr>
          <w:r>
            <w:rPr>
              <w:rFonts w:hint="eastAsia" w:asciiTheme="majorEastAsia" w:hAnsiTheme="majorEastAsia" w:eastAsiaTheme="majorEastAsia" w:cstheme="majorEastAsia"/>
              <w:szCs w:val="24"/>
            </w:rPr>
            <w:fldChar w:fldCharType="begin"/>
          </w:r>
          <w:r>
            <w:rPr>
              <w:rFonts w:hint="eastAsia" w:asciiTheme="majorEastAsia" w:hAnsiTheme="majorEastAsia" w:eastAsiaTheme="majorEastAsia" w:cstheme="majorEastAsia"/>
              <w:szCs w:val="24"/>
            </w:rPr>
            <w:instrText xml:space="preserve"> HYPERLINK \l _Toc23091 </w:instrText>
          </w:r>
          <w:r>
            <w:rPr>
              <w:rFonts w:hint="eastAsia" w:asciiTheme="majorEastAsia" w:hAnsiTheme="majorEastAsia" w:eastAsiaTheme="majorEastAsia" w:cstheme="majorEastAsia"/>
              <w:szCs w:val="24"/>
            </w:rPr>
            <w:fldChar w:fldCharType="separate"/>
          </w:r>
          <w:r>
            <w:rPr>
              <w:rFonts w:hint="eastAsia"/>
              <w:bCs w:val="0"/>
            </w:rPr>
            <w:t>六、一般公共预算财政拨款支出决算表</w:t>
          </w:r>
          <w:r>
            <w:tab/>
          </w:r>
          <w:r>
            <w:fldChar w:fldCharType="begin"/>
          </w:r>
          <w:r>
            <w:instrText xml:space="preserve"> PAGEREF _Toc23091 \h </w:instrText>
          </w:r>
          <w:r>
            <w:fldChar w:fldCharType="separate"/>
          </w:r>
          <w:r>
            <w:t>- 83 -</w:t>
          </w:r>
          <w:r>
            <w:fldChar w:fldCharType="end"/>
          </w:r>
          <w:r>
            <w:rPr>
              <w:rFonts w:hint="eastAsia" w:asciiTheme="majorEastAsia" w:hAnsiTheme="majorEastAsia" w:eastAsiaTheme="majorEastAsia" w:cstheme="majorEastAsia"/>
              <w:szCs w:val="24"/>
            </w:rPr>
            <w:fldChar w:fldCharType="end"/>
          </w:r>
        </w:p>
        <w:p>
          <w:pPr>
            <w:pStyle w:val="15"/>
            <w:tabs>
              <w:tab w:val="right" w:leader="dot" w:pos="8306"/>
              <w:tab w:val="clear" w:pos="8296"/>
            </w:tabs>
          </w:pPr>
          <w:r>
            <w:rPr>
              <w:rFonts w:hint="eastAsia" w:asciiTheme="majorEastAsia" w:hAnsiTheme="majorEastAsia" w:eastAsiaTheme="majorEastAsia" w:cstheme="majorEastAsia"/>
              <w:szCs w:val="24"/>
            </w:rPr>
            <w:fldChar w:fldCharType="begin"/>
          </w:r>
          <w:r>
            <w:rPr>
              <w:rFonts w:hint="eastAsia" w:asciiTheme="majorEastAsia" w:hAnsiTheme="majorEastAsia" w:eastAsiaTheme="majorEastAsia" w:cstheme="majorEastAsia"/>
              <w:szCs w:val="24"/>
            </w:rPr>
            <w:instrText xml:space="preserve"> HYPERLINK \l _Toc27252 </w:instrText>
          </w:r>
          <w:r>
            <w:rPr>
              <w:rFonts w:hint="eastAsia" w:asciiTheme="majorEastAsia" w:hAnsiTheme="majorEastAsia" w:eastAsiaTheme="majorEastAsia" w:cstheme="majorEastAsia"/>
              <w:szCs w:val="24"/>
            </w:rPr>
            <w:fldChar w:fldCharType="separate"/>
          </w:r>
          <w:r>
            <w:rPr>
              <w:rFonts w:hint="eastAsia"/>
              <w:bCs w:val="0"/>
            </w:rPr>
            <w:t>七、一般公共预算财政拨款支出决算明细表</w:t>
          </w:r>
          <w:r>
            <w:tab/>
          </w:r>
          <w:r>
            <w:fldChar w:fldCharType="begin"/>
          </w:r>
          <w:r>
            <w:instrText xml:space="preserve"> PAGEREF _Toc27252 \h </w:instrText>
          </w:r>
          <w:r>
            <w:fldChar w:fldCharType="separate"/>
          </w:r>
          <w:r>
            <w:t>- 83 -</w:t>
          </w:r>
          <w:r>
            <w:fldChar w:fldCharType="end"/>
          </w:r>
          <w:r>
            <w:rPr>
              <w:rFonts w:hint="eastAsia" w:asciiTheme="majorEastAsia" w:hAnsiTheme="majorEastAsia" w:eastAsiaTheme="majorEastAsia" w:cstheme="majorEastAsia"/>
              <w:szCs w:val="24"/>
            </w:rPr>
            <w:fldChar w:fldCharType="end"/>
          </w:r>
        </w:p>
        <w:p>
          <w:pPr>
            <w:pStyle w:val="15"/>
            <w:tabs>
              <w:tab w:val="right" w:leader="dot" w:pos="8306"/>
              <w:tab w:val="clear" w:pos="8296"/>
            </w:tabs>
          </w:pPr>
          <w:r>
            <w:rPr>
              <w:rFonts w:hint="eastAsia" w:asciiTheme="majorEastAsia" w:hAnsiTheme="majorEastAsia" w:eastAsiaTheme="majorEastAsia" w:cstheme="majorEastAsia"/>
              <w:szCs w:val="24"/>
            </w:rPr>
            <w:fldChar w:fldCharType="begin"/>
          </w:r>
          <w:r>
            <w:rPr>
              <w:rFonts w:hint="eastAsia" w:asciiTheme="majorEastAsia" w:hAnsiTheme="majorEastAsia" w:eastAsiaTheme="majorEastAsia" w:cstheme="majorEastAsia"/>
              <w:szCs w:val="24"/>
            </w:rPr>
            <w:instrText xml:space="preserve"> HYPERLINK \l _Toc15313 </w:instrText>
          </w:r>
          <w:r>
            <w:rPr>
              <w:rFonts w:hint="eastAsia" w:asciiTheme="majorEastAsia" w:hAnsiTheme="majorEastAsia" w:eastAsiaTheme="majorEastAsia" w:cstheme="majorEastAsia"/>
              <w:szCs w:val="24"/>
            </w:rPr>
            <w:fldChar w:fldCharType="separate"/>
          </w:r>
          <w:r>
            <w:rPr>
              <w:rFonts w:hint="eastAsia"/>
              <w:bCs w:val="0"/>
            </w:rPr>
            <w:t>八、一般公共预算财政拨款基本支出决算表</w:t>
          </w:r>
          <w:r>
            <w:tab/>
          </w:r>
          <w:r>
            <w:fldChar w:fldCharType="begin"/>
          </w:r>
          <w:r>
            <w:instrText xml:space="preserve"> PAGEREF _Toc15313 \h </w:instrText>
          </w:r>
          <w:r>
            <w:fldChar w:fldCharType="separate"/>
          </w:r>
          <w:r>
            <w:t>- 83 -</w:t>
          </w:r>
          <w:r>
            <w:fldChar w:fldCharType="end"/>
          </w:r>
          <w:r>
            <w:rPr>
              <w:rFonts w:hint="eastAsia" w:asciiTheme="majorEastAsia" w:hAnsiTheme="majorEastAsia" w:eastAsiaTheme="majorEastAsia" w:cstheme="majorEastAsia"/>
              <w:szCs w:val="24"/>
            </w:rPr>
            <w:fldChar w:fldCharType="end"/>
          </w:r>
        </w:p>
        <w:p>
          <w:pPr>
            <w:pStyle w:val="15"/>
            <w:tabs>
              <w:tab w:val="right" w:leader="dot" w:pos="8306"/>
              <w:tab w:val="clear" w:pos="8296"/>
            </w:tabs>
          </w:pPr>
          <w:r>
            <w:rPr>
              <w:rFonts w:hint="eastAsia" w:asciiTheme="majorEastAsia" w:hAnsiTheme="majorEastAsia" w:eastAsiaTheme="majorEastAsia" w:cstheme="majorEastAsia"/>
              <w:szCs w:val="24"/>
            </w:rPr>
            <w:fldChar w:fldCharType="begin"/>
          </w:r>
          <w:r>
            <w:rPr>
              <w:rFonts w:hint="eastAsia" w:asciiTheme="majorEastAsia" w:hAnsiTheme="majorEastAsia" w:eastAsiaTheme="majorEastAsia" w:cstheme="majorEastAsia"/>
              <w:szCs w:val="24"/>
            </w:rPr>
            <w:instrText xml:space="preserve"> HYPERLINK \l _Toc20047 </w:instrText>
          </w:r>
          <w:r>
            <w:rPr>
              <w:rFonts w:hint="eastAsia" w:asciiTheme="majorEastAsia" w:hAnsiTheme="majorEastAsia" w:eastAsiaTheme="majorEastAsia" w:cstheme="majorEastAsia"/>
              <w:szCs w:val="24"/>
            </w:rPr>
            <w:fldChar w:fldCharType="separate"/>
          </w:r>
          <w:r>
            <w:rPr>
              <w:rFonts w:hint="eastAsia"/>
              <w:bCs w:val="0"/>
            </w:rPr>
            <w:t>九、一般公共预算财政拨款项目支出决算表</w:t>
          </w:r>
          <w:r>
            <w:tab/>
          </w:r>
          <w:r>
            <w:fldChar w:fldCharType="begin"/>
          </w:r>
          <w:r>
            <w:instrText xml:space="preserve"> PAGEREF _Toc20047 \h </w:instrText>
          </w:r>
          <w:r>
            <w:fldChar w:fldCharType="separate"/>
          </w:r>
          <w:r>
            <w:t>- 83 -</w:t>
          </w:r>
          <w:r>
            <w:fldChar w:fldCharType="end"/>
          </w:r>
          <w:r>
            <w:rPr>
              <w:rFonts w:hint="eastAsia" w:asciiTheme="majorEastAsia" w:hAnsiTheme="majorEastAsia" w:eastAsiaTheme="majorEastAsia" w:cstheme="majorEastAsia"/>
              <w:szCs w:val="24"/>
            </w:rPr>
            <w:fldChar w:fldCharType="end"/>
          </w:r>
        </w:p>
        <w:p>
          <w:pPr>
            <w:pStyle w:val="15"/>
            <w:tabs>
              <w:tab w:val="right" w:leader="dot" w:pos="8306"/>
              <w:tab w:val="clear" w:pos="8296"/>
            </w:tabs>
          </w:pPr>
          <w:r>
            <w:rPr>
              <w:rFonts w:hint="eastAsia" w:asciiTheme="majorEastAsia" w:hAnsiTheme="majorEastAsia" w:eastAsiaTheme="majorEastAsia" w:cstheme="majorEastAsia"/>
              <w:szCs w:val="24"/>
            </w:rPr>
            <w:fldChar w:fldCharType="begin"/>
          </w:r>
          <w:r>
            <w:rPr>
              <w:rFonts w:hint="eastAsia" w:asciiTheme="majorEastAsia" w:hAnsiTheme="majorEastAsia" w:eastAsiaTheme="majorEastAsia" w:cstheme="majorEastAsia"/>
              <w:szCs w:val="24"/>
            </w:rPr>
            <w:instrText xml:space="preserve"> HYPERLINK \l _Toc7238 </w:instrText>
          </w:r>
          <w:r>
            <w:rPr>
              <w:rFonts w:hint="eastAsia" w:asciiTheme="majorEastAsia" w:hAnsiTheme="majorEastAsia" w:eastAsiaTheme="majorEastAsia" w:cstheme="majorEastAsia"/>
              <w:szCs w:val="24"/>
            </w:rPr>
            <w:fldChar w:fldCharType="separate"/>
          </w:r>
          <w:r>
            <w:rPr>
              <w:rFonts w:hint="eastAsia"/>
              <w:bCs w:val="0"/>
            </w:rPr>
            <w:t>十、政府性基金预算财政拨款收入支出决算表</w:t>
          </w:r>
          <w:r>
            <w:tab/>
          </w:r>
          <w:r>
            <w:fldChar w:fldCharType="begin"/>
          </w:r>
          <w:r>
            <w:instrText xml:space="preserve"> PAGEREF _Toc7238 \h </w:instrText>
          </w:r>
          <w:r>
            <w:fldChar w:fldCharType="separate"/>
          </w:r>
          <w:r>
            <w:t>- 83 -</w:t>
          </w:r>
          <w:r>
            <w:fldChar w:fldCharType="end"/>
          </w:r>
          <w:r>
            <w:rPr>
              <w:rFonts w:hint="eastAsia" w:asciiTheme="majorEastAsia" w:hAnsiTheme="majorEastAsia" w:eastAsiaTheme="majorEastAsia" w:cstheme="majorEastAsia"/>
              <w:szCs w:val="24"/>
            </w:rPr>
            <w:fldChar w:fldCharType="end"/>
          </w:r>
        </w:p>
        <w:p>
          <w:pPr>
            <w:pStyle w:val="15"/>
            <w:tabs>
              <w:tab w:val="right" w:leader="dot" w:pos="8306"/>
              <w:tab w:val="clear" w:pos="8296"/>
            </w:tabs>
          </w:pPr>
          <w:r>
            <w:rPr>
              <w:rFonts w:hint="eastAsia" w:asciiTheme="majorEastAsia" w:hAnsiTheme="majorEastAsia" w:eastAsiaTheme="majorEastAsia" w:cstheme="majorEastAsia"/>
              <w:szCs w:val="24"/>
            </w:rPr>
            <w:fldChar w:fldCharType="begin"/>
          </w:r>
          <w:r>
            <w:rPr>
              <w:rFonts w:hint="eastAsia" w:asciiTheme="majorEastAsia" w:hAnsiTheme="majorEastAsia" w:eastAsiaTheme="majorEastAsia" w:cstheme="majorEastAsia"/>
              <w:szCs w:val="24"/>
            </w:rPr>
            <w:instrText xml:space="preserve"> HYPERLINK \l _Toc5755 </w:instrText>
          </w:r>
          <w:r>
            <w:rPr>
              <w:rFonts w:hint="eastAsia" w:asciiTheme="majorEastAsia" w:hAnsiTheme="majorEastAsia" w:eastAsiaTheme="majorEastAsia" w:cstheme="majorEastAsia"/>
              <w:szCs w:val="24"/>
            </w:rPr>
            <w:fldChar w:fldCharType="separate"/>
          </w:r>
          <w:r>
            <w:rPr>
              <w:rFonts w:hint="eastAsia"/>
              <w:bCs w:val="0"/>
            </w:rPr>
            <w:t>十一、国有资本经营预算</w:t>
          </w:r>
          <w:r>
            <w:rPr>
              <w:rFonts w:hint="eastAsia"/>
              <w:bCs w:val="0"/>
              <w:lang w:eastAsia="zh-CN"/>
            </w:rPr>
            <w:t>财政拨款收入</w:t>
          </w:r>
          <w:r>
            <w:rPr>
              <w:rFonts w:hint="eastAsia"/>
              <w:bCs w:val="0"/>
            </w:rPr>
            <w:t>支出决算表</w:t>
          </w:r>
          <w:r>
            <w:tab/>
          </w:r>
          <w:r>
            <w:fldChar w:fldCharType="begin"/>
          </w:r>
          <w:r>
            <w:instrText xml:space="preserve"> PAGEREF _Toc5755 \h </w:instrText>
          </w:r>
          <w:r>
            <w:fldChar w:fldCharType="separate"/>
          </w:r>
          <w:r>
            <w:t>- 83 -</w:t>
          </w:r>
          <w:r>
            <w:fldChar w:fldCharType="end"/>
          </w:r>
          <w:r>
            <w:rPr>
              <w:rFonts w:hint="eastAsia" w:asciiTheme="majorEastAsia" w:hAnsiTheme="majorEastAsia" w:eastAsiaTheme="majorEastAsia" w:cstheme="majorEastAsia"/>
              <w:szCs w:val="24"/>
            </w:rPr>
            <w:fldChar w:fldCharType="end"/>
          </w:r>
        </w:p>
        <w:p>
          <w:pPr>
            <w:pStyle w:val="15"/>
            <w:tabs>
              <w:tab w:val="right" w:leader="dot" w:pos="8306"/>
              <w:tab w:val="clear" w:pos="8296"/>
            </w:tabs>
          </w:pPr>
          <w:r>
            <w:rPr>
              <w:rFonts w:hint="eastAsia" w:asciiTheme="majorEastAsia" w:hAnsiTheme="majorEastAsia" w:eastAsiaTheme="majorEastAsia" w:cstheme="majorEastAsia"/>
              <w:szCs w:val="24"/>
            </w:rPr>
            <w:fldChar w:fldCharType="begin"/>
          </w:r>
          <w:r>
            <w:rPr>
              <w:rFonts w:hint="eastAsia" w:asciiTheme="majorEastAsia" w:hAnsiTheme="majorEastAsia" w:eastAsiaTheme="majorEastAsia" w:cstheme="majorEastAsia"/>
              <w:szCs w:val="24"/>
            </w:rPr>
            <w:instrText xml:space="preserve"> HYPERLINK \l _Toc24128 </w:instrText>
          </w:r>
          <w:r>
            <w:rPr>
              <w:rFonts w:hint="eastAsia" w:asciiTheme="majorEastAsia" w:hAnsiTheme="majorEastAsia" w:eastAsiaTheme="majorEastAsia" w:cstheme="majorEastAsia"/>
              <w:szCs w:val="24"/>
            </w:rPr>
            <w:fldChar w:fldCharType="separate"/>
          </w:r>
          <w:r>
            <w:rPr>
              <w:rFonts w:hint="eastAsia"/>
              <w:bCs w:val="0"/>
            </w:rPr>
            <w:t>十二、</w:t>
          </w:r>
          <w:r>
            <w:rPr>
              <w:rFonts w:hint="eastAsia"/>
              <w:bCs w:val="0"/>
              <w:lang w:eastAsia="zh-CN"/>
            </w:rPr>
            <w:t>国有资本经营预算财政拨款支出决算表</w:t>
          </w:r>
          <w:r>
            <w:tab/>
          </w:r>
          <w:r>
            <w:fldChar w:fldCharType="begin"/>
          </w:r>
          <w:r>
            <w:instrText xml:space="preserve"> PAGEREF _Toc24128 \h </w:instrText>
          </w:r>
          <w:r>
            <w:fldChar w:fldCharType="separate"/>
          </w:r>
          <w:r>
            <w:t>- 83 -</w:t>
          </w:r>
          <w:r>
            <w:fldChar w:fldCharType="end"/>
          </w:r>
          <w:r>
            <w:rPr>
              <w:rFonts w:hint="eastAsia" w:asciiTheme="majorEastAsia" w:hAnsiTheme="majorEastAsia" w:eastAsiaTheme="majorEastAsia" w:cstheme="majorEastAsia"/>
              <w:szCs w:val="24"/>
            </w:rPr>
            <w:fldChar w:fldCharType="end"/>
          </w:r>
        </w:p>
        <w:p>
          <w:pPr>
            <w:pStyle w:val="15"/>
            <w:tabs>
              <w:tab w:val="right" w:leader="dot" w:pos="8306"/>
              <w:tab w:val="clear" w:pos="8296"/>
            </w:tabs>
          </w:pPr>
          <w:r>
            <w:rPr>
              <w:rFonts w:hint="eastAsia" w:asciiTheme="majorEastAsia" w:hAnsiTheme="majorEastAsia" w:eastAsiaTheme="majorEastAsia" w:cstheme="majorEastAsia"/>
              <w:szCs w:val="24"/>
            </w:rPr>
            <w:fldChar w:fldCharType="begin"/>
          </w:r>
          <w:r>
            <w:rPr>
              <w:rFonts w:hint="eastAsia" w:asciiTheme="majorEastAsia" w:hAnsiTheme="majorEastAsia" w:eastAsiaTheme="majorEastAsia" w:cstheme="majorEastAsia"/>
              <w:szCs w:val="24"/>
            </w:rPr>
            <w:instrText xml:space="preserve"> HYPERLINK \l _Toc31666 </w:instrText>
          </w:r>
          <w:r>
            <w:rPr>
              <w:rFonts w:hint="eastAsia" w:asciiTheme="majorEastAsia" w:hAnsiTheme="majorEastAsia" w:eastAsiaTheme="majorEastAsia" w:cstheme="majorEastAsia"/>
              <w:szCs w:val="24"/>
            </w:rPr>
            <w:fldChar w:fldCharType="separate"/>
          </w:r>
          <w:r>
            <w:rPr>
              <w:rFonts w:hint="eastAsia"/>
              <w:bCs w:val="0"/>
            </w:rPr>
            <w:t>十三、</w:t>
          </w:r>
          <w:r>
            <w:rPr>
              <w:rFonts w:hint="eastAsia"/>
              <w:bCs w:val="0"/>
              <w:lang w:eastAsia="zh-CN"/>
            </w:rPr>
            <w:t>财政拨款“三公”经费支出决算表</w:t>
          </w:r>
          <w:r>
            <w:tab/>
          </w:r>
          <w:r>
            <w:fldChar w:fldCharType="begin"/>
          </w:r>
          <w:r>
            <w:instrText xml:space="preserve"> PAGEREF _Toc31666 \h </w:instrText>
          </w:r>
          <w:r>
            <w:fldChar w:fldCharType="separate"/>
          </w:r>
          <w:r>
            <w:t>- 83 -</w:t>
          </w:r>
          <w:r>
            <w:fldChar w:fldCharType="end"/>
          </w:r>
          <w:r>
            <w:rPr>
              <w:rFonts w:hint="eastAsia" w:asciiTheme="majorEastAsia" w:hAnsiTheme="majorEastAsia" w:eastAsiaTheme="majorEastAsia" w:cstheme="majorEastAsia"/>
              <w:szCs w:val="24"/>
            </w:rPr>
            <w:fldChar w:fldCharType="end"/>
          </w:r>
        </w:p>
        <w:p>
          <w:pPr>
            <w:pStyle w:val="41"/>
            <w:tabs>
              <w:tab w:val="right" w:leader="dot" w:pos="8306"/>
            </w:tabs>
            <w:rPr>
              <w:rFonts w:hint="eastAsia" w:ascii="Times New Roman" w:hAnsi="Times New Roman" w:eastAsia="方正小标宋简体" w:cs="方正小标宋简体"/>
              <w:b w:val="0"/>
              <w:color w:val="auto"/>
              <w:highlight w:val="none"/>
            </w:rPr>
            <w:sectPr>
              <w:footerReference r:id="rId6" w:type="first"/>
              <w:footerReference r:id="rId5" w:type="default"/>
              <w:pgSz w:w="11906" w:h="16838"/>
              <w:pgMar w:top="1440" w:right="1800" w:bottom="1440" w:left="1800" w:header="851" w:footer="992" w:gutter="0"/>
              <w:pgNumType w:fmt="numberInDash" w:start="1"/>
              <w:cols w:space="425" w:num="1"/>
              <w:docGrid w:type="lines" w:linePitch="312" w:charSpace="0"/>
            </w:sectPr>
          </w:pPr>
          <w:r>
            <w:rPr>
              <w:rFonts w:hint="eastAsia" w:asciiTheme="majorEastAsia" w:hAnsiTheme="majorEastAsia" w:eastAsiaTheme="majorEastAsia" w:cstheme="majorEastAsia"/>
              <w:szCs w:val="24"/>
            </w:rPr>
            <w:fldChar w:fldCharType="end"/>
          </w:r>
          <w:bookmarkStart w:id="6" w:name="_Toc15396599"/>
          <w:bookmarkStart w:id="7" w:name="_Toc15377196"/>
        </w:p>
      </w:sdtContent>
    </w:sdt>
    <w:p>
      <w:pPr>
        <w:pStyle w:val="3"/>
        <w:jc w:val="center"/>
        <w:rPr>
          <w:rStyle w:val="21"/>
          <w:rFonts w:hint="eastAsia" w:ascii="Times New Roman" w:hAnsi="Times New Roman" w:eastAsia="方正小标宋简体" w:cs="方正小标宋简体"/>
          <w:b/>
          <w:bCs w:val="0"/>
          <w:color w:val="auto"/>
          <w:highlight w:val="none"/>
        </w:rPr>
      </w:pPr>
      <w:bookmarkStart w:id="8" w:name="_Toc16745"/>
      <w:r>
        <w:rPr>
          <w:rFonts w:hint="eastAsia" w:ascii="Times New Roman" w:hAnsi="Times New Roman" w:eastAsia="方正小标宋简体" w:cs="方正小标宋简体"/>
          <w:b w:val="0"/>
          <w:color w:val="auto"/>
          <w:highlight w:val="none"/>
        </w:rPr>
        <w:t>第一部分</w:t>
      </w:r>
      <w:r>
        <w:rPr>
          <w:rFonts w:hint="eastAsia" w:ascii="Times New Roman" w:hAnsi="Times New Roman" w:eastAsia="方正小标宋简体" w:cs="方正小标宋简体"/>
          <w:b w:val="0"/>
          <w:color w:val="auto"/>
          <w:highlight w:val="none"/>
          <w:lang w:val="en-US" w:eastAsia="zh-CN"/>
        </w:rPr>
        <w:t xml:space="preserve"> </w:t>
      </w:r>
      <w:r>
        <w:rPr>
          <w:rFonts w:hint="eastAsia" w:ascii="Times New Roman" w:hAnsi="Times New Roman" w:eastAsia="方正小标宋简体" w:cs="方正小标宋简体"/>
          <w:b w:val="0"/>
          <w:color w:val="auto"/>
          <w:highlight w:val="none"/>
        </w:rPr>
        <w:t xml:space="preserve"> </w:t>
      </w:r>
      <w:r>
        <w:rPr>
          <w:rFonts w:hint="eastAsia" w:eastAsia="方正小标宋简体" w:cs="方正小标宋简体"/>
          <w:b w:val="0"/>
          <w:color w:val="auto"/>
          <w:highlight w:val="none"/>
          <w:lang w:eastAsia="zh-CN"/>
        </w:rPr>
        <w:t>单位</w:t>
      </w:r>
      <w:r>
        <w:rPr>
          <w:rStyle w:val="21"/>
          <w:rFonts w:hint="eastAsia" w:ascii="Times New Roman" w:hAnsi="Times New Roman" w:eastAsia="方正小标宋简体" w:cs="方正小标宋简体"/>
          <w:b w:val="0"/>
          <w:bCs w:val="0"/>
          <w:color w:val="auto"/>
          <w:highlight w:val="none"/>
        </w:rPr>
        <w:t>概况</w:t>
      </w:r>
      <w:bookmarkEnd w:id="6"/>
      <w:bookmarkEnd w:id="7"/>
      <w:bookmarkEnd w:id="8"/>
    </w:p>
    <w:p>
      <w:pPr>
        <w:widowControl/>
        <w:jc w:val="left"/>
        <w:rPr>
          <w:rFonts w:ascii="Times New Roman" w:hAnsi="Times New Roman" w:eastAsia="黑体"/>
          <w:color w:val="auto"/>
          <w:sz w:val="32"/>
          <w:szCs w:val="32"/>
          <w:highlight w:val="none"/>
        </w:rPr>
      </w:pPr>
    </w:p>
    <w:p>
      <w:pPr>
        <w:pStyle w:val="4"/>
        <w:numPr>
          <w:ilvl w:val="0"/>
          <w:numId w:val="1"/>
        </w:numPr>
        <w:rPr>
          <w:rFonts w:hint="eastAsia" w:ascii="Times New Roman" w:hAnsi="Times New Roman" w:eastAsia="黑体"/>
          <w:b w:val="0"/>
          <w:color w:val="auto"/>
          <w:highlight w:val="none"/>
          <w:lang w:eastAsia="zh-CN"/>
        </w:rPr>
      </w:pPr>
      <w:bookmarkStart w:id="9" w:name="_Toc22155"/>
      <w:r>
        <w:rPr>
          <w:rFonts w:hint="eastAsia" w:ascii="Times New Roman" w:hAnsi="Times New Roman" w:eastAsia="黑体"/>
          <w:b w:val="0"/>
          <w:color w:val="auto"/>
          <w:highlight w:val="none"/>
          <w:lang w:eastAsia="zh-CN"/>
        </w:rPr>
        <w:t>主要职责</w:t>
      </w:r>
      <w:bookmarkEnd w:id="9"/>
    </w:p>
    <w:p>
      <w:pPr>
        <w:spacing w:line="576" w:lineRule="exact"/>
        <w:ind w:firstLine="420" w:firstLineChars="200"/>
        <w:rPr>
          <w:rFonts w:hint="eastAsia" w:ascii="仿宋_GB2312" w:hAnsi="仿宋_GB2312" w:eastAsia="仿宋_GB2312" w:cs="仿宋_GB2312"/>
          <w:bCs/>
          <w:sz w:val="32"/>
          <w:szCs w:val="32"/>
        </w:rPr>
      </w:pPr>
      <w:r>
        <w:rPr>
          <w:rFonts w:hint="eastAsia"/>
          <w:lang w:val="en-US" w:eastAsia="zh-CN"/>
        </w:rPr>
        <w:t xml:space="preserve">    </w:t>
      </w:r>
      <w:r>
        <w:rPr>
          <w:rFonts w:hint="eastAsia" w:ascii="仿宋_GB2312" w:hAnsi="仿宋_GB2312" w:eastAsia="仿宋_GB2312" w:cs="仿宋_GB2312"/>
          <w:bCs/>
          <w:sz w:val="32"/>
          <w:szCs w:val="32"/>
        </w:rPr>
        <w:t>市政务服务和数据局负责贯彻落实党中央关于政务服务和数据工作的方针政策和省委、市委决策部署，把坚持和加强党对政务服务和数据工作的集中统一领导落实到履行职责过程中。主要职责是：</w:t>
      </w:r>
    </w:p>
    <w:p>
      <w:pPr>
        <w:spacing w:line="576"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1）贯彻执行国家、省政务服务、信息化建设和数据管理应用等方面的法律法规和政策，组织起草全市政务服务、信息化建设和数据管理应用相关政策并组织实施，拟订并组织实施政务服务和数据发展战略、中长期规划和年度计划。</w:t>
      </w:r>
    </w:p>
    <w:p>
      <w:pPr>
        <w:spacing w:line="576"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（2）负责政务服务体系建设，会同推进全市政务服务标准化、规范化、便利化建设，推进政务服务事项集中办理，牵头指导规范全市政务服务场所设立、窗口设置、业务办理。</w:t>
      </w:r>
    </w:p>
    <w:p>
      <w:pPr>
        <w:spacing w:line="576"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（3）负责推进全市行政审批制度改革，会同相关部门指导县（区）相对集中行政许可权等政务服务改革，负责统筹政务服务事项联合办理工作。</w:t>
      </w:r>
    </w:p>
    <w:p>
      <w:pPr>
        <w:spacing w:line="576"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（4）指导协调全市政务服务工作，指导全市优化政务服务提升行政效能、基层审批服务便民化工作。协调、推进政务服务事项线上线下融合办理。</w:t>
      </w:r>
    </w:p>
    <w:p>
      <w:pPr>
        <w:spacing w:line="576"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（5）统筹协调、监督推进全市政务服务事项进驻市政务服务大厅集中受理、办理。</w:t>
      </w:r>
    </w:p>
    <w:p>
      <w:pPr>
        <w:spacing w:line="576"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6）负责全市公共资源交易管理，编制公共资源交易目录，统筹建设公共资源交易一体化平台体系和服务标准，对公共资源交易项目实施现场监督，维护公共资源交易场所秩序。指导县（区）公共资源交易服务工作。</w:t>
      </w:r>
    </w:p>
    <w:p>
      <w:pPr>
        <w:spacing w:line="576"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（7）建设12345政务服务热线，畅通企业群众诉求渠道，拟订热线服务标准和工作规范，推动热线企业群众合理诉求限时办理。</w:t>
      </w:r>
    </w:p>
    <w:p>
      <w:pPr>
        <w:spacing w:line="576"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（8）统筹建立并落实惠企政策“一站式”兑现、工程建设项目并联审批联合服务等涉企服务工作机制，推进涉企服务增值化改革。</w:t>
      </w:r>
    </w:p>
    <w:p>
      <w:pPr>
        <w:spacing w:line="576"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9）协调推进全市数据基础制度建设，拟订全市数据发展战略、发展规划，拟订全市数据要素产权、流通、分配、治理等政策措施、管理制度并组织实施。建立广元市大数据专家咨询委员会，会同有关部门做好数据人才队伍建设。</w:t>
      </w:r>
    </w:p>
    <w:p>
      <w:pPr>
        <w:spacing w:line="576"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10）统筹推进数据资源整合共享及开发利用，推进数据要素市场化配置改革，拟订数据资源分类分级管理制度。负责全市数据统筹管理、联通共享、开发利用和监督检查。负责政务云资源管理，推动信息系统跨行业、跨部门互联互通。指导县（区）开展数据资源共享利用等工作。</w:t>
      </w:r>
    </w:p>
    <w:p>
      <w:pPr>
        <w:spacing w:line="576" w:lineRule="exac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 xml:space="preserve">   （11）拟订数字广元建设发展规划。统筹推进数字政府建设，负责数字基础设施规划、协调和管理。负责全市信息化建设项目的统筹协调、论证评估和绩效管理。</w:t>
      </w:r>
    </w:p>
    <w:p>
      <w:pPr>
        <w:spacing w:line="576"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（12）牵头推进全市数字经济发展，拟订全市数字经济发展战略、规划、计划、考核并组织实施。</w:t>
      </w:r>
    </w:p>
    <w:p>
      <w:pPr>
        <w:spacing w:line="576"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（13）统筹数字社会规划和建设，牵头推进智慧城市建设工作，协调推动公共服务和社会治理信息化，统筹协调重要信息资源的开发利用与共享。</w:t>
      </w:r>
    </w:p>
    <w:p>
      <w:pPr>
        <w:spacing w:line="576"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（14）统筹推进数字文化、数字生态文明规划建设并组织实施。</w:t>
      </w:r>
    </w:p>
    <w:p>
      <w:pPr>
        <w:numPr>
          <w:ilvl w:val="0"/>
          <w:numId w:val="0"/>
        </w:numPr>
        <w:ind w:firstLine="640" w:firstLineChars="200"/>
        <w:rPr>
          <w:rFonts w:hint="default"/>
          <w:lang w:val="en-US" w:eastAsia="zh-CN"/>
        </w:rPr>
      </w:pPr>
      <w:r>
        <w:rPr>
          <w:rFonts w:hint="eastAsia" w:ascii="仿宋_GB2312" w:hAnsi="仿宋_GB2312" w:eastAsia="仿宋_GB2312" w:cs="仿宋_GB2312"/>
          <w:bCs/>
          <w:sz w:val="32"/>
          <w:szCs w:val="32"/>
        </w:rPr>
        <w:t>（15）完成市委、市政府交办的其他任务。</w:t>
      </w:r>
    </w:p>
    <w:p>
      <w:pPr>
        <w:pStyle w:val="4"/>
        <w:rPr>
          <w:rStyle w:val="22"/>
          <w:rFonts w:ascii="Times New Roman" w:hAnsi="Times New Roman"/>
          <w:b w:val="0"/>
          <w:bCs w:val="0"/>
          <w:color w:val="auto"/>
          <w:highlight w:val="none"/>
        </w:rPr>
      </w:pPr>
      <w:bookmarkStart w:id="10" w:name="_Toc15396601"/>
      <w:bookmarkStart w:id="11" w:name="_Toc15377200"/>
      <w:bookmarkStart w:id="12" w:name="_Toc29297"/>
      <w:r>
        <w:rPr>
          <w:rFonts w:hint="eastAsia" w:ascii="Times New Roman" w:hAnsi="Times New Roman" w:eastAsia="黑体"/>
          <w:b w:val="0"/>
          <w:color w:val="auto"/>
          <w:highlight w:val="none"/>
        </w:rPr>
        <w:t>二、机</w:t>
      </w:r>
      <w:r>
        <w:rPr>
          <w:rStyle w:val="22"/>
          <w:rFonts w:hint="eastAsia" w:ascii="Times New Roman" w:hAnsi="Times New Roman" w:eastAsia="黑体"/>
          <w:b w:val="0"/>
          <w:bCs w:val="0"/>
          <w:color w:val="auto"/>
          <w:highlight w:val="none"/>
        </w:rPr>
        <w:t>构设置</w:t>
      </w:r>
      <w:bookmarkEnd w:id="10"/>
      <w:bookmarkEnd w:id="11"/>
      <w:bookmarkEnd w:id="12"/>
    </w:p>
    <w:p>
      <w:pPr>
        <w:ind w:firstLine="800" w:firstLineChars="250"/>
        <w:rPr>
          <w:rFonts w:hint="default" w:ascii="Times New Roman" w:hAnsi="Times New Roman"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我单位为</w:t>
      </w:r>
      <w:r>
        <w:rPr>
          <w:rFonts w:hint="eastAsia" w:ascii="仿宋_GB2312" w:hAnsi="仿宋_GB2312" w:eastAsia="仿宋_GB2312" w:cs="仿宋_GB2312"/>
          <w:color w:val="auto"/>
          <w:sz w:val="32"/>
          <w:szCs w:val="32"/>
          <w:highlight w:val="none"/>
        </w:rPr>
        <w:t>广元市政务服务和数据局</w:t>
      </w:r>
      <w:r>
        <w:rPr>
          <w:rFonts w:hint="eastAsia" w:ascii="仿宋_GB2312" w:hAnsi="仿宋_GB2312" w:eastAsia="仿宋_GB2312" w:cs="仿宋_GB2312"/>
          <w:color w:val="auto"/>
          <w:sz w:val="32"/>
          <w:szCs w:val="32"/>
          <w:highlight w:val="none"/>
          <w:lang w:eastAsia="zh-CN"/>
        </w:rPr>
        <w:t>部门</w:t>
      </w:r>
      <w:r>
        <w:rPr>
          <w:rFonts w:hint="eastAsia" w:ascii="Times New Roman" w:hAnsi="Times New Roman" w:eastAsia="仿宋_GB2312" w:cs="仿宋_GB2312"/>
          <w:color w:val="auto"/>
          <w:sz w:val="32"/>
          <w:szCs w:val="32"/>
          <w:highlight w:val="none"/>
        </w:rPr>
        <w:t>下属二级</w:t>
      </w:r>
      <w:r>
        <w:rPr>
          <w:rFonts w:hint="eastAsia" w:ascii="Times New Roman" w:hAnsi="Times New Roman" w:eastAsia="仿宋_GB2312" w:cs="仿宋_GB2312"/>
          <w:color w:val="auto"/>
          <w:sz w:val="32"/>
          <w:szCs w:val="32"/>
          <w:highlight w:val="none"/>
          <w:lang w:eastAsia="zh-CN"/>
        </w:rPr>
        <w:t>预算</w:t>
      </w:r>
      <w:r>
        <w:rPr>
          <w:rFonts w:hint="eastAsia" w:ascii="Times New Roman" w:hAnsi="Times New Roman" w:eastAsia="仿宋_GB2312" w:cs="仿宋_GB2312"/>
          <w:color w:val="auto"/>
          <w:sz w:val="32"/>
          <w:szCs w:val="32"/>
          <w:highlight w:val="none"/>
        </w:rPr>
        <w:t>单位</w:t>
      </w:r>
      <w:r>
        <w:rPr>
          <w:rFonts w:hint="eastAsia" w:eastAsia="仿宋_GB2312" w:cs="仿宋_GB2312"/>
          <w:color w:val="auto"/>
          <w:sz w:val="32"/>
          <w:szCs w:val="32"/>
          <w:highlight w:val="none"/>
          <w:lang w:eastAsia="zh-CN"/>
        </w:rPr>
        <w:t>，根据单位职责分工，单位内设机构</w:t>
      </w:r>
      <w:r>
        <w:rPr>
          <w:rFonts w:hint="eastAsia" w:eastAsia="仿宋_GB2312" w:cs="仿宋_GB2312"/>
          <w:color w:val="auto"/>
          <w:sz w:val="32"/>
          <w:szCs w:val="32"/>
          <w:highlight w:val="none"/>
          <w:lang w:val="en-US" w:eastAsia="zh-CN"/>
        </w:rPr>
        <w:t>6个，</w:t>
      </w:r>
      <w:r>
        <w:rPr>
          <w:rFonts w:hint="eastAsia" w:eastAsia="仿宋_GB2312" w:cs="仿宋_GB2312"/>
          <w:color w:val="auto"/>
          <w:sz w:val="32"/>
          <w:szCs w:val="32"/>
          <w:highlight w:val="none"/>
          <w:lang w:eastAsia="zh-CN"/>
        </w:rPr>
        <w:t>包括</w:t>
      </w:r>
      <w:r>
        <w:rPr>
          <w:rFonts w:hint="eastAsia" w:ascii="仿宋_GB2312" w:hAnsi="仿宋_GB2312" w:eastAsia="仿宋_GB2312" w:cs="仿宋_GB2312"/>
          <w:bCs/>
          <w:sz w:val="32"/>
          <w:szCs w:val="32"/>
        </w:rPr>
        <w:t>办公室、政务服务管理科（行政审批制度改革科）、公共资源交易监督管理科、数据规划与建设科、数据资源与数字经济科及机关党委</w:t>
      </w:r>
      <w:r>
        <w:rPr>
          <w:rFonts w:hint="eastAsia" w:ascii="仿宋_GB2312" w:hAnsi="仿宋_GB2312" w:eastAsia="仿宋_GB2312" w:cs="仿宋_GB2312"/>
          <w:bCs/>
          <w:sz w:val="32"/>
          <w:szCs w:val="32"/>
          <w:lang w:eastAsia="zh-CN"/>
        </w:rPr>
        <w:t>。本单位下属机构</w:t>
      </w:r>
      <w:r>
        <w:rPr>
          <w:rFonts w:hint="eastAsia" w:ascii="仿宋_GB2312" w:hAnsi="仿宋_GB2312" w:eastAsia="仿宋_GB2312" w:cs="仿宋_GB2312"/>
          <w:bCs/>
          <w:sz w:val="32"/>
          <w:szCs w:val="32"/>
          <w:lang w:val="en-US" w:eastAsia="zh-CN"/>
        </w:rPr>
        <w:t>2个，包括广元市政务服务和数据局、广元市大数据事务中心。</w:t>
      </w:r>
    </w:p>
    <w:p>
      <w:pPr>
        <w:widowControl/>
        <w:jc w:val="left"/>
        <w:rPr>
          <w:rFonts w:ascii="Times New Roman" w:hAnsi="Times New Roman" w:eastAsia="仿宋"/>
          <w:color w:val="auto"/>
          <w:kern w:val="0"/>
          <w:sz w:val="32"/>
          <w:szCs w:val="32"/>
          <w:highlight w:val="none"/>
        </w:rPr>
      </w:pPr>
      <w:r>
        <w:rPr>
          <w:rFonts w:ascii="Times New Roman" w:hAnsi="Times New Roman" w:eastAsia="仿宋"/>
          <w:color w:val="auto"/>
          <w:sz w:val="32"/>
          <w:szCs w:val="32"/>
          <w:highlight w:val="none"/>
        </w:rPr>
        <w:br w:type="page"/>
      </w:r>
    </w:p>
    <w:p>
      <w:pPr>
        <w:pStyle w:val="3"/>
        <w:jc w:val="center"/>
        <w:rPr>
          <w:rFonts w:hint="eastAsia" w:ascii="Times New Roman" w:hAnsi="Times New Roman" w:eastAsia="方正小标宋简体" w:cs="方正小标宋简体"/>
          <w:b w:val="0"/>
          <w:color w:val="auto"/>
          <w:highlight w:val="none"/>
        </w:rPr>
      </w:pPr>
      <w:bookmarkStart w:id="13" w:name="_Toc15396602"/>
      <w:bookmarkStart w:id="14" w:name="_Toc15377204"/>
      <w:bookmarkStart w:id="15" w:name="_Toc22924"/>
      <w:r>
        <w:rPr>
          <w:rFonts w:hint="eastAsia" w:ascii="Times New Roman" w:hAnsi="Times New Roman" w:eastAsia="方正小标宋简体" w:cs="方正小标宋简体"/>
          <w:b w:val="0"/>
          <w:color w:val="auto"/>
          <w:highlight w:val="none"/>
        </w:rPr>
        <w:t>第二部分</w:t>
      </w:r>
      <w:r>
        <w:rPr>
          <w:rFonts w:hint="eastAsia" w:ascii="Times New Roman" w:hAnsi="Times New Roman" w:eastAsia="方正小标宋简体" w:cs="方正小标宋简体"/>
          <w:b w:val="0"/>
          <w:color w:val="auto"/>
          <w:highlight w:val="none"/>
          <w:lang w:val="en-US" w:eastAsia="zh-CN"/>
        </w:rPr>
        <w:t xml:space="preserve"> </w:t>
      </w:r>
      <w:r>
        <w:rPr>
          <w:rFonts w:hint="eastAsia" w:ascii="Times New Roman" w:hAnsi="Times New Roman" w:eastAsia="方正小标宋简体" w:cs="方正小标宋简体"/>
          <w:b w:val="0"/>
          <w:color w:val="auto"/>
          <w:highlight w:val="none"/>
        </w:rPr>
        <w:t xml:space="preserve"> </w:t>
      </w:r>
      <w:r>
        <w:rPr>
          <w:rFonts w:hint="eastAsia" w:ascii="Times New Roman" w:hAnsi="Times New Roman" w:eastAsia="方正小标宋简体" w:cs="方正小标宋简体"/>
          <w:b w:val="0"/>
          <w:color w:val="auto"/>
          <w:highlight w:val="none"/>
          <w:lang w:val="en-US" w:eastAsia="zh-CN"/>
        </w:rPr>
        <w:t>2024年度</w:t>
      </w:r>
      <w:r>
        <w:rPr>
          <w:rFonts w:hint="eastAsia" w:eastAsia="方正小标宋简体" w:cs="方正小标宋简体"/>
          <w:b w:val="0"/>
          <w:color w:val="auto"/>
          <w:highlight w:val="none"/>
          <w:lang w:eastAsia="zh-CN"/>
        </w:rPr>
        <w:t>单位</w:t>
      </w:r>
      <w:r>
        <w:rPr>
          <w:rFonts w:hint="eastAsia" w:ascii="Times New Roman" w:hAnsi="Times New Roman" w:eastAsia="方正小标宋简体" w:cs="方正小标宋简体"/>
          <w:b w:val="0"/>
          <w:color w:val="auto"/>
          <w:highlight w:val="none"/>
        </w:rPr>
        <w:t>决算情况说明</w:t>
      </w:r>
      <w:bookmarkEnd w:id="13"/>
      <w:bookmarkEnd w:id="14"/>
      <w:bookmarkEnd w:id="15"/>
    </w:p>
    <w:p>
      <w:pPr>
        <w:rPr>
          <w:rFonts w:ascii="Times New Roman" w:hAnsi="Times New Roman"/>
          <w:color w:val="auto"/>
          <w:highlight w:val="none"/>
        </w:rPr>
      </w:pPr>
    </w:p>
    <w:p>
      <w:pPr>
        <w:pStyle w:val="34"/>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22"/>
          <w:rFonts w:hint="eastAsia" w:ascii="Times New Roman" w:hAnsi="Times New Roman" w:eastAsia="黑体"/>
          <w:b w:val="0"/>
          <w:color w:val="auto"/>
          <w:highlight w:val="none"/>
        </w:rPr>
      </w:pPr>
      <w:bookmarkStart w:id="16" w:name="_Toc15396603"/>
      <w:bookmarkStart w:id="17" w:name="_Toc15377205"/>
      <w:bookmarkStart w:id="18" w:name="_Toc19908"/>
      <w:r>
        <w:rPr>
          <w:rFonts w:hint="eastAsia" w:ascii="Times New Roman" w:hAnsi="Times New Roman" w:eastAsia="黑体"/>
          <w:color w:val="auto"/>
          <w:sz w:val="32"/>
          <w:szCs w:val="32"/>
          <w:highlight w:val="none"/>
          <w:lang w:eastAsia="zh-CN"/>
        </w:rPr>
        <w:t>一、</w:t>
      </w:r>
      <w:r>
        <w:rPr>
          <w:rFonts w:hint="eastAsia" w:ascii="Times New Roman" w:hAnsi="Times New Roman" w:eastAsia="黑体"/>
          <w:color w:val="auto"/>
          <w:sz w:val="32"/>
          <w:szCs w:val="32"/>
          <w:highlight w:val="none"/>
        </w:rPr>
        <w:t>收</w:t>
      </w:r>
      <w:r>
        <w:rPr>
          <w:rStyle w:val="22"/>
          <w:rFonts w:hint="eastAsia" w:ascii="Times New Roman" w:hAnsi="Times New Roman" w:eastAsia="黑体"/>
          <w:b w:val="0"/>
          <w:color w:val="auto"/>
          <w:highlight w:val="none"/>
        </w:rPr>
        <w:t>入支出决算总体情况说明</w:t>
      </w:r>
      <w:bookmarkEnd w:id="16"/>
      <w:bookmarkEnd w:id="17"/>
      <w:bookmarkEnd w:id="18"/>
    </w:p>
    <w:p>
      <w:pPr>
        <w:pStyle w:val="34"/>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仿宋_GB2312" w:cs="仿宋_GB2312"/>
          <w:color w:val="auto"/>
          <w:sz w:val="32"/>
          <w:szCs w:val="32"/>
          <w:highlight w:val="none"/>
          <w:lang w:eastAsia="zh-CN"/>
        </w:rPr>
      </w:pPr>
      <w:bookmarkStart w:id="19" w:name="_Toc9911"/>
      <w:r>
        <w:rPr>
          <w:rFonts w:hint="eastAsia" w:ascii="仿宋_GB2312" w:hAnsi="仿宋_GB2312" w:eastAsia="仿宋_GB2312" w:cs="仿宋_GB2312"/>
          <w:color w:val="auto"/>
          <w:sz w:val="32"/>
          <w:szCs w:val="32"/>
          <w:highlight w:val="none"/>
          <w:lang w:eastAsia="zh-CN"/>
        </w:rPr>
        <w:t>2024</w:t>
      </w:r>
      <w:r>
        <w:rPr>
          <w:rFonts w:hint="eastAsia" w:ascii="Times New Roman" w:hAnsi="Times New Roman" w:eastAsia="仿宋_GB2312" w:cs="仿宋_GB2312"/>
          <w:color w:val="auto"/>
          <w:sz w:val="32"/>
          <w:szCs w:val="32"/>
          <w:highlight w:val="none"/>
          <w:lang w:eastAsia="zh-CN"/>
        </w:rPr>
        <w:t>年度收入、支出总计均为</w:t>
      </w:r>
      <w:r>
        <w:rPr>
          <w:rFonts w:hint="eastAsia" w:ascii="仿宋_GB2312" w:hAnsi="仿宋_GB2312" w:eastAsia="仿宋_GB2312" w:cs="仿宋_GB2312"/>
          <w:color w:val="auto"/>
          <w:sz w:val="32"/>
          <w:szCs w:val="32"/>
          <w:highlight w:val="none"/>
          <w:lang w:eastAsia="zh-CN"/>
        </w:rPr>
        <w:t>1849.78万元。与202</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eastAsia="zh-CN"/>
        </w:rPr>
        <w:t>年度相比，收入、支出总计各增加</w:t>
      </w:r>
      <w:r>
        <w:rPr>
          <w:rFonts w:hint="eastAsia" w:ascii="仿宋_GB2312" w:hAnsi="仿宋_GB2312" w:eastAsia="仿宋_GB2312" w:cs="仿宋_GB2312"/>
          <w:color w:val="auto"/>
          <w:sz w:val="32"/>
          <w:szCs w:val="32"/>
          <w:highlight w:val="none"/>
          <w:lang w:val="en-US" w:eastAsia="zh-CN"/>
        </w:rPr>
        <w:t>365.01</w:t>
      </w:r>
      <w:r>
        <w:rPr>
          <w:rFonts w:hint="eastAsia" w:ascii="仿宋_GB2312" w:hAnsi="仿宋_GB2312" w:eastAsia="仿宋_GB2312" w:cs="仿宋_GB2312"/>
          <w:color w:val="auto"/>
          <w:sz w:val="32"/>
          <w:szCs w:val="32"/>
          <w:highlight w:val="none"/>
          <w:lang w:eastAsia="zh-CN"/>
        </w:rPr>
        <w:t>万元，增长24.58%。</w:t>
      </w:r>
      <w:r>
        <w:rPr>
          <w:rFonts w:hint="eastAsia" w:ascii="Times New Roman" w:hAnsi="Times New Roman" w:eastAsia="仿宋_GB2312" w:cs="仿宋_GB2312"/>
          <w:color w:val="auto"/>
          <w:sz w:val="32"/>
          <w:szCs w:val="32"/>
          <w:highlight w:val="none"/>
        </w:rPr>
        <w:t>主要变动原因是</w:t>
      </w:r>
      <w:r>
        <w:rPr>
          <w:rFonts w:hint="eastAsia" w:ascii="仿宋_GB2312" w:hAnsi="仿宋" w:eastAsia="仿宋_GB2312"/>
          <w:sz w:val="32"/>
          <w:szCs w:val="32"/>
          <w:lang w:val="en-US" w:eastAsia="zh-CN"/>
        </w:rPr>
        <w:t>2024年</w:t>
      </w:r>
      <w:r>
        <w:rPr>
          <w:rFonts w:hint="eastAsia" w:ascii="仿宋_GB2312" w:hAnsi="仿宋" w:eastAsia="仿宋_GB2312"/>
          <w:sz w:val="32"/>
          <w:szCs w:val="32"/>
        </w:rPr>
        <w:t>因机构改革划转5名人员至我单位导致基本支出增加，同时</w:t>
      </w:r>
      <w:r>
        <w:rPr>
          <w:rFonts w:hint="eastAsia" w:ascii="仿宋_GB2312" w:hAnsi="仿宋" w:eastAsia="仿宋_GB2312"/>
          <w:sz w:val="32"/>
          <w:szCs w:val="32"/>
          <w:lang w:val="en-US" w:eastAsia="zh-CN"/>
        </w:rPr>
        <w:t>2024</w:t>
      </w:r>
      <w:r>
        <w:rPr>
          <w:rFonts w:hint="eastAsia" w:ascii="仿宋_GB2312" w:hAnsi="仿宋" w:eastAsia="仿宋_GB2312"/>
          <w:sz w:val="32"/>
          <w:szCs w:val="32"/>
        </w:rPr>
        <w:t>年度新增市政务服务标杆大厅创建场地服务设施改造及数智服务建设等专项项目导致项目经费增加。</w:t>
      </w:r>
      <w:bookmarkEnd w:id="19"/>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（图1：</w:t>
      </w:r>
      <w:r>
        <w:rPr>
          <w:rFonts w:hint="eastAsia" w:ascii="Times New Roman" w:hAnsi="Times New Roman" w:eastAsia="仿宋_GB2312" w:cs="仿宋_GB2312"/>
          <w:color w:val="auto"/>
          <w:sz w:val="32"/>
          <w:szCs w:val="32"/>
          <w:highlight w:val="none"/>
          <w:lang w:eastAsia="zh-CN"/>
        </w:rPr>
        <w:t>收入</w:t>
      </w:r>
      <w:r>
        <w:rPr>
          <w:rFonts w:hint="eastAsia" w:ascii="Times New Roman" w:hAnsi="Times New Roman" w:eastAsia="仿宋_GB2312" w:cs="仿宋_GB2312"/>
          <w:color w:val="auto"/>
          <w:sz w:val="32"/>
          <w:szCs w:val="32"/>
          <w:highlight w:val="none"/>
        </w:rPr>
        <w:t>、</w:t>
      </w:r>
      <w:r>
        <w:rPr>
          <w:rFonts w:hint="eastAsia" w:ascii="Times New Roman" w:hAnsi="Times New Roman" w:eastAsia="仿宋_GB2312" w:cs="仿宋_GB2312"/>
          <w:color w:val="auto"/>
          <w:sz w:val="32"/>
          <w:szCs w:val="32"/>
          <w:highlight w:val="none"/>
          <w:lang w:eastAsia="zh-CN"/>
        </w:rPr>
        <w:t>支出</w:t>
      </w:r>
      <w:r>
        <w:rPr>
          <w:rFonts w:hint="eastAsia" w:ascii="Times New Roman" w:hAnsi="Times New Roman" w:eastAsia="仿宋_GB2312" w:cs="仿宋_GB2312"/>
          <w:color w:val="auto"/>
          <w:sz w:val="32"/>
          <w:szCs w:val="32"/>
          <w:highlight w:val="none"/>
        </w:rPr>
        <w:t>决算总计变动情况图）（柱状图）</w:t>
      </w:r>
    </w:p>
    <w:p>
      <w:pPr>
        <w:pStyle w:val="24"/>
        <w:rPr>
          <w:rFonts w:hint="eastAsia"/>
        </w:rPr>
      </w:pPr>
    </w:p>
    <w:p>
      <w:pPr>
        <w:keepNext w:val="0"/>
        <w:keepLines w:val="0"/>
        <w:pageBreakBefore w:val="0"/>
        <w:widowControl w:val="0"/>
        <w:kinsoku/>
        <w:wordWrap/>
        <w:overflowPunct/>
        <w:topLinePunct w:val="0"/>
        <w:autoSpaceDE/>
        <w:autoSpaceDN/>
        <w:bidi w:val="0"/>
        <w:adjustRightInd/>
        <w:snapToGrid/>
        <w:ind w:firstLine="640" w:firstLineChars="200"/>
        <w:jc w:val="center"/>
        <w:textAlignment w:val="auto"/>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drawing>
          <wp:inline distT="0" distB="0" distL="114300" distR="114300">
            <wp:extent cx="4728845" cy="3573780"/>
            <wp:effectExtent l="4445" t="4445" r="10160" b="2222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pStyle w:val="24"/>
        <w:rPr>
          <w:rFonts w:hint="eastAsia"/>
          <w:lang w:eastAsia="zh-CN"/>
        </w:rPr>
      </w:pPr>
    </w:p>
    <w:p>
      <w:pPr>
        <w:pStyle w:val="34"/>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黑体"/>
          <w:color w:val="auto"/>
          <w:sz w:val="32"/>
          <w:szCs w:val="32"/>
          <w:highlight w:val="none"/>
          <w:lang w:eastAsia="zh-CN"/>
        </w:rPr>
      </w:pPr>
      <w:bookmarkStart w:id="20" w:name="_Toc15396604"/>
      <w:bookmarkStart w:id="21" w:name="_Toc15377206"/>
      <w:bookmarkStart w:id="22" w:name="_Toc9338"/>
      <w:r>
        <w:rPr>
          <w:rFonts w:hint="eastAsia" w:ascii="Times New Roman" w:hAnsi="Times New Roman" w:eastAsia="黑体"/>
          <w:color w:val="auto"/>
          <w:sz w:val="32"/>
          <w:szCs w:val="32"/>
          <w:highlight w:val="none"/>
          <w:lang w:eastAsia="zh-CN"/>
        </w:rPr>
        <w:t>二、收入决算情况说明</w:t>
      </w:r>
      <w:bookmarkEnd w:id="20"/>
      <w:bookmarkEnd w:id="21"/>
      <w:bookmarkEnd w:id="22"/>
    </w:p>
    <w:p>
      <w:pPr>
        <w:pStyle w:val="34"/>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Times New Roman" w:hAnsi="Times New Roman" w:eastAsia="仿宋_GB2312" w:cs="仿宋_GB2312"/>
          <w:b/>
          <w:bCs/>
          <w:color w:val="auto"/>
          <w:sz w:val="32"/>
          <w:szCs w:val="32"/>
          <w:highlight w:val="none"/>
          <w:lang w:eastAsia="zh-CN"/>
        </w:rPr>
      </w:pPr>
      <w:bookmarkStart w:id="23" w:name="_Toc21769"/>
      <w:r>
        <w:rPr>
          <w:rFonts w:hint="eastAsia" w:ascii="仿宋_GB2312" w:hAnsi="仿宋_GB2312" w:eastAsia="仿宋_GB2312" w:cs="仿宋_GB2312"/>
          <w:color w:val="auto"/>
          <w:sz w:val="32"/>
          <w:szCs w:val="32"/>
          <w:highlight w:val="none"/>
          <w:lang w:eastAsia="zh-CN"/>
        </w:rPr>
        <w:t>2024年度本年收入合计</w:t>
      </w:r>
      <w:r>
        <w:rPr>
          <w:rFonts w:hint="eastAsia" w:ascii="仿宋_GB2312" w:hAnsi="仿宋_GB2312" w:eastAsia="仿宋_GB2312" w:cs="仿宋_GB2312"/>
          <w:sz w:val="32"/>
          <w:szCs w:val="32"/>
        </w:rPr>
        <w:t>1848.54万元，其中：一般公共预算财政拨款收入1848.54</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100</w:t>
      </w:r>
      <w:r>
        <w:rPr>
          <w:rFonts w:hint="eastAsia" w:ascii="仿宋_GB2312" w:hAnsi="仿宋_GB2312" w:eastAsia="仿宋_GB2312" w:cs="仿宋_GB2312"/>
          <w:color w:val="auto"/>
          <w:sz w:val="32"/>
          <w:szCs w:val="32"/>
          <w:highlight w:val="none"/>
          <w:lang w:eastAsia="zh-CN"/>
        </w:rPr>
        <w:t>%。</w:t>
      </w:r>
      <w:bookmarkEnd w:id="23"/>
    </w:p>
    <w:p>
      <w:pPr>
        <w:ind w:firstLine="800" w:firstLineChars="250"/>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（图2：收入决算结构图）（饼状图）</w:t>
      </w:r>
    </w:p>
    <w:p>
      <w:pPr>
        <w:pStyle w:val="24"/>
        <w:rPr>
          <w:rFonts w:hint="eastAsia"/>
          <w:lang w:eastAsia="zh-CN"/>
        </w:rPr>
      </w:pPr>
    </w:p>
    <w:p>
      <w:pPr>
        <w:pStyle w:val="24"/>
        <w:rPr>
          <w:rFonts w:hint="eastAsia"/>
          <w:lang w:eastAsia="zh-CN"/>
        </w:rPr>
      </w:pPr>
      <w:r>
        <w:rPr>
          <w:rFonts w:hint="eastAsia"/>
          <w:lang w:eastAsia="zh-CN"/>
        </w:rPr>
        <w:drawing>
          <wp:inline distT="0" distB="0" distL="114300" distR="114300">
            <wp:extent cx="4813935" cy="3514725"/>
            <wp:effectExtent l="4445" t="4445" r="20320" b="508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pStyle w:val="24"/>
        <w:ind w:left="0" w:leftChars="0" w:firstLine="0" w:firstLineChars="0"/>
        <w:rPr>
          <w:rFonts w:hint="eastAsia"/>
          <w:lang w:eastAsia="zh-CN"/>
        </w:rPr>
      </w:pPr>
    </w:p>
    <w:p>
      <w:pPr>
        <w:pStyle w:val="34"/>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22"/>
          <w:rFonts w:hint="eastAsia" w:ascii="Times New Roman" w:hAnsi="Times New Roman" w:eastAsia="黑体"/>
          <w:b w:val="0"/>
          <w:color w:val="auto"/>
          <w:highlight w:val="none"/>
        </w:rPr>
      </w:pPr>
      <w:bookmarkStart w:id="24" w:name="_Toc15044"/>
      <w:bookmarkStart w:id="25" w:name="_Toc15377207"/>
      <w:bookmarkStart w:id="26" w:name="_Toc15396605"/>
      <w:r>
        <w:rPr>
          <w:rFonts w:hint="eastAsia" w:ascii="Times New Roman" w:hAnsi="Times New Roman" w:eastAsia="黑体"/>
          <w:color w:val="auto"/>
          <w:sz w:val="32"/>
          <w:szCs w:val="32"/>
          <w:highlight w:val="none"/>
          <w:lang w:eastAsia="zh-CN"/>
        </w:rPr>
        <w:t>三、</w:t>
      </w:r>
      <w:r>
        <w:rPr>
          <w:rFonts w:hint="eastAsia" w:ascii="Times New Roman" w:hAnsi="Times New Roman" w:eastAsia="黑体"/>
          <w:color w:val="auto"/>
          <w:sz w:val="32"/>
          <w:szCs w:val="32"/>
          <w:highlight w:val="none"/>
        </w:rPr>
        <w:t>支</w:t>
      </w:r>
      <w:r>
        <w:rPr>
          <w:rStyle w:val="22"/>
          <w:rFonts w:hint="eastAsia" w:ascii="Times New Roman" w:hAnsi="Times New Roman" w:eastAsia="黑体"/>
          <w:b w:val="0"/>
          <w:color w:val="auto"/>
          <w:highlight w:val="none"/>
        </w:rPr>
        <w:t>出决算情况说明</w:t>
      </w:r>
      <w:bookmarkEnd w:id="24"/>
      <w:bookmarkEnd w:id="25"/>
      <w:bookmarkEnd w:id="26"/>
    </w:p>
    <w:p>
      <w:pPr>
        <w:pStyle w:val="34"/>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Times New Roman" w:hAnsi="Times New Roman" w:eastAsia="仿宋_GB2312" w:cs="仿宋_GB2312"/>
          <w:color w:val="auto"/>
          <w:sz w:val="32"/>
          <w:szCs w:val="32"/>
          <w:highlight w:val="none"/>
          <w:lang w:eastAsia="zh-CN"/>
        </w:rPr>
      </w:pPr>
      <w:bookmarkStart w:id="27" w:name="_Toc1168"/>
      <w:r>
        <w:rPr>
          <w:rFonts w:hint="eastAsia" w:ascii="仿宋_GB2312" w:hAnsi="仿宋_GB2312" w:eastAsia="仿宋_GB2312" w:cs="仿宋_GB2312"/>
          <w:color w:val="auto"/>
          <w:sz w:val="32"/>
          <w:szCs w:val="32"/>
          <w:highlight w:val="none"/>
          <w:lang w:eastAsia="zh-CN"/>
        </w:rPr>
        <w:t>2024年度本年支出合计</w:t>
      </w:r>
      <w:r>
        <w:rPr>
          <w:rFonts w:hint="eastAsia" w:ascii="仿宋_GB2312" w:hAnsi="仿宋_GB2312" w:eastAsia="仿宋_GB2312" w:cs="仿宋_GB2312"/>
          <w:sz w:val="32"/>
          <w:szCs w:val="32"/>
        </w:rPr>
        <w:t>1849.53</w:t>
      </w:r>
      <w:r>
        <w:rPr>
          <w:rFonts w:hint="eastAsia" w:ascii="仿宋_GB2312" w:hAnsi="仿宋_GB2312" w:eastAsia="仿宋_GB2312" w:cs="仿宋_GB2312"/>
          <w:color w:val="auto"/>
          <w:sz w:val="32"/>
          <w:szCs w:val="32"/>
          <w:highlight w:val="none"/>
          <w:lang w:eastAsia="zh-CN"/>
        </w:rPr>
        <w:t>万元，其中：基本支出</w:t>
      </w:r>
      <w:r>
        <w:rPr>
          <w:rFonts w:hint="eastAsia" w:ascii="仿宋_GB2312" w:hAnsi="仿宋_GB2312" w:eastAsia="仿宋_GB2312" w:cs="仿宋_GB2312"/>
          <w:sz w:val="32"/>
          <w:szCs w:val="32"/>
        </w:rPr>
        <w:t>408.89</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22.1</w:t>
      </w:r>
      <w:r>
        <w:rPr>
          <w:rFonts w:hint="eastAsia" w:ascii="仿宋_GB2312" w:hAnsi="仿宋_GB2312" w:eastAsia="仿宋_GB2312" w:cs="仿宋_GB2312"/>
          <w:color w:val="auto"/>
          <w:sz w:val="32"/>
          <w:szCs w:val="32"/>
          <w:highlight w:val="none"/>
          <w:lang w:eastAsia="zh-CN"/>
        </w:rPr>
        <w:t>%；项目支出</w:t>
      </w:r>
      <w:r>
        <w:rPr>
          <w:rFonts w:hint="eastAsia" w:ascii="仿宋_GB2312" w:hAnsi="仿宋_GB2312" w:eastAsia="仿宋_GB2312" w:cs="仿宋_GB2312"/>
          <w:sz w:val="32"/>
          <w:szCs w:val="32"/>
        </w:rPr>
        <w:t>1440.64</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77.89</w:t>
      </w:r>
      <w:r>
        <w:rPr>
          <w:rFonts w:hint="eastAsia" w:ascii="仿宋_GB2312" w:hAnsi="仿宋_GB2312" w:eastAsia="仿宋_GB2312" w:cs="仿宋_GB2312"/>
          <w:color w:val="auto"/>
          <w:sz w:val="32"/>
          <w:szCs w:val="32"/>
          <w:highlight w:val="none"/>
          <w:lang w:eastAsia="zh-CN"/>
        </w:rPr>
        <w:t>%。</w:t>
      </w:r>
      <w:bookmarkEnd w:id="27"/>
    </w:p>
    <w:p>
      <w:pPr>
        <w:ind w:firstLine="800" w:firstLineChars="250"/>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（图3：支出决算结构图）（饼状图）</w:t>
      </w:r>
    </w:p>
    <w:p>
      <w:pPr>
        <w:pStyle w:val="24"/>
        <w:rPr>
          <w:rFonts w:hint="eastAsia"/>
          <w:lang w:eastAsia="zh-CN"/>
        </w:rPr>
      </w:pPr>
      <w:r>
        <w:rPr>
          <w:rFonts w:hint="eastAsia"/>
          <w:lang w:eastAsia="zh-CN"/>
        </w:rPr>
        <w:drawing>
          <wp:inline distT="0" distB="0" distL="114300" distR="114300">
            <wp:extent cx="5177155" cy="3609975"/>
            <wp:effectExtent l="4445" t="4445" r="19050" b="508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ind w:firstLine="800" w:firstLineChars="250"/>
        <w:rPr>
          <w:rFonts w:hint="eastAsia" w:ascii="Times New Roman" w:hAnsi="Times New Roman" w:eastAsia="仿宋_GB2312" w:cs="仿宋_GB2312"/>
          <w:color w:val="auto"/>
          <w:sz w:val="32"/>
          <w:szCs w:val="32"/>
          <w:highlight w:val="none"/>
          <w:lang w:eastAsia="zh-CN"/>
        </w:rPr>
      </w:pPr>
    </w:p>
    <w:p>
      <w:pPr>
        <w:spacing w:line="600" w:lineRule="exact"/>
        <w:ind w:firstLine="640" w:firstLineChars="200"/>
        <w:outlineLvl w:val="1"/>
        <w:rPr>
          <w:rStyle w:val="22"/>
          <w:rFonts w:ascii="Times New Roman" w:hAnsi="Times New Roman" w:eastAsia="黑体"/>
          <w:b w:val="0"/>
          <w:color w:val="auto"/>
          <w:highlight w:val="none"/>
        </w:rPr>
      </w:pPr>
      <w:bookmarkStart w:id="28" w:name="_Toc15377208"/>
      <w:bookmarkStart w:id="29" w:name="_Toc15396606"/>
      <w:bookmarkStart w:id="30" w:name="_Toc21157"/>
      <w:r>
        <w:rPr>
          <w:rFonts w:hint="eastAsia" w:ascii="Times New Roman" w:hAnsi="Times New Roman" w:eastAsia="黑体"/>
          <w:color w:val="auto"/>
          <w:sz w:val="32"/>
          <w:szCs w:val="32"/>
          <w:highlight w:val="none"/>
        </w:rPr>
        <w:t>四、财</w:t>
      </w:r>
      <w:r>
        <w:rPr>
          <w:rStyle w:val="22"/>
          <w:rFonts w:hint="eastAsia" w:ascii="Times New Roman" w:hAnsi="Times New Roman" w:eastAsia="黑体"/>
          <w:b w:val="0"/>
          <w:color w:val="auto"/>
          <w:highlight w:val="none"/>
        </w:rPr>
        <w:t>政拨款收入支出决算总体情况说明</w:t>
      </w:r>
      <w:bookmarkEnd w:id="28"/>
      <w:bookmarkEnd w:id="29"/>
      <w:bookmarkEnd w:id="30"/>
    </w:p>
    <w:p>
      <w:pPr>
        <w:pStyle w:val="34"/>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仿宋_GB2312" w:cs="仿宋_GB2312"/>
          <w:color w:val="auto"/>
          <w:kern w:val="2"/>
          <w:sz w:val="32"/>
          <w:szCs w:val="32"/>
          <w:highlight w:val="none"/>
          <w:lang w:val="en-US" w:eastAsia="zh-CN" w:bidi="ar-SA"/>
        </w:rPr>
      </w:pPr>
      <w:bookmarkStart w:id="31" w:name="_Toc20647"/>
      <w:r>
        <w:rPr>
          <w:rFonts w:hint="eastAsia" w:ascii="仿宋_GB2312" w:hAnsi="仿宋_GB2312" w:eastAsia="仿宋_GB2312" w:cs="仿宋_GB2312"/>
          <w:sz w:val="32"/>
          <w:szCs w:val="32"/>
          <w:lang w:val="en-US" w:eastAsia="zh-CN"/>
        </w:rPr>
        <w:t>2024年度财政拨款收入、支出总计均为</w:t>
      </w:r>
      <w:r>
        <w:rPr>
          <w:rFonts w:hint="eastAsia" w:ascii="仿宋_GB2312" w:hAnsi="仿宋_GB2312" w:eastAsia="仿宋_GB2312" w:cs="仿宋_GB2312"/>
          <w:sz w:val="32"/>
          <w:szCs w:val="32"/>
        </w:rPr>
        <w:t>1849.78</w:t>
      </w:r>
      <w:r>
        <w:rPr>
          <w:rFonts w:hint="eastAsia" w:ascii="仿宋_GB2312" w:hAnsi="仿宋_GB2312" w:eastAsia="仿宋_GB2312" w:cs="仿宋_GB2312"/>
          <w:sz w:val="32"/>
          <w:szCs w:val="32"/>
          <w:lang w:val="en-US" w:eastAsia="zh-CN"/>
        </w:rPr>
        <w:t>万元。与2023年度相比，财政拨款收入总计、支出总计各增加365.01万元，增长</w:t>
      </w:r>
      <w:r>
        <w:rPr>
          <w:rFonts w:hint="eastAsia" w:ascii="仿宋_GB2312" w:hAnsi="仿宋_GB2312" w:eastAsia="仿宋_GB2312" w:cs="仿宋_GB2312"/>
          <w:sz w:val="32"/>
          <w:szCs w:val="32"/>
        </w:rPr>
        <w:t>24.58</w:t>
      </w:r>
      <w:r>
        <w:rPr>
          <w:rFonts w:hint="eastAsia" w:ascii="仿宋_GB2312" w:hAnsi="仿宋_GB2312" w:eastAsia="仿宋_GB2312" w:cs="仿宋_GB2312"/>
          <w:sz w:val="32"/>
          <w:szCs w:val="32"/>
          <w:lang w:val="en-US" w:eastAsia="zh-CN"/>
        </w:rPr>
        <w:t>%。</w:t>
      </w:r>
      <w:r>
        <w:rPr>
          <w:rFonts w:hint="eastAsia" w:ascii="Times New Roman" w:hAnsi="Times New Roman" w:eastAsia="仿宋_GB2312" w:cs="仿宋_GB2312"/>
          <w:color w:val="auto"/>
          <w:kern w:val="2"/>
          <w:sz w:val="32"/>
          <w:szCs w:val="32"/>
          <w:highlight w:val="none"/>
          <w:lang w:val="en-US" w:eastAsia="zh-CN" w:bidi="ar-SA"/>
        </w:rPr>
        <w:t>主要变动原因是</w:t>
      </w:r>
      <w:r>
        <w:rPr>
          <w:rFonts w:hint="eastAsia" w:ascii="仿宋_GB2312" w:hAnsi="仿宋" w:eastAsia="仿宋_GB2312"/>
          <w:sz w:val="32"/>
          <w:szCs w:val="32"/>
          <w:lang w:val="en-US" w:eastAsia="zh-CN"/>
        </w:rPr>
        <w:t>2024年</w:t>
      </w:r>
      <w:r>
        <w:rPr>
          <w:rFonts w:hint="eastAsia" w:ascii="仿宋_GB2312" w:hAnsi="仿宋" w:eastAsia="仿宋_GB2312"/>
          <w:sz w:val="32"/>
          <w:szCs w:val="32"/>
        </w:rPr>
        <w:t>因机构改革划转5名人员至我单位导致基本支出增加，同时</w:t>
      </w:r>
      <w:r>
        <w:rPr>
          <w:rFonts w:hint="eastAsia" w:ascii="仿宋_GB2312" w:hAnsi="仿宋" w:eastAsia="仿宋_GB2312"/>
          <w:sz w:val="32"/>
          <w:szCs w:val="32"/>
          <w:lang w:val="en-US" w:eastAsia="zh-CN"/>
        </w:rPr>
        <w:t>2024</w:t>
      </w:r>
      <w:r>
        <w:rPr>
          <w:rFonts w:hint="eastAsia" w:ascii="仿宋_GB2312" w:hAnsi="仿宋" w:eastAsia="仿宋_GB2312"/>
          <w:sz w:val="32"/>
          <w:szCs w:val="32"/>
        </w:rPr>
        <w:t>年度新增市政务服务标杆大厅创建场地服务设施改造及数智服务建设等专项项目导致项目经费增加。</w:t>
      </w:r>
      <w:bookmarkEnd w:id="31"/>
    </w:p>
    <w:p>
      <w:pPr>
        <w:spacing w:line="600" w:lineRule="exact"/>
        <w:ind w:firstLine="640" w:firstLineChars="20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（图4：财政拨款收、支决算总计变动情况）（柱状图）</w:t>
      </w:r>
    </w:p>
    <w:p>
      <w:pPr>
        <w:pStyle w:val="24"/>
        <w:rPr>
          <w:rFonts w:hint="eastAsia"/>
          <w:lang w:val="en-US" w:eastAsia="zh-CN"/>
        </w:rPr>
      </w:pPr>
      <w:r>
        <w:rPr>
          <w:rFonts w:hint="eastAsia"/>
          <w:lang w:val="en-US" w:eastAsia="zh-CN"/>
        </w:rPr>
        <w:drawing>
          <wp:inline distT="0" distB="0" distL="114300" distR="114300">
            <wp:extent cx="4956810" cy="3467100"/>
            <wp:effectExtent l="5080" t="4445" r="10160" b="14605"/>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pPr>
        <w:spacing w:line="600" w:lineRule="exact"/>
        <w:ind w:firstLine="640" w:firstLineChars="200"/>
        <w:outlineLvl w:val="1"/>
        <w:rPr>
          <w:rStyle w:val="22"/>
          <w:rFonts w:ascii="Times New Roman" w:hAnsi="Times New Roman" w:eastAsia="黑体"/>
          <w:b w:val="0"/>
          <w:color w:val="auto"/>
          <w:highlight w:val="none"/>
        </w:rPr>
      </w:pPr>
      <w:bookmarkStart w:id="32" w:name="_Toc15377209"/>
      <w:bookmarkStart w:id="33" w:name="_Toc7634"/>
      <w:bookmarkStart w:id="34" w:name="_Toc15396607"/>
      <w:r>
        <w:rPr>
          <w:rFonts w:hint="eastAsia" w:ascii="Times New Roman" w:hAnsi="Times New Roman" w:eastAsia="黑体"/>
          <w:color w:val="auto"/>
          <w:sz w:val="32"/>
          <w:szCs w:val="32"/>
          <w:highlight w:val="none"/>
        </w:rPr>
        <w:t>五、</w:t>
      </w:r>
      <w:r>
        <w:rPr>
          <w:rFonts w:hint="eastAsia" w:ascii="Times New Roman" w:hAnsi="Times New Roman" w:eastAsia="黑体"/>
          <w:b/>
          <w:color w:val="auto"/>
          <w:sz w:val="32"/>
          <w:szCs w:val="32"/>
          <w:highlight w:val="none"/>
        </w:rPr>
        <w:t>一</w:t>
      </w:r>
      <w:r>
        <w:rPr>
          <w:rStyle w:val="22"/>
          <w:rFonts w:hint="eastAsia" w:ascii="Times New Roman" w:hAnsi="Times New Roman" w:eastAsia="黑体"/>
          <w:b w:val="0"/>
          <w:color w:val="auto"/>
          <w:highlight w:val="none"/>
        </w:rPr>
        <w:t>般公共预算财政拨款支出决算情况说明</w:t>
      </w:r>
      <w:bookmarkEnd w:id="32"/>
      <w:bookmarkEnd w:id="33"/>
      <w:bookmarkEnd w:id="34"/>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35" w:name="_Toc8428"/>
      <w:bookmarkStart w:id="36" w:name="_Toc15377210"/>
      <w:r>
        <w:rPr>
          <w:rFonts w:hint="eastAsia" w:ascii="Times New Roman" w:hAnsi="Times New Roman" w:eastAsia="楷体_GB2312" w:cs="楷体_GB2312"/>
          <w:b/>
          <w:color w:val="auto"/>
          <w:sz w:val="32"/>
          <w:szCs w:val="32"/>
          <w:highlight w:val="none"/>
        </w:rPr>
        <w:t>（一）一般公共预算财政拨款支出决算总体情况</w:t>
      </w:r>
      <w:bookmarkEnd w:id="35"/>
      <w:bookmarkEnd w:id="36"/>
    </w:p>
    <w:p>
      <w:pPr>
        <w:pStyle w:val="34"/>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仿宋_GB2312" w:cs="仿宋_GB2312"/>
          <w:color w:val="auto"/>
          <w:sz w:val="32"/>
          <w:szCs w:val="32"/>
          <w:highlight w:val="none"/>
          <w:lang w:eastAsia="zh-CN"/>
        </w:rPr>
      </w:pPr>
      <w:bookmarkStart w:id="37" w:name="_Toc22337"/>
      <w:r>
        <w:rPr>
          <w:rFonts w:hint="eastAsia" w:ascii="仿宋_GB2312" w:hAnsi="仿宋_GB2312" w:eastAsia="仿宋_GB2312" w:cs="仿宋_GB2312"/>
          <w:color w:val="auto"/>
          <w:kern w:val="2"/>
          <w:sz w:val="32"/>
          <w:szCs w:val="32"/>
          <w:highlight w:val="none"/>
          <w:lang w:val="en-US" w:eastAsia="zh-CN" w:bidi="ar-SA"/>
        </w:rPr>
        <w:t>2024年度一般公共预算财政拨款支出</w:t>
      </w:r>
      <w:r>
        <w:rPr>
          <w:rFonts w:hint="eastAsia" w:ascii="仿宋_GB2312" w:hAnsi="仿宋_GB2312" w:eastAsia="仿宋_GB2312" w:cs="仿宋_GB2312"/>
          <w:sz w:val="32"/>
          <w:szCs w:val="32"/>
        </w:rPr>
        <w:t>1849.53</w:t>
      </w:r>
      <w:r>
        <w:rPr>
          <w:rFonts w:hint="eastAsia" w:ascii="仿宋_GB2312" w:hAnsi="仿宋_GB2312" w:eastAsia="仿宋_GB2312" w:cs="仿宋_GB2312"/>
          <w:color w:val="auto"/>
          <w:kern w:val="2"/>
          <w:sz w:val="32"/>
          <w:szCs w:val="32"/>
          <w:highlight w:val="none"/>
          <w:lang w:val="en-US" w:eastAsia="zh-CN" w:bidi="ar-SA"/>
        </w:rPr>
        <w:t>万元，占本年支出合计的</w:t>
      </w:r>
      <w:r>
        <w:rPr>
          <w:rFonts w:hint="eastAsia" w:ascii="仿宋_GB2312" w:hAnsi="仿宋_GB2312" w:eastAsia="仿宋_GB2312" w:cs="仿宋_GB2312"/>
          <w:sz w:val="32"/>
          <w:szCs w:val="32"/>
        </w:rPr>
        <w:t>100</w:t>
      </w:r>
      <w:r>
        <w:rPr>
          <w:rFonts w:hint="eastAsia" w:ascii="仿宋_GB2312" w:hAnsi="仿宋_GB2312" w:eastAsia="仿宋_GB2312" w:cs="仿宋_GB2312"/>
          <w:color w:val="auto"/>
          <w:kern w:val="2"/>
          <w:sz w:val="32"/>
          <w:szCs w:val="32"/>
          <w:highlight w:val="none"/>
          <w:lang w:val="en-US" w:eastAsia="zh-CN" w:bidi="ar-SA"/>
        </w:rPr>
        <w:t>%。与2023年度相比，一般公共预算财政拨款支出增加366万元，增长</w:t>
      </w:r>
      <w:r>
        <w:rPr>
          <w:rFonts w:hint="eastAsia" w:ascii="仿宋_GB2312" w:hAnsi="仿宋" w:eastAsia="仿宋_GB2312"/>
          <w:sz w:val="32"/>
          <w:szCs w:val="32"/>
        </w:rPr>
        <w:t>4.26</w:t>
      </w:r>
      <w:r>
        <w:rPr>
          <w:rFonts w:hint="eastAsia" w:ascii="仿宋_GB2312" w:hAnsi="仿宋_GB2312" w:eastAsia="仿宋_GB2312" w:cs="仿宋_GB2312"/>
          <w:color w:val="auto"/>
          <w:kern w:val="2"/>
          <w:sz w:val="32"/>
          <w:szCs w:val="32"/>
          <w:highlight w:val="none"/>
          <w:lang w:val="en-US" w:eastAsia="zh-CN" w:bidi="ar-SA"/>
        </w:rPr>
        <w:t>%。主要变动原因是</w:t>
      </w:r>
      <w:r>
        <w:rPr>
          <w:rFonts w:hint="eastAsia" w:ascii="仿宋_GB2312" w:hAnsi="仿宋" w:eastAsia="仿宋_GB2312"/>
          <w:sz w:val="32"/>
          <w:szCs w:val="32"/>
          <w:lang w:val="en-US" w:eastAsia="zh-CN"/>
        </w:rPr>
        <w:t>2024年</w:t>
      </w:r>
      <w:r>
        <w:rPr>
          <w:rFonts w:hint="eastAsia" w:ascii="仿宋_GB2312" w:hAnsi="仿宋" w:eastAsia="仿宋_GB2312"/>
          <w:sz w:val="32"/>
          <w:szCs w:val="32"/>
        </w:rPr>
        <w:t>因机构改革划转5名人员至我单位导致基本支出增加，同时</w:t>
      </w:r>
      <w:r>
        <w:rPr>
          <w:rFonts w:hint="eastAsia" w:ascii="仿宋_GB2312" w:hAnsi="仿宋" w:eastAsia="仿宋_GB2312"/>
          <w:sz w:val="32"/>
          <w:szCs w:val="32"/>
          <w:lang w:val="en-US" w:eastAsia="zh-CN"/>
        </w:rPr>
        <w:t>2024</w:t>
      </w:r>
      <w:r>
        <w:rPr>
          <w:rFonts w:hint="eastAsia" w:ascii="仿宋_GB2312" w:hAnsi="仿宋" w:eastAsia="仿宋_GB2312"/>
          <w:sz w:val="32"/>
          <w:szCs w:val="32"/>
        </w:rPr>
        <w:t>年度新增市政务服务标杆大厅创建场地服务设施改造及数智服务建设等专项项目导致项目经费增加。</w:t>
      </w:r>
      <w:bookmarkEnd w:id="37"/>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（图5：一般公共预算财政拨款支出决算变动情况）（柱状图）</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pPr>
        <w:pStyle w:val="24"/>
        <w:jc w:val="center"/>
        <w:rPr>
          <w:rFonts w:hint="eastAsia"/>
          <w:lang w:val="en-US" w:eastAsia="zh-CN"/>
        </w:rPr>
      </w:pPr>
      <w:r>
        <w:rPr>
          <w:rFonts w:hint="eastAsia"/>
          <w:lang w:val="en-US" w:eastAsia="zh-CN"/>
        </w:rPr>
        <w:drawing>
          <wp:inline distT="0" distB="0" distL="114300" distR="114300">
            <wp:extent cx="4784725" cy="3343910"/>
            <wp:effectExtent l="4445" t="5080" r="11430" b="22860"/>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pStyle w:val="24"/>
        <w:rPr>
          <w:rFonts w:hint="eastAsia" w:ascii="Times New Roman" w:hAnsi="Times New Roman" w:eastAsia="仿宋_GB2312" w:cs="仿宋_GB2312"/>
          <w:color w:val="auto"/>
          <w:kern w:val="2"/>
          <w:sz w:val="32"/>
          <w:szCs w:val="32"/>
          <w:highlight w:val="none"/>
          <w:lang w:val="en-US" w:eastAsia="zh-CN" w:bidi="ar-SA"/>
        </w:rPr>
      </w:pPr>
    </w:p>
    <w:p>
      <w:pPr>
        <w:rPr>
          <w:rFonts w:hint="eastAsia"/>
          <w:lang w:val="en-US" w:eastAsia="zh-CN"/>
        </w:rPr>
      </w:pPr>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38" w:name="_Toc15377211"/>
      <w:bookmarkStart w:id="39" w:name="_Toc14083"/>
      <w:r>
        <w:rPr>
          <w:rFonts w:hint="eastAsia" w:ascii="Times New Roman" w:hAnsi="Times New Roman" w:eastAsia="楷体_GB2312" w:cs="楷体_GB2312"/>
          <w:b/>
          <w:color w:val="auto"/>
          <w:sz w:val="32"/>
          <w:szCs w:val="32"/>
          <w:highlight w:val="none"/>
        </w:rPr>
        <w:t>（二）一般公共预算财政拨款支出决算结构情况</w:t>
      </w:r>
      <w:bookmarkEnd w:id="38"/>
      <w:bookmarkEnd w:id="39"/>
    </w:p>
    <w:p>
      <w:pPr>
        <w:spacing w:line="600" w:lineRule="exact"/>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2024年度一般公共预算财政拨款支出</w:t>
      </w:r>
      <w:r>
        <w:rPr>
          <w:rFonts w:hint="eastAsia" w:ascii="仿宋_GB2312" w:hAnsi="仿宋_GB2312" w:eastAsia="仿宋_GB2312" w:cs="仿宋_GB2312"/>
          <w:sz w:val="32"/>
          <w:szCs w:val="32"/>
        </w:rPr>
        <w:t>1849.53</w:t>
      </w:r>
      <w:r>
        <w:rPr>
          <w:rFonts w:hint="eastAsia" w:ascii="仿宋_GB2312" w:hAnsi="仿宋_GB2312" w:eastAsia="仿宋_GB2312" w:cs="仿宋_GB2312"/>
          <w:sz w:val="32"/>
          <w:szCs w:val="32"/>
          <w:lang w:val="en-US" w:eastAsia="zh-CN"/>
        </w:rPr>
        <w:t>万元，主要用于以下方面：</w:t>
      </w:r>
      <w:r>
        <w:rPr>
          <w:rFonts w:hint="eastAsia" w:ascii="仿宋_GB2312" w:hAnsi="仿宋_GB2312" w:eastAsia="仿宋_GB2312" w:cs="仿宋_GB2312"/>
          <w:b/>
          <w:bCs/>
          <w:sz w:val="32"/>
          <w:szCs w:val="32"/>
          <w:lang w:val="en-US" w:eastAsia="zh-CN"/>
        </w:rPr>
        <w:t>一般公共服务支出</w:t>
      </w:r>
      <w:r>
        <w:rPr>
          <w:rFonts w:hint="eastAsia" w:ascii="仿宋_GB2312" w:hAnsi="仿宋_GB2312" w:eastAsia="仿宋_GB2312" w:cs="仿宋_GB2312"/>
          <w:sz w:val="32"/>
          <w:szCs w:val="32"/>
          <w:lang w:val="en-US" w:eastAsia="zh-CN"/>
        </w:rPr>
        <w:t>1755.85万元，占94.93%；</w:t>
      </w:r>
      <w:r>
        <w:rPr>
          <w:rFonts w:hint="eastAsia" w:ascii="仿宋_GB2312" w:hAnsi="仿宋_GB2312" w:eastAsia="仿宋_GB2312" w:cs="仿宋_GB2312"/>
          <w:b/>
          <w:bCs/>
          <w:sz w:val="32"/>
          <w:szCs w:val="32"/>
          <w:lang w:val="en-US" w:eastAsia="zh-CN"/>
        </w:rPr>
        <w:t>社会保障和就业支出</w:t>
      </w:r>
      <w:r>
        <w:rPr>
          <w:rFonts w:hint="eastAsia" w:ascii="仿宋_GB2312" w:hAnsi="仿宋_GB2312" w:eastAsia="仿宋_GB2312" w:cs="仿宋_GB2312"/>
          <w:sz w:val="32"/>
          <w:szCs w:val="32"/>
          <w:lang w:val="en-US" w:eastAsia="zh-CN"/>
        </w:rPr>
        <w:t>50.93万元，占2.75%；</w:t>
      </w:r>
      <w:r>
        <w:rPr>
          <w:rFonts w:hint="eastAsia" w:ascii="仿宋_GB2312" w:hAnsi="仿宋_GB2312" w:eastAsia="仿宋_GB2312" w:cs="仿宋_GB2312"/>
          <w:b/>
          <w:bCs/>
          <w:sz w:val="32"/>
          <w:szCs w:val="32"/>
          <w:lang w:val="en-US" w:eastAsia="zh-CN"/>
        </w:rPr>
        <w:t>卫生健康支出</w:t>
      </w:r>
      <w:r>
        <w:rPr>
          <w:rFonts w:hint="eastAsia" w:ascii="仿宋_GB2312" w:hAnsi="仿宋_GB2312" w:eastAsia="仿宋_GB2312" w:cs="仿宋_GB2312"/>
          <w:sz w:val="32"/>
          <w:szCs w:val="32"/>
          <w:lang w:val="en-US" w:eastAsia="zh-CN"/>
        </w:rPr>
        <w:t>10.87万元，占0.59%；</w:t>
      </w:r>
      <w:r>
        <w:rPr>
          <w:rFonts w:hint="eastAsia" w:ascii="仿宋_GB2312" w:hAnsi="仿宋_GB2312" w:eastAsia="仿宋_GB2312" w:cs="仿宋_GB2312"/>
          <w:b/>
          <w:bCs/>
          <w:sz w:val="32"/>
          <w:szCs w:val="32"/>
          <w:lang w:val="en-US" w:eastAsia="zh-CN"/>
        </w:rPr>
        <w:t>农林水支出</w:t>
      </w:r>
      <w:r>
        <w:rPr>
          <w:rFonts w:hint="eastAsia" w:ascii="仿宋_GB2312" w:hAnsi="仿宋_GB2312" w:eastAsia="仿宋_GB2312" w:cs="仿宋_GB2312"/>
          <w:sz w:val="32"/>
          <w:szCs w:val="32"/>
          <w:lang w:val="en-US" w:eastAsia="zh-CN"/>
        </w:rPr>
        <w:t>3.64万元，占0.2%；</w:t>
      </w:r>
      <w:r>
        <w:rPr>
          <w:rFonts w:hint="eastAsia" w:ascii="仿宋_GB2312" w:hAnsi="仿宋_GB2312" w:eastAsia="仿宋_GB2312" w:cs="仿宋_GB2312"/>
          <w:b/>
          <w:bCs/>
          <w:sz w:val="32"/>
          <w:szCs w:val="32"/>
          <w:lang w:val="en-US" w:eastAsia="zh-CN"/>
        </w:rPr>
        <w:t>住房保障支出</w:t>
      </w:r>
      <w:r>
        <w:rPr>
          <w:rFonts w:hint="eastAsia" w:ascii="仿宋_GB2312" w:hAnsi="仿宋_GB2312" w:eastAsia="仿宋_GB2312" w:cs="仿宋_GB2312"/>
          <w:sz w:val="32"/>
          <w:szCs w:val="32"/>
          <w:lang w:val="en-US" w:eastAsia="zh-CN"/>
        </w:rPr>
        <w:t>28.24万元，占1.53%。</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（图6：一般公共预算财政拨款支出决算结构）（饼状图）</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pPr>
        <w:pStyle w:val="24"/>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drawing>
          <wp:inline distT="0" distB="0" distL="114300" distR="114300">
            <wp:extent cx="4918710" cy="3467100"/>
            <wp:effectExtent l="5080" t="4445" r="10160" b="14605"/>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pPr>
        <w:pStyle w:val="24"/>
        <w:ind w:left="0" w:leftChars="0" w:firstLine="0" w:firstLineChars="0"/>
        <w:rPr>
          <w:rFonts w:hint="eastAsia"/>
          <w:lang w:val="en-US" w:eastAsia="zh-CN"/>
        </w:rPr>
      </w:pPr>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40" w:name="_Toc2664"/>
      <w:bookmarkStart w:id="41" w:name="_Toc15377212"/>
      <w:r>
        <w:rPr>
          <w:rFonts w:hint="eastAsia" w:ascii="Times New Roman" w:hAnsi="Times New Roman" w:eastAsia="楷体_GB2312" w:cs="楷体_GB2312"/>
          <w:b/>
          <w:color w:val="auto"/>
          <w:sz w:val="32"/>
          <w:szCs w:val="32"/>
          <w:highlight w:val="none"/>
        </w:rPr>
        <w:t>（三）一般公共预算财政拨款支出决算具体情况</w:t>
      </w:r>
      <w:bookmarkEnd w:id="40"/>
      <w:bookmarkEnd w:id="41"/>
    </w:p>
    <w:p>
      <w:pPr>
        <w:spacing w:line="600" w:lineRule="exact"/>
        <w:ind w:firstLine="640"/>
        <w:rPr>
          <w:rFonts w:hint="eastAsia" w:ascii="Times New Roman" w:hAnsi="Times New Roman" w:eastAsia="仿宋_GB2312" w:cs="仿宋_GB2312"/>
          <w:b/>
          <w:bCs/>
          <w:color w:val="auto"/>
          <w:kern w:val="2"/>
          <w:sz w:val="32"/>
          <w:szCs w:val="32"/>
          <w:highlight w:val="none"/>
          <w:lang w:val="en-US" w:eastAsia="zh-CN" w:bidi="ar-SA"/>
        </w:rPr>
      </w:pPr>
      <w:bookmarkStart w:id="42" w:name="_Toc15377444"/>
      <w:bookmarkStart w:id="43" w:name="_Toc15377213"/>
      <w:bookmarkStart w:id="44" w:name="_Toc15378460"/>
      <w:r>
        <w:rPr>
          <w:rFonts w:hint="eastAsia" w:ascii="仿宋_GB2312" w:hAnsi="仿宋_GB2312" w:eastAsia="仿宋_GB2312" w:cs="仿宋_GB2312"/>
          <w:b/>
          <w:bCs/>
          <w:sz w:val="32"/>
          <w:szCs w:val="32"/>
          <w:lang w:val="en-US" w:eastAsia="zh-CN"/>
        </w:rPr>
        <w:t>2024年</w:t>
      </w:r>
      <w:r>
        <w:rPr>
          <w:rFonts w:hint="eastAsia" w:ascii="Times New Roman" w:hAnsi="Times New Roman" w:eastAsia="仿宋_GB2312" w:cs="仿宋_GB2312"/>
          <w:b/>
          <w:bCs/>
          <w:color w:val="auto"/>
          <w:kern w:val="2"/>
          <w:sz w:val="32"/>
          <w:szCs w:val="32"/>
          <w:highlight w:val="none"/>
          <w:lang w:val="en-US" w:eastAsia="zh-CN" w:bidi="ar-SA"/>
        </w:rPr>
        <w:t>度一般公共预算财政拨款支出决算数为</w:t>
      </w:r>
      <w:r>
        <w:rPr>
          <w:rFonts w:hint="eastAsia" w:ascii="仿宋_GB2312" w:hAnsi="仿宋_GB2312" w:eastAsia="仿宋_GB2312" w:cs="仿宋_GB2312"/>
          <w:b/>
          <w:bCs/>
          <w:sz w:val="32"/>
          <w:szCs w:val="32"/>
          <w:lang w:val="en-US" w:eastAsia="zh-CN"/>
        </w:rPr>
        <w:t>1849.53，</w:t>
      </w:r>
      <w:r>
        <w:rPr>
          <w:rFonts w:hint="eastAsia" w:ascii="Times New Roman" w:hAnsi="Times New Roman" w:eastAsia="仿宋_GB2312" w:cs="仿宋_GB2312"/>
          <w:b/>
          <w:bCs/>
          <w:color w:val="auto"/>
          <w:kern w:val="2"/>
          <w:sz w:val="32"/>
          <w:szCs w:val="32"/>
          <w:highlight w:val="none"/>
          <w:lang w:val="en-US" w:eastAsia="zh-CN" w:bidi="ar-SA"/>
        </w:rPr>
        <w:t>完成预算</w:t>
      </w:r>
      <w:r>
        <w:rPr>
          <w:rFonts w:hint="eastAsia" w:ascii="仿宋_GB2312" w:hAnsi="仿宋_GB2312" w:eastAsia="仿宋_GB2312" w:cs="仿宋_GB2312"/>
          <w:b/>
          <w:bCs/>
          <w:sz w:val="32"/>
          <w:szCs w:val="32"/>
          <w:lang w:val="en-US" w:eastAsia="zh-CN"/>
        </w:rPr>
        <w:t>99.99%。</w:t>
      </w:r>
      <w:r>
        <w:rPr>
          <w:rFonts w:hint="eastAsia" w:ascii="Times New Roman" w:hAnsi="Times New Roman" w:eastAsia="仿宋_GB2312" w:cs="仿宋_GB2312"/>
          <w:b/>
          <w:bCs/>
          <w:color w:val="auto"/>
          <w:kern w:val="2"/>
          <w:sz w:val="32"/>
          <w:szCs w:val="32"/>
          <w:highlight w:val="none"/>
          <w:lang w:val="en-US" w:eastAsia="zh-CN" w:bidi="ar-SA"/>
        </w:rPr>
        <w:t>其中：</w:t>
      </w:r>
      <w:bookmarkEnd w:id="42"/>
      <w:bookmarkEnd w:id="43"/>
      <w:bookmarkEnd w:id="44"/>
    </w:p>
    <w:p>
      <w:pPr>
        <w:spacing w:line="600" w:lineRule="exact"/>
        <w:ind w:firstLine="640"/>
        <w:rPr>
          <w:rFonts w:hint="eastAsia" w:ascii="仿宋_GB2312" w:hAnsi="仿宋_GB2312" w:eastAsia="仿宋_GB2312" w:cs="仿宋_GB2312"/>
          <w:bCs/>
          <w:sz w:val="32"/>
          <w:szCs w:val="32"/>
          <w:lang w:eastAsia="zh-CN"/>
        </w:rPr>
      </w:pPr>
      <w:r>
        <w:rPr>
          <w:rFonts w:hint="eastAsia" w:ascii="Times New Roman" w:hAnsi="Times New Roman" w:eastAsia="仿宋_GB2312" w:cs="仿宋_GB2312"/>
          <w:color w:val="auto"/>
          <w:kern w:val="2"/>
          <w:sz w:val="32"/>
          <w:szCs w:val="32"/>
          <w:highlight w:val="none"/>
          <w:lang w:val="en-US" w:eastAsia="zh-CN" w:bidi="ar-SA"/>
        </w:rPr>
        <w:t>1</w:t>
      </w:r>
      <w:r>
        <w:rPr>
          <w:rFonts w:hint="eastAsia" w:eastAsia="仿宋_GB2312" w:cs="仿宋_GB2312"/>
          <w:color w:val="auto"/>
          <w:kern w:val="2"/>
          <w:sz w:val="32"/>
          <w:szCs w:val="32"/>
          <w:highlight w:val="none"/>
          <w:lang w:val="en-US" w:eastAsia="zh-CN" w:bidi="ar-SA"/>
        </w:rPr>
        <w:t>.</w:t>
      </w:r>
      <w:r>
        <w:rPr>
          <w:rStyle w:val="19"/>
          <w:rFonts w:hint="eastAsia" w:ascii="仿宋_GB2312" w:hAnsi="仿宋_GB2312" w:eastAsia="仿宋_GB2312" w:cs="仿宋_GB2312"/>
          <w:bCs/>
          <w:sz w:val="32"/>
          <w:szCs w:val="32"/>
        </w:rPr>
        <w:t>一般公共服务支出（类）政府办公厅（室）及相关机构事务（款）行政运行（项）</w:t>
      </w:r>
      <w:r>
        <w:rPr>
          <w:rStyle w:val="19"/>
          <w:rFonts w:hint="eastAsia" w:ascii="仿宋_GB2312" w:hAnsi="仿宋_GB2312" w:eastAsia="仿宋_GB2312" w:cs="仿宋_GB2312"/>
          <w:bCs/>
          <w:sz w:val="32"/>
          <w:szCs w:val="32"/>
          <w:lang w:eastAsia="zh-CN"/>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ascii="仿宋_GB2312" w:hAnsi="仿宋_GB2312" w:eastAsia="仿宋_GB2312" w:cs="仿宋_GB2312"/>
          <w:sz w:val="32"/>
          <w:szCs w:val="32"/>
          <w:lang w:val="en-US" w:eastAsia="zh-CN"/>
        </w:rPr>
        <w:t>298.31</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ascii="仿宋_GB2312" w:hAnsi="仿宋_GB2312" w:eastAsia="仿宋_GB2312" w:cs="仿宋_GB2312"/>
          <w:sz w:val="32"/>
          <w:szCs w:val="32"/>
          <w:lang w:val="en-US" w:eastAsia="zh-CN"/>
        </w:rPr>
        <w:t>99.92%，</w:t>
      </w:r>
      <w:r>
        <w:rPr>
          <w:rFonts w:hint="eastAsia" w:ascii="Times New Roman" w:hAnsi="Times New Roman" w:eastAsia="仿宋_GB2312" w:cs="仿宋_GB2312"/>
          <w:color w:val="auto"/>
          <w:kern w:val="2"/>
          <w:sz w:val="32"/>
          <w:szCs w:val="32"/>
          <w:highlight w:val="none"/>
          <w:lang w:val="en-US" w:eastAsia="zh-CN" w:bidi="ar-SA"/>
        </w:rPr>
        <w:t>决算数小于预算数的主要</w:t>
      </w:r>
      <w:r>
        <w:rPr>
          <w:rFonts w:hint="eastAsia" w:ascii="仿宋_GB2312" w:hAnsi="仿宋_GB2312" w:eastAsia="仿宋_GB2312" w:cs="仿宋_GB2312"/>
          <w:bCs/>
          <w:sz w:val="32"/>
          <w:szCs w:val="32"/>
          <w:lang w:val="en-US" w:eastAsia="zh-CN"/>
        </w:rPr>
        <w:t>原因</w:t>
      </w:r>
      <w:r>
        <w:rPr>
          <w:rFonts w:hint="eastAsia" w:ascii="Times New Roman" w:hAnsi="Times New Roman" w:eastAsia="仿宋_GB2312" w:cs="仿宋_GB2312"/>
          <w:color w:val="auto"/>
          <w:kern w:val="2"/>
          <w:sz w:val="32"/>
          <w:szCs w:val="32"/>
          <w:highlight w:val="none"/>
          <w:lang w:val="en-US" w:eastAsia="zh-CN" w:bidi="ar-SA"/>
        </w:rPr>
        <w:t>是部分</w:t>
      </w:r>
      <w:r>
        <w:rPr>
          <w:rFonts w:hint="eastAsia" w:ascii="仿宋_GB2312" w:hAnsi="仿宋_GB2312" w:eastAsia="仿宋_GB2312" w:cs="仿宋_GB2312"/>
          <w:bCs/>
          <w:sz w:val="32"/>
          <w:szCs w:val="32"/>
        </w:rPr>
        <w:t>库存现金及人员社保经费尚未支付完毕</w:t>
      </w:r>
      <w:r>
        <w:rPr>
          <w:rFonts w:hint="eastAsia" w:ascii="仿宋_GB2312" w:hAnsi="仿宋_GB2312" w:eastAsia="仿宋_GB2312" w:cs="仿宋_GB2312"/>
          <w:bCs/>
          <w:sz w:val="32"/>
          <w:szCs w:val="32"/>
          <w:lang w:eastAsia="zh-CN"/>
        </w:rPr>
        <w:t>。</w:t>
      </w:r>
    </w:p>
    <w:p>
      <w:pPr>
        <w:pStyle w:val="24"/>
        <w:ind w:left="0" w:leftChars="0" w:firstLine="640" w:firstLineChars="200"/>
        <w:rPr>
          <w:rStyle w:val="19"/>
          <w:rFonts w:hint="eastAsia" w:ascii="仿宋_GB2312" w:hAnsi="仿宋_GB2312" w:eastAsia="仿宋_GB2312" w:cs="仿宋_GB2312"/>
          <w:b w:val="0"/>
          <w:bCs/>
          <w:sz w:val="32"/>
          <w:szCs w:val="32"/>
          <w:lang w:eastAsia="zh-CN"/>
        </w:rPr>
      </w:pPr>
      <w:r>
        <w:rPr>
          <w:rFonts w:hint="eastAsia" w:ascii="Times New Roman" w:hAnsi="Times New Roman" w:eastAsia="仿宋_GB2312" w:cs="仿宋_GB2312"/>
          <w:color w:val="auto"/>
          <w:kern w:val="2"/>
          <w:sz w:val="32"/>
          <w:szCs w:val="32"/>
          <w:highlight w:val="none"/>
          <w:lang w:val="en-US" w:eastAsia="zh-CN" w:bidi="ar-SA"/>
        </w:rPr>
        <w:t xml:space="preserve"> 2.一</w:t>
      </w:r>
      <w:r>
        <w:rPr>
          <w:rStyle w:val="19"/>
          <w:rFonts w:hint="eastAsia" w:ascii="仿宋_GB2312" w:hAnsi="仿宋_GB2312" w:eastAsia="仿宋_GB2312" w:cs="仿宋_GB2312"/>
          <w:bCs/>
          <w:sz w:val="32"/>
          <w:szCs w:val="32"/>
        </w:rPr>
        <w:t>般公共服务支出（类）政府办公厅（室）及相关机构事务（款）</w:t>
      </w:r>
      <w:r>
        <w:rPr>
          <w:rStyle w:val="19"/>
          <w:rFonts w:hint="eastAsia" w:ascii="仿宋_GB2312" w:hAnsi="仿宋_GB2312" w:eastAsia="仿宋_GB2312" w:cs="仿宋_GB2312"/>
          <w:bCs/>
          <w:sz w:val="32"/>
          <w:szCs w:val="32"/>
          <w:lang w:eastAsia="zh-CN"/>
        </w:rPr>
        <w:t>事业</w:t>
      </w:r>
      <w:r>
        <w:rPr>
          <w:rStyle w:val="19"/>
          <w:rFonts w:hint="eastAsia" w:ascii="仿宋_GB2312" w:hAnsi="仿宋_GB2312" w:eastAsia="仿宋_GB2312" w:cs="仿宋_GB2312"/>
          <w:bCs/>
          <w:sz w:val="32"/>
          <w:szCs w:val="32"/>
        </w:rPr>
        <w:t>运行（项）</w:t>
      </w:r>
      <w:r>
        <w:rPr>
          <w:rStyle w:val="19"/>
          <w:rFonts w:hint="eastAsia" w:ascii="仿宋_GB2312" w:hAnsi="仿宋_GB2312" w:eastAsia="仿宋_GB2312" w:cs="仿宋_GB2312"/>
          <w:bCs/>
          <w:sz w:val="32"/>
          <w:szCs w:val="32"/>
          <w:lang w:eastAsia="zh-CN"/>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ascii="仿宋_GB2312" w:hAnsi="仿宋_GB2312" w:eastAsia="仿宋_GB2312" w:cs="仿宋_GB2312"/>
          <w:sz w:val="32"/>
          <w:szCs w:val="32"/>
          <w:lang w:val="en-US" w:eastAsia="zh-CN"/>
        </w:rPr>
        <w:t>20.54</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ascii="仿宋_GB2312" w:hAnsi="仿宋_GB2312" w:eastAsia="仿宋_GB2312" w:cs="仿宋_GB2312"/>
          <w:sz w:val="32"/>
          <w:szCs w:val="32"/>
          <w:lang w:val="en-US" w:eastAsia="zh-CN"/>
        </w:rPr>
        <w:t>100%，</w:t>
      </w:r>
      <w:r>
        <w:rPr>
          <w:rStyle w:val="19"/>
          <w:rFonts w:hint="eastAsia" w:ascii="仿宋_GB2312" w:hAnsi="仿宋_GB2312" w:eastAsia="仿宋_GB2312" w:cs="仿宋_GB2312"/>
          <w:b w:val="0"/>
          <w:bCs/>
          <w:sz w:val="32"/>
          <w:szCs w:val="32"/>
        </w:rPr>
        <w:t>决算数等于预算数</w:t>
      </w:r>
      <w:r>
        <w:rPr>
          <w:rStyle w:val="19"/>
          <w:rFonts w:hint="eastAsia" w:ascii="仿宋_GB2312" w:hAnsi="仿宋_GB2312" w:eastAsia="仿宋_GB2312" w:cs="仿宋_GB2312"/>
          <w:b w:val="0"/>
          <w:bCs/>
          <w:sz w:val="32"/>
          <w:szCs w:val="32"/>
          <w:lang w:eastAsia="zh-CN"/>
        </w:rPr>
        <w:t>。</w:t>
      </w:r>
    </w:p>
    <w:p>
      <w:pPr>
        <w:pStyle w:val="24"/>
        <w:ind w:left="0" w:leftChars="0" w:firstLine="640" w:firstLineChars="0"/>
        <w:rPr>
          <w:rStyle w:val="19"/>
          <w:rFonts w:hint="eastAsia" w:ascii="仿宋_GB2312" w:hAnsi="仿宋_GB2312" w:eastAsia="仿宋_GB2312" w:cs="仿宋_GB2312"/>
          <w:b w:val="0"/>
          <w:bCs/>
          <w:sz w:val="32"/>
          <w:szCs w:val="32"/>
          <w:lang w:eastAsia="zh-CN"/>
        </w:rPr>
      </w:pPr>
      <w:r>
        <w:rPr>
          <w:rFonts w:hint="eastAsia" w:ascii="Times New Roman" w:hAnsi="Times New Roman" w:eastAsia="仿宋_GB2312" w:cs="仿宋_GB2312"/>
          <w:color w:val="auto"/>
          <w:kern w:val="2"/>
          <w:sz w:val="32"/>
          <w:szCs w:val="32"/>
          <w:highlight w:val="none"/>
          <w:lang w:val="en-US" w:eastAsia="zh-CN" w:bidi="ar-SA"/>
        </w:rPr>
        <w:t>3.一</w:t>
      </w:r>
      <w:r>
        <w:rPr>
          <w:rStyle w:val="19"/>
          <w:rFonts w:hint="eastAsia" w:ascii="仿宋_GB2312" w:hAnsi="仿宋_GB2312" w:eastAsia="仿宋_GB2312" w:cs="仿宋_GB2312"/>
          <w:bCs/>
          <w:sz w:val="32"/>
          <w:szCs w:val="32"/>
        </w:rPr>
        <w:t>般公共服务支出（类）政府办公厅（室）及相关机构事务（款）一般行政管理事务（项）</w:t>
      </w:r>
      <w:r>
        <w:rPr>
          <w:rStyle w:val="19"/>
          <w:rFonts w:hint="eastAsia" w:ascii="仿宋_GB2312" w:hAnsi="仿宋_GB2312" w:eastAsia="仿宋_GB2312" w:cs="仿宋_GB2312"/>
          <w:bCs/>
          <w:sz w:val="32"/>
          <w:szCs w:val="32"/>
          <w:lang w:eastAsia="zh-CN"/>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ascii="仿宋_GB2312" w:hAnsi="仿宋_GB2312" w:eastAsia="仿宋_GB2312" w:cs="仿宋_GB2312"/>
          <w:sz w:val="32"/>
          <w:szCs w:val="32"/>
          <w:lang w:val="en-US" w:eastAsia="zh-CN"/>
        </w:rPr>
        <w:t>1437</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ascii="仿宋_GB2312" w:hAnsi="仿宋_GB2312" w:eastAsia="仿宋_GB2312" w:cs="仿宋_GB2312"/>
          <w:sz w:val="32"/>
          <w:szCs w:val="32"/>
          <w:lang w:val="en-US" w:eastAsia="zh-CN"/>
        </w:rPr>
        <w:t>100%，</w:t>
      </w:r>
      <w:r>
        <w:rPr>
          <w:rStyle w:val="19"/>
          <w:rFonts w:hint="eastAsia" w:ascii="仿宋_GB2312" w:hAnsi="仿宋_GB2312" w:eastAsia="仿宋_GB2312" w:cs="仿宋_GB2312"/>
          <w:b w:val="0"/>
          <w:bCs/>
          <w:sz w:val="32"/>
          <w:szCs w:val="32"/>
        </w:rPr>
        <w:t>决算数等于预算数</w:t>
      </w:r>
      <w:r>
        <w:rPr>
          <w:rStyle w:val="19"/>
          <w:rFonts w:hint="eastAsia" w:ascii="仿宋_GB2312" w:hAnsi="仿宋_GB2312" w:eastAsia="仿宋_GB2312" w:cs="仿宋_GB2312"/>
          <w:b w:val="0"/>
          <w:bCs/>
          <w:sz w:val="32"/>
          <w:szCs w:val="32"/>
          <w:lang w:eastAsia="zh-CN"/>
        </w:rPr>
        <w:t>。</w:t>
      </w:r>
    </w:p>
    <w:p>
      <w:pPr>
        <w:ind w:firstLine="640"/>
        <w:rPr>
          <w:rStyle w:val="19"/>
          <w:rFonts w:hint="eastAsia" w:ascii="仿宋_GB2312" w:hAnsi="仿宋_GB2312" w:eastAsia="仿宋_GB2312" w:cs="仿宋_GB2312"/>
          <w:b w:val="0"/>
          <w:bCs/>
          <w:sz w:val="32"/>
          <w:szCs w:val="32"/>
          <w:lang w:eastAsia="zh-CN"/>
        </w:rPr>
      </w:pPr>
      <w:r>
        <w:rPr>
          <w:rStyle w:val="19"/>
          <w:rFonts w:hint="eastAsia" w:ascii="仿宋_GB2312" w:hAnsi="仿宋_GB2312" w:eastAsia="仿宋_GB2312" w:cs="仿宋_GB2312"/>
          <w:bCs/>
          <w:sz w:val="32"/>
          <w:szCs w:val="32"/>
          <w:lang w:val="en-US" w:eastAsia="zh-CN"/>
        </w:rPr>
        <w:t>4.</w:t>
      </w:r>
      <w:r>
        <w:rPr>
          <w:rStyle w:val="19"/>
          <w:rFonts w:hint="eastAsia" w:ascii="仿宋_GB2312" w:hAnsi="仿宋_GB2312" w:eastAsia="仿宋_GB2312" w:cs="仿宋_GB2312"/>
          <w:bCs/>
          <w:sz w:val="32"/>
          <w:szCs w:val="32"/>
        </w:rPr>
        <w:t>社会保障和就业支出（类）</w:t>
      </w:r>
      <w:r>
        <w:rPr>
          <w:rStyle w:val="19"/>
          <w:rFonts w:hint="eastAsia" w:ascii="仿宋_GB2312" w:hAnsi="仿宋_GB2312" w:eastAsia="仿宋_GB2312" w:cs="仿宋_GB2312"/>
          <w:bCs/>
          <w:sz w:val="32"/>
          <w:szCs w:val="32"/>
          <w:lang w:eastAsia="zh-CN"/>
        </w:rPr>
        <w:t>人力资源和社会保障管理事务</w:t>
      </w:r>
      <w:r>
        <w:rPr>
          <w:rStyle w:val="19"/>
          <w:rFonts w:hint="eastAsia" w:ascii="仿宋_GB2312" w:hAnsi="仿宋_GB2312" w:eastAsia="仿宋_GB2312" w:cs="仿宋_GB2312"/>
          <w:bCs/>
          <w:sz w:val="32"/>
          <w:szCs w:val="32"/>
        </w:rPr>
        <w:t>（款）引进人才费用（项）</w:t>
      </w:r>
      <w:r>
        <w:rPr>
          <w:rStyle w:val="19"/>
          <w:rFonts w:hint="eastAsia" w:ascii="仿宋_GB2312" w:hAnsi="仿宋_GB2312" w:eastAsia="仿宋_GB2312" w:cs="仿宋_GB2312"/>
          <w:bCs/>
          <w:sz w:val="32"/>
          <w:szCs w:val="32"/>
          <w:lang w:eastAsia="zh-CN"/>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ascii="仿宋_GB2312" w:hAnsi="仿宋_GB2312" w:eastAsia="仿宋_GB2312" w:cs="仿宋_GB2312"/>
          <w:sz w:val="32"/>
          <w:szCs w:val="32"/>
          <w:lang w:val="en-US" w:eastAsia="zh-CN"/>
        </w:rPr>
        <w:t>16.6</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ascii="仿宋_GB2312" w:hAnsi="仿宋_GB2312" w:eastAsia="仿宋_GB2312" w:cs="仿宋_GB2312"/>
          <w:sz w:val="32"/>
          <w:szCs w:val="32"/>
          <w:lang w:val="en-US" w:eastAsia="zh-CN"/>
        </w:rPr>
        <w:t>100%，</w:t>
      </w:r>
      <w:r>
        <w:rPr>
          <w:rStyle w:val="19"/>
          <w:rFonts w:hint="eastAsia" w:ascii="仿宋_GB2312" w:hAnsi="仿宋_GB2312" w:eastAsia="仿宋_GB2312" w:cs="仿宋_GB2312"/>
          <w:b w:val="0"/>
          <w:bCs/>
          <w:sz w:val="32"/>
          <w:szCs w:val="32"/>
        </w:rPr>
        <w:t>决算数等于预算数</w:t>
      </w:r>
      <w:r>
        <w:rPr>
          <w:rStyle w:val="19"/>
          <w:rFonts w:hint="eastAsia" w:ascii="仿宋_GB2312" w:hAnsi="仿宋_GB2312" w:eastAsia="仿宋_GB2312" w:cs="仿宋_GB2312"/>
          <w:b w:val="0"/>
          <w:bCs/>
          <w:sz w:val="32"/>
          <w:szCs w:val="32"/>
          <w:lang w:eastAsia="zh-CN"/>
        </w:rPr>
        <w:t>。</w:t>
      </w:r>
    </w:p>
    <w:p>
      <w:pPr>
        <w:ind w:firstLine="640"/>
        <w:rPr>
          <w:rStyle w:val="19"/>
          <w:rFonts w:hint="eastAsia" w:ascii="仿宋_GB2312" w:hAnsi="仿宋_GB2312" w:eastAsia="仿宋_GB2312" w:cs="仿宋_GB2312"/>
          <w:b w:val="0"/>
          <w:bCs/>
          <w:sz w:val="32"/>
          <w:szCs w:val="32"/>
          <w:lang w:eastAsia="zh-CN"/>
        </w:rPr>
      </w:pPr>
      <w:r>
        <w:rPr>
          <w:rStyle w:val="19"/>
          <w:rFonts w:hint="eastAsia" w:ascii="仿宋_GB2312" w:hAnsi="仿宋_GB2312" w:eastAsia="仿宋_GB2312" w:cs="仿宋_GB2312"/>
          <w:bCs/>
          <w:sz w:val="32"/>
          <w:szCs w:val="32"/>
          <w:lang w:val="en-US" w:eastAsia="zh-CN"/>
        </w:rPr>
        <w:t>5.</w:t>
      </w:r>
      <w:r>
        <w:rPr>
          <w:rStyle w:val="19"/>
          <w:rFonts w:hint="eastAsia" w:ascii="仿宋_GB2312" w:hAnsi="仿宋_GB2312" w:eastAsia="仿宋_GB2312" w:cs="仿宋_GB2312"/>
          <w:bCs/>
          <w:sz w:val="32"/>
          <w:szCs w:val="32"/>
        </w:rPr>
        <w:t>社会保障和就业支出（类）</w:t>
      </w:r>
      <w:r>
        <w:rPr>
          <w:rStyle w:val="19"/>
          <w:rFonts w:hint="eastAsia" w:ascii="仿宋_GB2312" w:hAnsi="仿宋_GB2312" w:eastAsia="仿宋_GB2312" w:cs="仿宋_GB2312"/>
          <w:bCs/>
          <w:sz w:val="32"/>
          <w:szCs w:val="32"/>
          <w:lang w:eastAsia="zh-CN"/>
        </w:rPr>
        <w:t>行政事业单位养老支出</w:t>
      </w:r>
      <w:r>
        <w:rPr>
          <w:rStyle w:val="19"/>
          <w:rFonts w:hint="eastAsia" w:ascii="仿宋_GB2312" w:hAnsi="仿宋_GB2312" w:eastAsia="仿宋_GB2312" w:cs="仿宋_GB2312"/>
          <w:bCs/>
          <w:sz w:val="32"/>
          <w:szCs w:val="32"/>
        </w:rPr>
        <w:t>（款）机关事业单位基本养老保险缴费支出（项）</w:t>
      </w:r>
      <w:r>
        <w:rPr>
          <w:rStyle w:val="19"/>
          <w:rFonts w:hint="eastAsia" w:ascii="仿宋_GB2312" w:hAnsi="仿宋_GB2312" w:eastAsia="仿宋_GB2312" w:cs="仿宋_GB2312"/>
          <w:bCs/>
          <w:sz w:val="32"/>
          <w:szCs w:val="32"/>
          <w:lang w:eastAsia="zh-CN"/>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ascii="仿宋_GB2312" w:hAnsi="仿宋_GB2312" w:eastAsia="仿宋_GB2312" w:cs="仿宋_GB2312"/>
          <w:sz w:val="32"/>
          <w:szCs w:val="32"/>
          <w:lang w:val="en-US" w:eastAsia="zh-CN"/>
        </w:rPr>
        <w:t>33.98</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ascii="仿宋_GB2312" w:hAnsi="仿宋_GB2312" w:eastAsia="仿宋_GB2312" w:cs="仿宋_GB2312"/>
          <w:sz w:val="32"/>
          <w:szCs w:val="32"/>
          <w:lang w:val="en-US" w:eastAsia="zh-CN"/>
        </w:rPr>
        <w:t>100%，</w:t>
      </w:r>
      <w:r>
        <w:rPr>
          <w:rStyle w:val="19"/>
          <w:rFonts w:hint="eastAsia" w:ascii="仿宋_GB2312" w:hAnsi="仿宋_GB2312" w:eastAsia="仿宋_GB2312" w:cs="仿宋_GB2312"/>
          <w:b w:val="0"/>
          <w:bCs/>
          <w:sz w:val="32"/>
          <w:szCs w:val="32"/>
        </w:rPr>
        <w:t>决算数等于预算数</w:t>
      </w:r>
      <w:r>
        <w:rPr>
          <w:rStyle w:val="19"/>
          <w:rFonts w:hint="eastAsia" w:ascii="仿宋_GB2312" w:hAnsi="仿宋_GB2312" w:eastAsia="仿宋_GB2312" w:cs="仿宋_GB2312"/>
          <w:b w:val="0"/>
          <w:bCs/>
          <w:sz w:val="32"/>
          <w:szCs w:val="32"/>
          <w:lang w:eastAsia="zh-CN"/>
        </w:rPr>
        <w:t>。</w:t>
      </w:r>
    </w:p>
    <w:p>
      <w:pPr>
        <w:ind w:firstLine="640"/>
        <w:rPr>
          <w:rStyle w:val="19"/>
          <w:rFonts w:hint="eastAsia" w:ascii="仿宋_GB2312" w:hAnsi="仿宋_GB2312" w:eastAsia="仿宋_GB2312" w:cs="仿宋_GB2312"/>
          <w:b w:val="0"/>
          <w:bCs/>
          <w:sz w:val="32"/>
          <w:szCs w:val="32"/>
          <w:lang w:eastAsia="zh-CN"/>
        </w:rPr>
      </w:pPr>
      <w:r>
        <w:rPr>
          <w:rStyle w:val="19"/>
          <w:rFonts w:hint="eastAsia" w:ascii="仿宋_GB2312" w:hAnsi="仿宋_GB2312" w:eastAsia="仿宋_GB2312" w:cs="仿宋_GB2312"/>
          <w:bCs/>
          <w:sz w:val="32"/>
          <w:szCs w:val="32"/>
          <w:lang w:val="en-US" w:eastAsia="zh-CN"/>
        </w:rPr>
        <w:t>6.</w:t>
      </w:r>
      <w:r>
        <w:rPr>
          <w:rStyle w:val="19"/>
          <w:rFonts w:hint="eastAsia" w:ascii="仿宋_GB2312" w:hAnsi="仿宋_GB2312" w:eastAsia="仿宋_GB2312" w:cs="仿宋_GB2312"/>
          <w:bCs/>
          <w:sz w:val="32"/>
          <w:szCs w:val="32"/>
        </w:rPr>
        <w:t>社会保障和就业支出（类）</w:t>
      </w:r>
      <w:r>
        <w:rPr>
          <w:rStyle w:val="19"/>
          <w:rFonts w:hint="eastAsia" w:ascii="仿宋_GB2312" w:hAnsi="仿宋_GB2312" w:eastAsia="仿宋_GB2312" w:cs="仿宋_GB2312"/>
          <w:bCs/>
          <w:sz w:val="32"/>
          <w:szCs w:val="32"/>
          <w:lang w:eastAsia="zh-CN"/>
        </w:rPr>
        <w:t>其他社会保障和就业支出</w:t>
      </w:r>
      <w:r>
        <w:rPr>
          <w:rStyle w:val="19"/>
          <w:rFonts w:hint="eastAsia" w:ascii="仿宋_GB2312" w:hAnsi="仿宋_GB2312" w:eastAsia="仿宋_GB2312" w:cs="仿宋_GB2312"/>
          <w:bCs/>
          <w:sz w:val="32"/>
          <w:szCs w:val="32"/>
        </w:rPr>
        <w:t>（款）其他社会保障和就业支出（项）</w:t>
      </w:r>
      <w:r>
        <w:rPr>
          <w:rStyle w:val="19"/>
          <w:rFonts w:hint="eastAsia" w:ascii="仿宋_GB2312" w:hAnsi="仿宋_GB2312" w:eastAsia="仿宋_GB2312" w:cs="仿宋_GB2312"/>
          <w:bCs/>
          <w:sz w:val="32"/>
          <w:szCs w:val="32"/>
          <w:lang w:eastAsia="zh-CN"/>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ascii="仿宋_GB2312" w:hAnsi="仿宋_GB2312" w:eastAsia="仿宋_GB2312" w:cs="仿宋_GB2312"/>
          <w:sz w:val="32"/>
          <w:szCs w:val="32"/>
          <w:lang w:val="en-US" w:eastAsia="zh-CN"/>
        </w:rPr>
        <w:t>0.35</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ascii="仿宋_GB2312" w:hAnsi="仿宋_GB2312" w:eastAsia="仿宋_GB2312" w:cs="仿宋_GB2312"/>
          <w:sz w:val="32"/>
          <w:szCs w:val="32"/>
          <w:lang w:val="en-US" w:eastAsia="zh-CN"/>
        </w:rPr>
        <w:t>100%，</w:t>
      </w:r>
      <w:r>
        <w:rPr>
          <w:rStyle w:val="19"/>
          <w:rFonts w:hint="eastAsia" w:ascii="仿宋_GB2312" w:hAnsi="仿宋_GB2312" w:eastAsia="仿宋_GB2312" w:cs="仿宋_GB2312"/>
          <w:b w:val="0"/>
          <w:bCs/>
          <w:sz w:val="32"/>
          <w:szCs w:val="32"/>
        </w:rPr>
        <w:t>决算数等于预算数</w:t>
      </w:r>
      <w:r>
        <w:rPr>
          <w:rStyle w:val="19"/>
          <w:rFonts w:hint="eastAsia" w:ascii="仿宋_GB2312" w:hAnsi="仿宋_GB2312" w:eastAsia="仿宋_GB2312" w:cs="仿宋_GB2312"/>
          <w:b w:val="0"/>
          <w:bCs/>
          <w:sz w:val="32"/>
          <w:szCs w:val="32"/>
          <w:lang w:eastAsia="zh-CN"/>
        </w:rPr>
        <w:t>。</w:t>
      </w:r>
    </w:p>
    <w:p>
      <w:pPr>
        <w:spacing w:line="600" w:lineRule="exact"/>
        <w:ind w:firstLine="642" w:firstLineChars="200"/>
        <w:rPr>
          <w:rStyle w:val="19"/>
          <w:rFonts w:hint="eastAsia" w:ascii="仿宋_GB2312" w:hAnsi="仿宋_GB2312" w:eastAsia="仿宋_GB2312" w:cs="仿宋_GB2312"/>
          <w:b w:val="0"/>
          <w:bCs/>
          <w:sz w:val="32"/>
          <w:szCs w:val="32"/>
        </w:rPr>
      </w:pPr>
      <w:r>
        <w:rPr>
          <w:rStyle w:val="19"/>
          <w:rFonts w:hint="eastAsia" w:ascii="仿宋_GB2312" w:hAnsi="仿宋_GB2312" w:eastAsia="仿宋_GB2312" w:cs="仿宋_GB2312"/>
          <w:bCs/>
          <w:sz w:val="32"/>
          <w:szCs w:val="32"/>
          <w:lang w:val="en-US" w:eastAsia="zh-CN"/>
        </w:rPr>
        <w:t>7</w:t>
      </w:r>
      <w:r>
        <w:rPr>
          <w:rStyle w:val="19"/>
          <w:rFonts w:hint="eastAsia" w:ascii="仿宋_GB2312" w:hAnsi="仿宋_GB2312" w:eastAsia="仿宋_GB2312" w:cs="仿宋_GB2312"/>
          <w:bCs/>
          <w:sz w:val="32"/>
          <w:szCs w:val="32"/>
        </w:rPr>
        <w:t>.卫生健康支出（类）行政事业单位医疗（款）行政单位医疗（项）</w:t>
      </w:r>
      <w:r>
        <w:rPr>
          <w:rStyle w:val="19"/>
          <w:rFonts w:hint="eastAsia" w:ascii="仿宋_GB2312" w:hAnsi="仿宋_GB2312" w:eastAsia="仿宋_GB2312" w:cs="仿宋_GB2312"/>
          <w:bCs/>
          <w:sz w:val="32"/>
          <w:szCs w:val="32"/>
          <w:lang w:eastAsia="zh-CN"/>
        </w:rPr>
        <w:t>：</w:t>
      </w:r>
      <w:r>
        <w:rPr>
          <w:rStyle w:val="19"/>
          <w:rFonts w:hint="eastAsia" w:ascii="仿宋_GB2312" w:hAnsi="仿宋_GB2312" w:eastAsia="仿宋_GB2312" w:cs="仿宋_GB2312"/>
          <w:b w:val="0"/>
          <w:bCs/>
          <w:sz w:val="32"/>
          <w:szCs w:val="32"/>
        </w:rPr>
        <w:t>支出决算为</w:t>
      </w:r>
      <w:r>
        <w:rPr>
          <w:rStyle w:val="19"/>
          <w:rFonts w:hint="eastAsia" w:ascii="仿宋_GB2312" w:hAnsi="仿宋_GB2312" w:eastAsia="仿宋_GB2312" w:cs="仿宋_GB2312"/>
          <w:b w:val="0"/>
          <w:bCs/>
          <w:sz w:val="32"/>
          <w:szCs w:val="32"/>
          <w:lang w:val="en-US" w:eastAsia="zh-CN"/>
        </w:rPr>
        <w:t>10.87</w:t>
      </w:r>
      <w:r>
        <w:rPr>
          <w:rStyle w:val="19"/>
          <w:rFonts w:hint="eastAsia" w:ascii="仿宋_GB2312" w:hAnsi="仿宋_GB2312" w:eastAsia="仿宋_GB2312" w:cs="仿宋_GB2312"/>
          <w:b w:val="0"/>
          <w:bCs/>
          <w:sz w:val="32"/>
          <w:szCs w:val="32"/>
        </w:rPr>
        <w:t>万元，完成预算100</w:t>
      </w:r>
      <w:r>
        <w:rPr>
          <w:rStyle w:val="19"/>
          <w:rFonts w:ascii="仿宋_GB2312" w:hAnsi="仿宋_GB2312" w:eastAsia="仿宋_GB2312" w:cs="仿宋_GB2312"/>
          <w:b w:val="0"/>
          <w:bCs/>
          <w:sz w:val="32"/>
          <w:szCs w:val="32"/>
        </w:rPr>
        <w:t>%</w:t>
      </w:r>
      <w:r>
        <w:rPr>
          <w:rStyle w:val="19"/>
          <w:rFonts w:hint="eastAsia" w:ascii="仿宋_GB2312" w:hAnsi="仿宋_GB2312" w:eastAsia="仿宋_GB2312" w:cs="仿宋_GB2312"/>
          <w:bCs/>
        </w:rPr>
        <w:t>，</w:t>
      </w:r>
      <w:r>
        <w:rPr>
          <w:rStyle w:val="19"/>
          <w:rFonts w:hint="eastAsia" w:ascii="仿宋_GB2312" w:hAnsi="仿宋_GB2312" w:eastAsia="仿宋_GB2312" w:cs="仿宋_GB2312"/>
          <w:b w:val="0"/>
          <w:bCs/>
          <w:sz w:val="32"/>
          <w:szCs w:val="32"/>
        </w:rPr>
        <w:t>决算数等于预算数。</w:t>
      </w:r>
    </w:p>
    <w:p>
      <w:pPr>
        <w:spacing w:line="600" w:lineRule="exact"/>
        <w:ind w:firstLine="640" w:firstLineChars="200"/>
        <w:rPr>
          <w:rStyle w:val="19"/>
          <w:rFonts w:hint="eastAsia" w:ascii="仿宋_GB2312" w:hAnsi="仿宋_GB2312" w:eastAsia="仿宋_GB2312" w:cs="仿宋_GB2312"/>
          <w:b w:val="0"/>
          <w:bCs/>
          <w:sz w:val="32"/>
          <w:szCs w:val="32"/>
        </w:rPr>
      </w:pPr>
      <w:r>
        <w:rPr>
          <w:rStyle w:val="19"/>
          <w:rFonts w:hint="eastAsia" w:hAnsi="仿宋_GB2312" w:cs="仿宋_GB2312"/>
          <w:b w:val="0"/>
          <w:bCs/>
          <w:sz w:val="32"/>
          <w:szCs w:val="32"/>
          <w:lang w:val="en-US" w:eastAsia="zh-CN"/>
        </w:rPr>
        <w:t xml:space="preserve"> 8</w:t>
      </w:r>
      <w:r>
        <w:rPr>
          <w:rStyle w:val="19"/>
          <w:rFonts w:hint="eastAsia" w:ascii="仿宋_GB2312" w:hAnsi="仿宋_GB2312" w:eastAsia="仿宋_GB2312" w:cs="仿宋_GB2312"/>
          <w:bCs/>
          <w:sz w:val="32"/>
          <w:szCs w:val="32"/>
        </w:rPr>
        <w:t>.</w:t>
      </w:r>
      <w:r>
        <w:t xml:space="preserve"> </w:t>
      </w:r>
      <w:r>
        <w:rPr>
          <w:rFonts w:ascii="仿宋_GB2312" w:hAnsi="仿宋_GB2312" w:eastAsia="仿宋_GB2312" w:cs="仿宋_GB2312"/>
          <w:b/>
          <w:bCs/>
          <w:sz w:val="32"/>
          <w:szCs w:val="32"/>
        </w:rPr>
        <w:t>农林水支出</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rPr>
        <w:t>类）</w:t>
      </w:r>
      <w:r>
        <w:rPr>
          <w:rFonts w:ascii="仿宋_GB2312" w:hAnsi="仿宋_GB2312" w:eastAsia="仿宋_GB2312" w:cs="仿宋_GB2312"/>
          <w:b/>
          <w:bCs/>
          <w:sz w:val="32"/>
          <w:szCs w:val="32"/>
        </w:rPr>
        <w:t>巩固脱贫攻坚成果衔接乡村振兴</w:t>
      </w:r>
      <w:r>
        <w:rPr>
          <w:rFonts w:hint="eastAsia" w:ascii="仿宋_GB2312" w:hAnsi="仿宋_GB2312" w:eastAsia="仿宋_GB2312" w:cs="仿宋_GB2312"/>
          <w:b/>
          <w:bCs/>
          <w:sz w:val="32"/>
          <w:szCs w:val="32"/>
        </w:rPr>
        <w:t>（款）</w:t>
      </w:r>
      <w:r>
        <w:rPr>
          <w:rFonts w:ascii="仿宋_GB2312" w:hAnsi="仿宋_GB2312" w:eastAsia="仿宋_GB2312" w:cs="仿宋_GB2312"/>
          <w:b/>
          <w:bCs/>
          <w:sz w:val="32"/>
          <w:szCs w:val="32"/>
        </w:rPr>
        <w:t>其他巩固脱贫攻坚成果衔接乡村振兴支出</w:t>
      </w:r>
      <w:r>
        <w:rPr>
          <w:rFonts w:hint="eastAsia" w:ascii="仿宋_GB2312" w:hAnsi="仿宋_GB2312" w:eastAsia="仿宋_GB2312" w:cs="仿宋_GB2312"/>
          <w:b/>
          <w:bCs/>
          <w:sz w:val="32"/>
          <w:szCs w:val="32"/>
        </w:rPr>
        <w:t>（项）：</w:t>
      </w:r>
      <w:r>
        <w:rPr>
          <w:rStyle w:val="19"/>
          <w:rFonts w:hint="eastAsia" w:ascii="仿宋_GB2312" w:hAnsi="仿宋_GB2312" w:eastAsia="仿宋_GB2312" w:cs="仿宋_GB2312"/>
          <w:b w:val="0"/>
          <w:bCs/>
          <w:sz w:val="32"/>
          <w:szCs w:val="32"/>
        </w:rPr>
        <w:t>支出决算为3.64万元，完成预算100</w:t>
      </w:r>
      <w:r>
        <w:rPr>
          <w:rStyle w:val="19"/>
          <w:rFonts w:ascii="仿宋_GB2312" w:hAnsi="仿宋_GB2312" w:eastAsia="仿宋_GB2312" w:cs="仿宋_GB2312"/>
          <w:b w:val="0"/>
          <w:bCs/>
          <w:sz w:val="32"/>
          <w:szCs w:val="32"/>
        </w:rPr>
        <w:t>%</w:t>
      </w:r>
      <w:r>
        <w:rPr>
          <w:rStyle w:val="19"/>
          <w:rFonts w:hint="eastAsia" w:ascii="仿宋_GB2312" w:hAnsi="仿宋_GB2312" w:eastAsia="仿宋_GB2312" w:cs="仿宋_GB2312"/>
          <w:b w:val="0"/>
          <w:bCs/>
          <w:sz w:val="32"/>
          <w:szCs w:val="32"/>
        </w:rPr>
        <w:t>，决算数等于预算数。</w:t>
      </w:r>
    </w:p>
    <w:p>
      <w:pPr>
        <w:spacing w:line="600" w:lineRule="exact"/>
        <w:ind w:firstLine="640" w:firstLineChars="200"/>
        <w:rPr>
          <w:rFonts w:ascii="仿宋_GB2312" w:hAnsi="仿宋_GB2312" w:eastAsia="仿宋_GB2312" w:cs="仿宋_GB2312"/>
          <w:b/>
          <w:sz w:val="32"/>
          <w:szCs w:val="32"/>
        </w:rPr>
      </w:pPr>
      <w:r>
        <w:rPr>
          <w:rStyle w:val="19"/>
          <w:rFonts w:hint="eastAsia" w:hAnsi="仿宋_GB2312" w:cs="仿宋_GB2312"/>
          <w:b w:val="0"/>
          <w:bCs/>
          <w:sz w:val="32"/>
          <w:szCs w:val="32"/>
          <w:lang w:val="en-US" w:eastAsia="zh-CN"/>
        </w:rPr>
        <w:t xml:space="preserve"> 9</w:t>
      </w:r>
      <w:r>
        <w:rPr>
          <w:rStyle w:val="19"/>
          <w:rFonts w:hint="eastAsia" w:ascii="仿宋_GB2312" w:hAnsi="仿宋_GB2312" w:eastAsia="仿宋_GB2312" w:cs="仿宋_GB2312"/>
          <w:bCs/>
          <w:sz w:val="32"/>
          <w:szCs w:val="32"/>
        </w:rPr>
        <w:t>.</w:t>
      </w:r>
      <w:r>
        <w:rPr>
          <w:rFonts w:hint="eastAsia" w:ascii="仿宋_GB2312" w:hAnsi="微软雅黑" w:eastAsia="仿宋_GB2312" w:cs="宋体"/>
          <w:b/>
          <w:color w:val="030303"/>
          <w:kern w:val="0"/>
          <w:sz w:val="32"/>
          <w:szCs w:val="32"/>
        </w:rPr>
        <w:t xml:space="preserve"> 住房保障支出（类）住房改革支出（款）住房公积金（项）</w:t>
      </w:r>
      <w:r>
        <w:rPr>
          <w:rFonts w:hint="eastAsia" w:hAnsi="微软雅黑" w:cs="宋体"/>
          <w:b/>
          <w:color w:val="030303"/>
          <w:kern w:val="0"/>
          <w:sz w:val="32"/>
          <w:szCs w:val="32"/>
        </w:rPr>
        <w:t>：</w:t>
      </w:r>
      <w:r>
        <w:rPr>
          <w:rStyle w:val="19"/>
          <w:rFonts w:hint="eastAsia" w:ascii="仿宋_GB2312" w:hAnsi="仿宋_GB2312" w:eastAsia="仿宋_GB2312" w:cs="仿宋_GB2312"/>
          <w:b w:val="0"/>
          <w:bCs/>
          <w:sz w:val="32"/>
          <w:szCs w:val="32"/>
        </w:rPr>
        <w:t>支出决算为</w:t>
      </w:r>
      <w:r>
        <w:rPr>
          <w:rStyle w:val="19"/>
          <w:rFonts w:hint="eastAsia" w:ascii="仿宋_GB2312" w:hAnsi="仿宋_GB2312" w:eastAsia="仿宋_GB2312" w:cs="仿宋_GB2312"/>
          <w:b w:val="0"/>
          <w:bCs/>
          <w:sz w:val="32"/>
          <w:szCs w:val="32"/>
          <w:lang w:val="en-US" w:eastAsia="zh-CN"/>
        </w:rPr>
        <w:t>28.24</w:t>
      </w:r>
      <w:r>
        <w:rPr>
          <w:rStyle w:val="19"/>
          <w:rFonts w:hint="eastAsia" w:ascii="仿宋_GB2312" w:hAnsi="仿宋_GB2312" w:eastAsia="仿宋_GB2312" w:cs="仿宋_GB2312"/>
          <w:b w:val="0"/>
          <w:bCs/>
          <w:sz w:val="32"/>
          <w:szCs w:val="32"/>
        </w:rPr>
        <w:t>万元，完成预算100</w:t>
      </w:r>
      <w:r>
        <w:rPr>
          <w:rStyle w:val="19"/>
          <w:rFonts w:ascii="仿宋_GB2312" w:hAnsi="仿宋_GB2312" w:eastAsia="仿宋_GB2312" w:cs="仿宋_GB2312"/>
          <w:b w:val="0"/>
          <w:bCs/>
          <w:sz w:val="32"/>
          <w:szCs w:val="32"/>
        </w:rPr>
        <w:t>%</w:t>
      </w:r>
      <w:r>
        <w:rPr>
          <w:rStyle w:val="19"/>
          <w:rFonts w:hint="eastAsia" w:ascii="仿宋_GB2312" w:hAnsi="仿宋_GB2312" w:eastAsia="仿宋_GB2312" w:cs="仿宋_GB2312"/>
          <w:b w:val="0"/>
          <w:bCs/>
          <w:sz w:val="32"/>
          <w:szCs w:val="32"/>
        </w:rPr>
        <w:t>，决算数等于预算数。</w:t>
      </w:r>
    </w:p>
    <w:p>
      <w:pPr>
        <w:pStyle w:val="24"/>
        <w:rPr>
          <w:rFonts w:hint="eastAsia"/>
          <w:lang w:eastAsia="zh-CN"/>
        </w:rPr>
      </w:pPr>
    </w:p>
    <w:p>
      <w:pPr>
        <w:tabs>
          <w:tab w:val="right" w:pos="8306"/>
        </w:tabs>
        <w:spacing w:line="600" w:lineRule="exact"/>
        <w:ind w:firstLine="640"/>
        <w:outlineLvl w:val="1"/>
        <w:rPr>
          <w:rStyle w:val="22"/>
          <w:rFonts w:ascii="Times New Roman" w:hAnsi="Times New Roman"/>
          <w:color w:val="auto"/>
          <w:highlight w:val="none"/>
        </w:rPr>
      </w:pPr>
      <w:bookmarkStart w:id="45" w:name="_Toc15377214"/>
      <w:bookmarkStart w:id="46" w:name="_Toc1899"/>
      <w:bookmarkStart w:id="47" w:name="_Toc15396608"/>
      <w:r>
        <w:rPr>
          <w:rFonts w:hint="eastAsia" w:ascii="Times New Roman" w:hAnsi="Times New Roman" w:eastAsia="黑体"/>
          <w:color w:val="auto"/>
          <w:sz w:val="32"/>
          <w:szCs w:val="32"/>
          <w:highlight w:val="none"/>
        </w:rPr>
        <w:t>六</w:t>
      </w:r>
      <w:r>
        <w:rPr>
          <w:rFonts w:hint="eastAsia" w:ascii="Times New Roman" w:hAnsi="Times New Roman" w:eastAsia="黑体"/>
          <w:b/>
          <w:color w:val="auto"/>
          <w:sz w:val="32"/>
          <w:szCs w:val="32"/>
          <w:highlight w:val="none"/>
        </w:rPr>
        <w:t>、一</w:t>
      </w:r>
      <w:r>
        <w:rPr>
          <w:rStyle w:val="22"/>
          <w:rFonts w:hint="eastAsia" w:ascii="Times New Roman" w:hAnsi="Times New Roman" w:eastAsia="黑体"/>
          <w:b w:val="0"/>
          <w:color w:val="auto"/>
          <w:highlight w:val="none"/>
        </w:rPr>
        <w:t>般公共预算财政拨款基本支出决算情况说明</w:t>
      </w:r>
      <w:bookmarkEnd w:id="45"/>
      <w:bookmarkEnd w:id="46"/>
      <w:bookmarkEnd w:id="47"/>
      <w:r>
        <w:rPr>
          <w:rStyle w:val="22"/>
          <w:rFonts w:ascii="Times New Roman" w:hAnsi="Times New Roman" w:eastAsia="黑体"/>
          <w:b w:val="0"/>
          <w:color w:val="auto"/>
          <w:highlight w:val="none"/>
        </w:rPr>
        <w:tab/>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2024</w:t>
      </w:r>
      <w:r>
        <w:rPr>
          <w:rFonts w:hint="eastAsia" w:ascii="Times New Roman" w:hAnsi="Times New Roman" w:eastAsia="仿宋_GB2312" w:cs="仿宋_GB2312"/>
          <w:color w:val="auto"/>
          <w:kern w:val="2"/>
          <w:sz w:val="32"/>
          <w:szCs w:val="32"/>
          <w:highlight w:val="none"/>
          <w:lang w:val="en-US" w:eastAsia="zh-CN" w:bidi="ar-SA"/>
        </w:rPr>
        <w:t>年度一般公共预算财政拨款基本支出</w:t>
      </w:r>
      <w:r>
        <w:rPr>
          <w:rFonts w:hint="eastAsia" w:ascii="仿宋_GB2312" w:hAnsi="仿宋_GB2312" w:eastAsia="仿宋_GB2312" w:cs="仿宋_GB2312"/>
          <w:sz w:val="32"/>
          <w:szCs w:val="32"/>
        </w:rPr>
        <w:t>408.89</w:t>
      </w:r>
      <w:r>
        <w:rPr>
          <w:rFonts w:hint="eastAsia" w:ascii="仿宋_GB2312" w:hAnsi="仿宋_GB2312" w:eastAsia="仿宋_GB2312" w:cs="仿宋_GB2312"/>
          <w:color w:val="auto"/>
          <w:kern w:val="2"/>
          <w:sz w:val="32"/>
          <w:szCs w:val="32"/>
          <w:highlight w:val="none"/>
          <w:lang w:val="en-US" w:eastAsia="zh-CN" w:bidi="ar-SA"/>
        </w:rPr>
        <w:t>万</w:t>
      </w:r>
      <w:r>
        <w:rPr>
          <w:rFonts w:hint="eastAsia" w:ascii="Times New Roman" w:hAnsi="Times New Roman" w:eastAsia="仿宋_GB2312" w:cs="仿宋_GB2312"/>
          <w:color w:val="auto"/>
          <w:kern w:val="2"/>
          <w:sz w:val="32"/>
          <w:szCs w:val="32"/>
          <w:highlight w:val="none"/>
          <w:lang w:val="en-US" w:eastAsia="zh-CN" w:bidi="ar-SA"/>
        </w:rPr>
        <w:t>元，其中：</w:t>
      </w:r>
    </w:p>
    <w:p>
      <w:pPr>
        <w:spacing w:line="600" w:lineRule="exact"/>
        <w:ind w:firstLine="645"/>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人员经费</w:t>
      </w:r>
      <w:r>
        <w:rPr>
          <w:rFonts w:hint="eastAsia" w:ascii="仿宋_GB2312" w:hAnsi="仿宋_GB2312" w:eastAsia="仿宋_GB2312" w:cs="仿宋_GB2312"/>
          <w:sz w:val="32"/>
          <w:szCs w:val="32"/>
        </w:rPr>
        <w:t>341.34</w:t>
      </w:r>
      <w:r>
        <w:rPr>
          <w:rFonts w:hint="eastAsia" w:ascii="仿宋_GB2312" w:hAnsi="仿宋_GB2312" w:eastAsia="仿宋_GB2312" w:cs="仿宋_GB2312"/>
          <w:color w:val="auto"/>
          <w:kern w:val="2"/>
          <w:sz w:val="32"/>
          <w:szCs w:val="32"/>
          <w:highlight w:val="none"/>
          <w:lang w:val="en-US" w:eastAsia="zh-CN" w:bidi="ar-SA"/>
        </w:rPr>
        <w:t>万</w:t>
      </w:r>
      <w:r>
        <w:rPr>
          <w:rFonts w:hint="eastAsia" w:ascii="Times New Roman" w:hAnsi="Times New Roman" w:eastAsia="仿宋_GB2312" w:cs="仿宋_GB2312"/>
          <w:color w:val="auto"/>
          <w:kern w:val="2"/>
          <w:sz w:val="32"/>
          <w:szCs w:val="32"/>
          <w:highlight w:val="none"/>
          <w:lang w:val="en-US" w:eastAsia="zh-CN" w:bidi="ar-SA"/>
        </w:rPr>
        <w:t>元，主要包括：</w:t>
      </w:r>
      <w:r>
        <w:rPr>
          <w:rFonts w:hint="eastAsia" w:ascii="仿宋_GB2312" w:hAnsi="仿宋_GB2312" w:eastAsia="仿宋_GB2312" w:cs="仿宋_GB2312"/>
          <w:sz w:val="32"/>
          <w:szCs w:val="32"/>
        </w:rPr>
        <w:t>基本工资、津贴补贴、奖金、 绩效工资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机关事业单位基本养老保险缴费、职工基本医疗保险缴费、其他社会保障缴费、住房公积金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生活补助、其他对个人和家庭的补助。</w:t>
      </w:r>
      <w:r>
        <w:rPr>
          <w:rFonts w:hint="eastAsia" w:ascii="Times New Roman" w:hAnsi="Times New Roman" w:eastAsia="仿宋_GB2312" w:cs="仿宋_GB2312"/>
          <w:color w:val="auto"/>
          <w:kern w:val="2"/>
          <w:sz w:val="32"/>
          <w:szCs w:val="32"/>
          <w:highlight w:val="none"/>
          <w:lang w:val="en-US" w:eastAsia="zh-CN" w:bidi="ar-SA"/>
        </w:rPr>
        <w:br w:type="textWrapping"/>
      </w:r>
      <w:r>
        <w:rPr>
          <w:rFonts w:hint="eastAsia" w:ascii="Times New Roman" w:hAnsi="Times New Roman" w:eastAsia="仿宋_GB2312" w:cs="仿宋_GB2312"/>
          <w:color w:val="auto"/>
          <w:kern w:val="2"/>
          <w:sz w:val="32"/>
          <w:szCs w:val="32"/>
          <w:highlight w:val="none"/>
          <w:lang w:val="en-US" w:eastAsia="zh-CN" w:bidi="ar-SA"/>
        </w:rPr>
        <w:t>　　公用经费</w:t>
      </w:r>
      <w:r>
        <w:rPr>
          <w:rFonts w:hint="eastAsia" w:ascii="仿宋_GB2312" w:hAnsi="仿宋_GB2312" w:eastAsia="仿宋_GB2312" w:cs="仿宋_GB2312"/>
          <w:sz w:val="32"/>
          <w:szCs w:val="32"/>
        </w:rPr>
        <w:t>67.56</w:t>
      </w:r>
      <w:r>
        <w:rPr>
          <w:rFonts w:hint="eastAsia" w:ascii="仿宋_GB2312" w:hAnsi="仿宋_GB2312" w:eastAsia="仿宋_GB2312" w:cs="仿宋_GB2312"/>
          <w:color w:val="auto"/>
          <w:kern w:val="2"/>
          <w:sz w:val="32"/>
          <w:szCs w:val="32"/>
          <w:highlight w:val="none"/>
          <w:lang w:val="en-US" w:eastAsia="zh-CN" w:bidi="ar-SA"/>
        </w:rPr>
        <w:t>万</w:t>
      </w:r>
      <w:r>
        <w:rPr>
          <w:rFonts w:hint="eastAsia" w:ascii="Times New Roman" w:hAnsi="Times New Roman" w:eastAsia="仿宋_GB2312" w:cs="仿宋_GB2312"/>
          <w:color w:val="auto"/>
          <w:kern w:val="2"/>
          <w:sz w:val="32"/>
          <w:szCs w:val="32"/>
          <w:highlight w:val="none"/>
          <w:lang w:val="en-US" w:eastAsia="zh-CN" w:bidi="ar-SA"/>
        </w:rPr>
        <w:t>元，主要包括</w:t>
      </w:r>
      <w:r>
        <w:rPr>
          <w:rFonts w:hint="eastAsia" w:ascii="仿宋_GB2312" w:hAnsi="仿宋_GB2312" w:eastAsia="仿宋_GB2312" w:cs="仿宋_GB2312"/>
          <w:sz w:val="32"/>
          <w:szCs w:val="32"/>
        </w:rPr>
        <w:t>办公费、印刷费、咨询费、手续费、邮电费、差旅费、维修（护）费、培训费、公务接待费、劳务费、委托业务费、工会经费、福利费、其他交通费</w:t>
      </w:r>
      <w:r>
        <w:rPr>
          <w:rFonts w:hint="eastAsia" w:ascii="仿宋_GB2312" w:hAnsi="仿宋_GB2312" w:eastAsia="仿宋_GB2312" w:cs="仿宋_GB2312"/>
          <w:sz w:val="32"/>
          <w:szCs w:val="32"/>
          <w:lang w:val="en-US" w:eastAsia="zh-CN"/>
        </w:rPr>
        <w:t>用</w:t>
      </w:r>
      <w:r>
        <w:rPr>
          <w:rFonts w:hint="eastAsia" w:ascii="仿宋_GB2312" w:hAnsi="仿宋_GB2312" w:eastAsia="仿宋_GB2312" w:cs="仿宋_GB2312"/>
          <w:sz w:val="32"/>
          <w:szCs w:val="32"/>
        </w:rPr>
        <w:t>、其他商品和服务支出</w:t>
      </w:r>
      <w:r>
        <w:rPr>
          <w:rFonts w:hint="eastAsia" w:ascii="仿宋_GB2312" w:hAnsi="仿宋_GB2312" w:eastAsia="仿宋_GB2312" w:cs="仿宋_GB2312"/>
          <w:sz w:val="32"/>
          <w:szCs w:val="32"/>
          <w:lang w:eastAsia="zh-CN"/>
        </w:rPr>
        <w:t>、</w:t>
      </w:r>
      <w:r>
        <w:rPr>
          <w:rFonts w:hint="eastAsia" w:ascii="Times New Roman" w:hAnsi="Times New Roman" w:eastAsia="仿宋_GB2312" w:cs="仿宋_GB2312"/>
          <w:color w:val="auto"/>
          <w:kern w:val="2"/>
          <w:sz w:val="32"/>
          <w:szCs w:val="32"/>
          <w:highlight w:val="none"/>
          <w:lang w:val="en-US" w:eastAsia="zh-CN" w:bidi="ar-SA"/>
        </w:rPr>
        <w:t>办公设备购置</w:t>
      </w:r>
      <w:r>
        <w:rPr>
          <w:rFonts w:hint="eastAsia" w:ascii="仿宋_GB2312" w:hAnsi="仿宋_GB2312" w:eastAsia="仿宋_GB2312" w:cs="仿宋_GB2312"/>
          <w:sz w:val="32"/>
          <w:szCs w:val="32"/>
        </w:rPr>
        <w:t>。</w:t>
      </w:r>
    </w:p>
    <w:p>
      <w:pPr>
        <w:spacing w:line="600" w:lineRule="exact"/>
        <w:ind w:firstLine="640"/>
        <w:outlineLvl w:val="1"/>
        <w:rPr>
          <w:rStyle w:val="22"/>
          <w:rFonts w:ascii="Times New Roman" w:hAnsi="Times New Roman" w:eastAsia="黑体"/>
          <w:b w:val="0"/>
          <w:color w:val="auto"/>
          <w:highlight w:val="none"/>
        </w:rPr>
      </w:pPr>
      <w:bookmarkStart w:id="48" w:name="_Toc15396609"/>
      <w:bookmarkStart w:id="49" w:name="_Toc15377215"/>
      <w:bookmarkStart w:id="50" w:name="_Toc32061"/>
      <w:r>
        <w:rPr>
          <w:rFonts w:hint="eastAsia" w:ascii="Times New Roman" w:hAnsi="Times New Roman" w:eastAsia="黑体"/>
          <w:color w:val="auto"/>
          <w:sz w:val="32"/>
          <w:szCs w:val="32"/>
          <w:highlight w:val="none"/>
        </w:rPr>
        <w:t>七、</w:t>
      </w:r>
      <w:r>
        <w:rPr>
          <w:rStyle w:val="22"/>
          <w:rFonts w:hint="eastAsia" w:ascii="Times New Roman" w:hAnsi="Times New Roman" w:eastAsia="黑体"/>
          <w:b w:val="0"/>
          <w:color w:val="auto"/>
          <w:highlight w:val="none"/>
        </w:rPr>
        <w:t>财政拨款</w:t>
      </w:r>
      <w:r>
        <w:rPr>
          <w:rStyle w:val="22"/>
          <w:rFonts w:hint="eastAsia" w:ascii="Times New Roman" w:hAnsi="Times New Roman" w:eastAsia="黑体"/>
          <w:color w:val="auto"/>
          <w:highlight w:val="none"/>
        </w:rPr>
        <w:t>“</w:t>
      </w:r>
      <w:r>
        <w:rPr>
          <w:rStyle w:val="22"/>
          <w:rFonts w:hint="eastAsia" w:ascii="Times New Roman" w:hAnsi="Times New Roman" w:eastAsia="黑体"/>
          <w:b w:val="0"/>
          <w:color w:val="auto"/>
          <w:highlight w:val="none"/>
        </w:rPr>
        <w:t>三公”经费支出决算情况说明</w:t>
      </w:r>
      <w:bookmarkEnd w:id="48"/>
      <w:bookmarkEnd w:id="49"/>
      <w:bookmarkEnd w:id="50"/>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51" w:name="_Toc7655"/>
      <w:bookmarkStart w:id="52" w:name="_Toc15377216"/>
      <w:r>
        <w:rPr>
          <w:rFonts w:hint="eastAsia" w:ascii="Times New Roman" w:hAnsi="Times New Roman" w:eastAsia="楷体_GB2312" w:cs="楷体_GB2312"/>
          <w:b/>
          <w:color w:val="auto"/>
          <w:sz w:val="32"/>
          <w:szCs w:val="32"/>
          <w:highlight w:val="none"/>
        </w:rPr>
        <w:t>（一）“三公”经费财政拨款支出决算总体情况说明</w:t>
      </w:r>
      <w:bookmarkEnd w:id="51"/>
      <w:bookmarkEnd w:id="52"/>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2024</w:t>
      </w:r>
      <w:r>
        <w:rPr>
          <w:rFonts w:hint="eastAsia" w:ascii="Times New Roman" w:hAnsi="Times New Roman" w:eastAsia="仿宋_GB2312" w:cs="仿宋_GB2312"/>
          <w:color w:val="auto"/>
          <w:kern w:val="2"/>
          <w:sz w:val="32"/>
          <w:szCs w:val="32"/>
          <w:highlight w:val="none"/>
          <w:lang w:val="en-US" w:eastAsia="zh-CN" w:bidi="ar-SA"/>
        </w:rPr>
        <w:t>年度“三公”经费财政拨款支出决算为</w:t>
      </w:r>
      <w:r>
        <w:rPr>
          <w:rFonts w:hint="eastAsia" w:ascii="仿宋_GB2312" w:hAnsi="仿宋_GB2312" w:eastAsia="仿宋_GB2312" w:cs="仿宋_GB2312"/>
          <w:sz w:val="32"/>
          <w:szCs w:val="32"/>
        </w:rPr>
        <w:t>0.75</w:t>
      </w:r>
      <w:r>
        <w:rPr>
          <w:rFonts w:hint="eastAsia" w:ascii="仿宋_GB2312" w:hAnsi="仿宋_GB2312" w:eastAsia="仿宋_GB2312" w:cs="仿宋_GB2312"/>
          <w:color w:val="auto"/>
          <w:kern w:val="2"/>
          <w:sz w:val="32"/>
          <w:szCs w:val="32"/>
          <w:highlight w:val="none"/>
          <w:lang w:val="en-US" w:eastAsia="zh-CN" w:bidi="ar-SA"/>
        </w:rPr>
        <w:t>万元，完成预算</w:t>
      </w:r>
      <w:r>
        <w:rPr>
          <w:rFonts w:hint="eastAsia" w:ascii="仿宋_GB2312" w:hAnsi="仿宋_GB2312" w:eastAsia="仿宋_GB2312" w:cs="仿宋_GB2312"/>
          <w:sz w:val="32"/>
          <w:szCs w:val="32"/>
        </w:rPr>
        <w:t>100</w:t>
      </w:r>
      <w:r>
        <w:rPr>
          <w:rFonts w:hint="eastAsia" w:ascii="仿宋_GB2312" w:hAnsi="仿宋_GB2312"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较上年度减少</w:t>
      </w:r>
      <w:r>
        <w:rPr>
          <w:rFonts w:hint="eastAsia" w:ascii="仿宋_GB2312" w:hAnsi="仿宋_GB2312" w:eastAsia="仿宋_GB2312" w:cs="仿宋_GB2312"/>
          <w:sz w:val="32"/>
          <w:szCs w:val="32"/>
          <w:lang w:val="en-US" w:eastAsia="zh-CN"/>
        </w:rPr>
        <w:t>0.47</w:t>
      </w:r>
      <w:r>
        <w:rPr>
          <w:rFonts w:hint="eastAsia" w:ascii="Times New Roman" w:hAnsi="Times New Roman" w:eastAsia="仿宋_GB2312" w:cs="仿宋_GB2312"/>
          <w:color w:val="auto"/>
          <w:kern w:val="2"/>
          <w:sz w:val="32"/>
          <w:szCs w:val="32"/>
          <w:highlight w:val="none"/>
          <w:lang w:val="en-US" w:eastAsia="zh-CN" w:bidi="ar-SA"/>
        </w:rPr>
        <w:t>万元</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下降</w:t>
      </w:r>
      <w:r>
        <w:rPr>
          <w:rFonts w:hint="eastAsia" w:ascii="仿宋_GB2312" w:hAnsi="仿宋_GB2312" w:eastAsia="仿宋_GB2312" w:cs="仿宋_GB2312"/>
          <w:sz w:val="32"/>
          <w:szCs w:val="32"/>
          <w:lang w:val="en-US" w:eastAsia="zh-CN"/>
        </w:rPr>
        <w:t>38.52%。</w:t>
      </w:r>
      <w:r>
        <w:rPr>
          <w:rFonts w:hint="eastAsia" w:ascii="Times New Roman" w:hAnsi="Times New Roman" w:eastAsia="仿宋_GB2312" w:cs="仿宋_GB2312"/>
          <w:color w:val="auto"/>
          <w:kern w:val="2"/>
          <w:sz w:val="32"/>
          <w:szCs w:val="32"/>
          <w:highlight w:val="none"/>
          <w:lang w:val="en-US" w:eastAsia="zh-CN" w:bidi="ar-SA"/>
        </w:rPr>
        <w:t>决算数与预算数持平</w:t>
      </w:r>
      <w:r>
        <w:rPr>
          <w:rFonts w:hint="eastAsia" w:eastAsia="仿宋_GB2312" w:cs="仿宋_GB2312"/>
          <w:color w:val="auto"/>
          <w:kern w:val="2"/>
          <w:sz w:val="32"/>
          <w:szCs w:val="32"/>
          <w:highlight w:val="none"/>
          <w:lang w:val="en-US" w:eastAsia="zh-CN" w:bidi="ar-SA"/>
        </w:rPr>
        <w:t>。</w:t>
      </w:r>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53" w:name="_Toc7031"/>
      <w:bookmarkStart w:id="54" w:name="_Toc15377217"/>
      <w:r>
        <w:rPr>
          <w:rFonts w:hint="eastAsia" w:ascii="Times New Roman" w:hAnsi="Times New Roman" w:eastAsia="楷体_GB2312" w:cs="楷体_GB2312"/>
          <w:b/>
          <w:color w:val="auto"/>
          <w:sz w:val="32"/>
          <w:szCs w:val="32"/>
          <w:highlight w:val="none"/>
        </w:rPr>
        <w:t>（二）“三公”经费财政拨款支出决算具体情况说明</w:t>
      </w:r>
      <w:bookmarkEnd w:id="53"/>
      <w:bookmarkEnd w:id="54"/>
    </w:p>
    <w:p>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2024</w:t>
      </w:r>
      <w:r>
        <w:rPr>
          <w:rFonts w:hint="eastAsia" w:ascii="仿宋_GB2312" w:hAnsi="仿宋_GB2312" w:eastAsia="仿宋_GB2312" w:cs="仿宋_GB2312"/>
          <w:color w:val="auto"/>
          <w:kern w:val="2"/>
          <w:sz w:val="32"/>
          <w:szCs w:val="32"/>
          <w:highlight w:val="none"/>
          <w:lang w:val="en-US" w:eastAsia="zh-CN" w:bidi="ar-SA"/>
        </w:rPr>
        <w:t>年度“三公”经费财政拨款支出决算中，因公出国（境）费支出决算</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万元，占0%；公务用车购置及运行维护费支出决算</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万元，占0%；公务接待费支出决算</w:t>
      </w:r>
      <w:r>
        <w:rPr>
          <w:rFonts w:hint="eastAsia" w:ascii="仿宋_GB2312" w:hAnsi="仿宋_GB2312" w:eastAsia="仿宋_GB2312" w:cs="仿宋_GB2312"/>
          <w:sz w:val="32"/>
          <w:szCs w:val="32"/>
        </w:rPr>
        <w:t>0.75</w:t>
      </w:r>
      <w:r>
        <w:rPr>
          <w:rFonts w:hint="eastAsia" w:ascii="仿宋_GB2312" w:hAnsi="仿宋_GB2312" w:eastAsia="仿宋_GB2312" w:cs="仿宋_GB2312"/>
          <w:color w:val="auto"/>
          <w:kern w:val="2"/>
          <w:sz w:val="32"/>
          <w:szCs w:val="32"/>
          <w:highlight w:val="none"/>
          <w:lang w:val="en-US" w:eastAsia="zh-CN" w:bidi="ar-SA"/>
        </w:rPr>
        <w:t>万元，占100%。具体情况如下：</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（图7：“三公”经费财政拨款支出结构）（饼状图）</w:t>
      </w:r>
    </w:p>
    <w:p>
      <w:pPr>
        <w:pStyle w:val="2"/>
        <w:rPr>
          <w:rFonts w:hint="default"/>
          <w:lang w:val="en-US" w:eastAsia="zh-CN"/>
        </w:rPr>
      </w:pPr>
      <w:r>
        <w:rPr>
          <w:rFonts w:hint="eastAsia" w:ascii="Times New Roman" w:cs="仿宋_GB2312"/>
          <w:color w:val="auto"/>
          <w:kern w:val="2"/>
          <w:sz w:val="32"/>
          <w:szCs w:val="32"/>
          <w:highlight w:val="none"/>
          <w:lang w:val="en-US" w:eastAsia="zh-CN" w:bidi="ar-SA"/>
        </w:rPr>
        <w:t xml:space="preserve">   </w:t>
      </w:r>
      <w:r>
        <w:rPr>
          <w:rFonts w:hint="eastAsia" w:ascii="Times New Roman" w:cs="仿宋_GB2312"/>
          <w:color w:val="auto"/>
          <w:kern w:val="2"/>
          <w:sz w:val="32"/>
          <w:szCs w:val="32"/>
          <w:highlight w:val="none"/>
          <w:lang w:val="en-US" w:eastAsia="zh-CN" w:bidi="ar-SA"/>
        </w:rPr>
        <w:drawing>
          <wp:inline distT="0" distB="0" distL="114300" distR="114300">
            <wp:extent cx="4851400" cy="3162300"/>
            <wp:effectExtent l="4445" t="4445" r="20955" b="14605"/>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pPr>
        <w:spacing w:line="600" w:lineRule="exact"/>
        <w:ind w:firstLine="640"/>
        <w:rPr>
          <w:rFonts w:hint="eastAsia" w:ascii="仿宋_GB2312" w:hAnsi="仿宋_GB2312" w:eastAsia="仿宋_GB2312" w:cs="仿宋_GB2312"/>
          <w:sz w:val="32"/>
          <w:szCs w:val="32"/>
        </w:rPr>
      </w:pPr>
      <w:r>
        <w:rPr>
          <w:rFonts w:hint="eastAsia" w:ascii="Times New Roman" w:hAnsi="Times New Roman" w:eastAsia="仿宋_GB2312" w:cs="仿宋_GB2312"/>
          <w:b/>
          <w:bCs/>
          <w:color w:val="auto"/>
          <w:kern w:val="2"/>
          <w:sz w:val="32"/>
          <w:szCs w:val="32"/>
          <w:highlight w:val="none"/>
          <w:lang w:val="en-US" w:eastAsia="zh-CN" w:bidi="ar-SA"/>
        </w:rPr>
        <w:t>1.因公出国（境）经费支出</w:t>
      </w:r>
      <w:r>
        <w:rPr>
          <w:rFonts w:hint="eastAsia" w:ascii="仿宋_GB2312" w:hAnsi="仿宋_GB2312" w:eastAsia="仿宋_GB2312" w:cs="仿宋_GB2312"/>
          <w:sz w:val="32"/>
          <w:szCs w:val="32"/>
        </w:rPr>
        <w:t>0万元，年初未安排预算，因公出国（境）支出决算较202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年无变化。</w:t>
      </w:r>
    </w:p>
    <w:p>
      <w:pPr>
        <w:spacing w:line="600" w:lineRule="exact"/>
        <w:ind w:firstLine="640"/>
        <w:rPr>
          <w:rFonts w:hint="eastAsia" w:ascii="仿宋_GB2312" w:hAnsi="仿宋_GB2312" w:eastAsia="仿宋_GB2312" w:cs="仿宋_GB2312"/>
          <w:b/>
          <w:sz w:val="32"/>
          <w:szCs w:val="32"/>
        </w:rPr>
      </w:pPr>
      <w:r>
        <w:rPr>
          <w:rFonts w:hint="eastAsia" w:ascii="Times New Roman" w:hAnsi="Times New Roman" w:eastAsia="仿宋_GB2312" w:cs="仿宋_GB2312"/>
          <w:b/>
          <w:bCs/>
          <w:color w:val="auto"/>
          <w:kern w:val="2"/>
          <w:sz w:val="32"/>
          <w:szCs w:val="32"/>
          <w:highlight w:val="none"/>
          <w:lang w:val="en-US" w:eastAsia="zh-CN" w:bidi="ar-SA"/>
        </w:rPr>
        <w:t>2.公务用车购置及运行维护费支出</w:t>
      </w:r>
      <w:r>
        <w:rPr>
          <w:rFonts w:hint="eastAsia" w:ascii="仿宋_GB2312" w:hAnsi="仿宋_GB2312" w:eastAsia="仿宋_GB2312" w:cs="仿宋_GB2312"/>
          <w:sz w:val="32"/>
          <w:szCs w:val="32"/>
        </w:rPr>
        <w:t>0万元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年初未安排预算，公务用车购置及运行维护支出决算较202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年无变化。</w:t>
      </w:r>
    </w:p>
    <w:p>
      <w:pPr>
        <w:spacing w:line="600" w:lineRule="exact"/>
        <w:ind w:firstLine="640" w:firstLineChars="200"/>
        <w:rPr>
          <w:rFonts w:ascii="仿宋_GB2312" w:hAnsi="仿宋_GB2312" w:eastAsia="仿宋_GB2312" w:cs="仿宋_GB2312"/>
          <w:b/>
          <w:sz w:val="32"/>
          <w:szCs w:val="32"/>
        </w:rPr>
      </w:pPr>
      <w:r>
        <w:rPr>
          <w:rFonts w:hint="eastAsia" w:ascii="仿宋_GB2312" w:hAnsi="仿宋_GB2312" w:eastAsia="仿宋_GB2312" w:cs="仿宋_GB2312"/>
          <w:sz w:val="32"/>
          <w:szCs w:val="32"/>
        </w:rPr>
        <w:t>其中：</w:t>
      </w:r>
      <w:r>
        <w:rPr>
          <w:rFonts w:hint="eastAsia" w:ascii="仿宋_GB2312" w:hAnsi="仿宋_GB2312" w:eastAsia="仿宋_GB2312" w:cs="仿宋_GB2312"/>
          <w:b/>
          <w:sz w:val="32"/>
          <w:szCs w:val="32"/>
        </w:rPr>
        <w:t>公务用车购置支出</w:t>
      </w:r>
      <w:r>
        <w:rPr>
          <w:rFonts w:hint="eastAsia" w:ascii="仿宋_GB2312" w:hAnsi="仿宋_GB2312" w:eastAsia="仿宋_GB2312" w:cs="仿宋_GB2312"/>
          <w:sz w:val="32"/>
          <w:szCs w:val="32"/>
        </w:rPr>
        <w:t>0万元。202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年度单位未购置公务用车，</w:t>
      </w:r>
      <w:r>
        <w:rPr>
          <w:rFonts w:hint="eastAsia" w:ascii="仿宋_GB2312" w:eastAsia="仿宋_GB2312"/>
          <w:sz w:val="32"/>
          <w:szCs w:val="32"/>
        </w:rPr>
        <w:t>截至</w:t>
      </w:r>
      <w:r>
        <w:rPr>
          <w:rFonts w:ascii="仿宋_GB2312" w:eastAsia="仿宋_GB2312"/>
          <w:sz w:val="32"/>
          <w:szCs w:val="32"/>
        </w:rPr>
        <w:t>20</w:t>
      </w:r>
      <w:r>
        <w:rPr>
          <w:rFonts w:hint="eastAsia" w:ascii="仿宋_GB2312" w:eastAsia="仿宋_GB2312"/>
          <w:sz w:val="32"/>
          <w:szCs w:val="32"/>
        </w:rPr>
        <w:t>2</w:t>
      </w:r>
      <w:r>
        <w:rPr>
          <w:rFonts w:hint="eastAsia" w:ascii="仿宋_GB2312" w:eastAsia="仿宋_GB2312"/>
          <w:sz w:val="32"/>
          <w:szCs w:val="32"/>
          <w:lang w:val="en-US" w:eastAsia="zh-CN"/>
        </w:rPr>
        <w:t>4</w:t>
      </w:r>
      <w:r>
        <w:rPr>
          <w:rFonts w:hint="eastAsia" w:ascii="仿宋_GB2312" w:eastAsia="仿宋_GB2312"/>
          <w:sz w:val="32"/>
          <w:szCs w:val="32"/>
        </w:rPr>
        <w:t>年底</w:t>
      </w:r>
      <w:r>
        <w:rPr>
          <w:rFonts w:hint="eastAsia" w:ascii="仿宋_GB2312" w:eastAsia="仿宋_GB2312"/>
          <w:sz w:val="32"/>
          <w:szCs w:val="32"/>
          <w:lang w:eastAsia="zh-CN"/>
        </w:rPr>
        <w:t>，</w:t>
      </w:r>
      <w:r>
        <w:rPr>
          <w:rFonts w:hint="eastAsia" w:ascii="仿宋_GB2312" w:eastAsia="仿宋_GB2312"/>
          <w:sz w:val="32"/>
          <w:szCs w:val="32"/>
        </w:rPr>
        <w:t>单位无公务用车保有量。</w:t>
      </w:r>
    </w:p>
    <w:p>
      <w:pPr>
        <w:spacing w:line="600" w:lineRule="exact"/>
        <w:ind w:firstLine="640"/>
      </w:pPr>
      <w:r>
        <w:rPr>
          <w:rFonts w:hint="eastAsia" w:ascii="仿宋_GB2312" w:hAnsi="仿宋_GB2312" w:eastAsia="仿宋_GB2312" w:cs="仿宋_GB2312"/>
          <w:b/>
          <w:sz w:val="32"/>
          <w:szCs w:val="32"/>
        </w:rPr>
        <w:t>公务用车运行维护费支出</w:t>
      </w:r>
      <w:r>
        <w:rPr>
          <w:rFonts w:hint="eastAsia" w:ascii="仿宋_GB2312" w:hAnsi="仿宋_GB2312" w:eastAsia="仿宋_GB2312" w:cs="仿宋_GB2312"/>
          <w:sz w:val="32"/>
          <w:szCs w:val="32"/>
        </w:rPr>
        <w:t>0万元。</w:t>
      </w:r>
      <w:r>
        <w:rPr>
          <w:rFonts w:hint="eastAsia" w:ascii="仿宋_GB2312" w:eastAsia="仿宋_GB2312"/>
          <w:sz w:val="32"/>
          <w:szCs w:val="32"/>
        </w:rPr>
        <w:t>本单位未安排公务用车运行维护费。</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b/>
          <w:bCs/>
          <w:color w:val="auto"/>
          <w:kern w:val="2"/>
          <w:sz w:val="32"/>
          <w:szCs w:val="32"/>
          <w:highlight w:val="none"/>
          <w:lang w:val="en-US" w:eastAsia="zh-CN" w:bidi="ar-SA"/>
        </w:rPr>
        <w:t>3.公务接待费支出</w:t>
      </w:r>
      <w:r>
        <w:rPr>
          <w:rFonts w:hint="eastAsia" w:ascii="仿宋_GB2312" w:hAnsi="仿宋_GB2312" w:eastAsia="仿宋_GB2312" w:cs="仿宋_GB2312"/>
          <w:color w:val="auto"/>
          <w:kern w:val="2"/>
          <w:sz w:val="32"/>
          <w:szCs w:val="32"/>
          <w:highlight w:val="none"/>
          <w:lang w:val="en-US" w:eastAsia="zh-CN" w:bidi="ar-SA"/>
        </w:rPr>
        <w:t>0.75</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ascii="仿宋_GB2312" w:hAnsi="仿宋_GB2312"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公务接待费支出决算比</w:t>
      </w:r>
      <w:r>
        <w:rPr>
          <w:rFonts w:hint="eastAsia" w:ascii="仿宋_GB2312" w:hAnsi="仿宋_GB2312" w:eastAsia="仿宋_GB2312" w:cs="仿宋_GB2312"/>
          <w:color w:val="auto"/>
          <w:kern w:val="2"/>
          <w:sz w:val="32"/>
          <w:szCs w:val="32"/>
          <w:highlight w:val="none"/>
          <w:lang w:val="en-US" w:eastAsia="zh-CN" w:bidi="ar-SA"/>
        </w:rPr>
        <w:t>2023</w:t>
      </w:r>
      <w:r>
        <w:rPr>
          <w:rFonts w:hint="eastAsia" w:ascii="Times New Roman" w:hAnsi="Times New Roman" w:eastAsia="仿宋_GB2312" w:cs="仿宋_GB2312"/>
          <w:color w:val="auto"/>
          <w:kern w:val="2"/>
          <w:sz w:val="32"/>
          <w:szCs w:val="32"/>
          <w:highlight w:val="none"/>
          <w:lang w:val="en-US" w:eastAsia="zh-CN" w:bidi="ar-SA"/>
        </w:rPr>
        <w:t>年度减少</w:t>
      </w:r>
      <w:r>
        <w:rPr>
          <w:rFonts w:hint="eastAsia" w:ascii="仿宋_GB2312" w:hAnsi="仿宋_GB2312" w:eastAsia="仿宋_GB2312" w:cs="仿宋_GB2312"/>
          <w:color w:val="auto"/>
          <w:kern w:val="2"/>
          <w:sz w:val="32"/>
          <w:szCs w:val="32"/>
          <w:highlight w:val="none"/>
          <w:lang w:val="en-US" w:eastAsia="zh-CN" w:bidi="ar-SA"/>
        </w:rPr>
        <w:t>0.47</w:t>
      </w:r>
      <w:r>
        <w:rPr>
          <w:rFonts w:hint="eastAsia" w:ascii="Times New Roman" w:hAnsi="Times New Roman" w:eastAsia="仿宋_GB2312" w:cs="仿宋_GB2312"/>
          <w:color w:val="auto"/>
          <w:kern w:val="2"/>
          <w:sz w:val="32"/>
          <w:szCs w:val="32"/>
          <w:highlight w:val="none"/>
          <w:lang w:val="en-US" w:eastAsia="zh-CN" w:bidi="ar-SA"/>
        </w:rPr>
        <w:t>万元，下降</w:t>
      </w:r>
      <w:r>
        <w:rPr>
          <w:rFonts w:hint="eastAsia" w:ascii="仿宋_GB2312" w:hAnsi="仿宋_GB2312" w:eastAsia="仿宋_GB2312" w:cs="仿宋_GB2312"/>
          <w:color w:val="auto"/>
          <w:kern w:val="2"/>
          <w:sz w:val="32"/>
          <w:szCs w:val="32"/>
          <w:highlight w:val="none"/>
          <w:lang w:val="en-US" w:eastAsia="zh-CN" w:bidi="ar-SA"/>
        </w:rPr>
        <w:t>38.52%。</w:t>
      </w:r>
      <w:r>
        <w:rPr>
          <w:rFonts w:hint="eastAsia" w:ascii="Times New Roman" w:hAnsi="Times New Roman" w:eastAsia="仿宋_GB2312" w:cs="仿宋_GB2312"/>
          <w:color w:val="auto"/>
          <w:kern w:val="2"/>
          <w:sz w:val="32"/>
          <w:szCs w:val="32"/>
          <w:highlight w:val="none"/>
          <w:lang w:val="en-US" w:eastAsia="zh-CN" w:bidi="ar-SA"/>
        </w:rPr>
        <w:t>主要原因是</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年度其他</w:t>
      </w:r>
      <w:r>
        <w:rPr>
          <w:rFonts w:hint="eastAsia" w:ascii="仿宋" w:hAnsi="仿宋" w:eastAsia="仿宋"/>
          <w:sz w:val="32"/>
          <w:szCs w:val="32"/>
        </w:rPr>
        <w:t>市州来我单位考察调研</w:t>
      </w:r>
      <w:r>
        <w:rPr>
          <w:rFonts w:hint="eastAsia" w:ascii="仿宋" w:hAnsi="仿宋" w:eastAsia="仿宋"/>
          <w:sz w:val="32"/>
          <w:szCs w:val="32"/>
          <w:lang w:eastAsia="zh-CN"/>
        </w:rPr>
        <w:t>次数减少</w:t>
      </w:r>
      <w:r>
        <w:rPr>
          <w:rFonts w:hint="eastAsia" w:ascii="Times New Roman" w:hAnsi="Times New Roman" w:eastAsia="仿宋_GB2312" w:cs="仿宋_GB2312"/>
          <w:color w:val="auto"/>
          <w:kern w:val="2"/>
          <w:sz w:val="32"/>
          <w:szCs w:val="32"/>
          <w:highlight w:val="none"/>
          <w:lang w:val="en-US" w:eastAsia="zh-CN" w:bidi="ar-SA"/>
        </w:rPr>
        <w:t>。其中：</w:t>
      </w:r>
    </w:p>
    <w:p>
      <w:pPr>
        <w:spacing w:line="600" w:lineRule="exact"/>
        <w:ind w:firstLine="640"/>
        <w:rPr>
          <w:rFonts w:hint="eastAsia" w:ascii="仿宋_GB2312" w:hAnsi="宋体" w:eastAsia="仿宋_GB2312" w:cs="宋体"/>
          <w:color w:val="000000"/>
          <w:sz w:val="32"/>
          <w:szCs w:val="32"/>
        </w:rPr>
      </w:pPr>
      <w:r>
        <w:rPr>
          <w:rFonts w:hint="eastAsia" w:ascii="Times New Roman" w:hAnsi="Times New Roman" w:eastAsia="仿宋_GB2312" w:cs="仿宋_GB2312"/>
          <w:b/>
          <w:bCs/>
          <w:color w:val="auto"/>
          <w:kern w:val="2"/>
          <w:sz w:val="32"/>
          <w:szCs w:val="32"/>
          <w:highlight w:val="none"/>
          <w:lang w:val="en-US" w:eastAsia="zh-CN" w:bidi="ar-SA"/>
        </w:rPr>
        <w:t>国内公务接待支</w:t>
      </w:r>
      <w:r>
        <w:rPr>
          <w:rFonts w:hint="eastAsia" w:ascii="仿宋_GB2312" w:hAnsi="仿宋_GB2312" w:eastAsia="仿宋_GB2312" w:cs="仿宋_GB2312"/>
          <w:b/>
          <w:bCs/>
          <w:color w:val="auto"/>
          <w:kern w:val="2"/>
          <w:sz w:val="32"/>
          <w:szCs w:val="32"/>
          <w:highlight w:val="none"/>
          <w:lang w:val="en-US" w:eastAsia="zh-CN" w:bidi="ar-SA"/>
        </w:rPr>
        <w:t>出</w:t>
      </w:r>
      <w:r>
        <w:rPr>
          <w:rFonts w:hint="eastAsia" w:ascii="仿宋_GB2312" w:hAnsi="仿宋_GB2312" w:eastAsia="仿宋_GB2312" w:cs="仿宋_GB2312"/>
          <w:sz w:val="32"/>
          <w:szCs w:val="32"/>
        </w:rPr>
        <w:t>0.75</w:t>
      </w:r>
      <w:r>
        <w:rPr>
          <w:rFonts w:hint="eastAsia" w:ascii="仿宋_GB2312" w:hAnsi="仿宋_GB2312" w:eastAsia="仿宋_GB2312" w:cs="仿宋_GB2312"/>
          <w:color w:val="auto"/>
          <w:kern w:val="2"/>
          <w:sz w:val="32"/>
          <w:szCs w:val="32"/>
          <w:highlight w:val="none"/>
          <w:lang w:val="en-US" w:eastAsia="zh-CN" w:bidi="ar-SA"/>
        </w:rPr>
        <w:t>万</w:t>
      </w:r>
      <w:r>
        <w:rPr>
          <w:rFonts w:hint="eastAsia" w:ascii="Times New Roman" w:hAnsi="Times New Roman" w:eastAsia="仿宋_GB2312" w:cs="仿宋_GB2312"/>
          <w:color w:val="auto"/>
          <w:kern w:val="2"/>
          <w:sz w:val="32"/>
          <w:szCs w:val="32"/>
          <w:highlight w:val="none"/>
          <w:lang w:val="en-US" w:eastAsia="zh-CN" w:bidi="ar-SA"/>
        </w:rPr>
        <w:t>元，主要用于</w:t>
      </w:r>
      <w:r>
        <w:rPr>
          <w:rFonts w:hint="eastAsia" w:ascii="仿宋_GB2312" w:hAnsi="仿宋_GB2312" w:eastAsia="仿宋_GB2312" w:cs="仿宋_GB2312"/>
          <w:sz w:val="32"/>
          <w:szCs w:val="32"/>
        </w:rPr>
        <w:t>执行公务、开展业务活动开支的用餐费</w:t>
      </w:r>
      <w:r>
        <w:rPr>
          <w:rFonts w:hint="eastAsia" w:ascii="Times New Roman" w:hAnsi="Times New Roman" w:eastAsia="仿宋_GB2312" w:cs="仿宋_GB2312"/>
          <w:color w:val="auto"/>
          <w:kern w:val="2"/>
          <w:sz w:val="32"/>
          <w:szCs w:val="32"/>
          <w:highlight w:val="none"/>
          <w:lang w:val="en-US" w:eastAsia="zh-CN" w:bidi="ar-SA"/>
        </w:rPr>
        <w:t>。国内公务接</w:t>
      </w:r>
      <w:r>
        <w:rPr>
          <w:rFonts w:hint="eastAsia" w:ascii="仿宋_GB2312" w:hAnsi="仿宋_GB2312" w:eastAsia="仿宋_GB2312" w:cs="仿宋_GB2312"/>
          <w:color w:val="auto"/>
          <w:kern w:val="2"/>
          <w:sz w:val="32"/>
          <w:szCs w:val="32"/>
          <w:highlight w:val="none"/>
          <w:lang w:val="en-US" w:eastAsia="zh-CN" w:bidi="ar-SA"/>
        </w:rPr>
        <w:t>待</w:t>
      </w:r>
      <w:r>
        <w:rPr>
          <w:rFonts w:hint="eastAsia" w:ascii="仿宋_GB2312" w:hAnsi="仿宋_GB2312" w:eastAsia="仿宋_GB2312" w:cs="仿宋_GB2312"/>
          <w:sz w:val="32"/>
          <w:szCs w:val="32"/>
        </w:rPr>
        <w:t>7</w:t>
      </w:r>
      <w:r>
        <w:rPr>
          <w:rFonts w:hint="eastAsia" w:ascii="仿宋_GB2312" w:hAnsi="仿宋_GB2312" w:eastAsia="仿宋_GB2312" w:cs="仿宋_GB2312"/>
          <w:color w:val="auto"/>
          <w:kern w:val="2"/>
          <w:sz w:val="32"/>
          <w:szCs w:val="32"/>
          <w:highlight w:val="none"/>
          <w:lang w:val="en-US" w:eastAsia="zh-CN" w:bidi="ar-SA"/>
        </w:rPr>
        <w:t>批次，</w:t>
      </w:r>
      <w:r>
        <w:rPr>
          <w:rFonts w:hint="eastAsia" w:ascii="仿宋_GB2312" w:hAnsi="仿宋_GB2312" w:eastAsia="仿宋_GB2312" w:cs="仿宋_GB2312"/>
          <w:sz w:val="32"/>
          <w:szCs w:val="32"/>
        </w:rPr>
        <w:t>50</w:t>
      </w:r>
      <w:r>
        <w:rPr>
          <w:rFonts w:hint="eastAsia" w:ascii="Times New Roman" w:hAnsi="Times New Roman" w:eastAsia="仿宋_GB2312" w:cs="仿宋_GB2312"/>
          <w:color w:val="auto"/>
          <w:kern w:val="2"/>
          <w:sz w:val="32"/>
          <w:szCs w:val="32"/>
          <w:highlight w:val="none"/>
          <w:lang w:val="en-US" w:eastAsia="zh-CN" w:bidi="ar-SA"/>
        </w:rPr>
        <w:t>人次（不包括陪同人员），共计支出</w:t>
      </w:r>
      <w:r>
        <w:rPr>
          <w:rFonts w:hint="eastAsia" w:ascii="仿宋_GB2312" w:hAnsi="仿宋_GB2312" w:eastAsia="仿宋_GB2312" w:cs="仿宋_GB2312"/>
          <w:color w:val="auto"/>
          <w:kern w:val="2"/>
          <w:sz w:val="32"/>
          <w:szCs w:val="32"/>
          <w:highlight w:val="none"/>
          <w:lang w:val="en-US" w:eastAsia="zh-CN" w:bidi="ar-SA"/>
        </w:rPr>
        <w:t>0.75万</w:t>
      </w:r>
      <w:r>
        <w:rPr>
          <w:rFonts w:hint="eastAsia" w:ascii="Times New Roman" w:hAnsi="Times New Roman" w:eastAsia="仿宋_GB2312" w:cs="仿宋_GB2312"/>
          <w:color w:val="auto"/>
          <w:kern w:val="2"/>
          <w:sz w:val="32"/>
          <w:szCs w:val="32"/>
          <w:highlight w:val="none"/>
          <w:lang w:val="en-US" w:eastAsia="zh-CN" w:bidi="ar-SA"/>
        </w:rPr>
        <w:t>元，具体内容包括：</w:t>
      </w:r>
      <w:r>
        <w:rPr>
          <w:rFonts w:hint="eastAsia" w:ascii="仿宋_GB2312" w:hAnsi="宋体" w:eastAsia="仿宋_GB2312" w:cs="宋体"/>
          <w:color w:val="000000"/>
          <w:sz w:val="32"/>
          <w:szCs w:val="32"/>
        </w:rPr>
        <w:t>接待其他地市州及市辖县区赴广调研、学习考察等公务接待活动发生餐费支出</w:t>
      </w:r>
      <w:r>
        <w:rPr>
          <w:rFonts w:hint="eastAsia" w:ascii="仿宋_GB2312" w:hAnsi="宋体" w:eastAsia="仿宋_GB2312" w:cs="宋体"/>
          <w:color w:val="000000"/>
          <w:sz w:val="32"/>
          <w:szCs w:val="32"/>
          <w:lang w:val="en-US" w:eastAsia="zh-CN"/>
        </w:rPr>
        <w:t>0.75</w:t>
      </w:r>
      <w:r>
        <w:rPr>
          <w:rFonts w:hint="eastAsia" w:ascii="仿宋_GB2312" w:hAnsi="宋体" w:eastAsia="仿宋_GB2312" w:cs="宋体"/>
          <w:color w:val="000000"/>
          <w:sz w:val="32"/>
          <w:szCs w:val="32"/>
        </w:rPr>
        <w:t>万元。</w:t>
      </w:r>
    </w:p>
    <w:p>
      <w:pPr>
        <w:spacing w:line="600" w:lineRule="exact"/>
        <w:ind w:firstLine="640"/>
        <w:rPr>
          <w:rFonts w:hint="default"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b/>
          <w:bCs/>
          <w:color w:val="auto"/>
          <w:kern w:val="2"/>
          <w:sz w:val="32"/>
          <w:szCs w:val="32"/>
          <w:highlight w:val="none"/>
          <w:lang w:val="en-US" w:eastAsia="zh-CN" w:bidi="ar-SA"/>
        </w:rPr>
        <w:t>外事接待支</w:t>
      </w:r>
      <w:r>
        <w:rPr>
          <w:rFonts w:hint="eastAsia" w:ascii="仿宋_GB2312" w:hAnsi="仿宋_GB2312" w:eastAsia="仿宋_GB2312" w:cs="仿宋_GB2312"/>
          <w:b/>
          <w:bCs/>
          <w:color w:val="auto"/>
          <w:kern w:val="2"/>
          <w:sz w:val="32"/>
          <w:szCs w:val="32"/>
          <w:highlight w:val="none"/>
          <w:lang w:val="en-US" w:eastAsia="zh-CN" w:bidi="ar-SA"/>
        </w:rPr>
        <w:t>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w:t>
      </w:r>
      <w:bookmarkStart w:id="55" w:name="_Toc15396610"/>
      <w:bookmarkStart w:id="56" w:name="_Toc15377218"/>
      <w:r>
        <w:rPr>
          <w:rFonts w:hint="eastAsia" w:ascii="仿宋_GB2312" w:hAnsi="仿宋_GB2312" w:eastAsia="仿宋_GB2312" w:cs="仿宋_GB2312"/>
          <w:color w:val="auto"/>
          <w:kern w:val="2"/>
          <w:sz w:val="32"/>
          <w:szCs w:val="32"/>
          <w:highlight w:val="none"/>
          <w:lang w:val="en-US" w:eastAsia="zh-CN" w:bidi="ar-SA"/>
        </w:rPr>
        <w:t>。</w:t>
      </w:r>
    </w:p>
    <w:p>
      <w:pPr>
        <w:spacing w:line="600" w:lineRule="exact"/>
        <w:ind w:firstLine="640"/>
        <w:outlineLvl w:val="1"/>
        <w:rPr>
          <w:rStyle w:val="22"/>
          <w:rFonts w:ascii="Times New Roman" w:hAnsi="Times New Roman" w:eastAsia="黑体"/>
          <w:color w:val="auto"/>
          <w:highlight w:val="none"/>
        </w:rPr>
      </w:pPr>
      <w:bookmarkStart w:id="57" w:name="_Toc4687"/>
      <w:r>
        <w:rPr>
          <w:rFonts w:hint="eastAsia" w:ascii="Times New Roman" w:hAnsi="Times New Roman" w:eastAsia="黑体"/>
          <w:color w:val="auto"/>
          <w:sz w:val="32"/>
          <w:szCs w:val="32"/>
          <w:highlight w:val="none"/>
        </w:rPr>
        <w:t>八、</w:t>
      </w:r>
      <w:r>
        <w:rPr>
          <w:rStyle w:val="22"/>
          <w:rFonts w:hint="eastAsia" w:ascii="Times New Roman" w:hAnsi="Times New Roman" w:eastAsia="黑体"/>
          <w:b w:val="0"/>
          <w:color w:val="auto"/>
          <w:highlight w:val="none"/>
        </w:rPr>
        <w:t>政府性基金预算支出决算情况说明</w:t>
      </w:r>
      <w:bookmarkEnd w:id="55"/>
      <w:bookmarkEnd w:id="56"/>
      <w:bookmarkEnd w:id="57"/>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2024年度政府性基金预算财政拨款支出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w:t>
      </w:r>
    </w:p>
    <w:p>
      <w:pPr>
        <w:numPr>
          <w:ilvl w:val="0"/>
          <w:numId w:val="0"/>
        </w:numPr>
        <w:spacing w:line="600" w:lineRule="exact"/>
        <w:ind w:left="630" w:leftChars="0"/>
        <w:outlineLvl w:val="1"/>
        <w:rPr>
          <w:rStyle w:val="22"/>
          <w:rFonts w:ascii="Times New Roman" w:hAnsi="Times New Roman" w:eastAsia="黑体"/>
          <w:b w:val="0"/>
          <w:color w:val="auto"/>
          <w:highlight w:val="none"/>
        </w:rPr>
      </w:pPr>
      <w:bookmarkStart w:id="58" w:name="_Toc29859"/>
      <w:bookmarkStart w:id="59" w:name="_Toc15377219"/>
      <w:bookmarkStart w:id="60" w:name="_Toc15396611"/>
      <w:r>
        <w:rPr>
          <w:rStyle w:val="22"/>
          <w:rFonts w:hint="eastAsia" w:ascii="Times New Roman" w:hAnsi="Times New Roman" w:eastAsia="黑体"/>
          <w:b w:val="0"/>
          <w:color w:val="auto"/>
          <w:highlight w:val="none"/>
          <w:lang w:eastAsia="zh-CN"/>
        </w:rPr>
        <w:t>九、</w:t>
      </w:r>
      <w:r>
        <w:rPr>
          <w:rStyle w:val="22"/>
          <w:rFonts w:hint="eastAsia" w:ascii="Times New Roman" w:hAnsi="Times New Roman" w:eastAsia="黑体"/>
          <w:b w:val="0"/>
          <w:color w:val="auto"/>
          <w:highlight w:val="none"/>
        </w:rPr>
        <w:t>国有资本经营预算支出决算情况说明</w:t>
      </w:r>
      <w:bookmarkEnd w:id="58"/>
      <w:bookmarkEnd w:id="59"/>
      <w:bookmarkEnd w:id="60"/>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2024</w:t>
      </w:r>
      <w:r>
        <w:rPr>
          <w:rFonts w:hint="eastAsia" w:ascii="Times New Roman" w:hAnsi="Times New Roman" w:eastAsia="仿宋_GB2312" w:cs="仿宋_GB2312"/>
          <w:color w:val="auto"/>
          <w:kern w:val="2"/>
          <w:sz w:val="32"/>
          <w:szCs w:val="32"/>
          <w:highlight w:val="none"/>
          <w:lang w:val="en-US" w:eastAsia="zh-CN" w:bidi="ar-SA"/>
        </w:rPr>
        <w:t>年度国有资本经营预算财政拨款支出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w:t>
      </w:r>
    </w:p>
    <w:p>
      <w:pPr>
        <w:numPr>
          <w:ilvl w:val="0"/>
          <w:numId w:val="0"/>
        </w:numPr>
        <w:spacing w:line="600" w:lineRule="exact"/>
        <w:ind w:left="630" w:leftChars="0"/>
        <w:outlineLvl w:val="1"/>
        <w:rPr>
          <w:rStyle w:val="22"/>
          <w:rFonts w:hint="eastAsia" w:ascii="Times New Roman" w:hAnsi="Times New Roman" w:eastAsia="黑体"/>
          <w:b w:val="0"/>
          <w:color w:val="auto"/>
          <w:highlight w:val="none"/>
        </w:rPr>
      </w:pPr>
      <w:bookmarkStart w:id="61" w:name="_Toc15396612"/>
      <w:bookmarkStart w:id="62" w:name="_Toc15377221"/>
      <w:bookmarkStart w:id="63" w:name="_Toc30913"/>
      <w:r>
        <w:rPr>
          <w:rStyle w:val="22"/>
          <w:rFonts w:hint="eastAsia" w:ascii="Times New Roman" w:hAnsi="Times New Roman" w:eastAsia="黑体"/>
          <w:b w:val="0"/>
          <w:color w:val="auto"/>
          <w:highlight w:val="none"/>
          <w:lang w:eastAsia="zh-CN"/>
        </w:rPr>
        <w:t>十、</w:t>
      </w:r>
      <w:r>
        <w:rPr>
          <w:rStyle w:val="22"/>
          <w:rFonts w:hint="eastAsia" w:ascii="Times New Roman" w:hAnsi="Times New Roman" w:eastAsia="黑体"/>
          <w:b w:val="0"/>
          <w:color w:val="auto"/>
          <w:highlight w:val="none"/>
        </w:rPr>
        <w:t>其他重要事项的情况说明</w:t>
      </w:r>
      <w:bookmarkEnd w:id="61"/>
      <w:bookmarkEnd w:id="62"/>
      <w:bookmarkEnd w:id="63"/>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64" w:name="_Toc15377222"/>
      <w:bookmarkStart w:id="65" w:name="_Toc11270"/>
      <w:r>
        <w:rPr>
          <w:rFonts w:hint="eastAsia" w:ascii="Times New Roman" w:hAnsi="Times New Roman" w:eastAsia="楷体_GB2312" w:cs="楷体_GB2312"/>
          <w:b/>
          <w:color w:val="auto"/>
          <w:sz w:val="32"/>
          <w:szCs w:val="32"/>
          <w:highlight w:val="none"/>
        </w:rPr>
        <w:t>（一）机关运行经费支出情况</w:t>
      </w:r>
      <w:bookmarkEnd w:id="64"/>
      <w:bookmarkEnd w:id="65"/>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2024</w:t>
      </w:r>
      <w:r>
        <w:rPr>
          <w:rFonts w:hint="eastAsia" w:ascii="Times New Roman" w:hAnsi="Times New Roman" w:eastAsia="仿宋_GB2312" w:cs="仿宋_GB2312"/>
          <w:color w:val="auto"/>
          <w:kern w:val="2"/>
          <w:sz w:val="32"/>
          <w:szCs w:val="32"/>
          <w:highlight w:val="none"/>
          <w:lang w:val="en-US" w:eastAsia="zh-CN" w:bidi="ar-SA"/>
        </w:rPr>
        <w:t>年度</w:t>
      </w:r>
      <w:r>
        <w:rPr>
          <w:rFonts w:hint="eastAsia" w:ascii="仿宋_GB2312" w:hAnsi="仿宋_GB2312" w:eastAsia="仿宋_GB2312" w:cs="仿宋_GB2312"/>
          <w:color w:val="auto"/>
          <w:kern w:val="2"/>
          <w:sz w:val="32"/>
          <w:szCs w:val="32"/>
          <w:highlight w:val="none"/>
          <w:lang w:val="en-US" w:eastAsia="zh-CN" w:bidi="ar-SA"/>
        </w:rPr>
        <w:t>，</w:t>
      </w:r>
      <w:r>
        <w:rPr>
          <w:rFonts w:hint="eastAsia" w:ascii="仿宋_GB2312" w:hAnsi="仿宋_GB2312" w:eastAsia="仿宋_GB2312" w:cs="仿宋_GB2312"/>
          <w:sz w:val="32"/>
          <w:szCs w:val="32"/>
        </w:rPr>
        <w:t>广元市政务服务和数据局</w:t>
      </w:r>
      <w:r>
        <w:rPr>
          <w:rFonts w:hint="eastAsia" w:ascii="仿宋_GB2312" w:hAnsi="仿宋_GB2312" w:eastAsia="仿宋_GB2312" w:cs="仿宋_GB2312"/>
          <w:color w:val="auto"/>
          <w:kern w:val="2"/>
          <w:sz w:val="32"/>
          <w:szCs w:val="32"/>
          <w:highlight w:val="none"/>
          <w:lang w:val="en-US" w:eastAsia="zh-CN" w:bidi="ar-SA"/>
        </w:rPr>
        <w:t>机关运行经费支出</w:t>
      </w:r>
      <w:r>
        <w:rPr>
          <w:rFonts w:hint="eastAsia" w:ascii="仿宋_GB2312" w:hAnsi="仿宋_GB2312" w:eastAsia="仿宋_GB2312" w:cs="仿宋_GB2312"/>
          <w:sz w:val="32"/>
          <w:szCs w:val="32"/>
        </w:rPr>
        <w:t>67.56</w:t>
      </w:r>
      <w:r>
        <w:rPr>
          <w:rFonts w:hint="eastAsia" w:ascii="仿宋_GB2312" w:hAnsi="仿宋_GB2312" w:eastAsia="仿宋_GB2312" w:cs="仿宋_GB2312"/>
          <w:color w:val="auto"/>
          <w:kern w:val="2"/>
          <w:sz w:val="32"/>
          <w:szCs w:val="32"/>
          <w:highlight w:val="none"/>
          <w:lang w:val="en-US" w:eastAsia="zh-CN" w:bidi="ar-SA"/>
        </w:rPr>
        <w:t>万</w:t>
      </w:r>
      <w:r>
        <w:rPr>
          <w:rFonts w:hint="eastAsia" w:ascii="Times New Roman" w:hAnsi="Times New Roman" w:eastAsia="仿宋_GB2312" w:cs="仿宋_GB2312"/>
          <w:color w:val="auto"/>
          <w:kern w:val="2"/>
          <w:sz w:val="32"/>
          <w:szCs w:val="32"/>
          <w:highlight w:val="none"/>
          <w:lang w:val="en-US" w:eastAsia="zh-CN" w:bidi="ar-SA"/>
        </w:rPr>
        <w:t>元，</w:t>
      </w:r>
      <w:r>
        <w:rPr>
          <w:rFonts w:hint="eastAsia" w:ascii="仿宋_GB2312" w:hAnsi="仿宋_GB2312" w:eastAsia="仿宋_GB2312" w:cs="仿宋_GB2312"/>
          <w:color w:val="auto"/>
          <w:kern w:val="2"/>
          <w:sz w:val="32"/>
          <w:szCs w:val="32"/>
          <w:highlight w:val="none"/>
          <w:lang w:val="en-US" w:eastAsia="zh-CN" w:bidi="ar-SA"/>
        </w:rPr>
        <w:t>比2023年度增加7.18万元，增长11.89%。主要原因是2024年度因机构改革人员划转导致公用经费支出增加。</w:t>
      </w:r>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66" w:name="_Toc15377223"/>
      <w:bookmarkStart w:id="67" w:name="_Toc20621"/>
      <w:r>
        <w:rPr>
          <w:rFonts w:hint="eastAsia" w:ascii="Times New Roman" w:hAnsi="Times New Roman" w:eastAsia="楷体_GB2312" w:cs="楷体_GB2312"/>
          <w:b/>
          <w:color w:val="auto"/>
          <w:sz w:val="32"/>
          <w:szCs w:val="32"/>
          <w:highlight w:val="none"/>
        </w:rPr>
        <w:t>（二）政府采购支出情况</w:t>
      </w:r>
      <w:bookmarkEnd w:id="66"/>
      <w:bookmarkEnd w:id="67"/>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2024年度，</w:t>
      </w:r>
      <w:r>
        <w:rPr>
          <w:rFonts w:hint="eastAsia" w:ascii="仿宋_GB2312" w:hAnsi="仿宋_GB2312" w:eastAsia="仿宋_GB2312" w:cs="仿宋_GB2312"/>
          <w:sz w:val="32"/>
          <w:szCs w:val="32"/>
        </w:rPr>
        <w:t>广元市政务服务和数据局</w:t>
      </w:r>
      <w:r>
        <w:rPr>
          <w:rFonts w:hint="eastAsia" w:ascii="仿宋_GB2312" w:hAnsi="仿宋_GB2312" w:eastAsia="仿宋_GB2312" w:cs="仿宋_GB2312"/>
          <w:color w:val="auto"/>
          <w:kern w:val="2"/>
          <w:sz w:val="32"/>
          <w:szCs w:val="32"/>
          <w:highlight w:val="none"/>
          <w:lang w:val="en-US" w:eastAsia="zh-CN" w:bidi="ar-SA"/>
        </w:rPr>
        <w:t>政府采购支出总额</w:t>
      </w:r>
      <w:r>
        <w:rPr>
          <w:rFonts w:hint="eastAsia" w:ascii="仿宋_GB2312" w:hAnsi="仿宋_GB2312" w:eastAsia="仿宋_GB2312" w:cs="仿宋_GB2312"/>
          <w:sz w:val="32"/>
          <w:szCs w:val="32"/>
        </w:rPr>
        <w:t>554.79</w:t>
      </w:r>
      <w:r>
        <w:rPr>
          <w:rFonts w:hint="eastAsia" w:ascii="仿宋_GB2312" w:hAnsi="仿宋_GB2312" w:eastAsia="仿宋_GB2312" w:cs="仿宋_GB2312"/>
          <w:color w:val="auto"/>
          <w:kern w:val="2"/>
          <w:sz w:val="32"/>
          <w:szCs w:val="32"/>
          <w:highlight w:val="none"/>
          <w:lang w:val="en-US" w:eastAsia="zh-CN" w:bidi="ar-SA"/>
        </w:rPr>
        <w:t>万元，其中：政府采购货物支出</w:t>
      </w:r>
      <w:r>
        <w:rPr>
          <w:rFonts w:hint="eastAsia" w:ascii="仿宋_GB2312" w:hAnsi="仿宋_GB2312" w:eastAsia="仿宋_GB2312" w:cs="仿宋_GB2312"/>
          <w:sz w:val="32"/>
          <w:szCs w:val="32"/>
        </w:rPr>
        <w:t>134.1</w:t>
      </w:r>
      <w:r>
        <w:rPr>
          <w:rFonts w:hint="eastAsia" w:ascii="仿宋_GB2312" w:hAnsi="仿宋_GB2312" w:eastAsia="仿宋_GB2312" w:cs="仿宋_GB2312"/>
          <w:color w:val="auto"/>
          <w:kern w:val="2"/>
          <w:sz w:val="32"/>
          <w:szCs w:val="32"/>
          <w:highlight w:val="none"/>
          <w:lang w:val="en-US" w:eastAsia="zh-CN" w:bidi="ar-SA"/>
        </w:rPr>
        <w:t>万元、政府采购工程支出</w:t>
      </w:r>
      <w:r>
        <w:rPr>
          <w:rFonts w:hint="eastAsia" w:ascii="仿宋_GB2312" w:hAnsi="仿宋_GB2312" w:eastAsia="仿宋_GB2312" w:cs="仿宋_GB2312"/>
          <w:sz w:val="32"/>
          <w:szCs w:val="32"/>
        </w:rPr>
        <w:t>325.61</w:t>
      </w:r>
      <w:r>
        <w:rPr>
          <w:rFonts w:hint="eastAsia" w:ascii="仿宋_GB2312" w:hAnsi="仿宋_GB2312" w:eastAsia="仿宋_GB2312" w:cs="仿宋_GB2312"/>
          <w:color w:val="auto"/>
          <w:kern w:val="2"/>
          <w:sz w:val="32"/>
          <w:szCs w:val="32"/>
          <w:highlight w:val="none"/>
          <w:lang w:val="en-US" w:eastAsia="zh-CN" w:bidi="ar-SA"/>
        </w:rPr>
        <w:t>万元、政府采购服务支出</w:t>
      </w:r>
      <w:r>
        <w:rPr>
          <w:rFonts w:hint="eastAsia" w:ascii="仿宋_GB2312" w:hAnsi="仿宋_GB2312" w:eastAsia="仿宋_GB2312" w:cs="仿宋_GB2312"/>
          <w:sz w:val="32"/>
          <w:szCs w:val="32"/>
        </w:rPr>
        <w:t>95.08</w:t>
      </w:r>
      <w:r>
        <w:rPr>
          <w:rFonts w:hint="eastAsia" w:ascii="仿宋_GB2312" w:hAnsi="仿宋_GB2312" w:eastAsia="仿宋_GB2312" w:cs="仿宋_GB2312"/>
          <w:color w:val="auto"/>
          <w:kern w:val="2"/>
          <w:sz w:val="32"/>
          <w:szCs w:val="32"/>
          <w:highlight w:val="none"/>
          <w:lang w:val="en-US" w:eastAsia="zh-CN" w:bidi="ar-SA"/>
        </w:rPr>
        <w:t>万元。主要用于市政务服务大厅智慧化信息化管理系统建设项目17.77万元、物业管理采购项目95.08万元、惠企政策精准推送系统采购项目200.18万元、工作服采购项目96.6万元、市政务服务标杆大厅创建场地服务设施改造项目107.66万元、市政务服务标杆大厅创建数智服务建设项目37.5万元。授予中小企业合同金额</w:t>
      </w:r>
      <w:r>
        <w:rPr>
          <w:rFonts w:hint="eastAsia" w:ascii="仿宋_GB2312" w:hAnsi="仿宋_GB2312" w:eastAsia="仿宋_GB2312" w:cs="仿宋_GB2312"/>
          <w:sz w:val="32"/>
          <w:szCs w:val="32"/>
          <w:lang w:val="en-US" w:eastAsia="zh-CN"/>
        </w:rPr>
        <w:t>240.24</w:t>
      </w:r>
      <w:r>
        <w:rPr>
          <w:rFonts w:hint="eastAsia" w:ascii="仿宋_GB2312" w:hAnsi="仿宋_GB2312" w:eastAsia="仿宋_GB2312" w:cs="仿宋_GB2312"/>
          <w:color w:val="auto"/>
          <w:kern w:val="2"/>
          <w:sz w:val="32"/>
          <w:szCs w:val="32"/>
          <w:highlight w:val="none"/>
          <w:lang w:val="en-US" w:eastAsia="zh-CN" w:bidi="ar-SA"/>
        </w:rPr>
        <w:t>万元，占政府采购支出总额的</w:t>
      </w:r>
      <w:r>
        <w:rPr>
          <w:rFonts w:hint="eastAsia" w:ascii="仿宋_GB2312" w:hAnsi="仿宋_GB2312" w:eastAsia="仿宋_GB2312" w:cs="仿宋_GB2312"/>
          <w:sz w:val="32"/>
          <w:szCs w:val="32"/>
          <w:lang w:val="en-US" w:eastAsia="zh-CN"/>
        </w:rPr>
        <w:t>43.3</w:t>
      </w:r>
      <w:r>
        <w:rPr>
          <w:rFonts w:hint="eastAsia" w:ascii="仿宋_GB2312" w:hAnsi="仿宋_GB2312" w:eastAsia="仿宋_GB2312" w:cs="仿宋_GB2312"/>
          <w:color w:val="auto"/>
          <w:kern w:val="2"/>
          <w:sz w:val="32"/>
          <w:szCs w:val="32"/>
          <w:highlight w:val="none"/>
          <w:lang w:val="en-US" w:eastAsia="zh-CN" w:bidi="ar-SA"/>
        </w:rPr>
        <w:t>%，其中：授予小微企业合同金额</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万元，占政府采购支出总额的</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w:t>
      </w:r>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68" w:name="_Toc15377224"/>
      <w:bookmarkStart w:id="69" w:name="_Toc28771"/>
      <w:r>
        <w:rPr>
          <w:rFonts w:hint="eastAsia" w:ascii="Times New Roman" w:hAnsi="Times New Roman" w:eastAsia="楷体_GB2312" w:cs="楷体_GB2312"/>
          <w:b/>
          <w:color w:val="auto"/>
          <w:sz w:val="32"/>
          <w:szCs w:val="32"/>
          <w:highlight w:val="none"/>
        </w:rPr>
        <w:t>（三）国有资产占有使用情况</w:t>
      </w:r>
      <w:bookmarkEnd w:id="68"/>
      <w:bookmarkEnd w:id="69"/>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截至2024年12月31日，</w:t>
      </w:r>
      <w:r>
        <w:rPr>
          <w:rFonts w:hint="eastAsia" w:ascii="仿宋_GB2312" w:hAnsi="仿宋_GB2312" w:eastAsia="仿宋_GB2312" w:cs="仿宋_GB2312"/>
          <w:sz w:val="32"/>
          <w:szCs w:val="32"/>
        </w:rPr>
        <w:t>广元市政务服务和数据局</w:t>
      </w:r>
      <w:r>
        <w:rPr>
          <w:rFonts w:hint="eastAsia" w:ascii="仿宋_GB2312" w:hAnsi="仿宋_GB2312" w:eastAsia="仿宋_GB2312" w:cs="仿宋_GB2312"/>
          <w:color w:val="auto"/>
          <w:kern w:val="2"/>
          <w:sz w:val="32"/>
          <w:szCs w:val="32"/>
          <w:highlight w:val="none"/>
          <w:lang w:val="en-US" w:eastAsia="zh-CN" w:bidi="ar-SA"/>
        </w:rPr>
        <w:t>共有车辆</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辆。单价100万元（含）以上设备（不含车辆）</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台（套）</w:t>
      </w:r>
      <w:r>
        <w:rPr>
          <w:rFonts w:hint="eastAsia" w:ascii="Times New Roman" w:hAnsi="Times New Roman" w:eastAsia="仿宋_GB2312" w:cs="仿宋_GB2312"/>
          <w:color w:val="auto"/>
          <w:kern w:val="2"/>
          <w:sz w:val="32"/>
          <w:szCs w:val="32"/>
          <w:highlight w:val="none"/>
          <w:lang w:val="en-US" w:eastAsia="zh-CN" w:bidi="ar-SA"/>
        </w:rPr>
        <w:t>。</w:t>
      </w:r>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70" w:name="_Toc20307"/>
      <w:r>
        <w:rPr>
          <w:rFonts w:hint="eastAsia" w:ascii="Times New Roman" w:hAnsi="Times New Roman" w:eastAsia="楷体_GB2312" w:cs="楷体_GB2312"/>
          <w:b/>
          <w:color w:val="auto"/>
          <w:sz w:val="32"/>
          <w:szCs w:val="32"/>
          <w:highlight w:val="none"/>
        </w:rPr>
        <w:t>（四）预算绩效管理情况</w:t>
      </w:r>
      <w:bookmarkEnd w:id="70"/>
    </w:p>
    <w:p>
      <w:pPr>
        <w:spacing w:line="600" w:lineRule="exact"/>
        <w:ind w:firstLine="640"/>
        <w:rPr>
          <w:rFonts w:hint="default" w:ascii="仿宋_GB2312" w:hAnsi="仿宋_GB2312"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根据预算绩效管理要求，</w:t>
      </w:r>
      <w:r>
        <w:rPr>
          <w:rFonts w:hint="eastAsia" w:eastAsia="仿宋_GB2312" w:cs="仿宋_GB2312"/>
          <w:color w:val="auto"/>
          <w:kern w:val="2"/>
          <w:sz w:val="32"/>
          <w:szCs w:val="32"/>
          <w:highlight w:val="none"/>
          <w:lang w:val="en-US" w:eastAsia="zh-CN" w:bidi="ar-SA"/>
        </w:rPr>
        <w:t>本单位</w:t>
      </w:r>
      <w:r>
        <w:rPr>
          <w:rFonts w:hint="eastAsia" w:ascii="Times New Roman" w:hAnsi="Times New Roman" w:eastAsia="仿宋_GB2312" w:cs="仿宋_GB2312"/>
          <w:color w:val="auto"/>
          <w:kern w:val="2"/>
          <w:sz w:val="32"/>
          <w:szCs w:val="32"/>
          <w:highlight w:val="none"/>
          <w:lang w:val="en-US" w:eastAsia="zh-CN" w:bidi="ar-SA"/>
        </w:rPr>
        <w:t>在</w:t>
      </w:r>
      <w:r>
        <w:rPr>
          <w:rFonts w:hint="eastAsia" w:ascii="仿宋_GB2312" w:hAnsi="仿宋_GB2312" w:eastAsia="仿宋_GB2312" w:cs="仿宋_GB2312"/>
          <w:color w:val="auto"/>
          <w:kern w:val="2"/>
          <w:sz w:val="32"/>
          <w:szCs w:val="32"/>
          <w:highlight w:val="none"/>
          <w:lang w:val="en-US" w:eastAsia="zh-CN" w:bidi="ar-SA"/>
        </w:rPr>
        <w:t>2024</w:t>
      </w:r>
      <w:r>
        <w:rPr>
          <w:rFonts w:hint="eastAsia" w:ascii="Times New Roman" w:hAnsi="Times New Roman" w:eastAsia="仿宋_GB2312" w:cs="仿宋_GB2312"/>
          <w:color w:val="auto"/>
          <w:kern w:val="2"/>
          <w:sz w:val="32"/>
          <w:szCs w:val="32"/>
          <w:highlight w:val="none"/>
          <w:lang w:val="en-US" w:eastAsia="zh-CN" w:bidi="ar-SA"/>
        </w:rPr>
        <w:t>年度预算编制阶段，组织对</w:t>
      </w:r>
      <w:r>
        <w:rPr>
          <w:rFonts w:hint="eastAsia" w:ascii="仿宋_GB2312" w:hAnsi="Times New Roman" w:eastAsia="仿宋_GB2312"/>
          <w:sz w:val="32"/>
          <w:szCs w:val="32"/>
        </w:rPr>
        <w:t>政务中心综合楼日常运行费</w:t>
      </w:r>
      <w:r>
        <w:rPr>
          <w:rFonts w:hint="eastAsia" w:ascii="Times New Roman" w:hAnsi="Times New Roman" w:eastAsia="仿宋_GB2312" w:cs="仿宋_GB2312"/>
          <w:color w:val="auto"/>
          <w:kern w:val="2"/>
          <w:sz w:val="32"/>
          <w:szCs w:val="32"/>
          <w:highlight w:val="none"/>
          <w:lang w:val="en-US" w:eastAsia="zh-CN" w:bidi="ar-SA"/>
        </w:rPr>
        <w:t>等</w:t>
      </w:r>
      <w:r>
        <w:rPr>
          <w:rFonts w:hint="eastAsia" w:ascii="仿宋_GB2312" w:hAnsi="仿宋_GB2312" w:eastAsia="仿宋_GB2312" w:cs="仿宋_GB2312"/>
          <w:color w:val="auto"/>
          <w:kern w:val="2"/>
          <w:sz w:val="32"/>
          <w:szCs w:val="32"/>
          <w:highlight w:val="none"/>
          <w:lang w:val="en-US" w:eastAsia="zh-CN" w:bidi="ar-SA"/>
        </w:rPr>
        <w:t>18个项目开展了预算事前绩效评估，对18个项目编制了绩效目标，预算执行过程中，选取18个项目开展绩效监控组织对18个项目开展绩效自评，绩效自评表见第四部分附件。</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pPr>
        <w:pStyle w:val="2"/>
        <w:rPr>
          <w:rFonts w:hint="eastAsia" w:ascii="Times New Roman" w:hAnsi="Times New Roman" w:eastAsia="仿宋_GB2312" w:cs="仿宋_GB2312"/>
          <w:color w:val="auto"/>
          <w:kern w:val="2"/>
          <w:sz w:val="32"/>
          <w:szCs w:val="32"/>
          <w:highlight w:val="none"/>
          <w:lang w:val="en-US" w:eastAsia="zh-CN" w:bidi="ar-SA"/>
        </w:rPr>
      </w:pPr>
    </w:p>
    <w:p>
      <w:pPr>
        <w:pStyle w:val="6"/>
        <w:rPr>
          <w:rFonts w:hint="eastAsia" w:ascii="Times New Roman" w:hAnsi="Times New Roman" w:eastAsia="仿宋_GB2312" w:cs="仿宋_GB2312"/>
          <w:color w:val="auto"/>
          <w:kern w:val="2"/>
          <w:sz w:val="32"/>
          <w:szCs w:val="32"/>
          <w:highlight w:val="none"/>
          <w:lang w:val="en-US" w:eastAsia="zh-CN" w:bidi="ar-SA"/>
        </w:rPr>
      </w:pPr>
    </w:p>
    <w:p>
      <w:pPr>
        <w:rPr>
          <w:rFonts w:hint="eastAsia" w:ascii="Times New Roman" w:hAnsi="Times New Roman" w:eastAsia="仿宋_GB2312" w:cs="仿宋_GB2312"/>
          <w:color w:val="auto"/>
          <w:kern w:val="2"/>
          <w:sz w:val="32"/>
          <w:szCs w:val="32"/>
          <w:highlight w:val="none"/>
          <w:lang w:val="en-US" w:eastAsia="zh-CN" w:bidi="ar-SA"/>
        </w:rPr>
      </w:pPr>
    </w:p>
    <w:p>
      <w:pPr>
        <w:pStyle w:val="2"/>
        <w:rPr>
          <w:rFonts w:hint="eastAsia" w:ascii="Times New Roman" w:hAnsi="Times New Roman" w:eastAsia="仿宋_GB2312" w:cs="仿宋_GB2312"/>
          <w:color w:val="auto"/>
          <w:kern w:val="2"/>
          <w:sz w:val="32"/>
          <w:szCs w:val="32"/>
          <w:highlight w:val="none"/>
          <w:lang w:val="en-US" w:eastAsia="zh-CN" w:bidi="ar-SA"/>
        </w:rPr>
      </w:pPr>
    </w:p>
    <w:p>
      <w:pPr>
        <w:pStyle w:val="6"/>
        <w:rPr>
          <w:rFonts w:hint="eastAsia" w:ascii="Times New Roman" w:hAnsi="Times New Roman" w:eastAsia="仿宋_GB2312" w:cs="仿宋_GB2312"/>
          <w:color w:val="auto"/>
          <w:kern w:val="2"/>
          <w:sz w:val="32"/>
          <w:szCs w:val="32"/>
          <w:highlight w:val="none"/>
          <w:lang w:val="en-US" w:eastAsia="zh-CN" w:bidi="ar-SA"/>
        </w:rPr>
      </w:pPr>
    </w:p>
    <w:p>
      <w:pPr>
        <w:rPr>
          <w:rFonts w:hint="eastAsia" w:ascii="Times New Roman" w:hAnsi="Times New Roman" w:eastAsia="仿宋_GB2312" w:cs="仿宋_GB2312"/>
          <w:color w:val="auto"/>
          <w:kern w:val="2"/>
          <w:sz w:val="32"/>
          <w:szCs w:val="32"/>
          <w:highlight w:val="none"/>
          <w:lang w:val="en-US" w:eastAsia="zh-CN" w:bidi="ar-SA"/>
        </w:rPr>
      </w:pPr>
    </w:p>
    <w:p>
      <w:pPr>
        <w:pStyle w:val="2"/>
        <w:rPr>
          <w:rFonts w:hint="eastAsia"/>
          <w:lang w:val="en-US" w:eastAsia="zh-CN"/>
        </w:rPr>
      </w:pP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pPr>
        <w:numPr>
          <w:ilvl w:val="0"/>
          <w:numId w:val="0"/>
        </w:numPr>
        <w:spacing w:line="600" w:lineRule="exact"/>
        <w:jc w:val="center"/>
        <w:outlineLvl w:val="0"/>
        <w:rPr>
          <w:rFonts w:hint="eastAsia" w:ascii="Times New Roman" w:hAnsi="Times New Roman" w:eastAsia="黑体"/>
          <w:color w:val="auto"/>
          <w:sz w:val="44"/>
          <w:szCs w:val="44"/>
          <w:highlight w:val="none"/>
        </w:rPr>
      </w:pPr>
      <w:bookmarkStart w:id="71" w:name="_Toc796"/>
      <w:bookmarkStart w:id="72" w:name="_Toc15377225"/>
      <w:bookmarkStart w:id="73" w:name="_Toc15396613"/>
      <w:r>
        <w:rPr>
          <w:rFonts w:hint="eastAsia" w:ascii="Times New Roman" w:hAnsi="Times New Roman" w:eastAsia="黑体"/>
          <w:color w:val="auto"/>
          <w:sz w:val="44"/>
          <w:szCs w:val="44"/>
          <w:highlight w:val="none"/>
        </w:rPr>
        <w:t>第</w:t>
      </w:r>
      <w:r>
        <w:rPr>
          <w:rFonts w:hint="eastAsia" w:eastAsia="黑体"/>
          <w:color w:val="auto"/>
          <w:sz w:val="44"/>
          <w:szCs w:val="44"/>
          <w:highlight w:val="none"/>
          <w:lang w:eastAsia="zh-CN"/>
        </w:rPr>
        <w:t>三</w:t>
      </w:r>
      <w:r>
        <w:rPr>
          <w:rFonts w:hint="eastAsia" w:ascii="Times New Roman" w:hAnsi="Times New Roman" w:eastAsia="黑体"/>
          <w:color w:val="auto"/>
          <w:sz w:val="44"/>
          <w:szCs w:val="44"/>
          <w:highlight w:val="none"/>
        </w:rPr>
        <w:t>部分</w:t>
      </w:r>
      <w:r>
        <w:rPr>
          <w:rFonts w:hint="eastAsia" w:ascii="Times New Roman" w:hAnsi="Times New Roman" w:eastAsia="黑体"/>
          <w:color w:val="auto"/>
          <w:sz w:val="44"/>
          <w:szCs w:val="44"/>
          <w:highlight w:val="none"/>
          <w:lang w:val="en-US" w:eastAsia="zh-CN"/>
        </w:rPr>
        <w:t xml:space="preserve"> </w:t>
      </w:r>
      <w:r>
        <w:rPr>
          <w:rFonts w:hint="eastAsia" w:eastAsia="黑体"/>
          <w:color w:val="auto"/>
          <w:sz w:val="44"/>
          <w:szCs w:val="44"/>
          <w:highlight w:val="none"/>
          <w:lang w:val="en-US" w:eastAsia="zh-CN"/>
        </w:rPr>
        <w:t xml:space="preserve"> </w:t>
      </w:r>
      <w:r>
        <w:rPr>
          <w:rFonts w:hint="eastAsia" w:ascii="Times New Roman" w:hAnsi="Times New Roman" w:eastAsia="黑体"/>
          <w:color w:val="auto"/>
          <w:sz w:val="44"/>
          <w:szCs w:val="44"/>
          <w:highlight w:val="none"/>
        </w:rPr>
        <w:t>名词解释</w:t>
      </w:r>
      <w:bookmarkEnd w:id="71"/>
      <w:bookmarkEnd w:id="72"/>
      <w:bookmarkEnd w:id="73"/>
    </w:p>
    <w:p>
      <w:pPr>
        <w:spacing w:line="600" w:lineRule="exact"/>
        <w:jc w:val="left"/>
        <w:rPr>
          <w:rFonts w:ascii="Times New Roman" w:hAnsi="Times New Roman"/>
          <w:b/>
          <w:color w:val="auto"/>
          <w:sz w:val="44"/>
          <w:szCs w:val="44"/>
          <w:highlight w:val="none"/>
        </w:rPr>
      </w:pPr>
    </w:p>
    <w:p>
      <w:pPr>
        <w:pStyle w:val="33"/>
        <w:spacing w:line="560" w:lineRule="exact"/>
        <w:ind w:firstLine="640" w:firstLineChars="200"/>
        <w:rPr>
          <w:rFonts w:ascii="仿宋_GB2312" w:eastAsia="仿宋_GB2312" w:cs="Times New Roman"/>
          <w:color w:val="auto"/>
          <w:kern w:val="2"/>
          <w:sz w:val="32"/>
          <w:szCs w:val="32"/>
        </w:rPr>
      </w:pPr>
      <w:r>
        <w:rPr>
          <w:rFonts w:ascii="仿宋_GB2312" w:eastAsia="仿宋_GB2312"/>
          <w:color w:val="auto"/>
          <w:sz w:val="32"/>
          <w:szCs w:val="32"/>
        </w:rPr>
        <w:t>1</w:t>
      </w:r>
      <w:r>
        <w:rPr>
          <w:rFonts w:ascii="仿宋_GB2312" w:eastAsia="仿宋_GB2312" w:cs="Times New Roman"/>
          <w:color w:val="auto"/>
          <w:kern w:val="2"/>
          <w:sz w:val="32"/>
          <w:szCs w:val="32"/>
        </w:rPr>
        <w:t>.</w:t>
      </w:r>
      <w:r>
        <w:rPr>
          <w:rFonts w:hint="eastAsia" w:ascii="仿宋_GB2312" w:eastAsia="仿宋_GB2312" w:cs="Times New Roman"/>
          <w:color w:val="auto"/>
          <w:kern w:val="2"/>
          <w:sz w:val="32"/>
          <w:szCs w:val="32"/>
        </w:rPr>
        <w:t>财政拨款收入：指单位从同级财政部门取得的财政预算资金。</w:t>
      </w:r>
    </w:p>
    <w:p>
      <w:pPr>
        <w:pStyle w:val="33"/>
        <w:spacing w:line="560" w:lineRule="exact"/>
        <w:ind w:firstLine="640" w:firstLineChars="200"/>
        <w:rPr>
          <w:rFonts w:ascii="仿宋_GB2312" w:eastAsia="仿宋_GB2312" w:cs="Times New Roman"/>
          <w:color w:val="auto"/>
          <w:kern w:val="2"/>
          <w:sz w:val="32"/>
          <w:szCs w:val="32"/>
        </w:rPr>
      </w:pPr>
      <w:r>
        <w:rPr>
          <w:rFonts w:hint="eastAsia" w:ascii="仿宋_GB2312" w:eastAsia="仿宋_GB2312" w:cs="Times New Roman"/>
          <w:color w:val="auto"/>
          <w:kern w:val="2"/>
          <w:sz w:val="32"/>
          <w:szCs w:val="32"/>
        </w:rPr>
        <w:t>2</w:t>
      </w:r>
      <w:r>
        <w:rPr>
          <w:rFonts w:ascii="仿宋_GB2312" w:eastAsia="仿宋_GB2312" w:cs="Times New Roman"/>
          <w:color w:val="auto"/>
          <w:kern w:val="2"/>
          <w:sz w:val="32"/>
          <w:szCs w:val="32"/>
        </w:rPr>
        <w:t>.</w:t>
      </w:r>
      <w:r>
        <w:rPr>
          <w:rFonts w:hint="eastAsia" w:ascii="仿宋_GB2312" w:eastAsia="仿宋_GB2312" w:cs="Times New Roman"/>
          <w:color w:val="auto"/>
          <w:kern w:val="2"/>
          <w:sz w:val="32"/>
          <w:szCs w:val="32"/>
        </w:rPr>
        <w:t>年初结转和结余：指以前年度尚未完成、结转到本年按有关规定继续使用的资金。</w:t>
      </w:r>
      <w:r>
        <w:rPr>
          <w:rFonts w:ascii="仿宋_GB2312" w:eastAsia="仿宋_GB2312" w:cs="Times New Roman"/>
          <w:color w:val="auto"/>
          <w:kern w:val="2"/>
          <w:sz w:val="32"/>
          <w:szCs w:val="32"/>
        </w:rPr>
        <w:t xml:space="preserve"> </w:t>
      </w:r>
    </w:p>
    <w:p>
      <w:pPr>
        <w:pStyle w:val="33"/>
        <w:spacing w:line="560" w:lineRule="exact"/>
        <w:ind w:firstLine="640" w:firstLineChars="200"/>
        <w:rPr>
          <w:rFonts w:ascii="仿宋_GB2312" w:eastAsia="仿宋_GB2312" w:cs="Times New Roman"/>
          <w:color w:val="auto"/>
          <w:kern w:val="2"/>
          <w:sz w:val="32"/>
          <w:szCs w:val="32"/>
        </w:rPr>
      </w:pPr>
      <w:r>
        <w:rPr>
          <w:rFonts w:hint="eastAsia" w:ascii="仿宋_GB2312" w:eastAsia="仿宋_GB2312" w:cs="Times New Roman"/>
          <w:color w:val="auto"/>
          <w:kern w:val="2"/>
          <w:sz w:val="32"/>
          <w:szCs w:val="32"/>
        </w:rPr>
        <w:t>3.年末结转和结余：指单位按有关规定结转到下年或以后年度继续使用的资金。</w:t>
      </w:r>
    </w:p>
    <w:p>
      <w:pPr>
        <w:pStyle w:val="16"/>
        <w:spacing w:before="75" w:beforeAutospacing="0" w:after="75" w:afterAutospacing="0"/>
        <w:ind w:firstLine="640" w:firstLineChars="200"/>
        <w:jc w:val="both"/>
        <w:rPr>
          <w:rFonts w:hint="eastAsia" w:ascii="仿宋_GB2312" w:hAnsi="Calibri" w:eastAsia="仿宋_GB2312" w:cs="Times New Roman"/>
          <w:kern w:val="2"/>
          <w:sz w:val="32"/>
          <w:szCs w:val="32"/>
        </w:rPr>
      </w:pPr>
      <w:r>
        <w:rPr>
          <w:rFonts w:hint="eastAsia" w:ascii="仿宋_GB2312" w:hAnsi="Calibri" w:eastAsia="仿宋_GB2312" w:cs="Times New Roman"/>
          <w:kern w:val="2"/>
          <w:sz w:val="32"/>
          <w:szCs w:val="32"/>
        </w:rPr>
        <w:t>4</w:t>
      </w:r>
      <w:r>
        <w:rPr>
          <w:rFonts w:ascii="仿宋_GB2312" w:hAnsi="Calibri" w:eastAsia="仿宋_GB2312" w:cs="Times New Roman"/>
          <w:kern w:val="2"/>
          <w:sz w:val="32"/>
          <w:szCs w:val="32"/>
        </w:rPr>
        <w:t>.</w:t>
      </w:r>
      <w:r>
        <w:rPr>
          <w:rFonts w:hint="eastAsia" w:ascii="仿宋_GB2312" w:hAnsi="Calibri" w:eastAsia="仿宋_GB2312" w:cs="Times New Roman"/>
          <w:kern w:val="2"/>
          <w:sz w:val="32"/>
          <w:szCs w:val="32"/>
        </w:rPr>
        <w:t>一般公共服务支出（类）政府办公厅（室）及相关机构事务（款）行政运行（项）：反映行政单位（包括</w:t>
      </w:r>
      <w:r>
        <w:rPr>
          <w:rFonts w:hint="eastAsia" w:ascii="仿宋_GB2312" w:hAnsi="Calibri" w:eastAsia="仿宋_GB2312" w:cs="Times New Roman"/>
          <w:kern w:val="2"/>
          <w:sz w:val="32"/>
          <w:szCs w:val="32"/>
          <w:lang w:eastAsia="zh-CN"/>
        </w:rPr>
        <w:t>实行</w:t>
      </w:r>
      <w:r>
        <w:rPr>
          <w:rFonts w:hint="eastAsia" w:ascii="仿宋_GB2312" w:hAnsi="Calibri" w:eastAsia="仿宋_GB2312" w:cs="Times New Roman"/>
          <w:kern w:val="2"/>
          <w:sz w:val="32"/>
          <w:szCs w:val="32"/>
        </w:rPr>
        <w:t>公务员管理的事业单位）</w:t>
      </w:r>
      <w:r>
        <w:rPr>
          <w:rFonts w:hint="eastAsia" w:ascii="仿宋_GB2312" w:hAnsi="Calibri" w:eastAsia="仿宋_GB2312" w:cs="Times New Roman"/>
          <w:kern w:val="2"/>
          <w:sz w:val="32"/>
          <w:szCs w:val="32"/>
          <w:lang w:eastAsia="zh-CN"/>
        </w:rPr>
        <w:t>行政人员</w:t>
      </w:r>
      <w:r>
        <w:rPr>
          <w:rFonts w:hint="eastAsia" w:ascii="仿宋_GB2312" w:hAnsi="Calibri" w:eastAsia="仿宋_GB2312" w:cs="Times New Roman"/>
          <w:kern w:val="2"/>
          <w:sz w:val="32"/>
          <w:szCs w:val="32"/>
        </w:rPr>
        <w:t>的基本支出。</w:t>
      </w:r>
    </w:p>
    <w:p>
      <w:pPr>
        <w:pStyle w:val="16"/>
        <w:spacing w:before="75" w:beforeAutospacing="0" w:after="75" w:afterAutospacing="0"/>
        <w:ind w:firstLine="640" w:firstLineChars="200"/>
        <w:jc w:val="both"/>
        <w:rPr>
          <w:rFonts w:hint="eastAsia" w:ascii="仿宋_GB2312" w:hAnsi="Calibri" w:eastAsia="仿宋_GB2312" w:cs="Times New Roman"/>
          <w:kern w:val="2"/>
          <w:sz w:val="32"/>
          <w:szCs w:val="32"/>
        </w:rPr>
      </w:pPr>
      <w:r>
        <w:rPr>
          <w:rFonts w:hint="eastAsia" w:ascii="仿宋_GB2312" w:hAnsi="Calibri" w:eastAsia="仿宋_GB2312" w:cs="Times New Roman"/>
          <w:kern w:val="2"/>
          <w:sz w:val="32"/>
          <w:szCs w:val="32"/>
          <w:lang w:val="en-US" w:eastAsia="zh-CN"/>
        </w:rPr>
        <w:t>5</w:t>
      </w:r>
      <w:r>
        <w:rPr>
          <w:rFonts w:ascii="仿宋_GB2312" w:hAnsi="Calibri" w:eastAsia="仿宋_GB2312" w:cs="Times New Roman"/>
          <w:kern w:val="2"/>
          <w:sz w:val="32"/>
          <w:szCs w:val="32"/>
        </w:rPr>
        <w:t>.</w:t>
      </w:r>
      <w:r>
        <w:rPr>
          <w:rFonts w:hint="eastAsia" w:ascii="仿宋_GB2312" w:hAnsi="Calibri" w:eastAsia="仿宋_GB2312" w:cs="Times New Roman"/>
          <w:kern w:val="2"/>
          <w:sz w:val="32"/>
          <w:szCs w:val="32"/>
        </w:rPr>
        <w:t>一般公共服务支出（类）政府办公厅（室）及相关机构事务（款）</w:t>
      </w:r>
      <w:r>
        <w:rPr>
          <w:rFonts w:hint="eastAsia" w:ascii="仿宋_GB2312" w:hAnsi="Calibri" w:eastAsia="仿宋_GB2312" w:cs="Times New Roman"/>
          <w:kern w:val="2"/>
          <w:sz w:val="32"/>
          <w:szCs w:val="32"/>
          <w:lang w:eastAsia="zh-CN"/>
        </w:rPr>
        <w:t>事业运行</w:t>
      </w:r>
      <w:r>
        <w:rPr>
          <w:rFonts w:hint="eastAsia" w:ascii="仿宋_GB2312" w:hAnsi="Calibri" w:eastAsia="仿宋_GB2312" w:cs="Times New Roman"/>
          <w:kern w:val="2"/>
          <w:sz w:val="32"/>
          <w:szCs w:val="32"/>
        </w:rPr>
        <w:t>（项）：反映行政单位（包括</w:t>
      </w:r>
      <w:r>
        <w:rPr>
          <w:rFonts w:hint="eastAsia" w:ascii="仿宋_GB2312" w:hAnsi="Calibri" w:eastAsia="仿宋_GB2312" w:cs="Times New Roman"/>
          <w:kern w:val="2"/>
          <w:sz w:val="32"/>
          <w:szCs w:val="32"/>
          <w:lang w:eastAsia="zh-CN"/>
        </w:rPr>
        <w:t>实行</w:t>
      </w:r>
      <w:r>
        <w:rPr>
          <w:rFonts w:hint="eastAsia" w:ascii="仿宋_GB2312" w:hAnsi="Calibri" w:eastAsia="仿宋_GB2312" w:cs="Times New Roman"/>
          <w:kern w:val="2"/>
          <w:sz w:val="32"/>
          <w:szCs w:val="32"/>
        </w:rPr>
        <w:t>公务员管理的事业单位）</w:t>
      </w:r>
      <w:r>
        <w:rPr>
          <w:rFonts w:hint="eastAsia" w:ascii="仿宋_GB2312" w:hAnsi="Calibri" w:eastAsia="仿宋_GB2312" w:cs="Times New Roman"/>
          <w:kern w:val="2"/>
          <w:sz w:val="32"/>
          <w:szCs w:val="32"/>
          <w:lang w:eastAsia="zh-CN"/>
        </w:rPr>
        <w:t>事业人员</w:t>
      </w:r>
      <w:r>
        <w:rPr>
          <w:rFonts w:hint="eastAsia" w:ascii="仿宋_GB2312" w:hAnsi="Calibri" w:eastAsia="仿宋_GB2312" w:cs="Times New Roman"/>
          <w:kern w:val="2"/>
          <w:sz w:val="32"/>
          <w:szCs w:val="32"/>
        </w:rPr>
        <w:t>的基本支出。</w:t>
      </w:r>
    </w:p>
    <w:p>
      <w:pPr>
        <w:pStyle w:val="16"/>
        <w:spacing w:before="75" w:beforeAutospacing="0" w:after="75" w:afterAutospacing="0"/>
        <w:ind w:firstLine="640" w:firstLineChars="200"/>
        <w:jc w:val="both"/>
        <w:rPr>
          <w:rFonts w:hint="eastAsia" w:ascii="仿宋_GB2312" w:hAnsi="Calibri" w:eastAsia="仿宋_GB2312" w:cs="Times New Roman"/>
          <w:kern w:val="2"/>
          <w:sz w:val="32"/>
          <w:szCs w:val="32"/>
        </w:rPr>
      </w:pPr>
      <w:r>
        <w:rPr>
          <w:rFonts w:hint="eastAsia" w:ascii="仿宋_GB2312" w:hAnsi="Calibri" w:eastAsia="仿宋_GB2312" w:cs="Times New Roman"/>
          <w:kern w:val="2"/>
          <w:sz w:val="32"/>
          <w:szCs w:val="32"/>
          <w:lang w:val="en-US" w:eastAsia="zh-CN"/>
        </w:rPr>
        <w:t>6</w:t>
      </w:r>
      <w:r>
        <w:rPr>
          <w:rFonts w:hint="eastAsia" w:ascii="仿宋_GB2312" w:hAnsi="Calibri" w:eastAsia="仿宋_GB2312" w:cs="Times New Roman"/>
          <w:kern w:val="2"/>
          <w:sz w:val="32"/>
          <w:szCs w:val="32"/>
        </w:rPr>
        <w:t>.一般公共服务支出（类）政府办公厅（室）及相关机构事务（款）一般行政管理事务（项）：反映行政单位（包括实行公务员管理的事业单位）未单独设置项级科目的其他项目支出。</w:t>
      </w:r>
    </w:p>
    <w:p>
      <w:pPr>
        <w:pStyle w:val="16"/>
        <w:spacing w:before="75" w:beforeAutospacing="0" w:after="75" w:afterAutospacing="0"/>
        <w:ind w:firstLine="640" w:firstLineChars="200"/>
        <w:jc w:val="both"/>
        <w:rPr>
          <w:rFonts w:hint="eastAsia" w:ascii="仿宋_GB2312" w:hAnsi="Calibri" w:eastAsia="仿宋_GB2312" w:cs="Times New Roman"/>
          <w:kern w:val="2"/>
          <w:sz w:val="32"/>
          <w:szCs w:val="32"/>
          <w:lang w:eastAsia="zh-CN"/>
        </w:rPr>
      </w:pPr>
      <w:r>
        <w:rPr>
          <w:rFonts w:hint="eastAsia" w:ascii="仿宋_GB2312" w:hAnsi="Calibri" w:eastAsia="仿宋_GB2312" w:cs="Times New Roman"/>
          <w:kern w:val="2"/>
          <w:sz w:val="32"/>
          <w:szCs w:val="32"/>
          <w:lang w:val="en-US" w:eastAsia="zh-CN"/>
        </w:rPr>
        <w:t>7.</w:t>
      </w:r>
      <w:r>
        <w:rPr>
          <w:rFonts w:hint="eastAsia" w:ascii="仿宋_GB2312" w:hAnsi="Calibri" w:eastAsia="仿宋_GB2312" w:cs="Times New Roman"/>
          <w:kern w:val="2"/>
          <w:sz w:val="32"/>
          <w:szCs w:val="32"/>
        </w:rPr>
        <w:t>社会保障和就业支出（类）人力资源和社会保障管理事务（款）引进人才费用（项）：反映行政单位（包括</w:t>
      </w:r>
      <w:r>
        <w:rPr>
          <w:rFonts w:hint="eastAsia" w:ascii="仿宋_GB2312" w:hAnsi="Calibri" w:eastAsia="仿宋_GB2312" w:cs="Times New Roman"/>
          <w:kern w:val="2"/>
          <w:sz w:val="32"/>
          <w:szCs w:val="32"/>
          <w:lang w:eastAsia="zh-CN"/>
        </w:rPr>
        <w:t>实行</w:t>
      </w:r>
      <w:r>
        <w:rPr>
          <w:rFonts w:hint="eastAsia" w:ascii="仿宋_GB2312" w:hAnsi="Calibri" w:eastAsia="仿宋_GB2312" w:cs="Times New Roman"/>
          <w:kern w:val="2"/>
          <w:sz w:val="32"/>
          <w:szCs w:val="32"/>
        </w:rPr>
        <w:t>公务员管理的事业单位）</w:t>
      </w:r>
      <w:r>
        <w:rPr>
          <w:rFonts w:hint="eastAsia" w:ascii="仿宋_GB2312" w:hAnsi="Calibri" w:eastAsia="仿宋_GB2312" w:cs="Times New Roman"/>
          <w:kern w:val="2"/>
          <w:sz w:val="32"/>
          <w:szCs w:val="32"/>
          <w:lang w:eastAsia="zh-CN"/>
        </w:rPr>
        <w:t>引进专业技术人才安家费、生活费等补助支出。</w:t>
      </w:r>
    </w:p>
    <w:p>
      <w:pPr>
        <w:pStyle w:val="16"/>
        <w:spacing w:before="75" w:beforeAutospacing="0" w:after="75" w:afterAutospacing="0"/>
        <w:ind w:firstLine="640" w:firstLineChars="200"/>
        <w:jc w:val="both"/>
        <w:rPr>
          <w:rFonts w:ascii="仿宋_GB2312" w:hAnsi="Calibri" w:eastAsia="仿宋_GB2312" w:cs="Times New Roman"/>
          <w:kern w:val="2"/>
          <w:sz w:val="32"/>
          <w:szCs w:val="32"/>
        </w:rPr>
      </w:pPr>
      <w:r>
        <w:rPr>
          <w:rFonts w:hint="eastAsia" w:ascii="仿宋_GB2312" w:hAnsi="Calibri" w:eastAsia="仿宋_GB2312" w:cs="Times New Roman"/>
          <w:kern w:val="2"/>
          <w:sz w:val="32"/>
          <w:szCs w:val="32"/>
          <w:lang w:val="en-US" w:eastAsia="zh-CN"/>
        </w:rPr>
        <w:t>8</w:t>
      </w:r>
      <w:r>
        <w:rPr>
          <w:rFonts w:hint="eastAsia" w:ascii="仿宋_GB2312" w:hAnsi="Calibri" w:eastAsia="仿宋_GB2312" w:cs="Times New Roman"/>
          <w:kern w:val="2"/>
          <w:sz w:val="32"/>
          <w:szCs w:val="32"/>
        </w:rPr>
        <w:t>.社会保障和就业支出（类）行政事业单位养老支出（款）机关事业单位基本养老保险缴费支出（项）：反映机关事业单位实施养老保险制度由单位实际缴纳的基本养老保险支出。</w:t>
      </w:r>
    </w:p>
    <w:p>
      <w:pPr>
        <w:pStyle w:val="16"/>
        <w:spacing w:before="75" w:beforeAutospacing="0" w:after="75" w:afterAutospacing="0"/>
        <w:ind w:firstLine="640" w:firstLineChars="200"/>
        <w:jc w:val="both"/>
        <w:rPr>
          <w:rFonts w:hint="eastAsia" w:ascii="仿宋_GB2312" w:hAnsi="Calibri" w:eastAsia="仿宋_GB2312" w:cs="Times New Roman"/>
          <w:kern w:val="2"/>
          <w:sz w:val="32"/>
          <w:szCs w:val="32"/>
        </w:rPr>
      </w:pPr>
      <w:r>
        <w:rPr>
          <w:rFonts w:hint="eastAsia" w:ascii="仿宋_GB2312" w:hAnsi="Calibri" w:eastAsia="仿宋_GB2312" w:cs="Times New Roman"/>
          <w:kern w:val="2"/>
          <w:sz w:val="32"/>
          <w:szCs w:val="32"/>
          <w:lang w:val="en-US" w:eastAsia="zh-CN"/>
        </w:rPr>
        <w:t>9</w:t>
      </w:r>
      <w:r>
        <w:rPr>
          <w:rFonts w:hint="eastAsia" w:ascii="仿宋_GB2312" w:hAnsi="Calibri" w:eastAsia="仿宋_GB2312" w:cs="Times New Roman"/>
          <w:kern w:val="2"/>
          <w:sz w:val="32"/>
          <w:szCs w:val="32"/>
        </w:rPr>
        <w:t>.社会保障和就业支出（类）行政事业单位养老支出（款）其他社会保障和就业支出（项）：反映</w:t>
      </w:r>
      <w:r>
        <w:rPr>
          <w:rFonts w:hint="eastAsia" w:ascii="仿宋_GB2312" w:hAnsi="Calibri" w:eastAsia="仿宋_GB2312" w:cs="Times New Roman"/>
          <w:kern w:val="2"/>
          <w:sz w:val="32"/>
          <w:szCs w:val="32"/>
          <w:lang w:eastAsia="zh-CN"/>
        </w:rPr>
        <w:t>其他用于社会保障和就业方面的支出</w:t>
      </w:r>
      <w:r>
        <w:rPr>
          <w:rFonts w:hint="eastAsia" w:ascii="仿宋_GB2312" w:hAnsi="Calibri" w:eastAsia="仿宋_GB2312" w:cs="Times New Roman"/>
          <w:kern w:val="2"/>
          <w:sz w:val="32"/>
          <w:szCs w:val="32"/>
        </w:rPr>
        <w:t>。</w:t>
      </w:r>
    </w:p>
    <w:p>
      <w:pPr>
        <w:pStyle w:val="16"/>
        <w:spacing w:before="75" w:beforeAutospacing="0" w:after="75" w:afterAutospacing="0"/>
        <w:ind w:firstLine="640" w:firstLineChars="200"/>
        <w:jc w:val="both"/>
        <w:rPr>
          <w:rFonts w:hint="eastAsia" w:ascii="仿宋_GB2312" w:hAnsi="Calibri" w:eastAsia="仿宋_GB2312" w:cs="Times New Roman"/>
          <w:kern w:val="2"/>
          <w:sz w:val="32"/>
          <w:szCs w:val="32"/>
        </w:rPr>
      </w:pPr>
      <w:r>
        <w:rPr>
          <w:rFonts w:hint="eastAsia" w:ascii="仿宋_GB2312" w:hAnsi="Calibri" w:eastAsia="仿宋_GB2312" w:cs="Times New Roman"/>
          <w:kern w:val="2"/>
          <w:sz w:val="32"/>
          <w:szCs w:val="32"/>
          <w:lang w:val="en-US" w:eastAsia="zh-CN"/>
        </w:rPr>
        <w:t>10</w:t>
      </w:r>
      <w:r>
        <w:rPr>
          <w:rFonts w:hint="eastAsia" w:ascii="仿宋_GB2312" w:hAnsi="Calibri" w:eastAsia="仿宋_GB2312" w:cs="Times New Roman"/>
          <w:kern w:val="2"/>
          <w:sz w:val="32"/>
          <w:szCs w:val="32"/>
        </w:rPr>
        <w:t>.卫生健康支出（类）行政事业单位医疗（款）行政单位医疗（项）：反映财政部门安排的行政单位（包括实行公务员管理的事业单位）基本医疗保险缴费经费，未参加医疗。红军老战士待遇人员的医疗经费。</w:t>
      </w:r>
    </w:p>
    <w:p>
      <w:pPr>
        <w:pStyle w:val="16"/>
        <w:spacing w:before="75" w:beforeAutospacing="0" w:after="75" w:afterAutospacing="0"/>
        <w:ind w:firstLine="640" w:firstLineChars="200"/>
        <w:jc w:val="both"/>
        <w:rPr>
          <w:rFonts w:hint="eastAsia" w:ascii="仿宋_GB2312" w:hAnsi="Calibri" w:eastAsia="仿宋_GB2312" w:cs="Times New Roman"/>
          <w:kern w:val="2"/>
          <w:sz w:val="32"/>
          <w:szCs w:val="32"/>
        </w:rPr>
      </w:pPr>
      <w:r>
        <w:rPr>
          <w:rFonts w:hint="eastAsia" w:ascii="仿宋_GB2312" w:hAnsi="Calibri" w:eastAsia="仿宋_GB2312" w:cs="Times New Roman"/>
          <w:kern w:val="2"/>
          <w:sz w:val="32"/>
          <w:szCs w:val="32"/>
        </w:rPr>
        <w:t>1</w:t>
      </w:r>
      <w:r>
        <w:rPr>
          <w:rFonts w:hint="eastAsia" w:ascii="仿宋_GB2312" w:hAnsi="Calibri" w:eastAsia="仿宋_GB2312" w:cs="Times New Roman"/>
          <w:kern w:val="2"/>
          <w:sz w:val="32"/>
          <w:szCs w:val="32"/>
          <w:lang w:val="en-US" w:eastAsia="zh-CN"/>
        </w:rPr>
        <w:t>1</w:t>
      </w:r>
      <w:r>
        <w:rPr>
          <w:rFonts w:hint="eastAsia" w:ascii="仿宋_GB2312" w:hAnsi="Calibri" w:eastAsia="仿宋_GB2312" w:cs="Times New Roman"/>
          <w:kern w:val="2"/>
          <w:sz w:val="32"/>
          <w:szCs w:val="32"/>
        </w:rPr>
        <w:t>.农林水支出</w:t>
      </w:r>
      <w:r>
        <w:rPr>
          <w:rFonts w:hint="eastAsia" w:ascii="仿宋_GB2312" w:hAnsi="Calibri" w:eastAsia="仿宋_GB2312" w:cs="Times New Roman"/>
          <w:kern w:val="2"/>
          <w:sz w:val="32"/>
          <w:szCs w:val="32"/>
          <w:lang w:eastAsia="zh-CN"/>
        </w:rPr>
        <w:t>（</w:t>
      </w:r>
      <w:r>
        <w:rPr>
          <w:rFonts w:hint="eastAsia" w:ascii="仿宋_GB2312" w:hAnsi="Calibri" w:eastAsia="仿宋_GB2312" w:cs="Times New Roman"/>
          <w:kern w:val="2"/>
          <w:sz w:val="32"/>
          <w:szCs w:val="32"/>
        </w:rPr>
        <w:t>类）巩固脱贫攻坚成果衔接乡村振兴（款）其他巩固脱贫攻坚成果衔接乡村振兴支出（项）：反应用于农村（包括国有农场、国有林场）巩固拓展脱贫攻坚成果同乡村振兴有效衔接等方面的支出。</w:t>
      </w:r>
    </w:p>
    <w:p>
      <w:pPr>
        <w:pStyle w:val="16"/>
        <w:spacing w:before="75" w:beforeAutospacing="0" w:after="75" w:afterAutospacing="0"/>
        <w:ind w:firstLine="640" w:firstLineChars="200"/>
        <w:jc w:val="both"/>
        <w:rPr>
          <w:rFonts w:ascii="仿宋_GB2312" w:hAnsi="Calibri" w:eastAsia="仿宋_GB2312" w:cs="Times New Roman"/>
          <w:kern w:val="2"/>
          <w:sz w:val="32"/>
          <w:szCs w:val="32"/>
        </w:rPr>
      </w:pPr>
      <w:r>
        <w:rPr>
          <w:rFonts w:hint="eastAsia" w:ascii="仿宋_GB2312" w:hAnsi="Calibri" w:eastAsia="仿宋_GB2312" w:cs="Times New Roman"/>
          <w:kern w:val="2"/>
          <w:sz w:val="32"/>
          <w:szCs w:val="32"/>
        </w:rPr>
        <w:t>1</w:t>
      </w:r>
      <w:r>
        <w:rPr>
          <w:rFonts w:hint="eastAsia" w:ascii="仿宋_GB2312" w:hAnsi="Calibri" w:eastAsia="仿宋_GB2312" w:cs="Times New Roman"/>
          <w:kern w:val="2"/>
          <w:sz w:val="32"/>
          <w:szCs w:val="32"/>
          <w:lang w:val="en-US" w:eastAsia="zh-CN"/>
        </w:rPr>
        <w:t>2</w:t>
      </w:r>
      <w:r>
        <w:rPr>
          <w:rFonts w:hint="eastAsia" w:ascii="仿宋_GB2312" w:hAnsi="Calibri" w:eastAsia="仿宋_GB2312" w:cs="Times New Roman"/>
          <w:kern w:val="2"/>
          <w:sz w:val="32"/>
          <w:szCs w:val="32"/>
        </w:rPr>
        <w:t>.住房保障支出（类）住房改革支出（款）住房公积金（项）：反映行政事业单位按人力资源和社会保障部、财政部规定的基本工资和津贴补贴以及规定比例为职工缴纳的住房公积金。</w:t>
      </w:r>
    </w:p>
    <w:p>
      <w:pPr>
        <w:ind w:firstLine="640" w:firstLineChars="200"/>
        <w:rPr>
          <w:rFonts w:ascii="仿宋_GB2312" w:eastAsia="仿宋_GB2312"/>
          <w:sz w:val="32"/>
          <w:szCs w:val="32"/>
        </w:rPr>
      </w:pPr>
      <w:r>
        <w:rPr>
          <w:rFonts w:hint="eastAsia" w:ascii="仿宋_GB2312" w:eastAsia="仿宋_GB2312"/>
          <w:sz w:val="32"/>
          <w:szCs w:val="32"/>
        </w:rPr>
        <w:t>1</w:t>
      </w:r>
      <w:r>
        <w:rPr>
          <w:rFonts w:hint="eastAsia" w:ascii="仿宋_GB2312" w:eastAsia="仿宋_GB2312"/>
          <w:sz w:val="32"/>
          <w:szCs w:val="32"/>
          <w:lang w:val="en-US" w:eastAsia="zh-CN"/>
        </w:rPr>
        <w:t>3</w:t>
      </w:r>
      <w:r>
        <w:rPr>
          <w:rFonts w:ascii="仿宋_GB2312" w:eastAsia="仿宋_GB2312"/>
          <w:sz w:val="32"/>
          <w:szCs w:val="32"/>
        </w:rPr>
        <w:t>.</w:t>
      </w:r>
      <w:r>
        <w:rPr>
          <w:rFonts w:hint="eastAsia" w:ascii="仿宋_GB2312" w:eastAsia="仿宋_GB2312"/>
          <w:sz w:val="32"/>
          <w:szCs w:val="32"/>
        </w:rPr>
        <w:t>基本支出：指为保障机构正常运转、完成日常工作任务而发生的人员支出和公用支出。</w:t>
      </w:r>
    </w:p>
    <w:p>
      <w:pPr>
        <w:ind w:firstLine="640" w:firstLineChars="200"/>
        <w:rPr>
          <w:rFonts w:ascii="仿宋_GB2312" w:eastAsia="仿宋_GB2312"/>
          <w:sz w:val="32"/>
          <w:szCs w:val="32"/>
        </w:rPr>
      </w:pPr>
      <w:r>
        <w:rPr>
          <w:rFonts w:hint="eastAsia" w:ascii="仿宋_GB2312" w:eastAsia="仿宋_GB2312"/>
          <w:sz w:val="32"/>
          <w:szCs w:val="32"/>
        </w:rPr>
        <w:t>1</w:t>
      </w:r>
      <w:r>
        <w:rPr>
          <w:rFonts w:hint="eastAsia" w:ascii="仿宋_GB2312" w:eastAsia="仿宋_GB2312"/>
          <w:sz w:val="32"/>
          <w:szCs w:val="32"/>
          <w:lang w:val="en-US" w:eastAsia="zh-CN"/>
        </w:rPr>
        <w:t>4</w:t>
      </w:r>
      <w:r>
        <w:rPr>
          <w:rFonts w:ascii="仿宋_GB2312" w:eastAsia="仿宋_GB2312"/>
          <w:sz w:val="32"/>
          <w:szCs w:val="32"/>
        </w:rPr>
        <w:t>.</w:t>
      </w:r>
      <w:r>
        <w:rPr>
          <w:rFonts w:hint="eastAsia" w:ascii="仿宋_GB2312" w:eastAsia="仿宋_GB2312"/>
          <w:sz w:val="32"/>
          <w:szCs w:val="32"/>
        </w:rPr>
        <w:t>项目支出：指在基本支出之外为完成特定行政任务和事业发展目标所发生的支出。</w:t>
      </w:r>
      <w:r>
        <w:rPr>
          <w:rFonts w:ascii="仿宋_GB2312" w:eastAsia="仿宋_GB2312"/>
          <w:sz w:val="32"/>
          <w:szCs w:val="32"/>
        </w:rPr>
        <w:t xml:space="preserve"> </w:t>
      </w:r>
    </w:p>
    <w:p>
      <w:pPr>
        <w:pStyle w:val="33"/>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1</w:t>
      </w:r>
      <w:r>
        <w:rPr>
          <w:rFonts w:hint="eastAsia" w:ascii="仿宋_GB2312" w:eastAsia="仿宋_GB2312"/>
          <w:color w:val="auto"/>
          <w:sz w:val="32"/>
          <w:szCs w:val="32"/>
          <w:lang w:val="en-US" w:eastAsia="zh-CN"/>
        </w:rPr>
        <w:t>5</w:t>
      </w:r>
      <w:r>
        <w:rPr>
          <w:rFonts w:ascii="仿宋_GB2312" w:eastAsia="仿宋_GB2312"/>
          <w:color w:val="auto"/>
          <w:sz w:val="32"/>
          <w:szCs w:val="32"/>
        </w:rPr>
        <w:t>.</w:t>
      </w:r>
      <w:r>
        <w:rPr>
          <w:rFonts w:hint="eastAsia" w:ascii="仿宋_GB2312" w:eastAsia="仿宋_GB2312"/>
          <w:color w:val="auto"/>
          <w:sz w:val="32"/>
          <w:szCs w:val="32"/>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仿宋_GB2312" w:eastAsia="仿宋_GB2312"/>
          <w:color w:val="auto"/>
          <w:sz w:val="32"/>
          <w:szCs w:val="32"/>
        </w:rPr>
        <w:t>1</w:t>
      </w:r>
      <w:r>
        <w:rPr>
          <w:rFonts w:hint="eastAsia" w:ascii="仿宋_GB2312" w:eastAsia="仿宋_GB2312"/>
          <w:color w:val="auto"/>
          <w:sz w:val="32"/>
          <w:szCs w:val="32"/>
          <w:lang w:val="en-US" w:eastAsia="zh-CN"/>
        </w:rPr>
        <w:t>6</w:t>
      </w:r>
      <w:r>
        <w:rPr>
          <w:rFonts w:ascii="仿宋_GB2312" w:eastAsia="仿宋_GB2312"/>
          <w:color w:val="auto"/>
          <w:sz w:val="32"/>
          <w:szCs w:val="32"/>
        </w:rPr>
        <w:t>.</w:t>
      </w:r>
      <w:r>
        <w:rPr>
          <w:rFonts w:hint="eastAsia" w:ascii="仿宋_GB2312" w:eastAsia="仿宋_GB2312"/>
          <w:color w:val="auto"/>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3"/>
        <w:bidi w:val="0"/>
        <w:jc w:val="center"/>
        <w:rPr>
          <w:rFonts w:hint="eastAsia" w:ascii="Times New Roman" w:hAnsi="Times New Roman" w:eastAsia="黑体"/>
          <w:color w:val="auto"/>
          <w:sz w:val="44"/>
          <w:szCs w:val="44"/>
          <w:highlight w:val="none"/>
        </w:rPr>
      </w:pPr>
      <w:bookmarkStart w:id="74" w:name="_Toc15377226"/>
      <w:r>
        <w:rPr>
          <w:rFonts w:hint="eastAsia" w:ascii="Times New Roman" w:hAnsi="Times New Roman" w:eastAsia="仿宋_GB2312" w:cs="仿宋_GB2312"/>
          <w:color w:val="auto"/>
          <w:kern w:val="2"/>
          <w:sz w:val="32"/>
          <w:szCs w:val="32"/>
          <w:highlight w:val="none"/>
          <w:lang w:val="en-US" w:eastAsia="zh-CN" w:bidi="ar-SA"/>
        </w:rPr>
        <w:br w:type="page"/>
      </w:r>
      <w:bookmarkStart w:id="75" w:name="_Toc15396614"/>
      <w:bookmarkStart w:id="76" w:name="_Toc4643"/>
      <w:r>
        <w:rPr>
          <w:rFonts w:hint="eastAsia" w:ascii="Times New Roman" w:hAnsi="Times New Roman" w:eastAsia="黑体"/>
          <w:color w:val="auto"/>
          <w:sz w:val="44"/>
          <w:szCs w:val="44"/>
          <w:highlight w:val="none"/>
        </w:rPr>
        <w:t>第四部分</w:t>
      </w:r>
      <w:r>
        <w:rPr>
          <w:rFonts w:hint="eastAsia" w:ascii="Times New Roman" w:hAnsi="Times New Roman" w:eastAsia="黑体"/>
          <w:color w:val="auto"/>
          <w:sz w:val="44"/>
          <w:szCs w:val="44"/>
          <w:highlight w:val="none"/>
          <w:lang w:val="en-US" w:eastAsia="zh-CN"/>
        </w:rPr>
        <w:t xml:space="preserve"> </w:t>
      </w:r>
      <w:r>
        <w:rPr>
          <w:rFonts w:hint="eastAsia" w:ascii="Times New Roman" w:hAnsi="Times New Roman" w:eastAsia="黑体"/>
          <w:color w:val="auto"/>
          <w:sz w:val="44"/>
          <w:szCs w:val="44"/>
          <w:highlight w:val="none"/>
        </w:rPr>
        <w:t xml:space="preserve"> 附件</w:t>
      </w:r>
      <w:bookmarkEnd w:id="75"/>
      <w:bookmarkEnd w:id="76"/>
    </w:p>
    <w:p>
      <w:pPr>
        <w:spacing w:line="572" w:lineRule="exact"/>
        <w:jc w:val="left"/>
        <w:outlineLvl w:val="0"/>
        <w:rPr>
          <w:rFonts w:ascii="仿宋_GB2312" w:hAnsi="仿宋_GB2312" w:eastAsia="仿宋_GB2312" w:cs="仿宋_GB2312"/>
          <w:sz w:val="32"/>
          <w:szCs w:val="32"/>
        </w:rPr>
      </w:pPr>
    </w:p>
    <w:p>
      <w:pPr>
        <w:spacing w:line="600" w:lineRule="exact"/>
        <w:jc w:val="center"/>
        <w:outlineLvl w:val="0"/>
        <w:rPr>
          <w:rFonts w:hint="eastAsia" w:ascii="黑体" w:hAnsi="黑体" w:eastAsia="黑体"/>
          <w:color w:val="FF0000"/>
          <w:sz w:val="44"/>
          <w:szCs w:val="44"/>
        </w:rPr>
      </w:pPr>
      <w:bookmarkStart w:id="77" w:name="_Toc176427867"/>
      <w:bookmarkStart w:id="78" w:name="_Toc80660525_WPSOffice_Level2"/>
      <w:bookmarkStart w:id="79" w:name="_Toc20818"/>
      <w:r>
        <w:rPr>
          <w:rFonts w:hint="eastAsia" w:ascii="仿宋_GB2312" w:hAnsi="Calibri" w:eastAsia="仿宋_GB2312" w:cs="仿宋"/>
          <w:color w:val="auto"/>
          <w:kern w:val="0"/>
          <w:sz w:val="32"/>
          <w:szCs w:val="32"/>
          <w:lang w:val="en-US" w:eastAsia="zh-CN" w:bidi="ar-SA"/>
        </w:rPr>
        <w:t>部门预算项目支出绩效自评表（2024年度）</w:t>
      </w:r>
      <w:bookmarkEnd w:id="77"/>
      <w:bookmarkEnd w:id="78"/>
      <w:bookmarkEnd w:id="79"/>
    </w:p>
    <w:p>
      <w:pPr>
        <w:pStyle w:val="2"/>
        <w:rPr>
          <w:rFonts w:hint="eastAsia"/>
          <w:lang w:eastAsia="zh-CN"/>
        </w:rPr>
      </w:pPr>
    </w:p>
    <w:p>
      <w:pPr>
        <w:pStyle w:val="2"/>
        <w:rPr>
          <w:rFonts w:hint="eastAsia" w:ascii="Times New Roman" w:hAnsi="Times New Roman" w:eastAsia="黑体" w:cs="黑体"/>
          <w:color w:val="auto"/>
          <w:kern w:val="0"/>
          <w:sz w:val="32"/>
          <w:szCs w:val="32"/>
          <w:highlight w:val="none"/>
          <w:shd w:val="clear" w:color="auto" w:fill="FFFFFF"/>
          <w:lang w:val="zh-CN"/>
        </w:rPr>
      </w:pPr>
    </w:p>
    <w:p>
      <w:pPr>
        <w:pStyle w:val="2"/>
        <w:rPr>
          <w:rFonts w:hint="eastAsia" w:ascii="Times New Roman" w:hAnsi="Times New Roman" w:eastAsia="黑体" w:cs="黑体"/>
          <w:color w:val="auto"/>
          <w:kern w:val="0"/>
          <w:sz w:val="32"/>
          <w:szCs w:val="32"/>
          <w:highlight w:val="none"/>
          <w:shd w:val="clear" w:color="auto" w:fill="FFFFFF"/>
          <w:lang w:val="zh-CN"/>
        </w:rPr>
      </w:pPr>
    </w:p>
    <w:p>
      <w:pPr>
        <w:pStyle w:val="2"/>
        <w:rPr>
          <w:rFonts w:hint="eastAsia" w:ascii="Times New Roman" w:hAnsi="Times New Roman" w:eastAsia="黑体" w:cs="黑体"/>
          <w:color w:val="auto"/>
          <w:kern w:val="0"/>
          <w:sz w:val="32"/>
          <w:szCs w:val="32"/>
          <w:highlight w:val="none"/>
          <w:shd w:val="clear" w:color="auto" w:fill="FFFFFF"/>
          <w:lang w:val="zh-CN"/>
        </w:rPr>
      </w:pPr>
    </w:p>
    <w:p>
      <w:pPr>
        <w:pStyle w:val="2"/>
        <w:rPr>
          <w:rFonts w:hint="eastAsia" w:ascii="Times New Roman" w:hAnsi="Times New Roman" w:eastAsia="黑体" w:cs="黑体"/>
          <w:color w:val="auto"/>
          <w:kern w:val="0"/>
          <w:sz w:val="32"/>
          <w:szCs w:val="32"/>
          <w:highlight w:val="none"/>
          <w:shd w:val="clear" w:color="auto" w:fill="FFFFFF"/>
          <w:lang w:val="zh-CN"/>
        </w:rPr>
      </w:pPr>
    </w:p>
    <w:p>
      <w:pPr>
        <w:pStyle w:val="2"/>
        <w:rPr>
          <w:rFonts w:hint="eastAsia" w:ascii="Times New Roman" w:hAnsi="Times New Roman" w:eastAsia="黑体" w:cs="黑体"/>
          <w:color w:val="auto"/>
          <w:kern w:val="0"/>
          <w:sz w:val="32"/>
          <w:szCs w:val="32"/>
          <w:highlight w:val="none"/>
          <w:shd w:val="clear" w:color="auto" w:fill="FFFFFF"/>
          <w:lang w:val="zh-CN"/>
        </w:rPr>
      </w:pPr>
    </w:p>
    <w:p>
      <w:pPr>
        <w:pStyle w:val="2"/>
        <w:rPr>
          <w:rFonts w:hint="eastAsia" w:ascii="Times New Roman" w:hAnsi="Times New Roman" w:eastAsia="黑体" w:cs="黑体"/>
          <w:color w:val="auto"/>
          <w:kern w:val="0"/>
          <w:sz w:val="32"/>
          <w:szCs w:val="32"/>
          <w:highlight w:val="none"/>
          <w:shd w:val="clear" w:color="auto" w:fill="FFFFFF"/>
          <w:lang w:val="zh-CN"/>
        </w:rPr>
      </w:pPr>
    </w:p>
    <w:p>
      <w:pPr>
        <w:pStyle w:val="2"/>
        <w:rPr>
          <w:rFonts w:hint="eastAsia" w:ascii="Times New Roman" w:hAnsi="Times New Roman" w:eastAsia="黑体" w:cs="黑体"/>
          <w:color w:val="auto"/>
          <w:kern w:val="0"/>
          <w:sz w:val="32"/>
          <w:szCs w:val="32"/>
          <w:highlight w:val="none"/>
          <w:shd w:val="clear" w:color="auto" w:fill="FFFFFF"/>
          <w:lang w:val="zh-CN"/>
        </w:rPr>
      </w:pPr>
    </w:p>
    <w:p>
      <w:pPr>
        <w:pStyle w:val="2"/>
        <w:rPr>
          <w:rFonts w:hint="eastAsia" w:ascii="Times New Roman" w:hAnsi="Times New Roman" w:eastAsia="黑体" w:cs="黑体"/>
          <w:color w:val="auto"/>
          <w:kern w:val="0"/>
          <w:sz w:val="32"/>
          <w:szCs w:val="32"/>
          <w:highlight w:val="none"/>
          <w:shd w:val="clear" w:color="auto" w:fill="FFFFFF"/>
          <w:lang w:val="zh-CN"/>
        </w:rPr>
      </w:pPr>
    </w:p>
    <w:p>
      <w:pPr>
        <w:pStyle w:val="2"/>
        <w:rPr>
          <w:rFonts w:hint="eastAsia" w:ascii="Times New Roman" w:hAnsi="Times New Roman" w:eastAsia="黑体" w:cs="黑体"/>
          <w:color w:val="auto"/>
          <w:kern w:val="0"/>
          <w:sz w:val="32"/>
          <w:szCs w:val="32"/>
          <w:highlight w:val="none"/>
          <w:shd w:val="clear" w:color="auto" w:fill="FFFFFF"/>
          <w:lang w:val="zh-CN"/>
        </w:rPr>
      </w:pPr>
    </w:p>
    <w:p>
      <w:pPr>
        <w:pStyle w:val="2"/>
        <w:rPr>
          <w:rFonts w:hint="eastAsia" w:ascii="Times New Roman" w:hAnsi="Times New Roman" w:eastAsia="黑体" w:cs="黑体"/>
          <w:color w:val="auto"/>
          <w:kern w:val="0"/>
          <w:sz w:val="32"/>
          <w:szCs w:val="32"/>
          <w:highlight w:val="none"/>
          <w:shd w:val="clear" w:color="auto" w:fill="FFFFFF"/>
          <w:lang w:val="zh-CN"/>
        </w:rPr>
      </w:pPr>
    </w:p>
    <w:p>
      <w:pPr>
        <w:pStyle w:val="2"/>
        <w:rPr>
          <w:rFonts w:hint="eastAsia" w:ascii="Times New Roman" w:hAnsi="Times New Roman" w:eastAsia="黑体" w:cs="黑体"/>
          <w:color w:val="auto"/>
          <w:kern w:val="0"/>
          <w:sz w:val="32"/>
          <w:szCs w:val="32"/>
          <w:highlight w:val="none"/>
          <w:shd w:val="clear" w:color="auto" w:fill="FFFFFF"/>
          <w:lang w:val="zh-CN"/>
        </w:rPr>
      </w:pPr>
    </w:p>
    <w:p>
      <w:pPr>
        <w:pStyle w:val="2"/>
        <w:rPr>
          <w:rFonts w:hint="eastAsia" w:ascii="Times New Roman" w:hAnsi="Times New Roman" w:eastAsia="黑体" w:cs="黑体"/>
          <w:color w:val="auto"/>
          <w:kern w:val="0"/>
          <w:sz w:val="32"/>
          <w:szCs w:val="32"/>
          <w:highlight w:val="none"/>
          <w:shd w:val="clear" w:color="auto" w:fill="FFFFFF"/>
          <w:lang w:val="zh-CN"/>
        </w:rPr>
      </w:pPr>
    </w:p>
    <w:p>
      <w:pPr>
        <w:pStyle w:val="2"/>
        <w:rPr>
          <w:rFonts w:hint="eastAsia" w:ascii="Times New Roman" w:hAnsi="Times New Roman" w:eastAsia="黑体" w:cs="黑体"/>
          <w:color w:val="auto"/>
          <w:kern w:val="0"/>
          <w:sz w:val="32"/>
          <w:szCs w:val="32"/>
          <w:highlight w:val="none"/>
          <w:shd w:val="clear" w:color="auto" w:fill="FFFFFF"/>
          <w:lang w:val="zh-CN"/>
        </w:rPr>
      </w:pPr>
    </w:p>
    <w:p>
      <w:pPr>
        <w:pStyle w:val="2"/>
        <w:rPr>
          <w:rFonts w:hint="eastAsia" w:ascii="Times New Roman" w:hAnsi="Times New Roman" w:eastAsia="黑体" w:cs="黑体"/>
          <w:color w:val="auto"/>
          <w:kern w:val="0"/>
          <w:sz w:val="32"/>
          <w:szCs w:val="32"/>
          <w:highlight w:val="none"/>
          <w:shd w:val="clear" w:color="auto" w:fill="FFFFFF"/>
          <w:lang w:val="zh-CN"/>
        </w:rPr>
      </w:pPr>
    </w:p>
    <w:p>
      <w:pPr>
        <w:pStyle w:val="2"/>
        <w:rPr>
          <w:rFonts w:hint="eastAsia" w:ascii="Times New Roman" w:hAnsi="Times New Roman" w:eastAsia="黑体" w:cs="黑体"/>
          <w:color w:val="auto"/>
          <w:kern w:val="0"/>
          <w:sz w:val="32"/>
          <w:szCs w:val="32"/>
          <w:highlight w:val="none"/>
          <w:shd w:val="clear" w:color="auto" w:fill="FFFFFF"/>
          <w:lang w:val="zh-CN"/>
        </w:rPr>
      </w:pPr>
    </w:p>
    <w:p>
      <w:pPr>
        <w:rPr>
          <w:rFonts w:hint="eastAsia" w:ascii="Times New Roman" w:hAnsi="Times New Roman" w:eastAsia="黑体" w:cs="黑体"/>
          <w:color w:val="auto"/>
          <w:kern w:val="0"/>
          <w:sz w:val="32"/>
          <w:szCs w:val="32"/>
          <w:highlight w:val="none"/>
          <w:shd w:val="clear" w:color="auto" w:fill="FFFFFF"/>
          <w:lang w:val="zh-CN"/>
        </w:rPr>
        <w:sectPr>
          <w:footerReference r:id="rId7" w:type="default"/>
          <w:pgSz w:w="11906" w:h="16838"/>
          <w:pgMar w:top="1440" w:right="1800" w:bottom="1440" w:left="1800" w:header="851" w:footer="992" w:gutter="0"/>
          <w:pgNumType w:fmt="numberInDash" w:start="1"/>
          <w:cols w:space="425" w:num="1"/>
          <w:docGrid w:type="lines" w:linePitch="312" w:charSpace="0"/>
        </w:sectPr>
      </w:pPr>
    </w:p>
    <w:tbl>
      <w:tblPr>
        <w:tblStyle w:val="17"/>
        <w:tblW w:w="1460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
        <w:gridCol w:w="686"/>
        <w:gridCol w:w="1"/>
        <w:gridCol w:w="114"/>
        <w:gridCol w:w="1933"/>
        <w:gridCol w:w="8"/>
        <w:gridCol w:w="84"/>
        <w:gridCol w:w="1673"/>
        <w:gridCol w:w="13"/>
        <w:gridCol w:w="16"/>
        <w:gridCol w:w="2224"/>
        <w:gridCol w:w="5"/>
        <w:gridCol w:w="20"/>
        <w:gridCol w:w="504"/>
        <w:gridCol w:w="21"/>
        <w:gridCol w:w="60"/>
        <w:gridCol w:w="1207"/>
        <w:gridCol w:w="386"/>
        <w:gridCol w:w="27"/>
        <w:gridCol w:w="107"/>
        <w:gridCol w:w="390"/>
        <w:gridCol w:w="28"/>
        <w:gridCol w:w="854"/>
        <w:gridCol w:w="212"/>
        <w:gridCol w:w="29"/>
        <w:gridCol w:w="510"/>
        <w:gridCol w:w="4"/>
        <w:gridCol w:w="65"/>
        <w:gridCol w:w="445"/>
        <w:gridCol w:w="180"/>
        <w:gridCol w:w="272"/>
        <w:gridCol w:w="1798"/>
        <w:gridCol w:w="72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904" w:hRule="atLeast"/>
        </w:trPr>
        <w:tc>
          <w:tcPr>
            <w:tcW w:w="13879" w:type="dxa"/>
            <w:gridSpan w:val="3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i w:val="0"/>
                <w:color w:val="000000"/>
                <w:sz w:val="30"/>
                <w:szCs w:val="30"/>
                <w:u w:val="none"/>
              </w:rPr>
            </w:pPr>
            <w:r>
              <w:rPr>
                <w:rFonts w:hint="default" w:ascii="黑体" w:hAnsi="宋体" w:eastAsia="黑体" w:cs="黑体"/>
                <w:b/>
                <w:i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721" w:type="dxa"/>
          <w:trHeight w:val="285" w:hRule="atLeast"/>
        </w:trPr>
        <w:tc>
          <w:tcPr>
            <w:tcW w:w="27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11142" w:type="dxa"/>
            <w:gridSpan w:val="2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51000021R000000019958-其他支出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514" w:hRule="atLeast"/>
        </w:trPr>
        <w:tc>
          <w:tcPr>
            <w:tcW w:w="27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6745"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广元市政务服务和数据局部门</w:t>
            </w:r>
          </w:p>
        </w:tc>
        <w:tc>
          <w:tcPr>
            <w:tcW w:w="1094" w:type="dxa"/>
            <w:gridSpan w:val="3"/>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实施单位 （盖章）</w:t>
            </w:r>
          </w:p>
        </w:tc>
        <w:tc>
          <w:tcPr>
            <w:tcW w:w="330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广元市政务服务和数据局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285" w:hRule="atLeast"/>
        </w:trPr>
        <w:tc>
          <w:tcPr>
            <w:tcW w:w="68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2048"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6745"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4397"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709" w:hRule="atLeast"/>
        </w:trPr>
        <w:tc>
          <w:tcPr>
            <w:tcW w:w="6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04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6745"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lang w:eastAsia="zh-CN"/>
              </w:rPr>
            </w:pPr>
            <w:r>
              <w:rPr>
                <w:rFonts w:hint="eastAsia" w:ascii="宋体" w:hAnsi="宋体" w:cs="宋体"/>
                <w:color w:val="000000"/>
                <w:kern w:val="0"/>
                <w:sz w:val="18"/>
                <w:szCs w:val="18"/>
              </w:rPr>
              <w:t>严格执行相关政策，保障年度引进人才费用按时、足额发放，预算编制科学合理，减少结余资金</w:t>
            </w:r>
            <w:r>
              <w:rPr>
                <w:rFonts w:hint="eastAsia" w:ascii="宋体" w:hAnsi="宋体" w:cs="宋体"/>
                <w:color w:val="000000"/>
                <w:kern w:val="0"/>
                <w:sz w:val="18"/>
                <w:szCs w:val="18"/>
                <w:lang w:eastAsia="zh-CN"/>
              </w:rPr>
              <w:t>。</w:t>
            </w:r>
          </w:p>
        </w:tc>
        <w:tc>
          <w:tcPr>
            <w:tcW w:w="4397"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宋体" w:cs="黑体"/>
                <w:i w:val="0"/>
                <w:color w:val="000000"/>
                <w:sz w:val="18"/>
                <w:szCs w:val="18"/>
                <w:u w:val="none"/>
                <w:lang w:eastAsia="zh-CN"/>
              </w:rPr>
            </w:pPr>
            <w:r>
              <w:rPr>
                <w:rFonts w:hint="eastAsia" w:ascii="宋体" w:hAnsi="宋体" w:cs="宋体"/>
                <w:color w:val="000000"/>
                <w:kern w:val="0"/>
                <w:sz w:val="18"/>
                <w:szCs w:val="18"/>
              </w:rPr>
              <w:t>按时足额发放引进人才的补助费用</w:t>
            </w:r>
            <w:r>
              <w:rPr>
                <w:rFonts w:hint="eastAsia" w:ascii="宋体" w:hAnsi="宋体" w:cs="宋体"/>
                <w:color w:val="000000"/>
                <w:kern w:val="0"/>
                <w:sz w:val="18"/>
                <w:szCs w:val="18"/>
                <w:lang w:eastAsia="zh-CN"/>
              </w:rPr>
              <w:t>预算执行完毕，无结余。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694" w:hRule="atLeast"/>
        </w:trPr>
        <w:tc>
          <w:tcPr>
            <w:tcW w:w="6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0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11142" w:type="dxa"/>
            <w:gridSpan w:val="2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r>
              <w:rPr>
                <w:rFonts w:hint="eastAsia" w:ascii="宋体" w:hAnsi="宋体" w:cs="宋体"/>
                <w:color w:val="000000"/>
                <w:kern w:val="0"/>
                <w:sz w:val="18"/>
                <w:szCs w:val="18"/>
              </w:rPr>
              <w:t>按时足额发放引进人才的补助费用。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721" w:type="dxa"/>
          <w:trHeight w:val="360" w:hRule="atLeast"/>
        </w:trPr>
        <w:tc>
          <w:tcPr>
            <w:tcW w:w="68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20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17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272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10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5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0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345" w:hRule="atLeast"/>
        </w:trPr>
        <w:tc>
          <w:tcPr>
            <w:tcW w:w="6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17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16.60</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16.60</w:t>
            </w:r>
          </w:p>
        </w:tc>
        <w:tc>
          <w:tcPr>
            <w:tcW w:w="272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16.60</w:t>
            </w:r>
          </w:p>
        </w:tc>
        <w:tc>
          <w:tcPr>
            <w:tcW w:w="10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w:t>
            </w:r>
          </w:p>
        </w:tc>
        <w:tc>
          <w:tcPr>
            <w:tcW w:w="207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color w:val="000000"/>
                <w:sz w:val="18"/>
                <w:szCs w:val="18"/>
                <w:u w:val="none"/>
              </w:rPr>
            </w:pPr>
            <w:r>
              <w:rPr>
                <w:rFonts w:hint="default" w:ascii="黑体" w:hAnsi="黑体" w:eastAsia="黑体" w:cs="黑体"/>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r>
              <w:rPr>
                <w:rFonts w:hint="eastAsia" w:ascii="黑体" w:hAnsi="黑体" w:eastAsia="黑体" w:cs="黑体"/>
                <w:i/>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390" w:hRule="atLeast"/>
        </w:trPr>
        <w:tc>
          <w:tcPr>
            <w:tcW w:w="6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17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16.60</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16.60</w:t>
            </w:r>
          </w:p>
        </w:tc>
        <w:tc>
          <w:tcPr>
            <w:tcW w:w="272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16.60</w:t>
            </w:r>
          </w:p>
        </w:tc>
        <w:tc>
          <w:tcPr>
            <w:tcW w:w="10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0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409" w:hRule="atLeast"/>
        </w:trPr>
        <w:tc>
          <w:tcPr>
            <w:tcW w:w="6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17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72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0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360" w:hRule="atLeast"/>
        </w:trPr>
        <w:tc>
          <w:tcPr>
            <w:tcW w:w="6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17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72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0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338" w:hRule="atLeast"/>
        </w:trPr>
        <w:tc>
          <w:tcPr>
            <w:tcW w:w="6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17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272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10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5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0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454" w:hRule="atLeast"/>
        </w:trPr>
        <w:tc>
          <w:tcPr>
            <w:tcW w:w="68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20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17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5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1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52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10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5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0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338" w:hRule="atLeast"/>
        </w:trPr>
        <w:tc>
          <w:tcPr>
            <w:tcW w:w="6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17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发放（缴纳）覆盖率</w:t>
            </w:r>
          </w:p>
        </w:tc>
        <w:tc>
          <w:tcPr>
            <w:tcW w:w="5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2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lang w:val="en-US" w:eastAsia="zh-CN"/>
              </w:rPr>
            </w:pPr>
            <w:r>
              <w:rPr>
                <w:rFonts w:hint="eastAsia" w:ascii="宋体" w:hAnsi="宋体" w:eastAsia="宋体" w:cs="宋体"/>
                <w:i w:val="0"/>
                <w:color w:val="000000"/>
                <w:kern w:val="0"/>
                <w:sz w:val="18"/>
                <w:szCs w:val="18"/>
                <w:u w:val="none"/>
                <w:lang w:val="en-US" w:eastAsia="zh-CN" w:bidi="ar"/>
              </w:rPr>
              <w:t>100</w:t>
            </w:r>
          </w:p>
        </w:tc>
        <w:tc>
          <w:tcPr>
            <w:tcW w:w="5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60</w:t>
            </w:r>
          </w:p>
        </w:tc>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60</w:t>
            </w:r>
          </w:p>
        </w:tc>
        <w:tc>
          <w:tcPr>
            <w:tcW w:w="20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338" w:hRule="atLeast"/>
        </w:trPr>
        <w:tc>
          <w:tcPr>
            <w:tcW w:w="6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17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足额保障率（参保率）</w:t>
            </w:r>
          </w:p>
        </w:tc>
        <w:tc>
          <w:tcPr>
            <w:tcW w:w="5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2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lang w:val="en-US" w:eastAsia="zh-CN"/>
              </w:rPr>
            </w:pPr>
            <w:r>
              <w:rPr>
                <w:rFonts w:hint="eastAsia" w:ascii="宋体" w:hAnsi="宋体" w:eastAsia="宋体" w:cs="宋体"/>
                <w:i w:val="0"/>
                <w:color w:val="000000"/>
                <w:kern w:val="0"/>
                <w:sz w:val="18"/>
                <w:szCs w:val="18"/>
                <w:u w:val="none"/>
                <w:lang w:val="en-US" w:eastAsia="zh-CN" w:bidi="ar"/>
              </w:rPr>
              <w:t>100</w:t>
            </w:r>
          </w:p>
        </w:tc>
        <w:tc>
          <w:tcPr>
            <w:tcW w:w="5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w:t>
            </w:r>
          </w:p>
        </w:tc>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30</w:t>
            </w:r>
          </w:p>
        </w:tc>
        <w:tc>
          <w:tcPr>
            <w:tcW w:w="20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285" w:hRule="atLeast"/>
        </w:trPr>
        <w:tc>
          <w:tcPr>
            <w:tcW w:w="10576" w:type="dxa"/>
            <w:gridSpan w:val="2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5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100</w:t>
            </w:r>
          </w:p>
        </w:tc>
        <w:tc>
          <w:tcPr>
            <w:tcW w:w="20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604" w:hRule="atLeast"/>
        </w:trPr>
        <w:tc>
          <w:tcPr>
            <w:tcW w:w="6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13190" w:type="dxa"/>
            <w:gridSpan w:val="3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宋体" w:hAnsi="宋体" w:cs="宋体"/>
                <w:color w:val="000000"/>
                <w:kern w:val="0"/>
                <w:sz w:val="16"/>
                <w:szCs w:val="16"/>
              </w:rPr>
              <w:t>该项目自评总分100分，该项目顺利实施，保障了</w:t>
            </w:r>
            <w:r>
              <w:rPr>
                <w:rFonts w:hint="eastAsia" w:ascii="宋体" w:hAnsi="宋体" w:cs="宋体"/>
                <w:color w:val="000000"/>
                <w:kern w:val="0"/>
                <w:sz w:val="16"/>
                <w:szCs w:val="16"/>
                <w:lang w:eastAsia="zh-CN"/>
              </w:rPr>
              <w:t>引进人才的</w:t>
            </w:r>
            <w:r>
              <w:rPr>
                <w:rFonts w:hint="eastAsia" w:ascii="宋体" w:hAnsi="宋体" w:cs="宋体"/>
                <w:color w:val="000000"/>
                <w:kern w:val="0"/>
                <w:sz w:val="16"/>
                <w:szCs w:val="16"/>
              </w:rPr>
              <w:t>合法权益。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574" w:hRule="atLeast"/>
        </w:trPr>
        <w:tc>
          <w:tcPr>
            <w:tcW w:w="6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13190" w:type="dxa"/>
            <w:gridSpan w:val="3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宋体" w:hAnsi="宋体" w:eastAsia="宋体" w:cs="宋体"/>
                <w:color w:val="000000"/>
                <w:kern w:val="0"/>
                <w:sz w:val="16"/>
                <w:szCs w:val="16"/>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634" w:hRule="atLeast"/>
        </w:trPr>
        <w:tc>
          <w:tcPr>
            <w:tcW w:w="6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13190" w:type="dxa"/>
            <w:gridSpan w:val="3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宋体" w:hAnsi="宋体" w:eastAsia="宋体" w:cs="宋体"/>
                <w:color w:val="000000"/>
                <w:kern w:val="0"/>
                <w:sz w:val="16"/>
                <w:szCs w:val="16"/>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285" w:hRule="atLeast"/>
        </w:trPr>
        <w:tc>
          <w:tcPr>
            <w:tcW w:w="7284"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项目负责人：</w:t>
            </w:r>
            <w:r>
              <w:rPr>
                <w:rFonts w:hint="eastAsia" w:ascii="黑体" w:hAnsi="黑体" w:eastAsia="黑体" w:cs="黑体"/>
                <w:i w:val="0"/>
                <w:color w:val="000000"/>
                <w:kern w:val="0"/>
                <w:sz w:val="18"/>
                <w:szCs w:val="18"/>
                <w:u w:val="none"/>
                <w:lang w:val="en-US" w:eastAsia="zh-CN" w:bidi="ar"/>
              </w:rPr>
              <w:t>袁玲</w:t>
            </w:r>
          </w:p>
        </w:tc>
        <w:tc>
          <w:tcPr>
            <w:tcW w:w="6595"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财务负责人：</w:t>
            </w:r>
            <w:r>
              <w:rPr>
                <w:rFonts w:hint="eastAsia" w:ascii="黑体" w:hAnsi="黑体" w:eastAsia="黑体" w:cs="黑体"/>
                <w:i w:val="0"/>
                <w:color w:val="000000"/>
                <w:kern w:val="0"/>
                <w:sz w:val="18"/>
                <w:szCs w:val="18"/>
                <w:u w:val="none"/>
                <w:lang w:val="en-US" w:eastAsia="zh-CN" w:bidi="ar"/>
              </w:rPr>
              <w:t>王洪彬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285" w:hRule="atLeast"/>
        </w:trPr>
        <w:tc>
          <w:tcPr>
            <w:tcW w:w="689" w:type="dxa"/>
            <w:gridSpan w:val="2"/>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048" w:type="dxa"/>
            <w:gridSpan w:val="3"/>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765" w:type="dxa"/>
            <w:gridSpan w:val="3"/>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258"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24" w:type="dxa"/>
            <w:gridSpan w:val="2"/>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674"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24" w:type="dxa"/>
            <w:gridSpan w:val="3"/>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094" w:type="dxa"/>
            <w:gridSpan w:val="3"/>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43" w:type="dxa"/>
            <w:gridSpan w:val="3"/>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690" w:type="dxa"/>
            <w:gridSpan w:val="3"/>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070" w:type="dxa"/>
            <w:gridSpan w:val="2"/>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904" w:hRule="atLeast"/>
        </w:trPr>
        <w:tc>
          <w:tcPr>
            <w:tcW w:w="13879" w:type="dxa"/>
            <w:gridSpan w:val="3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i w:val="0"/>
                <w:color w:val="000000"/>
                <w:sz w:val="30"/>
                <w:szCs w:val="30"/>
                <w:u w:val="none"/>
              </w:rPr>
            </w:pPr>
            <w:r>
              <w:rPr>
                <w:rFonts w:hint="default" w:ascii="黑体" w:hAnsi="宋体" w:eastAsia="黑体" w:cs="黑体"/>
                <w:b/>
                <w:i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721" w:type="dxa"/>
          <w:trHeight w:val="285" w:hRule="atLeast"/>
        </w:trPr>
        <w:tc>
          <w:tcPr>
            <w:tcW w:w="27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11142" w:type="dxa"/>
            <w:gridSpan w:val="2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51080023R000007612345-规范后市级基础绩效奖及生活补助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514" w:hRule="atLeast"/>
        </w:trPr>
        <w:tc>
          <w:tcPr>
            <w:tcW w:w="27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6745"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广元市政务服务和数据局部门</w:t>
            </w:r>
          </w:p>
        </w:tc>
        <w:tc>
          <w:tcPr>
            <w:tcW w:w="1094" w:type="dxa"/>
            <w:gridSpan w:val="3"/>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实施单位 （盖章）</w:t>
            </w:r>
          </w:p>
        </w:tc>
        <w:tc>
          <w:tcPr>
            <w:tcW w:w="330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广元市政务服务和数据局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285" w:hRule="atLeast"/>
        </w:trPr>
        <w:tc>
          <w:tcPr>
            <w:tcW w:w="68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2048"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6745"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4397"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709" w:hRule="atLeast"/>
        </w:trPr>
        <w:tc>
          <w:tcPr>
            <w:tcW w:w="6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04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6745"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严格执行相关政策，保障工资及时、足额发放或社保及时、足额缴纳，预算编制科学合理，减少结余资金</w:t>
            </w:r>
          </w:p>
        </w:tc>
        <w:tc>
          <w:tcPr>
            <w:tcW w:w="4397"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eastAsia" w:ascii="宋体" w:hAnsi="宋体" w:cs="宋体"/>
                <w:color w:val="000000"/>
                <w:kern w:val="0"/>
                <w:sz w:val="18"/>
                <w:szCs w:val="18"/>
              </w:rPr>
              <w:t>基础绩效奖及生活补助及时发放、足额发放。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721" w:type="dxa"/>
          <w:trHeight w:val="694" w:hRule="atLeast"/>
        </w:trPr>
        <w:tc>
          <w:tcPr>
            <w:tcW w:w="6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0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11142" w:type="dxa"/>
            <w:gridSpan w:val="2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r>
              <w:rPr>
                <w:rFonts w:hint="eastAsia" w:ascii="宋体" w:hAnsi="宋体" w:cs="宋体"/>
                <w:color w:val="000000"/>
                <w:kern w:val="0"/>
                <w:sz w:val="18"/>
                <w:szCs w:val="18"/>
              </w:rPr>
              <w:t>　及时发放、足额发放基础绩效奖及生活补助。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721" w:type="dxa"/>
          <w:trHeight w:val="360" w:hRule="atLeast"/>
        </w:trPr>
        <w:tc>
          <w:tcPr>
            <w:tcW w:w="68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20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17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272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10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5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0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345" w:hRule="atLeast"/>
        </w:trPr>
        <w:tc>
          <w:tcPr>
            <w:tcW w:w="6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17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2.14</w:t>
            </w:r>
          </w:p>
        </w:tc>
        <w:tc>
          <w:tcPr>
            <w:tcW w:w="272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2.14</w:t>
            </w:r>
          </w:p>
        </w:tc>
        <w:tc>
          <w:tcPr>
            <w:tcW w:w="10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w:t>
            </w:r>
          </w:p>
        </w:tc>
        <w:tc>
          <w:tcPr>
            <w:tcW w:w="207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color w:val="000000"/>
                <w:sz w:val="18"/>
                <w:szCs w:val="18"/>
                <w:u w:val="none"/>
              </w:rPr>
            </w:pPr>
            <w:r>
              <w:rPr>
                <w:rFonts w:hint="default" w:ascii="黑体" w:hAnsi="黑体" w:eastAsia="黑体" w:cs="黑体"/>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r>
              <w:rPr>
                <w:rFonts w:hint="eastAsia" w:ascii="黑体" w:hAnsi="黑体" w:eastAsia="黑体" w:cs="黑体"/>
                <w:i/>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390" w:hRule="atLeast"/>
        </w:trPr>
        <w:tc>
          <w:tcPr>
            <w:tcW w:w="6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17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2.14</w:t>
            </w:r>
          </w:p>
        </w:tc>
        <w:tc>
          <w:tcPr>
            <w:tcW w:w="272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2.14</w:t>
            </w:r>
          </w:p>
        </w:tc>
        <w:tc>
          <w:tcPr>
            <w:tcW w:w="10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0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409" w:hRule="atLeast"/>
        </w:trPr>
        <w:tc>
          <w:tcPr>
            <w:tcW w:w="6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17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72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0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360" w:hRule="atLeast"/>
        </w:trPr>
        <w:tc>
          <w:tcPr>
            <w:tcW w:w="6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17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72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0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338" w:hRule="atLeast"/>
        </w:trPr>
        <w:tc>
          <w:tcPr>
            <w:tcW w:w="6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17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272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10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5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0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454" w:hRule="atLeast"/>
        </w:trPr>
        <w:tc>
          <w:tcPr>
            <w:tcW w:w="68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20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17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5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1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52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10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5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0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338" w:hRule="atLeast"/>
        </w:trPr>
        <w:tc>
          <w:tcPr>
            <w:tcW w:w="6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17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发放（缴纳）覆盖率</w:t>
            </w:r>
          </w:p>
        </w:tc>
        <w:tc>
          <w:tcPr>
            <w:tcW w:w="5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2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100</w:t>
            </w:r>
          </w:p>
        </w:tc>
        <w:tc>
          <w:tcPr>
            <w:tcW w:w="5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60</w:t>
            </w:r>
          </w:p>
        </w:tc>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kern w:val="0"/>
                <w:sz w:val="18"/>
                <w:szCs w:val="18"/>
                <w:u w:val="none"/>
                <w:lang w:val="en-US" w:eastAsia="zh-CN" w:bidi="ar"/>
              </w:rPr>
              <w:t>60</w:t>
            </w:r>
          </w:p>
        </w:tc>
        <w:tc>
          <w:tcPr>
            <w:tcW w:w="20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338" w:hRule="atLeast"/>
        </w:trPr>
        <w:tc>
          <w:tcPr>
            <w:tcW w:w="6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17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足额保障率（参保率）</w:t>
            </w:r>
          </w:p>
        </w:tc>
        <w:tc>
          <w:tcPr>
            <w:tcW w:w="5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2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100</w:t>
            </w:r>
          </w:p>
        </w:tc>
        <w:tc>
          <w:tcPr>
            <w:tcW w:w="5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w:t>
            </w:r>
          </w:p>
        </w:tc>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30</w:t>
            </w:r>
          </w:p>
        </w:tc>
        <w:tc>
          <w:tcPr>
            <w:tcW w:w="20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285" w:hRule="atLeast"/>
        </w:trPr>
        <w:tc>
          <w:tcPr>
            <w:tcW w:w="10576" w:type="dxa"/>
            <w:gridSpan w:val="2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5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100</w:t>
            </w:r>
          </w:p>
        </w:tc>
        <w:tc>
          <w:tcPr>
            <w:tcW w:w="20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604" w:hRule="atLeast"/>
        </w:trPr>
        <w:tc>
          <w:tcPr>
            <w:tcW w:w="6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13190" w:type="dxa"/>
            <w:gridSpan w:val="3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宋体" w:hAnsi="宋体" w:cs="宋体"/>
                <w:color w:val="000000"/>
                <w:kern w:val="0"/>
                <w:sz w:val="16"/>
                <w:szCs w:val="16"/>
              </w:rPr>
              <w:t>该项目自评总分100分，该项目顺利实施，保障了职工的合法权益，调动了职工的工作积极性。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629" w:hRule="atLeast"/>
        </w:trPr>
        <w:tc>
          <w:tcPr>
            <w:tcW w:w="6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13190" w:type="dxa"/>
            <w:gridSpan w:val="3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lang w:eastAsia="zh-CN"/>
              </w:rPr>
            </w:pPr>
            <w:r>
              <w:rPr>
                <w:rFonts w:hint="eastAsia" w:ascii="宋体" w:hAnsi="宋体" w:eastAsia="宋体" w:cs="宋体"/>
                <w:color w:val="000000"/>
                <w:kern w:val="0"/>
                <w:sz w:val="16"/>
                <w:szCs w:val="16"/>
                <w:lang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634" w:hRule="atLeast"/>
        </w:trPr>
        <w:tc>
          <w:tcPr>
            <w:tcW w:w="6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13190" w:type="dxa"/>
            <w:gridSpan w:val="3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宋体" w:hAnsi="宋体" w:eastAsia="宋体" w:cs="宋体"/>
                <w:color w:val="000000"/>
                <w:kern w:val="0"/>
                <w:sz w:val="16"/>
                <w:szCs w:val="16"/>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285" w:hRule="atLeast"/>
        </w:trPr>
        <w:tc>
          <w:tcPr>
            <w:tcW w:w="7284"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项目负责人：</w:t>
            </w:r>
            <w:r>
              <w:rPr>
                <w:rFonts w:hint="eastAsia" w:ascii="黑体" w:hAnsi="黑体" w:eastAsia="黑体" w:cs="黑体"/>
                <w:i w:val="0"/>
                <w:color w:val="000000"/>
                <w:kern w:val="0"/>
                <w:sz w:val="18"/>
                <w:szCs w:val="18"/>
                <w:u w:val="none"/>
                <w:lang w:val="en-US" w:eastAsia="zh-CN" w:bidi="ar"/>
              </w:rPr>
              <w:t>袁玲</w:t>
            </w:r>
          </w:p>
        </w:tc>
        <w:tc>
          <w:tcPr>
            <w:tcW w:w="6595"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财务负责人：</w:t>
            </w:r>
            <w:r>
              <w:rPr>
                <w:rFonts w:hint="eastAsia" w:ascii="黑体" w:hAnsi="黑体" w:eastAsia="黑体" w:cs="黑体"/>
                <w:i w:val="0"/>
                <w:color w:val="000000"/>
                <w:kern w:val="0"/>
                <w:sz w:val="18"/>
                <w:szCs w:val="18"/>
                <w:u w:val="none"/>
                <w:lang w:val="en-US" w:eastAsia="zh-CN" w:bidi="ar"/>
              </w:rPr>
              <w:t>王洪彬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285" w:hRule="atLeast"/>
        </w:trPr>
        <w:tc>
          <w:tcPr>
            <w:tcW w:w="689" w:type="dxa"/>
            <w:gridSpan w:val="2"/>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048" w:type="dxa"/>
            <w:gridSpan w:val="3"/>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765" w:type="dxa"/>
            <w:gridSpan w:val="3"/>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258"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24" w:type="dxa"/>
            <w:gridSpan w:val="2"/>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674"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24" w:type="dxa"/>
            <w:gridSpan w:val="3"/>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094" w:type="dxa"/>
            <w:gridSpan w:val="3"/>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43" w:type="dxa"/>
            <w:gridSpan w:val="3"/>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690" w:type="dxa"/>
            <w:gridSpan w:val="3"/>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070" w:type="dxa"/>
            <w:gridSpan w:val="2"/>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904" w:hRule="atLeast"/>
        </w:trPr>
        <w:tc>
          <w:tcPr>
            <w:tcW w:w="13879" w:type="dxa"/>
            <w:gridSpan w:val="3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i w:val="0"/>
                <w:color w:val="000000"/>
                <w:sz w:val="30"/>
                <w:szCs w:val="30"/>
                <w:u w:val="none"/>
              </w:rPr>
            </w:pPr>
            <w:r>
              <w:rPr>
                <w:rFonts w:hint="default" w:ascii="黑体" w:hAnsi="宋体" w:eastAsia="黑体" w:cs="黑体"/>
                <w:b/>
                <w:i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721" w:type="dxa"/>
          <w:trHeight w:val="285" w:hRule="atLeast"/>
        </w:trPr>
        <w:tc>
          <w:tcPr>
            <w:tcW w:w="27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11142" w:type="dxa"/>
            <w:gridSpan w:val="2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51080023R000009698970-单位年度考核奖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514" w:hRule="atLeast"/>
        </w:trPr>
        <w:tc>
          <w:tcPr>
            <w:tcW w:w="27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6745"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广元市政务服务和数据局部门</w:t>
            </w:r>
          </w:p>
        </w:tc>
        <w:tc>
          <w:tcPr>
            <w:tcW w:w="1094" w:type="dxa"/>
            <w:gridSpan w:val="3"/>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实施单位 （盖章）</w:t>
            </w:r>
          </w:p>
        </w:tc>
        <w:tc>
          <w:tcPr>
            <w:tcW w:w="330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广元市政务服务和数据局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285" w:hRule="atLeast"/>
        </w:trPr>
        <w:tc>
          <w:tcPr>
            <w:tcW w:w="68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2048"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6745"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4397"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709" w:hRule="atLeast"/>
        </w:trPr>
        <w:tc>
          <w:tcPr>
            <w:tcW w:w="6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04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6745"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严格执行相关政策，保障工资及时、足额发放或社保及时、足额缴纳，预算编制科学合理，减少结余资金。</w:t>
            </w:r>
          </w:p>
        </w:tc>
        <w:tc>
          <w:tcPr>
            <w:tcW w:w="4397"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eastAsia" w:ascii="宋体" w:hAnsi="宋体" w:cs="宋体"/>
                <w:color w:val="000000"/>
                <w:kern w:val="0"/>
                <w:sz w:val="18"/>
                <w:szCs w:val="18"/>
              </w:rPr>
              <w:t>单位年度考核奖及时发放、足额发放。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721" w:type="dxa"/>
          <w:trHeight w:val="694" w:hRule="atLeast"/>
        </w:trPr>
        <w:tc>
          <w:tcPr>
            <w:tcW w:w="6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0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11142" w:type="dxa"/>
            <w:gridSpan w:val="2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r>
              <w:rPr>
                <w:rFonts w:hint="eastAsia" w:ascii="宋体" w:hAnsi="宋体" w:cs="宋体"/>
                <w:color w:val="000000"/>
                <w:kern w:val="0"/>
                <w:sz w:val="18"/>
                <w:szCs w:val="18"/>
              </w:rPr>
              <w:t>严格执行相关政策，及时发放、足额发放单位年度考核奖。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360" w:hRule="atLeast"/>
        </w:trPr>
        <w:tc>
          <w:tcPr>
            <w:tcW w:w="68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20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17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272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10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5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0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345" w:hRule="atLeast"/>
        </w:trPr>
        <w:tc>
          <w:tcPr>
            <w:tcW w:w="6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17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12.01</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18.33</w:t>
            </w:r>
          </w:p>
        </w:tc>
        <w:tc>
          <w:tcPr>
            <w:tcW w:w="272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18.33</w:t>
            </w:r>
          </w:p>
        </w:tc>
        <w:tc>
          <w:tcPr>
            <w:tcW w:w="10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w:t>
            </w:r>
          </w:p>
        </w:tc>
        <w:tc>
          <w:tcPr>
            <w:tcW w:w="207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color w:val="000000"/>
                <w:sz w:val="18"/>
                <w:szCs w:val="18"/>
                <w:u w:val="none"/>
              </w:rPr>
            </w:pPr>
            <w:r>
              <w:rPr>
                <w:rFonts w:hint="default" w:ascii="黑体" w:hAnsi="黑体" w:eastAsia="黑体" w:cs="黑体"/>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r>
              <w:rPr>
                <w:rFonts w:hint="eastAsia" w:ascii="黑体" w:hAnsi="黑体" w:eastAsia="黑体" w:cs="黑体"/>
                <w:i/>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390" w:hRule="atLeast"/>
        </w:trPr>
        <w:tc>
          <w:tcPr>
            <w:tcW w:w="6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17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12.01</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18.33</w:t>
            </w:r>
          </w:p>
        </w:tc>
        <w:tc>
          <w:tcPr>
            <w:tcW w:w="272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18.33</w:t>
            </w:r>
          </w:p>
        </w:tc>
        <w:tc>
          <w:tcPr>
            <w:tcW w:w="10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0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409" w:hRule="atLeast"/>
        </w:trPr>
        <w:tc>
          <w:tcPr>
            <w:tcW w:w="6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17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72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0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360" w:hRule="atLeast"/>
        </w:trPr>
        <w:tc>
          <w:tcPr>
            <w:tcW w:w="6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17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72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0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849" w:hRule="atLeast"/>
        </w:trPr>
        <w:tc>
          <w:tcPr>
            <w:tcW w:w="6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17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272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10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5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0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454" w:hRule="atLeast"/>
        </w:trPr>
        <w:tc>
          <w:tcPr>
            <w:tcW w:w="68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20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17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5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1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52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10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5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0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338" w:hRule="atLeast"/>
        </w:trPr>
        <w:tc>
          <w:tcPr>
            <w:tcW w:w="6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17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发放（缴纳）覆盖率</w:t>
            </w:r>
          </w:p>
        </w:tc>
        <w:tc>
          <w:tcPr>
            <w:tcW w:w="5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2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lang w:val="en-US" w:eastAsia="zh-CN"/>
              </w:rPr>
            </w:pPr>
            <w:r>
              <w:rPr>
                <w:rFonts w:hint="eastAsia" w:ascii="微软雅黑" w:hAnsi="微软雅黑" w:eastAsia="微软雅黑" w:cs="微软雅黑"/>
                <w:i w:val="0"/>
                <w:iCs/>
                <w:color w:val="000000"/>
                <w:sz w:val="16"/>
                <w:szCs w:val="16"/>
                <w:u w:val="none"/>
                <w:lang w:val="en-US" w:eastAsia="zh-CN"/>
              </w:rPr>
              <w:t>100</w:t>
            </w:r>
          </w:p>
        </w:tc>
        <w:tc>
          <w:tcPr>
            <w:tcW w:w="5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60</w:t>
            </w:r>
          </w:p>
        </w:tc>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63</w:t>
            </w:r>
          </w:p>
        </w:tc>
        <w:tc>
          <w:tcPr>
            <w:tcW w:w="20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338" w:hRule="atLeast"/>
        </w:trPr>
        <w:tc>
          <w:tcPr>
            <w:tcW w:w="6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17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足额保障率（参保率）</w:t>
            </w:r>
          </w:p>
        </w:tc>
        <w:tc>
          <w:tcPr>
            <w:tcW w:w="5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2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lang w:val="en-US" w:eastAsia="zh-CN"/>
              </w:rPr>
            </w:pPr>
            <w:r>
              <w:rPr>
                <w:rFonts w:hint="eastAsia" w:ascii="微软雅黑" w:hAnsi="微软雅黑" w:eastAsia="微软雅黑" w:cs="微软雅黑"/>
                <w:i w:val="0"/>
                <w:iCs/>
                <w:color w:val="000000"/>
                <w:sz w:val="16"/>
                <w:szCs w:val="16"/>
                <w:u w:val="none"/>
                <w:lang w:val="en-US" w:eastAsia="zh-CN"/>
              </w:rPr>
              <w:t>100</w:t>
            </w:r>
          </w:p>
        </w:tc>
        <w:tc>
          <w:tcPr>
            <w:tcW w:w="5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w:t>
            </w:r>
          </w:p>
        </w:tc>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30</w:t>
            </w:r>
          </w:p>
        </w:tc>
        <w:tc>
          <w:tcPr>
            <w:tcW w:w="20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285" w:hRule="atLeast"/>
        </w:trPr>
        <w:tc>
          <w:tcPr>
            <w:tcW w:w="10576" w:type="dxa"/>
            <w:gridSpan w:val="2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5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100</w:t>
            </w:r>
          </w:p>
        </w:tc>
        <w:tc>
          <w:tcPr>
            <w:tcW w:w="20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604" w:hRule="atLeast"/>
        </w:trPr>
        <w:tc>
          <w:tcPr>
            <w:tcW w:w="6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13190" w:type="dxa"/>
            <w:gridSpan w:val="3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宋体" w:hAnsi="宋体" w:cs="宋体"/>
                <w:color w:val="000000"/>
                <w:kern w:val="0"/>
                <w:sz w:val="16"/>
                <w:szCs w:val="16"/>
              </w:rPr>
              <w:t>该项目自评总分100分，该项目顺利实施，保障了职工的合法权益，调动了职工的工作积极性。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574" w:hRule="atLeast"/>
        </w:trPr>
        <w:tc>
          <w:tcPr>
            <w:tcW w:w="6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13190" w:type="dxa"/>
            <w:gridSpan w:val="3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宋体" w:hAnsi="宋体" w:eastAsia="宋体" w:cs="宋体"/>
                <w:color w:val="000000"/>
                <w:kern w:val="0"/>
                <w:sz w:val="16"/>
                <w:szCs w:val="16"/>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634" w:hRule="atLeast"/>
        </w:trPr>
        <w:tc>
          <w:tcPr>
            <w:tcW w:w="6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13190" w:type="dxa"/>
            <w:gridSpan w:val="3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宋体" w:hAnsi="宋体" w:eastAsia="宋体" w:cs="宋体"/>
                <w:color w:val="000000"/>
                <w:kern w:val="0"/>
                <w:sz w:val="16"/>
                <w:szCs w:val="16"/>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285" w:hRule="atLeast"/>
        </w:trPr>
        <w:tc>
          <w:tcPr>
            <w:tcW w:w="7284"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项目负责人：</w:t>
            </w:r>
            <w:r>
              <w:rPr>
                <w:rFonts w:hint="eastAsia" w:ascii="黑体" w:hAnsi="黑体" w:eastAsia="黑体" w:cs="黑体"/>
                <w:i w:val="0"/>
                <w:color w:val="000000"/>
                <w:kern w:val="0"/>
                <w:sz w:val="18"/>
                <w:szCs w:val="18"/>
                <w:u w:val="none"/>
                <w:lang w:val="en-US" w:eastAsia="zh-CN" w:bidi="ar"/>
              </w:rPr>
              <w:t>袁玲</w:t>
            </w:r>
          </w:p>
        </w:tc>
        <w:tc>
          <w:tcPr>
            <w:tcW w:w="6595"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财务负责人：</w:t>
            </w:r>
            <w:r>
              <w:rPr>
                <w:rFonts w:hint="eastAsia" w:ascii="黑体" w:hAnsi="黑体" w:eastAsia="黑体" w:cs="黑体"/>
                <w:i w:val="0"/>
                <w:color w:val="000000"/>
                <w:kern w:val="0"/>
                <w:sz w:val="18"/>
                <w:szCs w:val="18"/>
                <w:u w:val="none"/>
                <w:lang w:val="en-US" w:eastAsia="zh-CN" w:bidi="ar"/>
              </w:rPr>
              <w:t>王洪彬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285" w:hRule="atLeast"/>
        </w:trPr>
        <w:tc>
          <w:tcPr>
            <w:tcW w:w="689" w:type="dxa"/>
            <w:gridSpan w:val="2"/>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048" w:type="dxa"/>
            <w:gridSpan w:val="3"/>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765" w:type="dxa"/>
            <w:gridSpan w:val="3"/>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258"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24" w:type="dxa"/>
            <w:gridSpan w:val="2"/>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674"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24" w:type="dxa"/>
            <w:gridSpan w:val="3"/>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094" w:type="dxa"/>
            <w:gridSpan w:val="3"/>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43" w:type="dxa"/>
            <w:gridSpan w:val="3"/>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690" w:type="dxa"/>
            <w:gridSpan w:val="3"/>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070" w:type="dxa"/>
            <w:gridSpan w:val="2"/>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904" w:hRule="atLeast"/>
        </w:trPr>
        <w:tc>
          <w:tcPr>
            <w:tcW w:w="13879" w:type="dxa"/>
            <w:gridSpan w:val="3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i w:val="0"/>
                <w:color w:val="000000"/>
                <w:sz w:val="30"/>
                <w:szCs w:val="30"/>
                <w:u w:val="none"/>
              </w:rPr>
            </w:pPr>
            <w:r>
              <w:rPr>
                <w:rFonts w:hint="default" w:ascii="黑体" w:hAnsi="宋体" w:eastAsia="黑体" w:cs="黑体"/>
                <w:b/>
                <w:i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721" w:type="dxa"/>
          <w:trHeight w:val="285" w:hRule="atLeast"/>
        </w:trPr>
        <w:tc>
          <w:tcPr>
            <w:tcW w:w="27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11142" w:type="dxa"/>
            <w:gridSpan w:val="2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51080024R000010823060-单位缴费（在职人员五险两金）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514" w:hRule="atLeast"/>
        </w:trPr>
        <w:tc>
          <w:tcPr>
            <w:tcW w:w="27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6745"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广元市政务服务和数据局部门</w:t>
            </w:r>
          </w:p>
        </w:tc>
        <w:tc>
          <w:tcPr>
            <w:tcW w:w="1094" w:type="dxa"/>
            <w:gridSpan w:val="3"/>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实施单位 （盖章）</w:t>
            </w:r>
          </w:p>
        </w:tc>
        <w:tc>
          <w:tcPr>
            <w:tcW w:w="330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广元市政务服务和数据局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285" w:hRule="atLeast"/>
        </w:trPr>
        <w:tc>
          <w:tcPr>
            <w:tcW w:w="68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2048"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6745"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4397"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709" w:hRule="atLeast"/>
        </w:trPr>
        <w:tc>
          <w:tcPr>
            <w:tcW w:w="6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04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6745"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严格执行相关政策，保障工资及时、足额发放或社保及时、足额缴纳，预算编制科学合理，减少结余资金。</w:t>
            </w:r>
          </w:p>
        </w:tc>
        <w:tc>
          <w:tcPr>
            <w:tcW w:w="4397"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按月</w:t>
            </w:r>
            <w:r>
              <w:rPr>
                <w:rFonts w:ascii="宋体" w:hAnsi="宋体" w:eastAsia="宋体" w:cs="宋体"/>
                <w:i w:val="0"/>
                <w:color w:val="000000"/>
                <w:kern w:val="0"/>
                <w:sz w:val="18"/>
                <w:szCs w:val="18"/>
                <w:u w:val="none"/>
                <w:lang w:val="en-US" w:eastAsia="zh-CN" w:bidi="ar"/>
              </w:rPr>
              <w:t>及时、足额</w:t>
            </w:r>
            <w:r>
              <w:rPr>
                <w:rFonts w:hint="eastAsia" w:ascii="宋体" w:hAnsi="宋体" w:eastAsia="宋体" w:cs="宋体"/>
                <w:i w:val="0"/>
                <w:color w:val="000000"/>
                <w:kern w:val="0"/>
                <w:sz w:val="18"/>
                <w:szCs w:val="18"/>
                <w:u w:val="none"/>
                <w:lang w:val="en-US" w:eastAsia="zh-CN" w:bidi="ar"/>
              </w:rPr>
              <w:t>缴纳职工的五险两金。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694" w:hRule="atLeast"/>
        </w:trPr>
        <w:tc>
          <w:tcPr>
            <w:tcW w:w="6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0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11142" w:type="dxa"/>
            <w:gridSpan w:val="2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严格执行相关政策，</w:t>
            </w:r>
            <w:r>
              <w:rPr>
                <w:rFonts w:hint="eastAsia" w:ascii="宋体" w:hAnsi="宋体" w:eastAsia="宋体" w:cs="宋体"/>
                <w:i w:val="0"/>
                <w:color w:val="000000"/>
                <w:kern w:val="0"/>
                <w:sz w:val="18"/>
                <w:szCs w:val="18"/>
                <w:u w:val="none"/>
                <w:lang w:val="en-US" w:eastAsia="zh-CN" w:bidi="ar"/>
              </w:rPr>
              <w:t>按月及时缴纳职工的五险两金。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360" w:hRule="atLeast"/>
        </w:trPr>
        <w:tc>
          <w:tcPr>
            <w:tcW w:w="68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20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17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272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10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5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0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345" w:hRule="atLeast"/>
        </w:trPr>
        <w:tc>
          <w:tcPr>
            <w:tcW w:w="6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17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64.95</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73.14</w:t>
            </w:r>
          </w:p>
        </w:tc>
        <w:tc>
          <w:tcPr>
            <w:tcW w:w="272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73.14</w:t>
            </w:r>
          </w:p>
        </w:tc>
        <w:tc>
          <w:tcPr>
            <w:tcW w:w="10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10</w:t>
            </w:r>
          </w:p>
        </w:tc>
        <w:tc>
          <w:tcPr>
            <w:tcW w:w="207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color w:val="000000"/>
                <w:sz w:val="18"/>
                <w:szCs w:val="18"/>
                <w:u w:val="none"/>
              </w:rPr>
            </w:pPr>
            <w:r>
              <w:rPr>
                <w:rFonts w:hint="default" w:ascii="黑体" w:hAnsi="黑体" w:eastAsia="黑体" w:cs="黑体"/>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r>
              <w:rPr>
                <w:rFonts w:hint="eastAsia" w:ascii="黑体" w:hAnsi="黑体" w:eastAsia="黑体" w:cs="黑体"/>
                <w:i/>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390" w:hRule="atLeast"/>
        </w:trPr>
        <w:tc>
          <w:tcPr>
            <w:tcW w:w="6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17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64.95</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73.14</w:t>
            </w:r>
          </w:p>
        </w:tc>
        <w:tc>
          <w:tcPr>
            <w:tcW w:w="272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73.14</w:t>
            </w:r>
          </w:p>
        </w:tc>
        <w:tc>
          <w:tcPr>
            <w:tcW w:w="10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0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409" w:hRule="atLeast"/>
        </w:trPr>
        <w:tc>
          <w:tcPr>
            <w:tcW w:w="6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17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72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0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360" w:hRule="atLeast"/>
        </w:trPr>
        <w:tc>
          <w:tcPr>
            <w:tcW w:w="6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17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72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0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338" w:hRule="atLeast"/>
        </w:trPr>
        <w:tc>
          <w:tcPr>
            <w:tcW w:w="6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17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272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10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5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0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454" w:hRule="atLeast"/>
        </w:trPr>
        <w:tc>
          <w:tcPr>
            <w:tcW w:w="68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20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17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5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1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52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10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5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0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338" w:hRule="atLeast"/>
        </w:trPr>
        <w:tc>
          <w:tcPr>
            <w:tcW w:w="6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17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发放（缴纳）覆盖率</w:t>
            </w:r>
          </w:p>
        </w:tc>
        <w:tc>
          <w:tcPr>
            <w:tcW w:w="5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2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100</w:t>
            </w:r>
          </w:p>
        </w:tc>
        <w:tc>
          <w:tcPr>
            <w:tcW w:w="5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60</w:t>
            </w:r>
          </w:p>
        </w:tc>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60</w:t>
            </w:r>
          </w:p>
        </w:tc>
        <w:tc>
          <w:tcPr>
            <w:tcW w:w="20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338" w:hRule="atLeast"/>
        </w:trPr>
        <w:tc>
          <w:tcPr>
            <w:tcW w:w="6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17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足额保障率（参保率）</w:t>
            </w:r>
          </w:p>
        </w:tc>
        <w:tc>
          <w:tcPr>
            <w:tcW w:w="5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2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100</w:t>
            </w:r>
          </w:p>
        </w:tc>
        <w:tc>
          <w:tcPr>
            <w:tcW w:w="5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w:t>
            </w:r>
          </w:p>
        </w:tc>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30</w:t>
            </w:r>
          </w:p>
        </w:tc>
        <w:tc>
          <w:tcPr>
            <w:tcW w:w="20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285" w:hRule="atLeast"/>
        </w:trPr>
        <w:tc>
          <w:tcPr>
            <w:tcW w:w="10576" w:type="dxa"/>
            <w:gridSpan w:val="2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5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100</w:t>
            </w:r>
          </w:p>
        </w:tc>
        <w:tc>
          <w:tcPr>
            <w:tcW w:w="20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604" w:hRule="atLeast"/>
        </w:trPr>
        <w:tc>
          <w:tcPr>
            <w:tcW w:w="6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13190" w:type="dxa"/>
            <w:gridSpan w:val="3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宋体" w:hAnsi="宋体" w:cs="宋体"/>
                <w:color w:val="000000"/>
                <w:kern w:val="0"/>
                <w:sz w:val="16"/>
                <w:szCs w:val="16"/>
              </w:rPr>
              <w:t>该项目自评总分100分，该项目顺利实施，保障了职工的合法权益，调动了职工的工作积极性。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574" w:hRule="atLeast"/>
        </w:trPr>
        <w:tc>
          <w:tcPr>
            <w:tcW w:w="6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13190" w:type="dxa"/>
            <w:gridSpan w:val="3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宋体" w:hAnsi="宋体" w:eastAsia="宋体" w:cs="宋体"/>
                <w:color w:val="000000"/>
                <w:kern w:val="0"/>
                <w:sz w:val="16"/>
                <w:szCs w:val="16"/>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634" w:hRule="atLeast"/>
        </w:trPr>
        <w:tc>
          <w:tcPr>
            <w:tcW w:w="6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13190" w:type="dxa"/>
            <w:gridSpan w:val="3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宋体" w:hAnsi="宋体" w:eastAsia="宋体" w:cs="宋体"/>
                <w:color w:val="000000"/>
                <w:kern w:val="0"/>
                <w:sz w:val="16"/>
                <w:szCs w:val="16"/>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285" w:hRule="atLeast"/>
        </w:trPr>
        <w:tc>
          <w:tcPr>
            <w:tcW w:w="7284"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项目负责人：</w:t>
            </w:r>
            <w:r>
              <w:rPr>
                <w:rFonts w:hint="eastAsia" w:ascii="黑体" w:hAnsi="黑体" w:eastAsia="黑体" w:cs="黑体"/>
                <w:i w:val="0"/>
                <w:color w:val="000000"/>
                <w:kern w:val="0"/>
                <w:sz w:val="18"/>
                <w:szCs w:val="18"/>
                <w:u w:val="none"/>
                <w:lang w:val="en-US" w:eastAsia="zh-CN" w:bidi="ar"/>
              </w:rPr>
              <w:t>袁玲</w:t>
            </w:r>
          </w:p>
        </w:tc>
        <w:tc>
          <w:tcPr>
            <w:tcW w:w="6595"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财务负责人：</w:t>
            </w:r>
            <w:r>
              <w:rPr>
                <w:rFonts w:hint="eastAsia" w:ascii="黑体" w:hAnsi="黑体" w:eastAsia="黑体" w:cs="黑体"/>
                <w:i w:val="0"/>
                <w:color w:val="000000"/>
                <w:kern w:val="0"/>
                <w:sz w:val="18"/>
                <w:szCs w:val="18"/>
                <w:u w:val="none"/>
                <w:lang w:val="en-US" w:eastAsia="zh-CN" w:bidi="ar"/>
              </w:rPr>
              <w:t>王洪彬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285" w:hRule="atLeast"/>
        </w:trPr>
        <w:tc>
          <w:tcPr>
            <w:tcW w:w="689" w:type="dxa"/>
            <w:gridSpan w:val="2"/>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048" w:type="dxa"/>
            <w:gridSpan w:val="3"/>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765" w:type="dxa"/>
            <w:gridSpan w:val="3"/>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258"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24" w:type="dxa"/>
            <w:gridSpan w:val="2"/>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674"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24" w:type="dxa"/>
            <w:gridSpan w:val="3"/>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094" w:type="dxa"/>
            <w:gridSpan w:val="3"/>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43" w:type="dxa"/>
            <w:gridSpan w:val="3"/>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690" w:type="dxa"/>
            <w:gridSpan w:val="3"/>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070" w:type="dxa"/>
            <w:gridSpan w:val="2"/>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904" w:hRule="atLeast"/>
        </w:trPr>
        <w:tc>
          <w:tcPr>
            <w:tcW w:w="13879" w:type="dxa"/>
            <w:gridSpan w:val="3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i w:val="0"/>
                <w:color w:val="000000"/>
                <w:sz w:val="30"/>
                <w:szCs w:val="30"/>
                <w:u w:val="none"/>
              </w:rPr>
            </w:pPr>
            <w:r>
              <w:rPr>
                <w:rFonts w:hint="default" w:ascii="黑体" w:hAnsi="宋体" w:eastAsia="黑体" w:cs="黑体"/>
                <w:b/>
                <w:i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721" w:type="dxa"/>
          <w:trHeight w:val="285" w:hRule="atLeast"/>
        </w:trPr>
        <w:tc>
          <w:tcPr>
            <w:tcW w:w="27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11142" w:type="dxa"/>
            <w:gridSpan w:val="2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51080024R000010823428-事业人员工资性支出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514" w:hRule="atLeast"/>
        </w:trPr>
        <w:tc>
          <w:tcPr>
            <w:tcW w:w="27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6745"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广元市政务服务和数据局部门</w:t>
            </w:r>
          </w:p>
        </w:tc>
        <w:tc>
          <w:tcPr>
            <w:tcW w:w="1094" w:type="dxa"/>
            <w:gridSpan w:val="3"/>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实施单位 （盖章）</w:t>
            </w:r>
          </w:p>
        </w:tc>
        <w:tc>
          <w:tcPr>
            <w:tcW w:w="330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广元市政务服务和数据局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285" w:hRule="atLeast"/>
        </w:trPr>
        <w:tc>
          <w:tcPr>
            <w:tcW w:w="68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2048"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6745"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4397"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709" w:hRule="atLeast"/>
        </w:trPr>
        <w:tc>
          <w:tcPr>
            <w:tcW w:w="6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04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6745"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严格执行相关政策，保障工资及时、足额发放或社保及时、足额缴纳，预算编制科学合理，减少结余资金</w:t>
            </w:r>
          </w:p>
        </w:tc>
        <w:tc>
          <w:tcPr>
            <w:tcW w:w="4397"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ascii="宋体" w:hAnsi="宋体" w:eastAsia="宋体" w:cs="宋体"/>
                <w:i w:val="0"/>
                <w:color w:val="000000"/>
                <w:kern w:val="0"/>
                <w:sz w:val="18"/>
                <w:szCs w:val="18"/>
                <w:u w:val="none"/>
                <w:lang w:val="en-US" w:eastAsia="zh-CN" w:bidi="ar"/>
              </w:rPr>
              <w:t>严格执行相关政策，保障工资及时、足额发放</w:t>
            </w:r>
            <w:r>
              <w:rPr>
                <w:rFonts w:hint="eastAsia" w:ascii="宋体" w:hAnsi="宋体" w:eastAsia="宋体" w:cs="宋体"/>
                <w:i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694" w:hRule="atLeast"/>
        </w:trPr>
        <w:tc>
          <w:tcPr>
            <w:tcW w:w="6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0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11142" w:type="dxa"/>
            <w:gridSpan w:val="2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按月及时足额发放事业人员的工资。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360" w:hRule="atLeast"/>
        </w:trPr>
        <w:tc>
          <w:tcPr>
            <w:tcW w:w="68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20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17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272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10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5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0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345" w:hRule="atLeast"/>
        </w:trPr>
        <w:tc>
          <w:tcPr>
            <w:tcW w:w="6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17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5.66</w:t>
            </w:r>
          </w:p>
        </w:tc>
        <w:tc>
          <w:tcPr>
            <w:tcW w:w="272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5.66</w:t>
            </w:r>
          </w:p>
        </w:tc>
        <w:tc>
          <w:tcPr>
            <w:tcW w:w="10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10</w:t>
            </w:r>
          </w:p>
        </w:tc>
        <w:tc>
          <w:tcPr>
            <w:tcW w:w="207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color w:val="000000"/>
                <w:sz w:val="18"/>
                <w:szCs w:val="18"/>
                <w:u w:val="none"/>
              </w:rPr>
            </w:pPr>
            <w:r>
              <w:rPr>
                <w:rFonts w:hint="default" w:ascii="黑体" w:hAnsi="黑体" w:eastAsia="黑体" w:cs="黑体"/>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r>
              <w:rPr>
                <w:rFonts w:hint="eastAsia" w:ascii="黑体" w:hAnsi="黑体" w:eastAsia="黑体" w:cs="黑体"/>
                <w:i/>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390" w:hRule="atLeast"/>
        </w:trPr>
        <w:tc>
          <w:tcPr>
            <w:tcW w:w="6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17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5.66</w:t>
            </w:r>
          </w:p>
        </w:tc>
        <w:tc>
          <w:tcPr>
            <w:tcW w:w="272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5.66</w:t>
            </w:r>
          </w:p>
        </w:tc>
        <w:tc>
          <w:tcPr>
            <w:tcW w:w="10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0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409" w:hRule="atLeast"/>
        </w:trPr>
        <w:tc>
          <w:tcPr>
            <w:tcW w:w="6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17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72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0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360" w:hRule="atLeast"/>
        </w:trPr>
        <w:tc>
          <w:tcPr>
            <w:tcW w:w="6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17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72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0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338" w:hRule="atLeast"/>
        </w:trPr>
        <w:tc>
          <w:tcPr>
            <w:tcW w:w="6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17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272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10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5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0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454" w:hRule="atLeast"/>
        </w:trPr>
        <w:tc>
          <w:tcPr>
            <w:tcW w:w="68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20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17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5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1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52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10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5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0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338" w:hRule="atLeast"/>
        </w:trPr>
        <w:tc>
          <w:tcPr>
            <w:tcW w:w="6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17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发放（缴纳）覆盖率</w:t>
            </w:r>
          </w:p>
        </w:tc>
        <w:tc>
          <w:tcPr>
            <w:tcW w:w="5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2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100</w:t>
            </w:r>
          </w:p>
        </w:tc>
        <w:tc>
          <w:tcPr>
            <w:tcW w:w="5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60</w:t>
            </w:r>
          </w:p>
        </w:tc>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60</w:t>
            </w:r>
          </w:p>
        </w:tc>
        <w:tc>
          <w:tcPr>
            <w:tcW w:w="20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338" w:hRule="atLeast"/>
        </w:trPr>
        <w:tc>
          <w:tcPr>
            <w:tcW w:w="6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17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足额保障率（参保率）</w:t>
            </w:r>
          </w:p>
        </w:tc>
        <w:tc>
          <w:tcPr>
            <w:tcW w:w="5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2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100</w:t>
            </w:r>
          </w:p>
        </w:tc>
        <w:tc>
          <w:tcPr>
            <w:tcW w:w="5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w:t>
            </w:r>
          </w:p>
        </w:tc>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30</w:t>
            </w:r>
          </w:p>
        </w:tc>
        <w:tc>
          <w:tcPr>
            <w:tcW w:w="20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285" w:hRule="atLeast"/>
        </w:trPr>
        <w:tc>
          <w:tcPr>
            <w:tcW w:w="10576" w:type="dxa"/>
            <w:gridSpan w:val="2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5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100</w:t>
            </w:r>
          </w:p>
        </w:tc>
        <w:tc>
          <w:tcPr>
            <w:tcW w:w="20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604" w:hRule="atLeast"/>
        </w:trPr>
        <w:tc>
          <w:tcPr>
            <w:tcW w:w="6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13190" w:type="dxa"/>
            <w:gridSpan w:val="3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宋体" w:hAnsi="宋体" w:cs="宋体"/>
                <w:color w:val="000000"/>
                <w:kern w:val="0"/>
                <w:sz w:val="16"/>
                <w:szCs w:val="16"/>
              </w:rPr>
              <w:t>该项目自评总分100分，该项目顺利实施，保障了职工的合法权益，调动了职工的工作积极性。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574" w:hRule="atLeast"/>
        </w:trPr>
        <w:tc>
          <w:tcPr>
            <w:tcW w:w="6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13190" w:type="dxa"/>
            <w:gridSpan w:val="3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宋体" w:hAnsi="宋体" w:eastAsia="宋体" w:cs="宋体"/>
                <w:color w:val="000000"/>
                <w:kern w:val="0"/>
                <w:sz w:val="16"/>
                <w:szCs w:val="16"/>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634" w:hRule="atLeast"/>
        </w:trPr>
        <w:tc>
          <w:tcPr>
            <w:tcW w:w="6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13190" w:type="dxa"/>
            <w:gridSpan w:val="3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宋体" w:hAnsi="宋体" w:eastAsia="宋体" w:cs="宋体"/>
                <w:color w:val="000000"/>
                <w:kern w:val="0"/>
                <w:sz w:val="16"/>
                <w:szCs w:val="16"/>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285" w:hRule="atLeast"/>
        </w:trPr>
        <w:tc>
          <w:tcPr>
            <w:tcW w:w="7284"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项目负责人：</w:t>
            </w:r>
            <w:r>
              <w:rPr>
                <w:rFonts w:hint="eastAsia" w:ascii="黑体" w:hAnsi="黑体" w:eastAsia="黑体" w:cs="黑体"/>
                <w:i w:val="0"/>
                <w:color w:val="000000"/>
                <w:kern w:val="0"/>
                <w:sz w:val="18"/>
                <w:szCs w:val="18"/>
                <w:u w:val="none"/>
                <w:lang w:val="en-US" w:eastAsia="zh-CN" w:bidi="ar"/>
              </w:rPr>
              <w:t>袁玲</w:t>
            </w:r>
          </w:p>
        </w:tc>
        <w:tc>
          <w:tcPr>
            <w:tcW w:w="6595"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财务负责人：</w:t>
            </w:r>
            <w:r>
              <w:rPr>
                <w:rFonts w:hint="eastAsia" w:ascii="黑体" w:hAnsi="黑体" w:eastAsia="黑体" w:cs="黑体"/>
                <w:i w:val="0"/>
                <w:color w:val="000000"/>
                <w:kern w:val="0"/>
                <w:sz w:val="18"/>
                <w:szCs w:val="18"/>
                <w:u w:val="none"/>
                <w:lang w:val="en-US" w:eastAsia="zh-CN" w:bidi="ar"/>
              </w:rPr>
              <w:t>王洪彬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285" w:hRule="atLeast"/>
        </w:trPr>
        <w:tc>
          <w:tcPr>
            <w:tcW w:w="689" w:type="dxa"/>
            <w:gridSpan w:val="2"/>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048" w:type="dxa"/>
            <w:gridSpan w:val="3"/>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765" w:type="dxa"/>
            <w:gridSpan w:val="3"/>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258"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24" w:type="dxa"/>
            <w:gridSpan w:val="2"/>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674"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24" w:type="dxa"/>
            <w:gridSpan w:val="3"/>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094" w:type="dxa"/>
            <w:gridSpan w:val="3"/>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43" w:type="dxa"/>
            <w:gridSpan w:val="3"/>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690" w:type="dxa"/>
            <w:gridSpan w:val="3"/>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070" w:type="dxa"/>
            <w:gridSpan w:val="2"/>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904" w:hRule="atLeast"/>
        </w:trPr>
        <w:tc>
          <w:tcPr>
            <w:tcW w:w="13879" w:type="dxa"/>
            <w:gridSpan w:val="3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i w:val="0"/>
                <w:color w:val="000000"/>
                <w:sz w:val="30"/>
                <w:szCs w:val="30"/>
                <w:u w:val="none"/>
              </w:rPr>
            </w:pPr>
            <w:r>
              <w:rPr>
                <w:rFonts w:hint="default" w:ascii="黑体" w:hAnsi="宋体" w:eastAsia="黑体" w:cs="黑体"/>
                <w:b/>
                <w:i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721" w:type="dxa"/>
          <w:trHeight w:val="285" w:hRule="atLeast"/>
        </w:trPr>
        <w:tc>
          <w:tcPr>
            <w:tcW w:w="27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11142" w:type="dxa"/>
            <w:gridSpan w:val="2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51080024R000010824550-公务员基础绩效奖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514" w:hRule="atLeast"/>
        </w:trPr>
        <w:tc>
          <w:tcPr>
            <w:tcW w:w="27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6745"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广元市政务服务和数据局部门</w:t>
            </w:r>
          </w:p>
        </w:tc>
        <w:tc>
          <w:tcPr>
            <w:tcW w:w="1094" w:type="dxa"/>
            <w:gridSpan w:val="3"/>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实施单位 （盖章）</w:t>
            </w:r>
          </w:p>
        </w:tc>
        <w:tc>
          <w:tcPr>
            <w:tcW w:w="330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广元市政务服务和数据局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285" w:hRule="atLeast"/>
        </w:trPr>
        <w:tc>
          <w:tcPr>
            <w:tcW w:w="68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2048"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6745"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4397"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709" w:hRule="atLeast"/>
        </w:trPr>
        <w:tc>
          <w:tcPr>
            <w:tcW w:w="6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04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6745"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严格执行相关政策，保障工资及时、足额发放或社保及时、足额缴纳，预算编制科学合理，减少结余资金。</w:t>
            </w:r>
          </w:p>
        </w:tc>
        <w:tc>
          <w:tcPr>
            <w:tcW w:w="4397"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ascii="宋体" w:hAnsi="宋体" w:eastAsia="宋体" w:cs="宋体"/>
                <w:i w:val="0"/>
                <w:color w:val="000000"/>
                <w:kern w:val="0"/>
                <w:sz w:val="18"/>
                <w:szCs w:val="18"/>
                <w:u w:val="none"/>
                <w:lang w:val="en-US" w:eastAsia="zh-CN" w:bidi="ar"/>
              </w:rPr>
              <w:t>严格执行相关政策，保障</w:t>
            </w:r>
            <w:r>
              <w:rPr>
                <w:rFonts w:hint="eastAsia" w:ascii="宋体" w:hAnsi="宋体" w:eastAsia="宋体" w:cs="宋体"/>
                <w:i w:val="0"/>
                <w:color w:val="000000"/>
                <w:kern w:val="0"/>
                <w:sz w:val="18"/>
                <w:szCs w:val="18"/>
                <w:u w:val="none"/>
                <w:lang w:val="en-US" w:eastAsia="zh-CN" w:bidi="ar"/>
              </w:rPr>
              <w:t>绩效奖金</w:t>
            </w:r>
            <w:r>
              <w:rPr>
                <w:rFonts w:ascii="宋体" w:hAnsi="宋体" w:eastAsia="宋体" w:cs="宋体"/>
                <w:i w:val="0"/>
                <w:color w:val="000000"/>
                <w:kern w:val="0"/>
                <w:sz w:val="18"/>
                <w:szCs w:val="18"/>
                <w:u w:val="none"/>
                <w:lang w:val="en-US" w:eastAsia="zh-CN" w:bidi="ar"/>
              </w:rPr>
              <w:t>及时、足额发放</w:t>
            </w:r>
            <w:r>
              <w:rPr>
                <w:rFonts w:hint="eastAsia" w:ascii="宋体" w:hAnsi="宋体" w:eastAsia="宋体" w:cs="宋体"/>
                <w:i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694" w:hRule="atLeast"/>
        </w:trPr>
        <w:tc>
          <w:tcPr>
            <w:tcW w:w="6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0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11142" w:type="dxa"/>
            <w:gridSpan w:val="2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严格执行相关政策，保障</w:t>
            </w:r>
            <w:r>
              <w:rPr>
                <w:rFonts w:hint="eastAsia" w:ascii="宋体" w:hAnsi="宋体" w:eastAsia="宋体" w:cs="宋体"/>
                <w:i w:val="0"/>
                <w:color w:val="000000"/>
                <w:kern w:val="0"/>
                <w:sz w:val="18"/>
                <w:szCs w:val="18"/>
                <w:u w:val="none"/>
                <w:lang w:val="en-US" w:eastAsia="zh-CN" w:bidi="ar"/>
              </w:rPr>
              <w:t>绩效奖金</w:t>
            </w:r>
            <w:r>
              <w:rPr>
                <w:rFonts w:ascii="宋体" w:hAnsi="宋体" w:eastAsia="宋体" w:cs="宋体"/>
                <w:i w:val="0"/>
                <w:color w:val="000000"/>
                <w:kern w:val="0"/>
                <w:sz w:val="18"/>
                <w:szCs w:val="18"/>
                <w:u w:val="none"/>
                <w:lang w:val="en-US" w:eastAsia="zh-CN" w:bidi="ar"/>
              </w:rPr>
              <w:t>及时、足额发放</w:t>
            </w:r>
            <w:r>
              <w:rPr>
                <w:rFonts w:hint="eastAsia" w:ascii="宋体" w:hAnsi="宋体" w:eastAsia="宋体" w:cs="宋体"/>
                <w:i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360" w:hRule="atLeast"/>
        </w:trPr>
        <w:tc>
          <w:tcPr>
            <w:tcW w:w="68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20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17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272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10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5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0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345" w:hRule="atLeast"/>
        </w:trPr>
        <w:tc>
          <w:tcPr>
            <w:tcW w:w="6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17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58.70</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60.16</w:t>
            </w:r>
          </w:p>
        </w:tc>
        <w:tc>
          <w:tcPr>
            <w:tcW w:w="272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60.16</w:t>
            </w:r>
          </w:p>
        </w:tc>
        <w:tc>
          <w:tcPr>
            <w:tcW w:w="10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10</w:t>
            </w:r>
          </w:p>
        </w:tc>
        <w:tc>
          <w:tcPr>
            <w:tcW w:w="207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color w:val="000000"/>
                <w:sz w:val="18"/>
                <w:szCs w:val="18"/>
                <w:u w:val="none"/>
              </w:rPr>
            </w:pPr>
            <w:r>
              <w:rPr>
                <w:rFonts w:hint="default" w:ascii="黑体" w:hAnsi="黑体" w:eastAsia="黑体" w:cs="黑体"/>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r>
              <w:rPr>
                <w:rFonts w:hint="eastAsia" w:ascii="黑体" w:hAnsi="黑体" w:eastAsia="黑体" w:cs="黑体"/>
                <w:i/>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390" w:hRule="atLeast"/>
        </w:trPr>
        <w:tc>
          <w:tcPr>
            <w:tcW w:w="6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17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58.70</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60.16</w:t>
            </w:r>
          </w:p>
        </w:tc>
        <w:tc>
          <w:tcPr>
            <w:tcW w:w="272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60.16</w:t>
            </w:r>
          </w:p>
        </w:tc>
        <w:tc>
          <w:tcPr>
            <w:tcW w:w="10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0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409" w:hRule="atLeast"/>
        </w:trPr>
        <w:tc>
          <w:tcPr>
            <w:tcW w:w="6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17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72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0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360" w:hRule="atLeast"/>
        </w:trPr>
        <w:tc>
          <w:tcPr>
            <w:tcW w:w="6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17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72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0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338" w:hRule="atLeast"/>
        </w:trPr>
        <w:tc>
          <w:tcPr>
            <w:tcW w:w="6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17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272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10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5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0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454" w:hRule="atLeast"/>
        </w:trPr>
        <w:tc>
          <w:tcPr>
            <w:tcW w:w="68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20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17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5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1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52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10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5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0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338" w:hRule="atLeast"/>
        </w:trPr>
        <w:tc>
          <w:tcPr>
            <w:tcW w:w="6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17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发放（缴纳）覆盖率</w:t>
            </w:r>
          </w:p>
        </w:tc>
        <w:tc>
          <w:tcPr>
            <w:tcW w:w="5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2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100</w:t>
            </w:r>
          </w:p>
        </w:tc>
        <w:tc>
          <w:tcPr>
            <w:tcW w:w="5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60</w:t>
            </w:r>
          </w:p>
        </w:tc>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60</w:t>
            </w:r>
          </w:p>
        </w:tc>
        <w:tc>
          <w:tcPr>
            <w:tcW w:w="20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338" w:hRule="atLeast"/>
        </w:trPr>
        <w:tc>
          <w:tcPr>
            <w:tcW w:w="6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17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足额保障率（参保率）</w:t>
            </w:r>
          </w:p>
        </w:tc>
        <w:tc>
          <w:tcPr>
            <w:tcW w:w="5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2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100</w:t>
            </w:r>
          </w:p>
        </w:tc>
        <w:tc>
          <w:tcPr>
            <w:tcW w:w="5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w:t>
            </w:r>
          </w:p>
        </w:tc>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30</w:t>
            </w:r>
          </w:p>
        </w:tc>
        <w:tc>
          <w:tcPr>
            <w:tcW w:w="20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285" w:hRule="atLeast"/>
        </w:trPr>
        <w:tc>
          <w:tcPr>
            <w:tcW w:w="10576" w:type="dxa"/>
            <w:gridSpan w:val="2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5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100</w:t>
            </w:r>
          </w:p>
        </w:tc>
        <w:tc>
          <w:tcPr>
            <w:tcW w:w="20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604" w:hRule="atLeast"/>
        </w:trPr>
        <w:tc>
          <w:tcPr>
            <w:tcW w:w="6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13190" w:type="dxa"/>
            <w:gridSpan w:val="3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宋体" w:hAnsi="宋体" w:cs="宋体"/>
                <w:color w:val="000000"/>
                <w:kern w:val="0"/>
                <w:sz w:val="16"/>
                <w:szCs w:val="16"/>
              </w:rPr>
              <w:t>该项目自评总分100分，该项目顺利实施，保障了职工的合法权益，调动了职工的工作积极性。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574" w:hRule="atLeast"/>
        </w:trPr>
        <w:tc>
          <w:tcPr>
            <w:tcW w:w="6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13190" w:type="dxa"/>
            <w:gridSpan w:val="3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宋体" w:hAnsi="宋体" w:eastAsia="宋体" w:cs="宋体"/>
                <w:color w:val="000000"/>
                <w:kern w:val="0"/>
                <w:sz w:val="16"/>
                <w:szCs w:val="16"/>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634" w:hRule="atLeast"/>
        </w:trPr>
        <w:tc>
          <w:tcPr>
            <w:tcW w:w="6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13190" w:type="dxa"/>
            <w:gridSpan w:val="3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宋体" w:hAnsi="宋体" w:eastAsia="宋体" w:cs="宋体"/>
                <w:color w:val="000000"/>
                <w:kern w:val="0"/>
                <w:sz w:val="16"/>
                <w:szCs w:val="16"/>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285" w:hRule="atLeast"/>
        </w:trPr>
        <w:tc>
          <w:tcPr>
            <w:tcW w:w="7284"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项目负责人：</w:t>
            </w:r>
            <w:r>
              <w:rPr>
                <w:rFonts w:hint="eastAsia" w:ascii="黑体" w:hAnsi="黑体" w:eastAsia="黑体" w:cs="黑体"/>
                <w:i w:val="0"/>
                <w:color w:val="000000"/>
                <w:kern w:val="0"/>
                <w:sz w:val="18"/>
                <w:szCs w:val="18"/>
                <w:u w:val="none"/>
                <w:lang w:val="en-US" w:eastAsia="zh-CN" w:bidi="ar"/>
              </w:rPr>
              <w:t>袁玲</w:t>
            </w:r>
          </w:p>
        </w:tc>
        <w:tc>
          <w:tcPr>
            <w:tcW w:w="6595"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财务负责人：</w:t>
            </w:r>
            <w:r>
              <w:rPr>
                <w:rFonts w:hint="eastAsia" w:ascii="黑体" w:hAnsi="黑体" w:eastAsia="黑体" w:cs="黑体"/>
                <w:i w:val="0"/>
                <w:color w:val="000000"/>
                <w:kern w:val="0"/>
                <w:sz w:val="18"/>
                <w:szCs w:val="18"/>
                <w:u w:val="none"/>
                <w:lang w:val="en-US" w:eastAsia="zh-CN" w:bidi="ar"/>
              </w:rPr>
              <w:t>王洪彬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285" w:hRule="atLeast"/>
        </w:trPr>
        <w:tc>
          <w:tcPr>
            <w:tcW w:w="689" w:type="dxa"/>
            <w:gridSpan w:val="2"/>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048" w:type="dxa"/>
            <w:gridSpan w:val="3"/>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765" w:type="dxa"/>
            <w:gridSpan w:val="3"/>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258"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24" w:type="dxa"/>
            <w:gridSpan w:val="2"/>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674"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24" w:type="dxa"/>
            <w:gridSpan w:val="3"/>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094" w:type="dxa"/>
            <w:gridSpan w:val="3"/>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43" w:type="dxa"/>
            <w:gridSpan w:val="3"/>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690" w:type="dxa"/>
            <w:gridSpan w:val="3"/>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070" w:type="dxa"/>
            <w:gridSpan w:val="2"/>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904" w:hRule="atLeast"/>
        </w:trPr>
        <w:tc>
          <w:tcPr>
            <w:tcW w:w="13879" w:type="dxa"/>
            <w:gridSpan w:val="3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i w:val="0"/>
                <w:color w:val="000000"/>
                <w:sz w:val="30"/>
                <w:szCs w:val="30"/>
                <w:u w:val="none"/>
              </w:rPr>
            </w:pPr>
            <w:r>
              <w:rPr>
                <w:rFonts w:hint="default" w:ascii="黑体" w:hAnsi="宋体" w:eastAsia="黑体" w:cs="黑体"/>
                <w:b/>
                <w:i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721" w:type="dxa"/>
          <w:trHeight w:val="285" w:hRule="atLeast"/>
        </w:trPr>
        <w:tc>
          <w:tcPr>
            <w:tcW w:w="27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11142" w:type="dxa"/>
            <w:gridSpan w:val="2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51080024R000010825320-退休人员生活补（助）贴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514" w:hRule="atLeast"/>
        </w:trPr>
        <w:tc>
          <w:tcPr>
            <w:tcW w:w="27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6745"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广元市政务服务和数据局部门</w:t>
            </w:r>
          </w:p>
        </w:tc>
        <w:tc>
          <w:tcPr>
            <w:tcW w:w="1094" w:type="dxa"/>
            <w:gridSpan w:val="3"/>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实施单位 （盖章）</w:t>
            </w:r>
          </w:p>
        </w:tc>
        <w:tc>
          <w:tcPr>
            <w:tcW w:w="330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广元市政务服务和数据局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285" w:hRule="atLeast"/>
        </w:trPr>
        <w:tc>
          <w:tcPr>
            <w:tcW w:w="68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2048"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6745"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4397"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709" w:hRule="atLeast"/>
        </w:trPr>
        <w:tc>
          <w:tcPr>
            <w:tcW w:w="6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04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6745"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严格执行相关政策，保障工资及时、足额发放或社保及时、足额缴纳，预算编制科学合理，减少结余资金。</w:t>
            </w:r>
          </w:p>
        </w:tc>
        <w:tc>
          <w:tcPr>
            <w:tcW w:w="4397"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ascii="宋体" w:hAnsi="宋体" w:eastAsia="宋体" w:cs="宋体"/>
                <w:i w:val="0"/>
                <w:color w:val="000000"/>
                <w:kern w:val="0"/>
                <w:sz w:val="18"/>
                <w:szCs w:val="18"/>
                <w:u w:val="none"/>
                <w:lang w:val="en-US" w:eastAsia="zh-CN" w:bidi="ar"/>
              </w:rPr>
              <w:t>严格执行相关政策，</w:t>
            </w:r>
            <w:r>
              <w:rPr>
                <w:rFonts w:hint="eastAsia" w:ascii="宋体" w:hAnsi="宋体" w:eastAsia="宋体" w:cs="宋体"/>
                <w:i w:val="0"/>
                <w:color w:val="000000"/>
                <w:kern w:val="0"/>
                <w:sz w:val="18"/>
                <w:szCs w:val="18"/>
                <w:u w:val="none"/>
                <w:lang w:val="en-US" w:eastAsia="zh-CN" w:bidi="ar"/>
              </w:rPr>
              <w:t>按月足额发放退休人员生活补助。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694" w:hRule="atLeast"/>
        </w:trPr>
        <w:tc>
          <w:tcPr>
            <w:tcW w:w="6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0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11142" w:type="dxa"/>
            <w:gridSpan w:val="2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严格执行相关政策，</w:t>
            </w:r>
            <w:r>
              <w:rPr>
                <w:rFonts w:hint="eastAsia" w:ascii="宋体" w:hAnsi="宋体" w:eastAsia="宋体" w:cs="宋体"/>
                <w:i w:val="0"/>
                <w:color w:val="000000"/>
                <w:kern w:val="0"/>
                <w:sz w:val="18"/>
                <w:szCs w:val="18"/>
                <w:u w:val="none"/>
                <w:lang w:val="en-US" w:eastAsia="zh-CN" w:bidi="ar"/>
              </w:rPr>
              <w:t>按月足额发放退休人员生活补助。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360" w:hRule="atLeast"/>
        </w:trPr>
        <w:tc>
          <w:tcPr>
            <w:tcW w:w="68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20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17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272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10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5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0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345" w:hRule="atLeast"/>
        </w:trPr>
        <w:tc>
          <w:tcPr>
            <w:tcW w:w="6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17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15.12</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15.12</w:t>
            </w:r>
          </w:p>
        </w:tc>
        <w:tc>
          <w:tcPr>
            <w:tcW w:w="272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15.12</w:t>
            </w:r>
          </w:p>
        </w:tc>
        <w:tc>
          <w:tcPr>
            <w:tcW w:w="10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10</w:t>
            </w:r>
          </w:p>
        </w:tc>
        <w:tc>
          <w:tcPr>
            <w:tcW w:w="207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color w:val="000000"/>
                <w:sz w:val="18"/>
                <w:szCs w:val="18"/>
                <w:u w:val="none"/>
              </w:rPr>
            </w:pPr>
            <w:r>
              <w:rPr>
                <w:rFonts w:hint="default" w:ascii="黑体" w:hAnsi="黑体" w:eastAsia="黑体" w:cs="黑体"/>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r>
              <w:rPr>
                <w:rFonts w:hint="eastAsia" w:ascii="黑体" w:hAnsi="黑体" w:eastAsia="黑体" w:cs="黑体"/>
                <w:i/>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390" w:hRule="atLeast"/>
        </w:trPr>
        <w:tc>
          <w:tcPr>
            <w:tcW w:w="6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17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15.12</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15.12</w:t>
            </w:r>
          </w:p>
        </w:tc>
        <w:tc>
          <w:tcPr>
            <w:tcW w:w="272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15.12</w:t>
            </w:r>
          </w:p>
        </w:tc>
        <w:tc>
          <w:tcPr>
            <w:tcW w:w="10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0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409" w:hRule="atLeast"/>
        </w:trPr>
        <w:tc>
          <w:tcPr>
            <w:tcW w:w="6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17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72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0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360" w:hRule="atLeast"/>
        </w:trPr>
        <w:tc>
          <w:tcPr>
            <w:tcW w:w="6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17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72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0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338" w:hRule="atLeast"/>
        </w:trPr>
        <w:tc>
          <w:tcPr>
            <w:tcW w:w="6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17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272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10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5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0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454" w:hRule="atLeast"/>
        </w:trPr>
        <w:tc>
          <w:tcPr>
            <w:tcW w:w="68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20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17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5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1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52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10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5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0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338" w:hRule="atLeast"/>
        </w:trPr>
        <w:tc>
          <w:tcPr>
            <w:tcW w:w="6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17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发放（缴纳）覆盖率</w:t>
            </w:r>
          </w:p>
        </w:tc>
        <w:tc>
          <w:tcPr>
            <w:tcW w:w="5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2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100</w:t>
            </w:r>
          </w:p>
        </w:tc>
        <w:tc>
          <w:tcPr>
            <w:tcW w:w="5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60</w:t>
            </w:r>
          </w:p>
        </w:tc>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60</w:t>
            </w:r>
          </w:p>
        </w:tc>
        <w:tc>
          <w:tcPr>
            <w:tcW w:w="20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338" w:hRule="atLeast"/>
        </w:trPr>
        <w:tc>
          <w:tcPr>
            <w:tcW w:w="6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17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足额保障率（参保率）</w:t>
            </w:r>
          </w:p>
        </w:tc>
        <w:tc>
          <w:tcPr>
            <w:tcW w:w="5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2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100</w:t>
            </w:r>
          </w:p>
        </w:tc>
        <w:tc>
          <w:tcPr>
            <w:tcW w:w="5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w:t>
            </w:r>
          </w:p>
        </w:tc>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30</w:t>
            </w:r>
          </w:p>
        </w:tc>
        <w:tc>
          <w:tcPr>
            <w:tcW w:w="20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285" w:hRule="atLeast"/>
        </w:trPr>
        <w:tc>
          <w:tcPr>
            <w:tcW w:w="10576" w:type="dxa"/>
            <w:gridSpan w:val="2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5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0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604" w:hRule="atLeast"/>
        </w:trPr>
        <w:tc>
          <w:tcPr>
            <w:tcW w:w="6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13190" w:type="dxa"/>
            <w:gridSpan w:val="3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宋体" w:hAnsi="宋体" w:cs="宋体"/>
                <w:color w:val="000000"/>
                <w:kern w:val="0"/>
                <w:sz w:val="16"/>
                <w:szCs w:val="16"/>
              </w:rPr>
              <w:t>该项目自评总分100分，该项目顺利实施，保障了退休职工的合法权益。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574" w:hRule="atLeast"/>
        </w:trPr>
        <w:tc>
          <w:tcPr>
            <w:tcW w:w="6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13190" w:type="dxa"/>
            <w:gridSpan w:val="3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宋体" w:hAnsi="宋体" w:eastAsia="宋体" w:cs="宋体"/>
                <w:color w:val="000000"/>
                <w:kern w:val="0"/>
                <w:sz w:val="16"/>
                <w:szCs w:val="16"/>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634" w:hRule="atLeast"/>
        </w:trPr>
        <w:tc>
          <w:tcPr>
            <w:tcW w:w="6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13190" w:type="dxa"/>
            <w:gridSpan w:val="3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宋体" w:hAnsi="宋体" w:eastAsia="宋体" w:cs="宋体"/>
                <w:color w:val="000000"/>
                <w:kern w:val="0"/>
                <w:sz w:val="16"/>
                <w:szCs w:val="16"/>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285" w:hRule="atLeast"/>
        </w:trPr>
        <w:tc>
          <w:tcPr>
            <w:tcW w:w="7284"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项目负责人：</w:t>
            </w:r>
            <w:r>
              <w:rPr>
                <w:rFonts w:hint="eastAsia" w:ascii="黑体" w:hAnsi="黑体" w:eastAsia="黑体" w:cs="黑体"/>
                <w:i w:val="0"/>
                <w:color w:val="000000"/>
                <w:kern w:val="0"/>
                <w:sz w:val="18"/>
                <w:szCs w:val="18"/>
                <w:u w:val="none"/>
                <w:lang w:val="en-US" w:eastAsia="zh-CN" w:bidi="ar"/>
              </w:rPr>
              <w:t>袁玲</w:t>
            </w:r>
          </w:p>
        </w:tc>
        <w:tc>
          <w:tcPr>
            <w:tcW w:w="6595"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财务负责人：</w:t>
            </w:r>
            <w:r>
              <w:rPr>
                <w:rFonts w:hint="eastAsia" w:ascii="黑体" w:hAnsi="黑体" w:eastAsia="黑体" w:cs="黑体"/>
                <w:i w:val="0"/>
                <w:color w:val="000000"/>
                <w:kern w:val="0"/>
                <w:sz w:val="18"/>
                <w:szCs w:val="18"/>
                <w:u w:val="none"/>
                <w:lang w:val="en-US" w:eastAsia="zh-CN" w:bidi="ar"/>
              </w:rPr>
              <w:t>王洪彬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285" w:hRule="atLeast"/>
        </w:trPr>
        <w:tc>
          <w:tcPr>
            <w:tcW w:w="689" w:type="dxa"/>
            <w:gridSpan w:val="2"/>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048" w:type="dxa"/>
            <w:gridSpan w:val="3"/>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765" w:type="dxa"/>
            <w:gridSpan w:val="3"/>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258"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24" w:type="dxa"/>
            <w:gridSpan w:val="2"/>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674"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24" w:type="dxa"/>
            <w:gridSpan w:val="3"/>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094" w:type="dxa"/>
            <w:gridSpan w:val="3"/>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43" w:type="dxa"/>
            <w:gridSpan w:val="3"/>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690" w:type="dxa"/>
            <w:gridSpan w:val="3"/>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070" w:type="dxa"/>
            <w:gridSpan w:val="2"/>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904" w:hRule="atLeast"/>
        </w:trPr>
        <w:tc>
          <w:tcPr>
            <w:tcW w:w="13879" w:type="dxa"/>
            <w:gridSpan w:val="3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i w:val="0"/>
                <w:color w:val="000000"/>
                <w:sz w:val="30"/>
                <w:szCs w:val="30"/>
                <w:u w:val="none"/>
              </w:rPr>
            </w:pPr>
            <w:r>
              <w:rPr>
                <w:rFonts w:hint="default" w:ascii="黑体" w:hAnsi="宋体" w:eastAsia="黑体" w:cs="黑体"/>
                <w:b/>
                <w:i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721" w:type="dxa"/>
          <w:trHeight w:val="285" w:hRule="atLeast"/>
        </w:trPr>
        <w:tc>
          <w:tcPr>
            <w:tcW w:w="27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11142" w:type="dxa"/>
            <w:gridSpan w:val="2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51080024R000010828112-行政人员工资性支出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514" w:hRule="atLeast"/>
        </w:trPr>
        <w:tc>
          <w:tcPr>
            <w:tcW w:w="27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6745"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广元市政务服务和数据局部门</w:t>
            </w:r>
          </w:p>
        </w:tc>
        <w:tc>
          <w:tcPr>
            <w:tcW w:w="1094" w:type="dxa"/>
            <w:gridSpan w:val="3"/>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实施单位 （盖章）</w:t>
            </w:r>
          </w:p>
        </w:tc>
        <w:tc>
          <w:tcPr>
            <w:tcW w:w="330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广元市政务服务和数据局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285" w:hRule="atLeast"/>
        </w:trPr>
        <w:tc>
          <w:tcPr>
            <w:tcW w:w="68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2048"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6745"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4397"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709" w:hRule="atLeast"/>
        </w:trPr>
        <w:tc>
          <w:tcPr>
            <w:tcW w:w="6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04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6745"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严格执行相关政策，保障工资及时、足额发放或社保及时、足额缴纳，预算编制科学合理，减少结余资金。</w:t>
            </w:r>
          </w:p>
        </w:tc>
        <w:tc>
          <w:tcPr>
            <w:tcW w:w="4397"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eastAsia" w:ascii="宋体" w:hAnsi="宋体" w:cs="宋体"/>
                <w:color w:val="000000"/>
                <w:kern w:val="0"/>
                <w:sz w:val="18"/>
                <w:szCs w:val="18"/>
              </w:rPr>
              <w:t>严格执行相关政策，保障职工工资及时发放、足额发放。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694" w:hRule="atLeast"/>
        </w:trPr>
        <w:tc>
          <w:tcPr>
            <w:tcW w:w="6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0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11142" w:type="dxa"/>
            <w:gridSpan w:val="2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r>
              <w:rPr>
                <w:rFonts w:hint="eastAsia" w:ascii="宋体" w:hAnsi="宋体" w:cs="宋体"/>
                <w:color w:val="000000"/>
                <w:sz w:val="18"/>
                <w:szCs w:val="18"/>
              </w:rPr>
              <w:t>按月及时、足额发放职工工资。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360" w:hRule="atLeast"/>
        </w:trPr>
        <w:tc>
          <w:tcPr>
            <w:tcW w:w="68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20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17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272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10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5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0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345" w:hRule="atLeast"/>
        </w:trPr>
        <w:tc>
          <w:tcPr>
            <w:tcW w:w="6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17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130.04</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148.39</w:t>
            </w:r>
          </w:p>
        </w:tc>
        <w:tc>
          <w:tcPr>
            <w:tcW w:w="272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147.96</w:t>
            </w:r>
          </w:p>
        </w:tc>
        <w:tc>
          <w:tcPr>
            <w:tcW w:w="10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99.71%</w:t>
            </w:r>
          </w:p>
        </w:tc>
        <w:tc>
          <w:tcPr>
            <w:tcW w:w="5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10</w:t>
            </w:r>
          </w:p>
        </w:tc>
        <w:tc>
          <w:tcPr>
            <w:tcW w:w="207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color w:val="000000"/>
                <w:sz w:val="18"/>
                <w:szCs w:val="18"/>
                <w:u w:val="none"/>
              </w:rPr>
            </w:pPr>
            <w:r>
              <w:rPr>
                <w:rFonts w:hint="default" w:ascii="黑体" w:hAnsi="黑体" w:eastAsia="黑体" w:cs="黑体"/>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r>
              <w:rPr>
                <w:rFonts w:hint="eastAsia" w:ascii="黑体" w:hAnsi="黑体" w:eastAsia="黑体" w:cs="黑体"/>
                <w:i/>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390" w:hRule="atLeast"/>
        </w:trPr>
        <w:tc>
          <w:tcPr>
            <w:tcW w:w="6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17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130.04</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148.39</w:t>
            </w:r>
          </w:p>
        </w:tc>
        <w:tc>
          <w:tcPr>
            <w:tcW w:w="272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147.96</w:t>
            </w:r>
          </w:p>
        </w:tc>
        <w:tc>
          <w:tcPr>
            <w:tcW w:w="10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99.71%</w:t>
            </w:r>
          </w:p>
        </w:tc>
        <w:tc>
          <w:tcPr>
            <w:tcW w:w="5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0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409" w:hRule="atLeast"/>
        </w:trPr>
        <w:tc>
          <w:tcPr>
            <w:tcW w:w="6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17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72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0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360" w:hRule="atLeast"/>
        </w:trPr>
        <w:tc>
          <w:tcPr>
            <w:tcW w:w="6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17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72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0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338" w:hRule="atLeast"/>
        </w:trPr>
        <w:tc>
          <w:tcPr>
            <w:tcW w:w="6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17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272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10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5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0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454" w:hRule="atLeast"/>
        </w:trPr>
        <w:tc>
          <w:tcPr>
            <w:tcW w:w="68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20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17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5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1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52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10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5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0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338" w:hRule="atLeast"/>
        </w:trPr>
        <w:tc>
          <w:tcPr>
            <w:tcW w:w="6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17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发放（缴纳）覆盖率</w:t>
            </w:r>
          </w:p>
        </w:tc>
        <w:tc>
          <w:tcPr>
            <w:tcW w:w="5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2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100</w:t>
            </w:r>
          </w:p>
        </w:tc>
        <w:tc>
          <w:tcPr>
            <w:tcW w:w="5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60</w:t>
            </w:r>
          </w:p>
        </w:tc>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60</w:t>
            </w:r>
          </w:p>
        </w:tc>
        <w:tc>
          <w:tcPr>
            <w:tcW w:w="20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338" w:hRule="atLeast"/>
        </w:trPr>
        <w:tc>
          <w:tcPr>
            <w:tcW w:w="6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17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足额保障率（参保率）</w:t>
            </w:r>
          </w:p>
        </w:tc>
        <w:tc>
          <w:tcPr>
            <w:tcW w:w="5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2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100</w:t>
            </w:r>
          </w:p>
        </w:tc>
        <w:tc>
          <w:tcPr>
            <w:tcW w:w="5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w:t>
            </w:r>
          </w:p>
        </w:tc>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30</w:t>
            </w:r>
          </w:p>
        </w:tc>
        <w:tc>
          <w:tcPr>
            <w:tcW w:w="20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285" w:hRule="atLeast"/>
        </w:trPr>
        <w:tc>
          <w:tcPr>
            <w:tcW w:w="10576" w:type="dxa"/>
            <w:gridSpan w:val="2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5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100</w:t>
            </w:r>
          </w:p>
        </w:tc>
        <w:tc>
          <w:tcPr>
            <w:tcW w:w="20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604" w:hRule="atLeast"/>
        </w:trPr>
        <w:tc>
          <w:tcPr>
            <w:tcW w:w="6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13190" w:type="dxa"/>
            <w:gridSpan w:val="3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宋体" w:hAnsi="宋体" w:cs="宋体"/>
                <w:color w:val="000000"/>
                <w:kern w:val="0"/>
                <w:sz w:val="18"/>
                <w:szCs w:val="18"/>
              </w:rPr>
              <w:t>该项目自评总分100分，该项目顺利实施，保障了职工的合法权益，调动了职工的工作积极性。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574" w:hRule="atLeast"/>
        </w:trPr>
        <w:tc>
          <w:tcPr>
            <w:tcW w:w="6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13190" w:type="dxa"/>
            <w:gridSpan w:val="3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宋体" w:hAnsi="宋体" w:eastAsia="宋体" w:cs="宋体"/>
                <w:color w:val="000000"/>
                <w:kern w:val="0"/>
                <w:sz w:val="16"/>
                <w:szCs w:val="16"/>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634" w:hRule="atLeast"/>
        </w:trPr>
        <w:tc>
          <w:tcPr>
            <w:tcW w:w="6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13190" w:type="dxa"/>
            <w:gridSpan w:val="3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宋体" w:hAnsi="宋体" w:eastAsia="宋体" w:cs="宋体"/>
                <w:color w:val="000000"/>
                <w:kern w:val="0"/>
                <w:sz w:val="16"/>
                <w:szCs w:val="16"/>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285" w:hRule="atLeast"/>
        </w:trPr>
        <w:tc>
          <w:tcPr>
            <w:tcW w:w="7284"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项目负责人：</w:t>
            </w:r>
            <w:r>
              <w:rPr>
                <w:rFonts w:hint="eastAsia" w:ascii="黑体" w:hAnsi="黑体" w:eastAsia="黑体" w:cs="黑体"/>
                <w:i w:val="0"/>
                <w:color w:val="000000"/>
                <w:kern w:val="0"/>
                <w:sz w:val="18"/>
                <w:szCs w:val="18"/>
                <w:u w:val="none"/>
                <w:lang w:val="en-US" w:eastAsia="zh-CN" w:bidi="ar"/>
              </w:rPr>
              <w:t>袁玲</w:t>
            </w:r>
          </w:p>
        </w:tc>
        <w:tc>
          <w:tcPr>
            <w:tcW w:w="6595"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财务负责人：</w:t>
            </w:r>
            <w:r>
              <w:rPr>
                <w:rFonts w:hint="eastAsia" w:ascii="黑体" w:hAnsi="黑体" w:eastAsia="黑体" w:cs="黑体"/>
                <w:i w:val="0"/>
                <w:color w:val="000000"/>
                <w:kern w:val="0"/>
                <w:sz w:val="18"/>
                <w:szCs w:val="18"/>
                <w:u w:val="none"/>
                <w:lang w:val="en-US" w:eastAsia="zh-CN" w:bidi="ar"/>
              </w:rPr>
              <w:t>王洪彬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285" w:hRule="atLeast"/>
        </w:trPr>
        <w:tc>
          <w:tcPr>
            <w:tcW w:w="689" w:type="dxa"/>
            <w:gridSpan w:val="2"/>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048" w:type="dxa"/>
            <w:gridSpan w:val="3"/>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765" w:type="dxa"/>
            <w:gridSpan w:val="3"/>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258"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24" w:type="dxa"/>
            <w:gridSpan w:val="2"/>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674"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24" w:type="dxa"/>
            <w:gridSpan w:val="3"/>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094" w:type="dxa"/>
            <w:gridSpan w:val="3"/>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43" w:type="dxa"/>
            <w:gridSpan w:val="3"/>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690" w:type="dxa"/>
            <w:gridSpan w:val="3"/>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070" w:type="dxa"/>
            <w:gridSpan w:val="2"/>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904" w:hRule="atLeast"/>
        </w:trPr>
        <w:tc>
          <w:tcPr>
            <w:tcW w:w="13879" w:type="dxa"/>
            <w:gridSpan w:val="3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i w:val="0"/>
                <w:color w:val="000000"/>
                <w:sz w:val="30"/>
                <w:szCs w:val="30"/>
                <w:u w:val="none"/>
              </w:rPr>
            </w:pPr>
            <w:r>
              <w:rPr>
                <w:rFonts w:hint="default" w:ascii="黑体" w:hAnsi="宋体" w:eastAsia="黑体" w:cs="黑体"/>
                <w:b/>
                <w:i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721" w:type="dxa"/>
          <w:trHeight w:val="285" w:hRule="atLeast"/>
        </w:trPr>
        <w:tc>
          <w:tcPr>
            <w:tcW w:w="27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11142" w:type="dxa"/>
            <w:gridSpan w:val="2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51080024R000010851755-人员其他支出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514" w:hRule="atLeast"/>
        </w:trPr>
        <w:tc>
          <w:tcPr>
            <w:tcW w:w="27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6745"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广元市政务服务和数据局部门</w:t>
            </w:r>
          </w:p>
        </w:tc>
        <w:tc>
          <w:tcPr>
            <w:tcW w:w="1094" w:type="dxa"/>
            <w:gridSpan w:val="3"/>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实施单位 （盖章）</w:t>
            </w:r>
          </w:p>
        </w:tc>
        <w:tc>
          <w:tcPr>
            <w:tcW w:w="330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广元市政务服务和数据局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285" w:hRule="atLeast"/>
        </w:trPr>
        <w:tc>
          <w:tcPr>
            <w:tcW w:w="68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2048"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6745"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4397"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709" w:hRule="atLeast"/>
        </w:trPr>
        <w:tc>
          <w:tcPr>
            <w:tcW w:w="6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04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6745"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严格执行相关政策，保障工资及时、足额发放或社保及时、足额缴纳，预算编制科学合理，减少结余资金。</w:t>
            </w:r>
          </w:p>
        </w:tc>
        <w:tc>
          <w:tcPr>
            <w:tcW w:w="4397"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eastAsia" w:ascii="宋体" w:hAnsi="宋体" w:cs="宋体"/>
                <w:color w:val="000000"/>
                <w:kern w:val="0"/>
                <w:sz w:val="18"/>
                <w:szCs w:val="18"/>
              </w:rPr>
              <w:t>严格执行相关政策，保障职工工资及时发放、足额发放。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694" w:hRule="atLeast"/>
        </w:trPr>
        <w:tc>
          <w:tcPr>
            <w:tcW w:w="6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0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11142" w:type="dxa"/>
            <w:gridSpan w:val="2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r>
              <w:rPr>
                <w:rFonts w:hint="eastAsia" w:ascii="宋体" w:hAnsi="宋体" w:cs="宋体"/>
                <w:color w:val="000000"/>
                <w:sz w:val="18"/>
                <w:szCs w:val="18"/>
              </w:rPr>
              <w:t>按月及时、足额发放职工工资。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360" w:hRule="atLeast"/>
        </w:trPr>
        <w:tc>
          <w:tcPr>
            <w:tcW w:w="68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20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17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272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10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5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0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345" w:hRule="atLeast"/>
        </w:trPr>
        <w:tc>
          <w:tcPr>
            <w:tcW w:w="6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17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0.43</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0.43</w:t>
            </w:r>
          </w:p>
        </w:tc>
        <w:tc>
          <w:tcPr>
            <w:tcW w:w="272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0.43</w:t>
            </w:r>
          </w:p>
        </w:tc>
        <w:tc>
          <w:tcPr>
            <w:tcW w:w="10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10</w:t>
            </w:r>
          </w:p>
        </w:tc>
        <w:tc>
          <w:tcPr>
            <w:tcW w:w="207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color w:val="000000"/>
                <w:sz w:val="18"/>
                <w:szCs w:val="18"/>
                <w:u w:val="none"/>
              </w:rPr>
            </w:pPr>
            <w:r>
              <w:rPr>
                <w:rFonts w:hint="default" w:ascii="黑体" w:hAnsi="黑体" w:eastAsia="黑体" w:cs="黑体"/>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r>
              <w:rPr>
                <w:rFonts w:hint="eastAsia" w:ascii="黑体" w:hAnsi="黑体" w:eastAsia="黑体" w:cs="黑体"/>
                <w:i/>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390" w:hRule="atLeast"/>
        </w:trPr>
        <w:tc>
          <w:tcPr>
            <w:tcW w:w="6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17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0.43</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0.43</w:t>
            </w:r>
          </w:p>
        </w:tc>
        <w:tc>
          <w:tcPr>
            <w:tcW w:w="272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0.43</w:t>
            </w:r>
          </w:p>
        </w:tc>
        <w:tc>
          <w:tcPr>
            <w:tcW w:w="10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0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409" w:hRule="atLeast"/>
        </w:trPr>
        <w:tc>
          <w:tcPr>
            <w:tcW w:w="6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17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72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0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360" w:hRule="atLeast"/>
        </w:trPr>
        <w:tc>
          <w:tcPr>
            <w:tcW w:w="6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17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72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0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338" w:hRule="atLeast"/>
        </w:trPr>
        <w:tc>
          <w:tcPr>
            <w:tcW w:w="6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17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272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10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5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0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454" w:hRule="atLeast"/>
        </w:trPr>
        <w:tc>
          <w:tcPr>
            <w:tcW w:w="68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20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17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5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1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52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10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5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0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338" w:hRule="atLeast"/>
        </w:trPr>
        <w:tc>
          <w:tcPr>
            <w:tcW w:w="6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17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发放（缴纳）覆盖率</w:t>
            </w:r>
          </w:p>
        </w:tc>
        <w:tc>
          <w:tcPr>
            <w:tcW w:w="5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2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100</w:t>
            </w:r>
          </w:p>
        </w:tc>
        <w:tc>
          <w:tcPr>
            <w:tcW w:w="5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60</w:t>
            </w:r>
          </w:p>
        </w:tc>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60</w:t>
            </w:r>
          </w:p>
        </w:tc>
        <w:tc>
          <w:tcPr>
            <w:tcW w:w="20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338" w:hRule="atLeast"/>
        </w:trPr>
        <w:tc>
          <w:tcPr>
            <w:tcW w:w="6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17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足额保障率（参保率）</w:t>
            </w:r>
          </w:p>
        </w:tc>
        <w:tc>
          <w:tcPr>
            <w:tcW w:w="5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2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100</w:t>
            </w:r>
          </w:p>
        </w:tc>
        <w:tc>
          <w:tcPr>
            <w:tcW w:w="5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w:t>
            </w:r>
          </w:p>
        </w:tc>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30</w:t>
            </w:r>
          </w:p>
        </w:tc>
        <w:tc>
          <w:tcPr>
            <w:tcW w:w="20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285" w:hRule="atLeast"/>
        </w:trPr>
        <w:tc>
          <w:tcPr>
            <w:tcW w:w="10576" w:type="dxa"/>
            <w:gridSpan w:val="2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5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100</w:t>
            </w:r>
          </w:p>
        </w:tc>
        <w:tc>
          <w:tcPr>
            <w:tcW w:w="20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604" w:hRule="atLeast"/>
        </w:trPr>
        <w:tc>
          <w:tcPr>
            <w:tcW w:w="6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13190" w:type="dxa"/>
            <w:gridSpan w:val="3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宋体" w:hAnsi="宋体" w:cs="宋体"/>
                <w:color w:val="000000"/>
                <w:kern w:val="0"/>
                <w:sz w:val="18"/>
                <w:szCs w:val="18"/>
              </w:rPr>
              <w:t>该项目自评总分100分，该项目顺利实施，保障了职工的合法权益，调动了职工的工作积极性。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574" w:hRule="atLeast"/>
        </w:trPr>
        <w:tc>
          <w:tcPr>
            <w:tcW w:w="6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13190" w:type="dxa"/>
            <w:gridSpan w:val="3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宋体" w:hAnsi="宋体" w:eastAsia="宋体" w:cs="宋体"/>
                <w:color w:val="000000"/>
                <w:kern w:val="0"/>
                <w:sz w:val="16"/>
                <w:szCs w:val="16"/>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634" w:hRule="atLeast"/>
        </w:trPr>
        <w:tc>
          <w:tcPr>
            <w:tcW w:w="6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13190" w:type="dxa"/>
            <w:gridSpan w:val="3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宋体" w:hAnsi="宋体" w:eastAsia="宋体" w:cs="宋体"/>
                <w:color w:val="000000"/>
                <w:kern w:val="0"/>
                <w:sz w:val="16"/>
                <w:szCs w:val="16"/>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285" w:hRule="atLeast"/>
        </w:trPr>
        <w:tc>
          <w:tcPr>
            <w:tcW w:w="7284"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项目负责人：</w:t>
            </w:r>
            <w:r>
              <w:rPr>
                <w:rFonts w:hint="eastAsia" w:ascii="黑体" w:hAnsi="黑体" w:eastAsia="黑体" w:cs="黑体"/>
                <w:i w:val="0"/>
                <w:color w:val="000000"/>
                <w:kern w:val="0"/>
                <w:sz w:val="18"/>
                <w:szCs w:val="18"/>
                <w:u w:val="none"/>
                <w:lang w:val="en-US" w:eastAsia="zh-CN" w:bidi="ar"/>
              </w:rPr>
              <w:t>袁玲</w:t>
            </w:r>
          </w:p>
        </w:tc>
        <w:tc>
          <w:tcPr>
            <w:tcW w:w="6595"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财务负责人：</w:t>
            </w:r>
            <w:r>
              <w:rPr>
                <w:rFonts w:hint="eastAsia" w:ascii="黑体" w:hAnsi="黑体" w:eastAsia="黑体" w:cs="黑体"/>
                <w:i w:val="0"/>
                <w:color w:val="000000"/>
                <w:kern w:val="0"/>
                <w:sz w:val="18"/>
                <w:szCs w:val="18"/>
                <w:u w:val="none"/>
                <w:lang w:val="en-US" w:eastAsia="zh-CN" w:bidi="ar"/>
              </w:rPr>
              <w:t>王洪彬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904" w:hRule="atLeast"/>
        </w:trPr>
        <w:tc>
          <w:tcPr>
            <w:tcW w:w="13879" w:type="dxa"/>
            <w:gridSpan w:val="3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i w:val="0"/>
                <w:color w:val="000000"/>
                <w:sz w:val="30"/>
                <w:szCs w:val="30"/>
                <w:u w:val="none"/>
              </w:rPr>
            </w:pPr>
            <w:r>
              <w:rPr>
                <w:rFonts w:hint="default" w:ascii="黑体" w:hAnsi="宋体" w:eastAsia="黑体" w:cs="黑体"/>
                <w:b/>
                <w:i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721" w:type="dxa"/>
          <w:trHeight w:val="285" w:hRule="atLeast"/>
        </w:trPr>
        <w:tc>
          <w:tcPr>
            <w:tcW w:w="274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11134" w:type="dxa"/>
            <w:gridSpan w:val="2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51000021Y000000011490-日常公用经费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514" w:hRule="atLeast"/>
        </w:trPr>
        <w:tc>
          <w:tcPr>
            <w:tcW w:w="274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6765"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广元市政务服务和数据局部门</w:t>
            </w:r>
          </w:p>
        </w:tc>
        <w:tc>
          <w:tcPr>
            <w:tcW w:w="1095" w:type="dxa"/>
            <w:gridSpan w:val="3"/>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实施单位 （盖章）</w:t>
            </w:r>
          </w:p>
        </w:tc>
        <w:tc>
          <w:tcPr>
            <w:tcW w:w="327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广元市政务服务和数据局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285" w:hRule="atLeast"/>
        </w:trPr>
        <w:tc>
          <w:tcPr>
            <w:tcW w:w="69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205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6765"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436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709" w:hRule="atLeast"/>
        </w:trPr>
        <w:tc>
          <w:tcPr>
            <w:tcW w:w="69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05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6765"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提高预算编制质量，严格执行预算，保障单位日常运转</w:t>
            </w:r>
            <w:r>
              <w:rPr>
                <w:rFonts w:hint="eastAsia" w:ascii="宋体" w:hAnsi="宋体" w:eastAsia="宋体" w:cs="宋体"/>
                <w:i w:val="0"/>
                <w:color w:val="000000"/>
                <w:kern w:val="0"/>
                <w:sz w:val="18"/>
                <w:szCs w:val="18"/>
                <w:u w:val="none"/>
                <w:lang w:val="en-US" w:eastAsia="zh-CN" w:bidi="ar"/>
              </w:rPr>
              <w:t>。</w:t>
            </w:r>
          </w:p>
        </w:tc>
        <w:tc>
          <w:tcPr>
            <w:tcW w:w="436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ascii="宋体" w:hAnsi="宋体" w:eastAsia="宋体" w:cs="宋体"/>
                <w:i w:val="0"/>
                <w:color w:val="000000"/>
                <w:kern w:val="0"/>
                <w:sz w:val="18"/>
                <w:szCs w:val="18"/>
                <w:u w:val="none"/>
                <w:lang w:val="en-US" w:eastAsia="zh-CN" w:bidi="ar"/>
              </w:rPr>
              <w:t>提高预算编制质量，严格执行预算，保障单位日常运转</w:t>
            </w:r>
            <w:r>
              <w:rPr>
                <w:rFonts w:hint="eastAsia" w:ascii="宋体" w:hAnsi="宋体" w:eastAsia="宋体" w:cs="宋体"/>
                <w:i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694" w:hRule="atLeast"/>
        </w:trPr>
        <w:tc>
          <w:tcPr>
            <w:tcW w:w="69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0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11134" w:type="dxa"/>
            <w:gridSpan w:val="2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提高预算编制质量，严格执行预算，保障单位日常运转</w:t>
            </w:r>
            <w:r>
              <w:rPr>
                <w:rFonts w:hint="eastAsia" w:ascii="宋体" w:hAnsi="宋体" w:eastAsia="宋体" w:cs="宋体"/>
                <w:i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360" w:hRule="atLeast"/>
        </w:trPr>
        <w:tc>
          <w:tcPr>
            <w:tcW w:w="69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20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17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273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10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5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2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345" w:hRule="atLeast"/>
        </w:trPr>
        <w:tc>
          <w:tcPr>
            <w:tcW w:w="69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17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0.17</w:t>
            </w: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0.17</w:t>
            </w:r>
          </w:p>
        </w:tc>
        <w:tc>
          <w:tcPr>
            <w:tcW w:w="273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5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w:t>
            </w:r>
          </w:p>
        </w:tc>
        <w:tc>
          <w:tcPr>
            <w:tcW w:w="225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color w:val="000000"/>
                <w:sz w:val="18"/>
                <w:szCs w:val="18"/>
                <w:u w:val="none"/>
              </w:rPr>
            </w:pPr>
            <w:r>
              <w:rPr>
                <w:rFonts w:hint="default" w:ascii="黑体" w:hAnsi="黑体" w:eastAsia="黑体" w:cs="黑体"/>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r>
              <w:rPr>
                <w:rFonts w:hint="eastAsia" w:ascii="黑体" w:hAnsi="黑体" w:eastAsia="黑体" w:cs="黑体"/>
                <w:i/>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390" w:hRule="atLeast"/>
        </w:trPr>
        <w:tc>
          <w:tcPr>
            <w:tcW w:w="69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17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0.17</w:t>
            </w: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0.17</w:t>
            </w:r>
          </w:p>
        </w:tc>
        <w:tc>
          <w:tcPr>
            <w:tcW w:w="273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25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409" w:hRule="atLeast"/>
        </w:trPr>
        <w:tc>
          <w:tcPr>
            <w:tcW w:w="69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17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73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25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360" w:hRule="atLeast"/>
        </w:trPr>
        <w:tc>
          <w:tcPr>
            <w:tcW w:w="69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17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73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25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338" w:hRule="atLeast"/>
        </w:trPr>
        <w:tc>
          <w:tcPr>
            <w:tcW w:w="69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17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273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10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25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454" w:hRule="atLeast"/>
        </w:trPr>
        <w:tc>
          <w:tcPr>
            <w:tcW w:w="69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20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17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5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16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5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10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5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2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338" w:hRule="atLeast"/>
        </w:trPr>
        <w:tc>
          <w:tcPr>
            <w:tcW w:w="69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5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17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科目调整次数</w:t>
            </w:r>
          </w:p>
        </w:tc>
        <w:tc>
          <w:tcPr>
            <w:tcW w:w="5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5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次</w:t>
            </w:r>
          </w:p>
        </w:tc>
        <w:tc>
          <w:tcPr>
            <w:tcW w:w="10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5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20</w:t>
            </w:r>
          </w:p>
        </w:tc>
        <w:tc>
          <w:tcPr>
            <w:tcW w:w="22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679" w:hRule="atLeast"/>
        </w:trPr>
        <w:tc>
          <w:tcPr>
            <w:tcW w:w="69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5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7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质量指标</w:t>
            </w: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预算编制准确率（计算方法为：∣（执行数-预算数）/预算数∣）</w:t>
            </w:r>
          </w:p>
        </w:tc>
        <w:tc>
          <w:tcPr>
            <w:tcW w:w="5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5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w:t>
            </w:r>
          </w:p>
        </w:tc>
        <w:tc>
          <w:tcPr>
            <w:tcW w:w="5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30</w:t>
            </w:r>
          </w:p>
        </w:tc>
        <w:tc>
          <w:tcPr>
            <w:tcW w:w="22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904" w:hRule="atLeast"/>
        </w:trPr>
        <w:tc>
          <w:tcPr>
            <w:tcW w:w="69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5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17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经济效益指标</w:t>
            </w: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“三公经费”控制率[计算方法为：（三公经费实际支出数/预算安排数]×100%）</w:t>
            </w:r>
          </w:p>
        </w:tc>
        <w:tc>
          <w:tcPr>
            <w:tcW w:w="5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5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20</w:t>
            </w:r>
          </w:p>
        </w:tc>
        <w:tc>
          <w:tcPr>
            <w:tcW w:w="22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338" w:hRule="atLeast"/>
        </w:trPr>
        <w:tc>
          <w:tcPr>
            <w:tcW w:w="69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5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7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运转保障率</w:t>
            </w:r>
          </w:p>
        </w:tc>
        <w:tc>
          <w:tcPr>
            <w:tcW w:w="5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5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20</w:t>
            </w:r>
          </w:p>
        </w:tc>
        <w:tc>
          <w:tcPr>
            <w:tcW w:w="22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285" w:hRule="atLeast"/>
        </w:trPr>
        <w:tc>
          <w:tcPr>
            <w:tcW w:w="10605" w:type="dxa"/>
            <w:gridSpan w:val="2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100</w:t>
            </w:r>
          </w:p>
        </w:tc>
        <w:tc>
          <w:tcPr>
            <w:tcW w:w="22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604" w:hRule="atLeast"/>
        </w:trPr>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13189" w:type="dxa"/>
            <w:gridSpan w:val="2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宋体" w:hAnsi="宋体" w:cs="宋体"/>
                <w:color w:val="000000"/>
                <w:kern w:val="0"/>
                <w:sz w:val="16"/>
                <w:szCs w:val="16"/>
              </w:rPr>
              <w:t>该项目自评总分100分，该项目顺利实施，保障了单位的日常运转。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574" w:hRule="atLeast"/>
        </w:trPr>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13189" w:type="dxa"/>
            <w:gridSpan w:val="2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微软雅黑" w:hAnsi="微软雅黑" w:eastAsia="微软雅黑" w:cs="宋体"/>
                <w:iCs/>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634" w:hRule="atLeast"/>
        </w:trPr>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13189" w:type="dxa"/>
            <w:gridSpan w:val="2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微软雅黑" w:hAnsi="微软雅黑" w:eastAsia="微软雅黑" w:cs="宋体"/>
                <w:iCs/>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285" w:hRule="atLeast"/>
        </w:trPr>
        <w:tc>
          <w:tcPr>
            <w:tcW w:w="7305"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项目负责人：</w:t>
            </w:r>
            <w:r>
              <w:rPr>
                <w:rFonts w:hint="eastAsia" w:ascii="黑体" w:hAnsi="黑体" w:eastAsia="黑体" w:cs="黑体"/>
                <w:i w:val="0"/>
                <w:color w:val="000000"/>
                <w:kern w:val="0"/>
                <w:sz w:val="18"/>
                <w:szCs w:val="18"/>
                <w:u w:val="none"/>
                <w:lang w:val="en-US" w:eastAsia="zh-CN" w:bidi="ar"/>
              </w:rPr>
              <w:t>袁玲</w:t>
            </w:r>
          </w:p>
        </w:tc>
        <w:tc>
          <w:tcPr>
            <w:tcW w:w="6574" w:type="dxa"/>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财务负责人：</w:t>
            </w:r>
            <w:r>
              <w:rPr>
                <w:rFonts w:hint="eastAsia" w:ascii="黑体" w:hAnsi="黑体" w:eastAsia="黑体" w:cs="黑体"/>
                <w:i w:val="0"/>
                <w:color w:val="000000"/>
                <w:kern w:val="0"/>
                <w:sz w:val="18"/>
                <w:szCs w:val="18"/>
                <w:u w:val="none"/>
                <w:lang w:val="en-US" w:eastAsia="zh-CN" w:bidi="ar"/>
              </w:rPr>
              <w:t>王洪彬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285" w:hRule="atLeast"/>
        </w:trPr>
        <w:tc>
          <w:tcPr>
            <w:tcW w:w="690" w:type="dxa"/>
            <w:gridSpan w:val="3"/>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055" w:type="dxa"/>
            <w:gridSpan w:val="3"/>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770" w:type="dxa"/>
            <w:gridSpan w:val="3"/>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265"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25" w:type="dxa"/>
            <w:gridSpan w:val="2"/>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680"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25" w:type="dxa"/>
            <w:gridSpan w:val="3"/>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095" w:type="dxa"/>
            <w:gridSpan w:val="3"/>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10"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14" w:type="dxa"/>
            <w:gridSpan w:val="3"/>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250" w:type="dxa"/>
            <w:gridSpan w:val="3"/>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904" w:hRule="atLeast"/>
        </w:trPr>
        <w:tc>
          <w:tcPr>
            <w:tcW w:w="13879" w:type="dxa"/>
            <w:gridSpan w:val="3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i w:val="0"/>
                <w:color w:val="000000"/>
                <w:sz w:val="30"/>
                <w:szCs w:val="30"/>
                <w:u w:val="none"/>
              </w:rPr>
            </w:pPr>
            <w:r>
              <w:rPr>
                <w:rFonts w:hint="default" w:ascii="黑体" w:hAnsi="宋体" w:eastAsia="黑体" w:cs="黑体"/>
                <w:b/>
                <w:i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721" w:type="dxa"/>
          <w:trHeight w:val="285" w:hRule="atLeast"/>
        </w:trPr>
        <w:tc>
          <w:tcPr>
            <w:tcW w:w="274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11134" w:type="dxa"/>
            <w:gridSpan w:val="2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51080021Y000000176770-其他公用经费（福利、工会、公车补贴、党建、退休活动）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514" w:hRule="atLeast"/>
        </w:trPr>
        <w:tc>
          <w:tcPr>
            <w:tcW w:w="274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6765"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广元市政务服务和数据局部门</w:t>
            </w:r>
          </w:p>
        </w:tc>
        <w:tc>
          <w:tcPr>
            <w:tcW w:w="1095" w:type="dxa"/>
            <w:gridSpan w:val="3"/>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实施单位 （盖章）</w:t>
            </w:r>
          </w:p>
        </w:tc>
        <w:tc>
          <w:tcPr>
            <w:tcW w:w="327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广元市政务服务和数据局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285" w:hRule="atLeast"/>
        </w:trPr>
        <w:tc>
          <w:tcPr>
            <w:tcW w:w="69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205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6765"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436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709" w:hRule="atLeast"/>
        </w:trPr>
        <w:tc>
          <w:tcPr>
            <w:tcW w:w="69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05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6765"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color w:val="000000"/>
                <w:sz w:val="18"/>
                <w:szCs w:val="18"/>
                <w:u w:val="none"/>
                <w:lang w:val="en-US"/>
              </w:rPr>
            </w:pPr>
            <w:r>
              <w:rPr>
                <w:rFonts w:ascii="宋体" w:hAnsi="宋体" w:eastAsia="宋体" w:cs="宋体"/>
                <w:i w:val="0"/>
                <w:color w:val="000000"/>
                <w:kern w:val="0"/>
                <w:sz w:val="18"/>
                <w:szCs w:val="18"/>
                <w:u w:val="none"/>
                <w:lang w:val="en-US" w:eastAsia="zh-CN" w:bidi="ar"/>
              </w:rPr>
              <w:t>提高预算编制质量，严格执行预算，保障单位日常运转</w:t>
            </w:r>
            <w:r>
              <w:rPr>
                <w:rFonts w:hint="eastAsia" w:ascii="宋体" w:hAnsi="宋体" w:eastAsia="宋体" w:cs="宋体"/>
                <w:i w:val="0"/>
                <w:color w:val="000000"/>
                <w:kern w:val="0"/>
                <w:sz w:val="18"/>
                <w:szCs w:val="18"/>
                <w:u w:val="none"/>
                <w:lang w:val="en-US" w:eastAsia="zh-CN" w:bidi="ar"/>
              </w:rPr>
              <w:t>。</w:t>
            </w:r>
          </w:p>
        </w:tc>
        <w:tc>
          <w:tcPr>
            <w:tcW w:w="436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ascii="宋体" w:hAnsi="宋体" w:eastAsia="宋体" w:cs="宋体"/>
                <w:i w:val="0"/>
                <w:color w:val="000000"/>
                <w:kern w:val="0"/>
                <w:sz w:val="18"/>
                <w:szCs w:val="18"/>
                <w:u w:val="none"/>
                <w:lang w:val="en-US" w:eastAsia="zh-CN" w:bidi="ar"/>
              </w:rPr>
              <w:t>提高预算编制质量，严格执行预算，保障单位日常运转</w:t>
            </w:r>
            <w:r>
              <w:rPr>
                <w:rFonts w:hint="eastAsia" w:ascii="宋体" w:hAnsi="宋体" w:eastAsia="宋体" w:cs="宋体"/>
                <w:i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694" w:hRule="atLeast"/>
        </w:trPr>
        <w:tc>
          <w:tcPr>
            <w:tcW w:w="69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0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11134" w:type="dxa"/>
            <w:gridSpan w:val="2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提高预算编制质量，严格执行预算，保障单位日常运转</w:t>
            </w:r>
            <w:r>
              <w:rPr>
                <w:rFonts w:hint="eastAsia" w:ascii="宋体" w:hAnsi="宋体" w:eastAsia="宋体" w:cs="宋体"/>
                <w:i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360" w:hRule="atLeast"/>
        </w:trPr>
        <w:tc>
          <w:tcPr>
            <w:tcW w:w="69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20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17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273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10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5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2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345" w:hRule="atLeast"/>
        </w:trPr>
        <w:tc>
          <w:tcPr>
            <w:tcW w:w="69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17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0.06</w:t>
            </w:r>
          </w:p>
        </w:tc>
        <w:tc>
          <w:tcPr>
            <w:tcW w:w="273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0.06</w:t>
            </w:r>
          </w:p>
        </w:tc>
        <w:tc>
          <w:tcPr>
            <w:tcW w:w="10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5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w:t>
            </w:r>
          </w:p>
        </w:tc>
        <w:tc>
          <w:tcPr>
            <w:tcW w:w="225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color w:val="000000"/>
                <w:sz w:val="18"/>
                <w:szCs w:val="18"/>
                <w:u w:val="none"/>
              </w:rPr>
            </w:pPr>
            <w:r>
              <w:rPr>
                <w:rFonts w:hint="default" w:ascii="黑体" w:hAnsi="黑体" w:eastAsia="黑体" w:cs="黑体"/>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r>
              <w:rPr>
                <w:rFonts w:hint="eastAsia" w:ascii="黑体" w:hAnsi="黑体" w:eastAsia="黑体" w:cs="黑体"/>
                <w:i/>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390" w:hRule="atLeast"/>
        </w:trPr>
        <w:tc>
          <w:tcPr>
            <w:tcW w:w="69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17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0.06</w:t>
            </w:r>
          </w:p>
        </w:tc>
        <w:tc>
          <w:tcPr>
            <w:tcW w:w="273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0.06</w:t>
            </w:r>
          </w:p>
        </w:tc>
        <w:tc>
          <w:tcPr>
            <w:tcW w:w="10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25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409" w:hRule="atLeast"/>
        </w:trPr>
        <w:tc>
          <w:tcPr>
            <w:tcW w:w="69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17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73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25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360" w:hRule="atLeast"/>
        </w:trPr>
        <w:tc>
          <w:tcPr>
            <w:tcW w:w="69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17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73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25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338" w:hRule="atLeast"/>
        </w:trPr>
        <w:tc>
          <w:tcPr>
            <w:tcW w:w="69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17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273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10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25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454" w:hRule="atLeast"/>
        </w:trPr>
        <w:tc>
          <w:tcPr>
            <w:tcW w:w="69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20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17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5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16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5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10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5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2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338" w:hRule="atLeast"/>
        </w:trPr>
        <w:tc>
          <w:tcPr>
            <w:tcW w:w="69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5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17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科目调整次数</w:t>
            </w:r>
          </w:p>
        </w:tc>
        <w:tc>
          <w:tcPr>
            <w:tcW w:w="5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5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次</w:t>
            </w:r>
          </w:p>
        </w:tc>
        <w:tc>
          <w:tcPr>
            <w:tcW w:w="10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5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20</w:t>
            </w:r>
          </w:p>
        </w:tc>
        <w:tc>
          <w:tcPr>
            <w:tcW w:w="22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679" w:hRule="atLeast"/>
        </w:trPr>
        <w:tc>
          <w:tcPr>
            <w:tcW w:w="69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5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7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质量指标</w:t>
            </w: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预算编制准确率（计算方法为：∣（执行数-预算数）/预算数∣）</w:t>
            </w:r>
          </w:p>
        </w:tc>
        <w:tc>
          <w:tcPr>
            <w:tcW w:w="5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5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w:t>
            </w:r>
          </w:p>
        </w:tc>
        <w:tc>
          <w:tcPr>
            <w:tcW w:w="5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30</w:t>
            </w:r>
          </w:p>
        </w:tc>
        <w:tc>
          <w:tcPr>
            <w:tcW w:w="22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904" w:hRule="atLeast"/>
        </w:trPr>
        <w:tc>
          <w:tcPr>
            <w:tcW w:w="69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5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17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经济效益指标</w:t>
            </w: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“三公经费”控制率[计算方法为：（三公经费实际支出数/预算安排数]×100%）</w:t>
            </w:r>
          </w:p>
        </w:tc>
        <w:tc>
          <w:tcPr>
            <w:tcW w:w="5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5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20</w:t>
            </w:r>
          </w:p>
        </w:tc>
        <w:tc>
          <w:tcPr>
            <w:tcW w:w="22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338" w:hRule="atLeast"/>
        </w:trPr>
        <w:tc>
          <w:tcPr>
            <w:tcW w:w="69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5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7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运转保障率</w:t>
            </w:r>
          </w:p>
        </w:tc>
        <w:tc>
          <w:tcPr>
            <w:tcW w:w="5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5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20</w:t>
            </w:r>
          </w:p>
        </w:tc>
        <w:tc>
          <w:tcPr>
            <w:tcW w:w="22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285" w:hRule="atLeast"/>
        </w:trPr>
        <w:tc>
          <w:tcPr>
            <w:tcW w:w="10605" w:type="dxa"/>
            <w:gridSpan w:val="2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100</w:t>
            </w:r>
          </w:p>
        </w:tc>
        <w:tc>
          <w:tcPr>
            <w:tcW w:w="22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604" w:hRule="atLeast"/>
        </w:trPr>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13189" w:type="dxa"/>
            <w:gridSpan w:val="2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宋体" w:hAnsi="宋体" w:cs="宋体"/>
                <w:color w:val="000000"/>
                <w:kern w:val="0"/>
                <w:sz w:val="16"/>
                <w:szCs w:val="16"/>
              </w:rPr>
              <w:t>该项目自评总分100分，该项目顺利实施，保障了单位的日常运转。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574" w:hRule="atLeast"/>
        </w:trPr>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13189" w:type="dxa"/>
            <w:gridSpan w:val="2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微软雅黑" w:hAnsi="微软雅黑" w:eastAsia="微软雅黑" w:cs="宋体"/>
                <w:iCs/>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634" w:hRule="atLeast"/>
        </w:trPr>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13189" w:type="dxa"/>
            <w:gridSpan w:val="2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微软雅黑" w:hAnsi="微软雅黑" w:eastAsia="微软雅黑" w:cs="宋体"/>
                <w:iCs/>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285" w:hRule="atLeast"/>
        </w:trPr>
        <w:tc>
          <w:tcPr>
            <w:tcW w:w="7305"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项目负责人：</w:t>
            </w:r>
            <w:r>
              <w:rPr>
                <w:rFonts w:hint="eastAsia" w:ascii="黑体" w:hAnsi="黑体" w:eastAsia="黑体" w:cs="黑体"/>
                <w:i w:val="0"/>
                <w:color w:val="000000"/>
                <w:kern w:val="0"/>
                <w:sz w:val="18"/>
                <w:szCs w:val="18"/>
                <w:u w:val="none"/>
                <w:lang w:val="en-US" w:eastAsia="zh-CN" w:bidi="ar"/>
              </w:rPr>
              <w:t>袁玲</w:t>
            </w:r>
          </w:p>
        </w:tc>
        <w:tc>
          <w:tcPr>
            <w:tcW w:w="6574" w:type="dxa"/>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财务负责人：</w:t>
            </w:r>
            <w:r>
              <w:rPr>
                <w:rFonts w:hint="eastAsia" w:ascii="黑体" w:hAnsi="黑体" w:eastAsia="黑体" w:cs="黑体"/>
                <w:i w:val="0"/>
                <w:color w:val="000000"/>
                <w:kern w:val="0"/>
                <w:sz w:val="18"/>
                <w:szCs w:val="18"/>
                <w:u w:val="none"/>
                <w:lang w:val="en-US" w:eastAsia="zh-CN" w:bidi="ar"/>
              </w:rPr>
              <w:t>王洪彬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285" w:hRule="atLeast"/>
        </w:trPr>
        <w:tc>
          <w:tcPr>
            <w:tcW w:w="690" w:type="dxa"/>
            <w:gridSpan w:val="3"/>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055" w:type="dxa"/>
            <w:gridSpan w:val="3"/>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770" w:type="dxa"/>
            <w:gridSpan w:val="3"/>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265"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25" w:type="dxa"/>
            <w:gridSpan w:val="2"/>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680"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25" w:type="dxa"/>
            <w:gridSpan w:val="3"/>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095" w:type="dxa"/>
            <w:gridSpan w:val="3"/>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10"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14" w:type="dxa"/>
            <w:gridSpan w:val="3"/>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250" w:type="dxa"/>
            <w:gridSpan w:val="3"/>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904" w:hRule="atLeast"/>
        </w:trPr>
        <w:tc>
          <w:tcPr>
            <w:tcW w:w="13879" w:type="dxa"/>
            <w:gridSpan w:val="3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i w:val="0"/>
                <w:color w:val="000000"/>
                <w:sz w:val="30"/>
                <w:szCs w:val="30"/>
                <w:u w:val="none"/>
              </w:rPr>
            </w:pPr>
            <w:r>
              <w:rPr>
                <w:rFonts w:hint="default" w:ascii="黑体" w:hAnsi="宋体" w:eastAsia="黑体" w:cs="黑体"/>
                <w:b/>
                <w:i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721" w:type="dxa"/>
          <w:trHeight w:val="285" w:hRule="atLeast"/>
        </w:trPr>
        <w:tc>
          <w:tcPr>
            <w:tcW w:w="274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11134" w:type="dxa"/>
            <w:gridSpan w:val="2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51080024Y000010826991-公用经费1（福利费、工会经费）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514" w:hRule="atLeast"/>
        </w:trPr>
        <w:tc>
          <w:tcPr>
            <w:tcW w:w="274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6765"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广元市政务服务和数据局部门</w:t>
            </w:r>
          </w:p>
        </w:tc>
        <w:tc>
          <w:tcPr>
            <w:tcW w:w="1095" w:type="dxa"/>
            <w:gridSpan w:val="3"/>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实施单位 （盖章）</w:t>
            </w:r>
          </w:p>
        </w:tc>
        <w:tc>
          <w:tcPr>
            <w:tcW w:w="327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广元市政务服务和数据局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285" w:hRule="atLeast"/>
        </w:trPr>
        <w:tc>
          <w:tcPr>
            <w:tcW w:w="69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205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6765"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436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709" w:hRule="atLeast"/>
        </w:trPr>
        <w:tc>
          <w:tcPr>
            <w:tcW w:w="69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05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6765"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提高预算编制质量，严格执行预算，保障单位日常运转。</w:t>
            </w:r>
          </w:p>
        </w:tc>
        <w:tc>
          <w:tcPr>
            <w:tcW w:w="436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ascii="宋体" w:hAnsi="宋体" w:eastAsia="宋体" w:cs="宋体"/>
                <w:i w:val="0"/>
                <w:color w:val="000000"/>
                <w:kern w:val="0"/>
                <w:sz w:val="18"/>
                <w:szCs w:val="18"/>
                <w:u w:val="none"/>
                <w:lang w:val="en-US" w:eastAsia="zh-CN" w:bidi="ar"/>
              </w:rPr>
              <w:t>提高预算编制质量，严格执行预算，保障单位日常运转。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694" w:hRule="atLeast"/>
        </w:trPr>
        <w:tc>
          <w:tcPr>
            <w:tcW w:w="69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0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11134" w:type="dxa"/>
            <w:gridSpan w:val="2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提高预算编制质量，严格执行预算，保障单位日常运转。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360" w:hRule="atLeast"/>
        </w:trPr>
        <w:tc>
          <w:tcPr>
            <w:tcW w:w="69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20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17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273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10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5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2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345" w:hRule="atLeast"/>
        </w:trPr>
        <w:tc>
          <w:tcPr>
            <w:tcW w:w="69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17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3.90</w:t>
            </w: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4.24</w:t>
            </w:r>
          </w:p>
        </w:tc>
        <w:tc>
          <w:tcPr>
            <w:tcW w:w="273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4.24</w:t>
            </w:r>
          </w:p>
        </w:tc>
        <w:tc>
          <w:tcPr>
            <w:tcW w:w="10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5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w:t>
            </w:r>
          </w:p>
        </w:tc>
        <w:tc>
          <w:tcPr>
            <w:tcW w:w="225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color w:val="000000"/>
                <w:sz w:val="18"/>
                <w:szCs w:val="18"/>
                <w:u w:val="none"/>
              </w:rPr>
            </w:pPr>
            <w:r>
              <w:rPr>
                <w:rFonts w:hint="default" w:ascii="黑体" w:hAnsi="黑体" w:eastAsia="黑体" w:cs="黑体"/>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r>
              <w:rPr>
                <w:rFonts w:hint="eastAsia" w:ascii="黑体" w:hAnsi="黑体" w:eastAsia="黑体" w:cs="黑体"/>
                <w:i/>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390" w:hRule="atLeast"/>
        </w:trPr>
        <w:tc>
          <w:tcPr>
            <w:tcW w:w="69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17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3.90</w:t>
            </w: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4.24</w:t>
            </w:r>
          </w:p>
        </w:tc>
        <w:tc>
          <w:tcPr>
            <w:tcW w:w="273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4.24</w:t>
            </w:r>
          </w:p>
        </w:tc>
        <w:tc>
          <w:tcPr>
            <w:tcW w:w="10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25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409" w:hRule="atLeast"/>
        </w:trPr>
        <w:tc>
          <w:tcPr>
            <w:tcW w:w="69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17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73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25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360" w:hRule="atLeast"/>
        </w:trPr>
        <w:tc>
          <w:tcPr>
            <w:tcW w:w="69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17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73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25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338" w:hRule="atLeast"/>
        </w:trPr>
        <w:tc>
          <w:tcPr>
            <w:tcW w:w="69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17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273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10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25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454" w:hRule="atLeast"/>
        </w:trPr>
        <w:tc>
          <w:tcPr>
            <w:tcW w:w="69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20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17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5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16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5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10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5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2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338" w:hRule="atLeast"/>
        </w:trPr>
        <w:tc>
          <w:tcPr>
            <w:tcW w:w="69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5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17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科目调整次数</w:t>
            </w:r>
          </w:p>
        </w:tc>
        <w:tc>
          <w:tcPr>
            <w:tcW w:w="5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5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次</w:t>
            </w:r>
          </w:p>
        </w:tc>
        <w:tc>
          <w:tcPr>
            <w:tcW w:w="10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5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20</w:t>
            </w:r>
          </w:p>
        </w:tc>
        <w:tc>
          <w:tcPr>
            <w:tcW w:w="22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679" w:hRule="atLeast"/>
        </w:trPr>
        <w:tc>
          <w:tcPr>
            <w:tcW w:w="69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5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7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质量指标</w:t>
            </w: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预算编制准确率（计算方法为：∣（执行数-预算数）/预算数∣）</w:t>
            </w:r>
          </w:p>
        </w:tc>
        <w:tc>
          <w:tcPr>
            <w:tcW w:w="5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5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w:t>
            </w:r>
          </w:p>
        </w:tc>
        <w:tc>
          <w:tcPr>
            <w:tcW w:w="5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30</w:t>
            </w:r>
          </w:p>
        </w:tc>
        <w:tc>
          <w:tcPr>
            <w:tcW w:w="22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904" w:hRule="atLeast"/>
        </w:trPr>
        <w:tc>
          <w:tcPr>
            <w:tcW w:w="69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5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17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经济效益指标</w:t>
            </w: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“三公经费”控制率[计算方法为：（三公经费实际支出数/预算安排数]×100%）</w:t>
            </w:r>
          </w:p>
        </w:tc>
        <w:tc>
          <w:tcPr>
            <w:tcW w:w="5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5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20</w:t>
            </w:r>
          </w:p>
        </w:tc>
        <w:tc>
          <w:tcPr>
            <w:tcW w:w="22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338" w:hRule="atLeast"/>
        </w:trPr>
        <w:tc>
          <w:tcPr>
            <w:tcW w:w="69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5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7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运转保障率</w:t>
            </w:r>
          </w:p>
        </w:tc>
        <w:tc>
          <w:tcPr>
            <w:tcW w:w="5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5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20</w:t>
            </w:r>
          </w:p>
        </w:tc>
        <w:tc>
          <w:tcPr>
            <w:tcW w:w="22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285" w:hRule="atLeast"/>
        </w:trPr>
        <w:tc>
          <w:tcPr>
            <w:tcW w:w="10605" w:type="dxa"/>
            <w:gridSpan w:val="2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100</w:t>
            </w:r>
          </w:p>
        </w:tc>
        <w:tc>
          <w:tcPr>
            <w:tcW w:w="22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604" w:hRule="atLeast"/>
        </w:trPr>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13189" w:type="dxa"/>
            <w:gridSpan w:val="2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宋体" w:hAnsi="宋体" w:cs="宋体"/>
                <w:color w:val="000000"/>
                <w:kern w:val="0"/>
                <w:sz w:val="16"/>
                <w:szCs w:val="16"/>
              </w:rPr>
              <w:t>该项目自评总分100分，该项目顺利实施，保障了单位的日常运转。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574" w:hRule="atLeast"/>
        </w:trPr>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13189" w:type="dxa"/>
            <w:gridSpan w:val="2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微软雅黑" w:hAnsi="微软雅黑" w:eastAsia="微软雅黑" w:cs="宋体"/>
                <w:iCs/>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634" w:hRule="atLeast"/>
        </w:trPr>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13189" w:type="dxa"/>
            <w:gridSpan w:val="2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微软雅黑" w:hAnsi="微软雅黑" w:eastAsia="微软雅黑" w:cs="宋体"/>
                <w:iCs/>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285" w:hRule="atLeast"/>
        </w:trPr>
        <w:tc>
          <w:tcPr>
            <w:tcW w:w="7305"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项目负责人：</w:t>
            </w:r>
            <w:r>
              <w:rPr>
                <w:rFonts w:hint="eastAsia" w:ascii="黑体" w:hAnsi="黑体" w:eastAsia="黑体" w:cs="黑体"/>
                <w:i w:val="0"/>
                <w:color w:val="000000"/>
                <w:kern w:val="0"/>
                <w:sz w:val="18"/>
                <w:szCs w:val="18"/>
                <w:u w:val="none"/>
                <w:lang w:val="en-US" w:eastAsia="zh-CN" w:bidi="ar"/>
              </w:rPr>
              <w:t>袁玲</w:t>
            </w:r>
          </w:p>
        </w:tc>
        <w:tc>
          <w:tcPr>
            <w:tcW w:w="6574" w:type="dxa"/>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财务负责人：</w:t>
            </w:r>
            <w:r>
              <w:rPr>
                <w:rFonts w:hint="eastAsia" w:ascii="黑体" w:hAnsi="黑体" w:eastAsia="黑体" w:cs="黑体"/>
                <w:i w:val="0"/>
                <w:color w:val="000000"/>
                <w:kern w:val="0"/>
                <w:sz w:val="18"/>
                <w:szCs w:val="18"/>
                <w:u w:val="none"/>
                <w:lang w:val="en-US" w:eastAsia="zh-CN" w:bidi="ar"/>
              </w:rPr>
              <w:t>王洪彬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285" w:hRule="atLeast"/>
        </w:trPr>
        <w:tc>
          <w:tcPr>
            <w:tcW w:w="690" w:type="dxa"/>
            <w:gridSpan w:val="3"/>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055" w:type="dxa"/>
            <w:gridSpan w:val="3"/>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770" w:type="dxa"/>
            <w:gridSpan w:val="3"/>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265"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25" w:type="dxa"/>
            <w:gridSpan w:val="2"/>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680"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25" w:type="dxa"/>
            <w:gridSpan w:val="3"/>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095" w:type="dxa"/>
            <w:gridSpan w:val="3"/>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10"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14" w:type="dxa"/>
            <w:gridSpan w:val="3"/>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250" w:type="dxa"/>
            <w:gridSpan w:val="3"/>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904" w:hRule="atLeast"/>
        </w:trPr>
        <w:tc>
          <w:tcPr>
            <w:tcW w:w="13879" w:type="dxa"/>
            <w:gridSpan w:val="3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i w:val="0"/>
                <w:color w:val="000000"/>
                <w:sz w:val="30"/>
                <w:szCs w:val="30"/>
                <w:u w:val="none"/>
              </w:rPr>
            </w:pPr>
            <w:r>
              <w:rPr>
                <w:rFonts w:hint="default" w:ascii="黑体" w:hAnsi="宋体" w:eastAsia="黑体" w:cs="黑体"/>
                <w:b/>
                <w:i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721" w:type="dxa"/>
          <w:trHeight w:val="285" w:hRule="atLeast"/>
        </w:trPr>
        <w:tc>
          <w:tcPr>
            <w:tcW w:w="274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11134" w:type="dxa"/>
            <w:gridSpan w:val="2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51080024Y000010829138-定额公用经费（行政）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514" w:hRule="atLeast"/>
        </w:trPr>
        <w:tc>
          <w:tcPr>
            <w:tcW w:w="274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6765"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广元市政务服务和数据局部门</w:t>
            </w:r>
          </w:p>
        </w:tc>
        <w:tc>
          <w:tcPr>
            <w:tcW w:w="1095" w:type="dxa"/>
            <w:gridSpan w:val="3"/>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实施单位 （盖章）</w:t>
            </w:r>
          </w:p>
        </w:tc>
        <w:tc>
          <w:tcPr>
            <w:tcW w:w="327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广元市政务服务和数据局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285" w:hRule="atLeast"/>
        </w:trPr>
        <w:tc>
          <w:tcPr>
            <w:tcW w:w="69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205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6765"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436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709" w:hRule="atLeast"/>
        </w:trPr>
        <w:tc>
          <w:tcPr>
            <w:tcW w:w="69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05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6765"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提高预算编制质量，严格执行预算，保障单位日常运转。</w:t>
            </w:r>
          </w:p>
        </w:tc>
        <w:tc>
          <w:tcPr>
            <w:tcW w:w="436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ascii="宋体" w:hAnsi="宋体" w:eastAsia="宋体" w:cs="宋体"/>
                <w:i w:val="0"/>
                <w:color w:val="000000"/>
                <w:kern w:val="0"/>
                <w:sz w:val="18"/>
                <w:szCs w:val="18"/>
                <w:u w:val="none"/>
                <w:lang w:val="en-US" w:eastAsia="zh-CN" w:bidi="ar"/>
              </w:rPr>
              <w:t>提高预算编制质量，严格执行预算，保障单位日常运转。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694" w:hRule="atLeast"/>
        </w:trPr>
        <w:tc>
          <w:tcPr>
            <w:tcW w:w="69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0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11134" w:type="dxa"/>
            <w:gridSpan w:val="2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提高预算编制质量，严格执行预算，保障单位日常运转。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360" w:hRule="atLeast"/>
        </w:trPr>
        <w:tc>
          <w:tcPr>
            <w:tcW w:w="69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20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17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273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10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5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2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345" w:hRule="atLeast"/>
        </w:trPr>
        <w:tc>
          <w:tcPr>
            <w:tcW w:w="69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17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22.50</w:t>
            </w: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43.36</w:t>
            </w:r>
          </w:p>
        </w:tc>
        <w:tc>
          <w:tcPr>
            <w:tcW w:w="273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42.51</w:t>
            </w:r>
          </w:p>
        </w:tc>
        <w:tc>
          <w:tcPr>
            <w:tcW w:w="10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98.05%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5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w:t>
            </w:r>
          </w:p>
        </w:tc>
        <w:tc>
          <w:tcPr>
            <w:tcW w:w="225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color w:val="000000"/>
                <w:sz w:val="18"/>
                <w:szCs w:val="18"/>
                <w:u w:val="none"/>
              </w:rPr>
            </w:pPr>
            <w:r>
              <w:rPr>
                <w:rFonts w:hint="default" w:ascii="黑体" w:hAnsi="黑体" w:eastAsia="黑体" w:cs="黑体"/>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r>
              <w:rPr>
                <w:rFonts w:hint="eastAsia" w:ascii="黑体" w:hAnsi="黑体" w:eastAsia="黑体" w:cs="黑体"/>
                <w:i/>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390" w:hRule="atLeast"/>
        </w:trPr>
        <w:tc>
          <w:tcPr>
            <w:tcW w:w="69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17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22.50</w:t>
            </w: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43.36</w:t>
            </w:r>
          </w:p>
        </w:tc>
        <w:tc>
          <w:tcPr>
            <w:tcW w:w="273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42.51</w:t>
            </w:r>
          </w:p>
        </w:tc>
        <w:tc>
          <w:tcPr>
            <w:tcW w:w="10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98.05%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25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409" w:hRule="atLeast"/>
        </w:trPr>
        <w:tc>
          <w:tcPr>
            <w:tcW w:w="69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17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73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25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360" w:hRule="atLeast"/>
        </w:trPr>
        <w:tc>
          <w:tcPr>
            <w:tcW w:w="69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17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73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25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338" w:hRule="atLeast"/>
        </w:trPr>
        <w:tc>
          <w:tcPr>
            <w:tcW w:w="69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17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273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10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25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454" w:hRule="atLeast"/>
        </w:trPr>
        <w:tc>
          <w:tcPr>
            <w:tcW w:w="69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20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17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5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16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5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10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5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2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338" w:hRule="atLeast"/>
        </w:trPr>
        <w:tc>
          <w:tcPr>
            <w:tcW w:w="69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5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17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科目调整次数</w:t>
            </w:r>
          </w:p>
        </w:tc>
        <w:tc>
          <w:tcPr>
            <w:tcW w:w="5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5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次</w:t>
            </w:r>
          </w:p>
        </w:tc>
        <w:tc>
          <w:tcPr>
            <w:tcW w:w="10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5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20</w:t>
            </w:r>
          </w:p>
        </w:tc>
        <w:tc>
          <w:tcPr>
            <w:tcW w:w="22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679" w:hRule="atLeast"/>
        </w:trPr>
        <w:tc>
          <w:tcPr>
            <w:tcW w:w="69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5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7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质量指标</w:t>
            </w: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预算编制准确率（计算方法为：∣（执行数-预算数）/预算数∣）</w:t>
            </w:r>
          </w:p>
        </w:tc>
        <w:tc>
          <w:tcPr>
            <w:tcW w:w="5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5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w:t>
            </w:r>
          </w:p>
        </w:tc>
        <w:tc>
          <w:tcPr>
            <w:tcW w:w="5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30</w:t>
            </w:r>
          </w:p>
        </w:tc>
        <w:tc>
          <w:tcPr>
            <w:tcW w:w="22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904" w:hRule="atLeast"/>
        </w:trPr>
        <w:tc>
          <w:tcPr>
            <w:tcW w:w="69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5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17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经济效益指标</w:t>
            </w: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“三公经费”控制率[计算方法为：（三公经费实际支出数/预算安排数]×100%）</w:t>
            </w:r>
          </w:p>
        </w:tc>
        <w:tc>
          <w:tcPr>
            <w:tcW w:w="5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5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20</w:t>
            </w:r>
          </w:p>
        </w:tc>
        <w:tc>
          <w:tcPr>
            <w:tcW w:w="22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338" w:hRule="atLeast"/>
        </w:trPr>
        <w:tc>
          <w:tcPr>
            <w:tcW w:w="69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5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7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运转保障率</w:t>
            </w:r>
          </w:p>
        </w:tc>
        <w:tc>
          <w:tcPr>
            <w:tcW w:w="5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5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20</w:t>
            </w:r>
          </w:p>
        </w:tc>
        <w:tc>
          <w:tcPr>
            <w:tcW w:w="22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285" w:hRule="atLeast"/>
        </w:trPr>
        <w:tc>
          <w:tcPr>
            <w:tcW w:w="10605" w:type="dxa"/>
            <w:gridSpan w:val="2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100</w:t>
            </w:r>
          </w:p>
        </w:tc>
        <w:tc>
          <w:tcPr>
            <w:tcW w:w="22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604" w:hRule="atLeast"/>
        </w:trPr>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13189" w:type="dxa"/>
            <w:gridSpan w:val="2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宋体" w:hAnsi="宋体" w:cs="宋体"/>
                <w:color w:val="000000"/>
                <w:kern w:val="0"/>
                <w:sz w:val="16"/>
                <w:szCs w:val="16"/>
              </w:rPr>
              <w:t>该项目自评总分100分，该项目顺利实施，保障了单位的日常运转。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574" w:hRule="atLeast"/>
        </w:trPr>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13189" w:type="dxa"/>
            <w:gridSpan w:val="2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微软雅黑" w:hAnsi="微软雅黑" w:eastAsia="微软雅黑" w:cs="宋体"/>
                <w:iCs/>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634" w:hRule="atLeast"/>
        </w:trPr>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13189" w:type="dxa"/>
            <w:gridSpan w:val="2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微软雅黑" w:hAnsi="微软雅黑" w:eastAsia="微软雅黑" w:cs="宋体"/>
                <w:iCs/>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285" w:hRule="atLeast"/>
        </w:trPr>
        <w:tc>
          <w:tcPr>
            <w:tcW w:w="7305"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项目负责人：</w:t>
            </w:r>
            <w:r>
              <w:rPr>
                <w:rFonts w:hint="eastAsia" w:ascii="黑体" w:hAnsi="黑体" w:eastAsia="黑体" w:cs="黑体"/>
                <w:i w:val="0"/>
                <w:color w:val="000000"/>
                <w:kern w:val="0"/>
                <w:sz w:val="18"/>
                <w:szCs w:val="18"/>
                <w:u w:val="none"/>
                <w:lang w:val="en-US" w:eastAsia="zh-CN" w:bidi="ar"/>
              </w:rPr>
              <w:t>袁玲</w:t>
            </w:r>
          </w:p>
        </w:tc>
        <w:tc>
          <w:tcPr>
            <w:tcW w:w="6574" w:type="dxa"/>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财务负责人：</w:t>
            </w:r>
            <w:r>
              <w:rPr>
                <w:rFonts w:hint="eastAsia" w:ascii="黑体" w:hAnsi="黑体" w:eastAsia="黑体" w:cs="黑体"/>
                <w:i w:val="0"/>
                <w:color w:val="000000"/>
                <w:kern w:val="0"/>
                <w:sz w:val="18"/>
                <w:szCs w:val="18"/>
                <w:u w:val="none"/>
                <w:lang w:val="en-US" w:eastAsia="zh-CN" w:bidi="ar"/>
              </w:rPr>
              <w:t>王洪彬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285" w:hRule="atLeast"/>
        </w:trPr>
        <w:tc>
          <w:tcPr>
            <w:tcW w:w="690" w:type="dxa"/>
            <w:gridSpan w:val="3"/>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055" w:type="dxa"/>
            <w:gridSpan w:val="3"/>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770" w:type="dxa"/>
            <w:gridSpan w:val="3"/>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265"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25" w:type="dxa"/>
            <w:gridSpan w:val="2"/>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680"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25" w:type="dxa"/>
            <w:gridSpan w:val="3"/>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095" w:type="dxa"/>
            <w:gridSpan w:val="3"/>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10"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14" w:type="dxa"/>
            <w:gridSpan w:val="3"/>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250" w:type="dxa"/>
            <w:gridSpan w:val="3"/>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904" w:hRule="atLeast"/>
        </w:trPr>
        <w:tc>
          <w:tcPr>
            <w:tcW w:w="13879" w:type="dxa"/>
            <w:gridSpan w:val="3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i w:val="0"/>
                <w:color w:val="000000"/>
                <w:sz w:val="30"/>
                <w:szCs w:val="30"/>
                <w:u w:val="none"/>
              </w:rPr>
            </w:pPr>
            <w:r>
              <w:rPr>
                <w:rFonts w:hint="default" w:ascii="黑体" w:hAnsi="宋体" w:eastAsia="黑体" w:cs="黑体"/>
                <w:b/>
                <w:i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721" w:type="dxa"/>
          <w:trHeight w:val="285" w:hRule="atLeast"/>
        </w:trPr>
        <w:tc>
          <w:tcPr>
            <w:tcW w:w="274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11134" w:type="dxa"/>
            <w:gridSpan w:val="2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51080024Y000010829846-公用经费2（公车补贴、党建、退休活动）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514" w:hRule="atLeast"/>
        </w:trPr>
        <w:tc>
          <w:tcPr>
            <w:tcW w:w="274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6765"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广元市政务服务和数据局部门</w:t>
            </w:r>
          </w:p>
        </w:tc>
        <w:tc>
          <w:tcPr>
            <w:tcW w:w="1095" w:type="dxa"/>
            <w:gridSpan w:val="3"/>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实施单位 （盖章）</w:t>
            </w:r>
          </w:p>
        </w:tc>
        <w:tc>
          <w:tcPr>
            <w:tcW w:w="327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广元市政务服务和数据局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285" w:hRule="atLeast"/>
        </w:trPr>
        <w:tc>
          <w:tcPr>
            <w:tcW w:w="69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205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6765"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436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709" w:hRule="atLeast"/>
        </w:trPr>
        <w:tc>
          <w:tcPr>
            <w:tcW w:w="69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05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6765"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提高预算编制质量，严格执行预算，保障单位日常运转。</w:t>
            </w:r>
          </w:p>
        </w:tc>
        <w:tc>
          <w:tcPr>
            <w:tcW w:w="436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ascii="宋体" w:hAnsi="宋体" w:eastAsia="宋体" w:cs="宋体"/>
                <w:i w:val="0"/>
                <w:color w:val="000000"/>
                <w:kern w:val="0"/>
                <w:sz w:val="18"/>
                <w:szCs w:val="18"/>
                <w:u w:val="none"/>
                <w:lang w:val="en-US" w:eastAsia="zh-CN" w:bidi="ar"/>
              </w:rPr>
              <w:t>提高预算编制质量，严格执行预算，保障单位日常运转。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694" w:hRule="atLeast"/>
        </w:trPr>
        <w:tc>
          <w:tcPr>
            <w:tcW w:w="69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0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11134" w:type="dxa"/>
            <w:gridSpan w:val="2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提高预算编制质量，严格执行预算，保障单位日常运转。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360" w:hRule="atLeast"/>
        </w:trPr>
        <w:tc>
          <w:tcPr>
            <w:tcW w:w="69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20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17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273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10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5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2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345" w:hRule="atLeast"/>
        </w:trPr>
        <w:tc>
          <w:tcPr>
            <w:tcW w:w="69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17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19.34</w:t>
            </w: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20.06</w:t>
            </w:r>
          </w:p>
        </w:tc>
        <w:tc>
          <w:tcPr>
            <w:tcW w:w="273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20.06</w:t>
            </w:r>
          </w:p>
        </w:tc>
        <w:tc>
          <w:tcPr>
            <w:tcW w:w="10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5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w:t>
            </w:r>
          </w:p>
        </w:tc>
        <w:tc>
          <w:tcPr>
            <w:tcW w:w="225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color w:val="000000"/>
                <w:sz w:val="18"/>
                <w:szCs w:val="18"/>
                <w:u w:val="none"/>
              </w:rPr>
            </w:pPr>
            <w:r>
              <w:rPr>
                <w:rFonts w:hint="default" w:ascii="黑体" w:hAnsi="黑体" w:eastAsia="黑体" w:cs="黑体"/>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r>
              <w:rPr>
                <w:rFonts w:hint="eastAsia" w:ascii="黑体" w:hAnsi="黑体" w:eastAsia="黑体" w:cs="黑体"/>
                <w:i/>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390" w:hRule="atLeast"/>
        </w:trPr>
        <w:tc>
          <w:tcPr>
            <w:tcW w:w="69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17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19.34</w:t>
            </w: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20.06</w:t>
            </w:r>
          </w:p>
        </w:tc>
        <w:tc>
          <w:tcPr>
            <w:tcW w:w="273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20.06</w:t>
            </w:r>
          </w:p>
        </w:tc>
        <w:tc>
          <w:tcPr>
            <w:tcW w:w="10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25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409" w:hRule="atLeast"/>
        </w:trPr>
        <w:tc>
          <w:tcPr>
            <w:tcW w:w="69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17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73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25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360" w:hRule="atLeast"/>
        </w:trPr>
        <w:tc>
          <w:tcPr>
            <w:tcW w:w="69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17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73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25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338" w:hRule="atLeast"/>
        </w:trPr>
        <w:tc>
          <w:tcPr>
            <w:tcW w:w="69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17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273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10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25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454" w:hRule="atLeast"/>
        </w:trPr>
        <w:tc>
          <w:tcPr>
            <w:tcW w:w="69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20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17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5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16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5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10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5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2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338" w:hRule="atLeast"/>
        </w:trPr>
        <w:tc>
          <w:tcPr>
            <w:tcW w:w="69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5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17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科目调整次数</w:t>
            </w:r>
          </w:p>
        </w:tc>
        <w:tc>
          <w:tcPr>
            <w:tcW w:w="5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5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次</w:t>
            </w:r>
          </w:p>
        </w:tc>
        <w:tc>
          <w:tcPr>
            <w:tcW w:w="10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5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20</w:t>
            </w:r>
          </w:p>
        </w:tc>
        <w:tc>
          <w:tcPr>
            <w:tcW w:w="22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679" w:hRule="atLeast"/>
        </w:trPr>
        <w:tc>
          <w:tcPr>
            <w:tcW w:w="69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5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7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质量指标</w:t>
            </w: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预算编制准确率（计算方法为：∣（执行数-预算数）/预算数∣）</w:t>
            </w:r>
          </w:p>
        </w:tc>
        <w:tc>
          <w:tcPr>
            <w:tcW w:w="5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5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w:t>
            </w:r>
          </w:p>
        </w:tc>
        <w:tc>
          <w:tcPr>
            <w:tcW w:w="5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30</w:t>
            </w:r>
          </w:p>
        </w:tc>
        <w:tc>
          <w:tcPr>
            <w:tcW w:w="22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904" w:hRule="atLeast"/>
        </w:trPr>
        <w:tc>
          <w:tcPr>
            <w:tcW w:w="69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5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17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经济效益指标</w:t>
            </w: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“三公经费”控制率[计算方法为：（三公经费实际支出数/预算安排数]×100%）</w:t>
            </w:r>
          </w:p>
        </w:tc>
        <w:tc>
          <w:tcPr>
            <w:tcW w:w="5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5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20</w:t>
            </w:r>
          </w:p>
        </w:tc>
        <w:tc>
          <w:tcPr>
            <w:tcW w:w="22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338" w:hRule="atLeast"/>
        </w:trPr>
        <w:tc>
          <w:tcPr>
            <w:tcW w:w="69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5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7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运转保障率</w:t>
            </w:r>
          </w:p>
        </w:tc>
        <w:tc>
          <w:tcPr>
            <w:tcW w:w="5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5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20</w:t>
            </w:r>
          </w:p>
        </w:tc>
        <w:tc>
          <w:tcPr>
            <w:tcW w:w="22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285" w:hRule="atLeast"/>
        </w:trPr>
        <w:tc>
          <w:tcPr>
            <w:tcW w:w="10605" w:type="dxa"/>
            <w:gridSpan w:val="2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100</w:t>
            </w:r>
          </w:p>
        </w:tc>
        <w:tc>
          <w:tcPr>
            <w:tcW w:w="22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604" w:hRule="atLeast"/>
        </w:trPr>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13189" w:type="dxa"/>
            <w:gridSpan w:val="2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宋体" w:hAnsi="宋体" w:cs="宋体"/>
                <w:color w:val="000000"/>
                <w:kern w:val="0"/>
                <w:sz w:val="16"/>
                <w:szCs w:val="16"/>
              </w:rPr>
              <w:t>该项目自评总分100分，该项目顺利实施，保障了单位的日常运转。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574" w:hRule="atLeast"/>
        </w:trPr>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13189" w:type="dxa"/>
            <w:gridSpan w:val="2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微软雅黑" w:hAnsi="微软雅黑" w:eastAsia="微软雅黑" w:cs="宋体"/>
                <w:iCs/>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634" w:hRule="atLeast"/>
        </w:trPr>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13189" w:type="dxa"/>
            <w:gridSpan w:val="2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微软雅黑" w:hAnsi="微软雅黑" w:eastAsia="微软雅黑" w:cs="宋体"/>
                <w:iCs/>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1" w:type="dxa"/>
          <w:trHeight w:val="285" w:hRule="atLeast"/>
        </w:trPr>
        <w:tc>
          <w:tcPr>
            <w:tcW w:w="7305"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项目负责人：</w:t>
            </w:r>
            <w:r>
              <w:rPr>
                <w:rFonts w:hint="eastAsia" w:ascii="黑体" w:hAnsi="黑体" w:eastAsia="黑体" w:cs="黑体"/>
                <w:i w:val="0"/>
                <w:color w:val="000000"/>
                <w:kern w:val="0"/>
                <w:sz w:val="18"/>
                <w:szCs w:val="18"/>
                <w:u w:val="none"/>
                <w:lang w:val="en-US" w:eastAsia="zh-CN" w:bidi="ar"/>
              </w:rPr>
              <w:t>袁玲</w:t>
            </w:r>
          </w:p>
        </w:tc>
        <w:tc>
          <w:tcPr>
            <w:tcW w:w="6574" w:type="dxa"/>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财务负责人：</w:t>
            </w:r>
            <w:r>
              <w:rPr>
                <w:rFonts w:hint="eastAsia" w:ascii="黑体" w:hAnsi="黑体" w:eastAsia="黑体" w:cs="黑体"/>
                <w:i w:val="0"/>
                <w:color w:val="000000"/>
                <w:kern w:val="0"/>
                <w:sz w:val="18"/>
                <w:szCs w:val="18"/>
                <w:u w:val="none"/>
                <w:lang w:val="en-US" w:eastAsia="zh-CN" w:bidi="ar"/>
              </w:rPr>
              <w:t>王洪彬</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3" w:type="dxa"/>
          <w:trHeight w:val="409" w:hRule="atLeast"/>
        </w:trPr>
        <w:tc>
          <w:tcPr>
            <w:tcW w:w="6752" w:type="dxa"/>
            <w:gridSpan w:val="10"/>
            <w:tcBorders>
              <w:top w:val="nil"/>
              <w:left w:val="nil"/>
              <w:bottom w:val="nil"/>
              <w:right w:val="nil"/>
            </w:tcBorders>
            <w:shd w:val="clear" w:color="auto" w:fill="auto"/>
            <w:noWrap w:val="0"/>
            <w:vAlign w:val="center"/>
          </w:tcPr>
          <w:p>
            <w:pPr>
              <w:widowControl/>
              <w:jc w:val="left"/>
              <w:textAlignment w:val="center"/>
              <w:rPr>
                <w:rFonts w:ascii="宋体" w:hAnsi="宋体" w:eastAsia="宋体" w:cs="宋体"/>
                <w:color w:val="000000"/>
                <w:sz w:val="20"/>
                <w:szCs w:val="20"/>
              </w:rPr>
            </w:pPr>
          </w:p>
        </w:tc>
        <w:tc>
          <w:tcPr>
            <w:tcW w:w="610" w:type="dxa"/>
            <w:gridSpan w:val="5"/>
            <w:tcBorders>
              <w:top w:val="nil"/>
              <w:left w:val="nil"/>
              <w:bottom w:val="nil"/>
              <w:right w:val="nil"/>
            </w:tcBorders>
            <w:shd w:val="clear" w:color="auto" w:fill="auto"/>
            <w:noWrap/>
            <w:vAlign w:val="center"/>
          </w:tcPr>
          <w:p>
            <w:pPr>
              <w:rPr>
                <w:rFonts w:hint="eastAsia" w:ascii="宋体" w:hAnsi="宋体" w:eastAsia="宋体" w:cs="宋体"/>
                <w:color w:val="000000"/>
                <w:sz w:val="22"/>
                <w:szCs w:val="22"/>
              </w:rPr>
            </w:pPr>
          </w:p>
        </w:tc>
        <w:tc>
          <w:tcPr>
            <w:tcW w:w="2999" w:type="dxa"/>
            <w:gridSpan w:val="7"/>
            <w:tcBorders>
              <w:top w:val="nil"/>
              <w:left w:val="nil"/>
              <w:bottom w:val="nil"/>
              <w:right w:val="nil"/>
            </w:tcBorders>
            <w:shd w:val="clear" w:color="auto" w:fill="auto"/>
            <w:noWrap w:val="0"/>
            <w:vAlign w:val="center"/>
          </w:tcPr>
          <w:p>
            <w:pPr>
              <w:rPr>
                <w:rFonts w:hint="eastAsia" w:ascii="宋体" w:hAnsi="宋体" w:eastAsia="宋体" w:cs="宋体"/>
                <w:color w:val="000000"/>
                <w:sz w:val="20"/>
                <w:szCs w:val="20"/>
              </w:rPr>
            </w:pPr>
          </w:p>
        </w:tc>
        <w:tc>
          <w:tcPr>
            <w:tcW w:w="820" w:type="dxa"/>
            <w:gridSpan w:val="5"/>
            <w:tcBorders>
              <w:top w:val="nil"/>
              <w:left w:val="nil"/>
              <w:bottom w:val="nil"/>
              <w:right w:val="nil"/>
            </w:tcBorders>
            <w:shd w:val="clear" w:color="auto" w:fill="auto"/>
            <w:noWrap/>
            <w:vAlign w:val="center"/>
          </w:tcPr>
          <w:p>
            <w:pPr>
              <w:rPr>
                <w:rFonts w:hint="eastAsia" w:ascii="宋体" w:hAnsi="宋体" w:eastAsia="宋体" w:cs="宋体"/>
                <w:color w:val="000000"/>
                <w:sz w:val="22"/>
                <w:szCs w:val="22"/>
              </w:rPr>
            </w:pPr>
          </w:p>
        </w:tc>
        <w:tc>
          <w:tcPr>
            <w:tcW w:w="897" w:type="dxa"/>
            <w:gridSpan w:val="3"/>
            <w:tcBorders>
              <w:top w:val="nil"/>
              <w:left w:val="nil"/>
              <w:bottom w:val="nil"/>
              <w:right w:val="nil"/>
            </w:tcBorders>
            <w:shd w:val="clear" w:color="auto" w:fill="auto"/>
            <w:noWrap/>
            <w:vAlign w:val="center"/>
          </w:tcPr>
          <w:p>
            <w:pPr>
              <w:rPr>
                <w:rFonts w:hint="eastAsia" w:ascii="宋体" w:hAnsi="宋体" w:eastAsia="宋体" w:cs="宋体"/>
                <w:color w:val="000000"/>
                <w:sz w:val="22"/>
                <w:szCs w:val="22"/>
              </w:rPr>
            </w:pPr>
          </w:p>
        </w:tc>
        <w:tc>
          <w:tcPr>
            <w:tcW w:w="2519" w:type="dxa"/>
            <w:gridSpan w:val="2"/>
            <w:tcBorders>
              <w:top w:val="nil"/>
              <w:left w:val="nil"/>
              <w:bottom w:val="nil"/>
              <w:right w:val="nil"/>
            </w:tcBorders>
            <w:shd w:val="clear" w:color="auto" w:fill="auto"/>
            <w:noWrap/>
            <w:vAlign w:val="center"/>
          </w:tcPr>
          <w:p>
            <w:pPr>
              <w:rPr>
                <w:rFonts w:hint="eastAsia" w:ascii="宋体" w:hAnsi="宋体" w:eastAsia="宋体" w:cs="宋体"/>
                <w:color w:val="000000"/>
                <w:sz w:val="22"/>
                <w:szCs w:val="22"/>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904" w:hRule="atLeast"/>
        </w:trPr>
        <w:tc>
          <w:tcPr>
            <w:tcW w:w="13876" w:type="dxa"/>
            <w:gridSpan w:val="31"/>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ascii="黑体" w:hAnsi="宋体" w:eastAsia="黑体" w:cs="黑体"/>
                <w:b/>
                <w:bCs/>
                <w:color w:val="000000"/>
                <w:sz w:val="30"/>
                <w:szCs w:val="30"/>
              </w:rPr>
            </w:pPr>
            <w:r>
              <w:rPr>
                <w:rFonts w:hint="eastAsia" w:ascii="黑体" w:hAnsi="宋体" w:eastAsia="黑体" w:cs="黑体"/>
                <w:b/>
                <w:bCs/>
                <w:color w:val="000000"/>
                <w:kern w:val="0"/>
                <w:sz w:val="30"/>
                <w:szCs w:val="30"/>
                <w:lang w:bidi="ar"/>
              </w:rPr>
              <w:t>部门预算项目支出绩效自评表（2024年度）</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108" w:type="dxa"/>
            <w:bottom w:w="0" w:type="dxa"/>
            <w:right w:w="108" w:type="dxa"/>
          </w:tblCellMar>
        </w:tblPrEx>
        <w:trPr>
          <w:gridBefore w:val="1"/>
          <w:gridAfter w:val="1"/>
          <w:wBefore w:w="3" w:type="dxa"/>
          <w:wAfter w:w="721" w:type="dxa"/>
          <w:trHeight w:val="500" w:hRule="atLeast"/>
        </w:trPr>
        <w:tc>
          <w:tcPr>
            <w:tcW w:w="2826"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项目名称</w:t>
            </w:r>
          </w:p>
        </w:tc>
        <w:tc>
          <w:tcPr>
            <w:tcW w:w="11050" w:type="dxa"/>
            <w:gridSpan w:val="2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51080021T000000052151-政务中心综合楼日常运行经费</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514" w:hRule="atLeast"/>
        </w:trPr>
        <w:tc>
          <w:tcPr>
            <w:tcW w:w="2826"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主管部门</w:t>
            </w:r>
          </w:p>
        </w:tc>
        <w:tc>
          <w:tcPr>
            <w:tcW w:w="6263" w:type="dxa"/>
            <w:gridSpan w:val="1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广元市政务服务和数据局部门</w:t>
            </w:r>
          </w:p>
        </w:tc>
        <w:tc>
          <w:tcPr>
            <w:tcW w:w="1272" w:type="dxa"/>
            <w:gridSpan w:val="3"/>
            <w:tcBorders>
              <w:top w:val="nil"/>
              <w:left w:val="nil"/>
              <w:bottom w:val="nil"/>
              <w:right w:val="nil"/>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实施单位 （盖章）</w:t>
            </w:r>
          </w:p>
        </w:tc>
        <w:tc>
          <w:tcPr>
            <w:tcW w:w="3515"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广元市政务服务和数据局</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285" w:hRule="atLeast"/>
        </w:trPr>
        <w:tc>
          <w:tcPr>
            <w:tcW w:w="801"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项目基本情况</w:t>
            </w:r>
          </w:p>
        </w:tc>
        <w:tc>
          <w:tcPr>
            <w:tcW w:w="202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1.项目年度目标完成情况</w:t>
            </w:r>
          </w:p>
        </w:tc>
        <w:tc>
          <w:tcPr>
            <w:tcW w:w="6263" w:type="dxa"/>
            <w:gridSpan w:val="1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项目年度目标</w:t>
            </w:r>
          </w:p>
        </w:tc>
        <w:tc>
          <w:tcPr>
            <w:tcW w:w="4787" w:type="dxa"/>
            <w:gridSpan w:val="1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年度目标完成情况</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920"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c>
          <w:tcPr>
            <w:tcW w:w="6263" w:type="dxa"/>
            <w:gridSpan w:val="1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通过对综合大楼各项设施设备的维修维护以及水、电、气、办公用品及耗材等后勤保障，优化政务服务环境，提升政务服务质量及水平，确保2024年度各项设施设备正常运行。</w:t>
            </w:r>
          </w:p>
        </w:tc>
        <w:tc>
          <w:tcPr>
            <w:tcW w:w="4787" w:type="dxa"/>
            <w:gridSpan w:val="1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2024年度市级政务服务大厅各项设施设备得到了及时修缮和维护，均正常运行，政务服务大厅的各项工作顺利开展，为机关、办事企业和群众提供了有利的保障。</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694"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2.项目实施内容及过程概述</w:t>
            </w:r>
          </w:p>
        </w:tc>
        <w:tc>
          <w:tcPr>
            <w:tcW w:w="11050" w:type="dxa"/>
            <w:gridSpan w:val="2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综合楼日常运转发生的水电气费用、空调电梯消防维保费及部件更换、日常维修及食堂运行、办公耗材、广告宣传以及大厅零星小额设施设备购置维修费等支出。</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60" w:hRule="atLeast"/>
        </w:trPr>
        <w:tc>
          <w:tcPr>
            <w:tcW w:w="801"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预算执行情况（10分）</w:t>
            </w: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年度预算数（万元）</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年初预算</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调整后预算数</w:t>
            </w: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预算执行数</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预算执行率</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权重</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得分</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原因</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45"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总额</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252.01</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252.01</w:t>
            </w: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252.01</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98"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1.预算执行率=预算执行数/调整后预算数，预算执行率未达到90%的需说明原因（100字以内）;2.年中发生预算调整的（追加或调减）,应单独说明理由；3.其他资金包括：社会投入资金、银行贷款</w:t>
            </w:r>
            <w:r>
              <w:rPr>
                <w:rFonts w:hint="eastAsia" w:ascii="宋体" w:hAnsi="宋体" w:cs="宋体"/>
                <w:color w:val="000000"/>
                <w:kern w:val="0"/>
                <w:sz w:val="18"/>
                <w:szCs w:val="18"/>
                <w:lang w:eastAsia="zh-CN" w:bidi="ar"/>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90"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其中：财政资金</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252.01</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252.01</w:t>
            </w: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252.01</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798"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409"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财政专户管理资金</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798"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60"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单位资金</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798"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其他资金</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798"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454" w:hRule="atLeast"/>
        </w:trPr>
        <w:tc>
          <w:tcPr>
            <w:tcW w:w="801"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绩效指标（90分）</w:t>
            </w: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一级指标</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二级指标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三级指标</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指标性质</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指标值</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度量单位</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完成值</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权重</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得分</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未完成原因分析</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500"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产出指标</w:t>
            </w:r>
          </w:p>
        </w:tc>
        <w:tc>
          <w:tcPr>
            <w:tcW w:w="170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数量指标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聘用协警人员数量</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名</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根据工作需要，2024年9月起不再聘用协警。</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108" w:type="dxa"/>
            <w:bottom w:w="0" w:type="dxa"/>
            <w:right w:w="108" w:type="dxa"/>
          </w:tblCellMar>
        </w:tblPrEx>
        <w:trPr>
          <w:gridBefore w:val="1"/>
          <w:gridAfter w:val="1"/>
          <w:wBefore w:w="3" w:type="dxa"/>
          <w:wAfter w:w="721" w:type="dxa"/>
          <w:trHeight w:val="454"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0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设施设备、水电气等服务面积</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32300</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平方米</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32300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0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设施设备维护数量</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0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质量指标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政务服务环境</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定性</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优</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优</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0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设施设备正常运行率</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95</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时效指标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项目完成时间</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效益指标</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社会效益指标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政务服务水平提升度</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定性</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满意度指标</w:t>
            </w:r>
          </w:p>
        </w:tc>
        <w:tc>
          <w:tcPr>
            <w:tcW w:w="170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服务对象满意度指标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大厅工作人员满意度</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95</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454"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0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人民群众对政务服务环境满意度</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98</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成本指标</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经济成本指标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项目总预算控制数</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2520100</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元</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2520100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285" w:hRule="atLeast"/>
        </w:trPr>
        <w:tc>
          <w:tcPr>
            <w:tcW w:w="10361" w:type="dxa"/>
            <w:gridSpan w:val="2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合计</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97</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604" w:hRule="atLeast"/>
        </w:trPr>
        <w:tc>
          <w:tcPr>
            <w:tcW w:w="801"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评价结论</w:t>
            </w:r>
          </w:p>
        </w:tc>
        <w:tc>
          <w:tcPr>
            <w:tcW w:w="13075" w:type="dxa"/>
            <w:gridSpan w:val="28"/>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经自评，该项目得分为97分。2024年度通过该项目的实施，市级政务服务大厅各项设施设备均正常运行，为政务服务和公共资源交易顺利开展提供了有力支撑和保障，有效提升了我市政务服务营商环境。</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574" w:hRule="atLeast"/>
        </w:trPr>
        <w:tc>
          <w:tcPr>
            <w:tcW w:w="801"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存在问题</w:t>
            </w:r>
          </w:p>
        </w:tc>
        <w:tc>
          <w:tcPr>
            <w:tcW w:w="13075" w:type="dxa"/>
            <w:gridSpan w:val="28"/>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由于综合大楼工作人员、办事企业和群众众多，环境复杂，费用支付覆盖面广，突发情况较多，绩效指标设置不够优化、预判还有待提升。</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634" w:hRule="atLeast"/>
        </w:trPr>
        <w:tc>
          <w:tcPr>
            <w:tcW w:w="801"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改进措施</w:t>
            </w:r>
          </w:p>
        </w:tc>
        <w:tc>
          <w:tcPr>
            <w:tcW w:w="13075" w:type="dxa"/>
            <w:gridSpan w:val="28"/>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进一步优化细化绩效指标设置，提升政务服务环境质量。</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285" w:hRule="atLeast"/>
        </w:trPr>
        <w:tc>
          <w:tcPr>
            <w:tcW w:w="7362" w:type="dxa"/>
            <w:gridSpan w:val="1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项目负责人：王娅</w:t>
            </w:r>
          </w:p>
        </w:tc>
        <w:tc>
          <w:tcPr>
            <w:tcW w:w="6514" w:type="dxa"/>
            <w:gridSpan w:val="1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财务负责人：袁玲</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880" w:hRule="atLeast"/>
        </w:trPr>
        <w:tc>
          <w:tcPr>
            <w:tcW w:w="801"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2025"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1702"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2224" w:type="dxa"/>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610" w:type="dxa"/>
            <w:gridSpan w:val="5"/>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1207" w:type="dxa"/>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520"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1272"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820" w:type="dxa"/>
            <w:gridSpan w:val="5"/>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897"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1798" w:type="dxa"/>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900" w:hRule="atLeast"/>
        </w:trPr>
        <w:tc>
          <w:tcPr>
            <w:tcW w:w="13876" w:type="dxa"/>
            <w:gridSpan w:val="31"/>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黑体" w:hAnsi="宋体" w:eastAsia="黑体" w:cs="黑体"/>
                <w:b/>
                <w:bCs/>
                <w:color w:val="000000"/>
                <w:sz w:val="30"/>
                <w:szCs w:val="30"/>
              </w:rPr>
            </w:pPr>
            <w:r>
              <w:rPr>
                <w:rFonts w:hint="eastAsia" w:ascii="黑体" w:hAnsi="宋体" w:eastAsia="黑体" w:cs="黑体"/>
                <w:b/>
                <w:bCs/>
                <w:color w:val="000000"/>
                <w:kern w:val="0"/>
                <w:sz w:val="30"/>
                <w:szCs w:val="30"/>
                <w:lang w:bidi="ar"/>
              </w:rPr>
              <w:t>部门预算项目支出绩效自评表（2024年度）</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108" w:type="dxa"/>
            <w:bottom w:w="0" w:type="dxa"/>
            <w:right w:w="108" w:type="dxa"/>
          </w:tblCellMar>
        </w:tblPrEx>
        <w:trPr>
          <w:gridBefore w:val="1"/>
          <w:gridAfter w:val="1"/>
          <w:wBefore w:w="3" w:type="dxa"/>
          <w:wAfter w:w="721" w:type="dxa"/>
          <w:trHeight w:val="285" w:hRule="atLeast"/>
        </w:trPr>
        <w:tc>
          <w:tcPr>
            <w:tcW w:w="2826"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项目名称</w:t>
            </w:r>
          </w:p>
        </w:tc>
        <w:tc>
          <w:tcPr>
            <w:tcW w:w="11050" w:type="dxa"/>
            <w:gridSpan w:val="2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51080021T000000052188-网络及信息系统运维费</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514" w:hRule="atLeast"/>
        </w:trPr>
        <w:tc>
          <w:tcPr>
            <w:tcW w:w="2826"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主管部门</w:t>
            </w:r>
          </w:p>
        </w:tc>
        <w:tc>
          <w:tcPr>
            <w:tcW w:w="6263" w:type="dxa"/>
            <w:gridSpan w:val="1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广元市政务服务和数据局部门</w:t>
            </w:r>
          </w:p>
        </w:tc>
        <w:tc>
          <w:tcPr>
            <w:tcW w:w="1272" w:type="dxa"/>
            <w:gridSpan w:val="3"/>
            <w:tcBorders>
              <w:top w:val="nil"/>
              <w:left w:val="nil"/>
              <w:bottom w:val="nil"/>
              <w:right w:val="nil"/>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实施单位 （盖章）</w:t>
            </w:r>
          </w:p>
        </w:tc>
        <w:tc>
          <w:tcPr>
            <w:tcW w:w="3515"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广元市政务服务和数据局</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285" w:hRule="atLeast"/>
        </w:trPr>
        <w:tc>
          <w:tcPr>
            <w:tcW w:w="801"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项目基本情况</w:t>
            </w:r>
          </w:p>
        </w:tc>
        <w:tc>
          <w:tcPr>
            <w:tcW w:w="202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1.项目年度目标完成情况</w:t>
            </w:r>
          </w:p>
        </w:tc>
        <w:tc>
          <w:tcPr>
            <w:tcW w:w="6263" w:type="dxa"/>
            <w:gridSpan w:val="1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项目年度目标</w:t>
            </w:r>
          </w:p>
        </w:tc>
        <w:tc>
          <w:tcPr>
            <w:tcW w:w="4787" w:type="dxa"/>
            <w:gridSpan w:val="1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年度目标完成情况</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904"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c>
          <w:tcPr>
            <w:tcW w:w="6263" w:type="dxa"/>
            <w:gridSpan w:val="1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通过对中心（含大厅）触摸屏、评价仪、电脑等各类网络设施设备及互联网、政务外网等网络系统进行维护维修，确保四川一体化政务服务平台、四川省工程建设项目审批管理系统2.0版、大厅网络、电脑等稳定通畅运行，提高网上办事效率　。</w:t>
            </w:r>
          </w:p>
        </w:tc>
        <w:tc>
          <w:tcPr>
            <w:tcW w:w="4787" w:type="dxa"/>
            <w:gridSpan w:val="1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2024年度，我局维护的触摸屏、评价仪、电脑等各类设施设备、大厅及局机关网络正常运行，一体化政务服务平台、四川省工程建设项目审批管理系统2.0版稳定运行。</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694"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2.项目实施内容及过程概述</w:t>
            </w:r>
          </w:p>
        </w:tc>
        <w:tc>
          <w:tcPr>
            <w:tcW w:w="11050" w:type="dxa"/>
            <w:gridSpan w:val="2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2024年度，我局共维护大厅计算机台数约510台，信息系统3个，互联网专线2个，座机66部，WiFi3套40个，平台、网络及设备运行正常，设备故障率低，使用主体满意度高。</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60" w:hRule="atLeast"/>
        </w:trPr>
        <w:tc>
          <w:tcPr>
            <w:tcW w:w="801"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预算执行情况（10分）</w:t>
            </w: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年度预算数（万元）</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年初预算</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调整后预算数</w:t>
            </w: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预算执行数</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预算执行率</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权重</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得分</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原因</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45"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总额</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102.00</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102.00</w:t>
            </w: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102.00</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98"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1.预算执行率=预算执行数/调整后预算数，预算执行率未达到90%的需说明原因（100字以内）;2.年中发生预算调整的（追加或调减）,应单独说明理由；3.其他资金包括：社会投入资金、银行贷款</w:t>
            </w:r>
            <w:r>
              <w:rPr>
                <w:rFonts w:hint="eastAsia" w:ascii="宋体" w:hAnsi="宋体" w:cs="宋体"/>
                <w:color w:val="000000"/>
                <w:kern w:val="0"/>
                <w:sz w:val="18"/>
                <w:szCs w:val="18"/>
                <w:lang w:eastAsia="zh-CN" w:bidi="ar"/>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90"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其中：财政资金</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102.00</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102.00</w:t>
            </w: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102.00</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798"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409"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财政专户管理资金</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798"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60"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单位资金</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798"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其他资金</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iCs/>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iCs/>
                <w:color w:val="000000"/>
                <w:sz w:val="18"/>
                <w:szCs w:val="18"/>
              </w:rPr>
            </w:pP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iCs/>
                <w:color w:val="000000"/>
                <w:sz w:val="18"/>
                <w:szCs w:val="18"/>
              </w:rPr>
            </w:pP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iCs/>
                <w:color w:val="000000"/>
                <w:sz w:val="18"/>
                <w:szCs w:val="18"/>
              </w:rPr>
            </w:pP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798"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454" w:hRule="atLeast"/>
        </w:trPr>
        <w:tc>
          <w:tcPr>
            <w:tcW w:w="801"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绩效指标（90分）</w:t>
            </w: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一级指标</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二级指标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三级指标</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指标性质</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指标值</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度量单位</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完成值</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权重</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得分</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未完成原因分析</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产出指标</w:t>
            </w:r>
          </w:p>
        </w:tc>
        <w:tc>
          <w:tcPr>
            <w:tcW w:w="170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数量指标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维护的网络设施设备个数</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500</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510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iCs/>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0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维护的信息系统个数</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iCs/>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0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维护的互联网专线个数</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iCs/>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0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质量指标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平台正常运行率</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iCs/>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0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网络设备正常运行率</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iCs/>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0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时效指标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网络故障应急处理天数</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天</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iCs/>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0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项目完成时间</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iCs/>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440"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效益指标</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社会效益指标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政务服务质量水平提升度</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定性</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18</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网络服务保障政务服务能力还有待提升。</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108" w:type="dxa"/>
            <w:bottom w:w="0" w:type="dxa"/>
            <w:right w:w="108" w:type="dxa"/>
          </w:tblCellMar>
        </w:tblPrEx>
        <w:trPr>
          <w:gridBefore w:val="1"/>
          <w:gridAfter w:val="1"/>
          <w:wBefore w:w="3" w:type="dxa"/>
          <w:wAfter w:w="721" w:type="dxa"/>
          <w:trHeight w:val="454"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满意度指标</w:t>
            </w:r>
          </w:p>
        </w:tc>
        <w:tc>
          <w:tcPr>
            <w:tcW w:w="170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服务对象满意度指标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工作人员对网络使用满意度</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iCs/>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454"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0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办事群众对大厅网络设备运行满意度</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iCs/>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成本指标</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经济成本指标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项目总预算控制数</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102</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万元</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102</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iCs/>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285" w:hRule="atLeast"/>
        </w:trPr>
        <w:tc>
          <w:tcPr>
            <w:tcW w:w="10361" w:type="dxa"/>
            <w:gridSpan w:val="2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合计</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98</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604" w:hRule="atLeast"/>
        </w:trPr>
        <w:tc>
          <w:tcPr>
            <w:tcW w:w="801"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评价结论</w:t>
            </w:r>
          </w:p>
        </w:tc>
        <w:tc>
          <w:tcPr>
            <w:tcW w:w="13075" w:type="dxa"/>
            <w:gridSpan w:val="28"/>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经自评，该项目得分为98分。通过该项目的实施确保了政务中心（含大厅）触摸屏、评价仪、电脑等各类设备设施及党政务网、政务外网等网络正常运行，保障了一体化政务服务平台、四川省工程建设项目审批管理系统2.0版等网络系统的稳定运行。</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574" w:hRule="atLeast"/>
        </w:trPr>
        <w:tc>
          <w:tcPr>
            <w:tcW w:w="801"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存在问题</w:t>
            </w:r>
          </w:p>
        </w:tc>
        <w:tc>
          <w:tcPr>
            <w:tcW w:w="13075" w:type="dxa"/>
            <w:gridSpan w:val="28"/>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由于工作量、业务量年度中途会有略有调整变化，年初预算并不十分精确。</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634" w:hRule="atLeast"/>
        </w:trPr>
        <w:tc>
          <w:tcPr>
            <w:tcW w:w="801"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改进措施</w:t>
            </w:r>
          </w:p>
        </w:tc>
        <w:tc>
          <w:tcPr>
            <w:tcW w:w="13075" w:type="dxa"/>
            <w:gridSpan w:val="28"/>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合理优化调整年度绩效指标值。</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285" w:hRule="atLeast"/>
        </w:trPr>
        <w:tc>
          <w:tcPr>
            <w:tcW w:w="7362" w:type="dxa"/>
            <w:gridSpan w:val="1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项目负责人：杨勇</w:t>
            </w:r>
          </w:p>
        </w:tc>
        <w:tc>
          <w:tcPr>
            <w:tcW w:w="6514" w:type="dxa"/>
            <w:gridSpan w:val="1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财务负责人：袁玲</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540" w:hRule="atLeast"/>
        </w:trPr>
        <w:tc>
          <w:tcPr>
            <w:tcW w:w="801"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2025"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1702"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2224" w:type="dxa"/>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610" w:type="dxa"/>
            <w:gridSpan w:val="5"/>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1207" w:type="dxa"/>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520"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1272"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820" w:type="dxa"/>
            <w:gridSpan w:val="5"/>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897"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1798" w:type="dxa"/>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00" w:hRule="atLeast"/>
        </w:trPr>
        <w:tc>
          <w:tcPr>
            <w:tcW w:w="801" w:type="dxa"/>
            <w:gridSpan w:val="3"/>
            <w:tcBorders>
              <w:top w:val="nil"/>
              <w:left w:val="nil"/>
              <w:bottom w:val="nil"/>
              <w:right w:val="nil"/>
            </w:tcBorders>
            <w:shd w:val="clear" w:color="auto" w:fill="auto"/>
            <w:noWrap w:val="0"/>
            <w:vAlign w:val="center"/>
          </w:tcPr>
          <w:p>
            <w:pPr>
              <w:jc w:val="center"/>
              <w:rPr>
                <w:rFonts w:hint="eastAsia" w:ascii="黑体" w:hAnsi="宋体" w:eastAsia="黑体" w:cs="黑体"/>
                <w:b/>
                <w:bCs/>
                <w:color w:val="000000"/>
                <w:sz w:val="30"/>
                <w:szCs w:val="30"/>
              </w:rPr>
            </w:pPr>
          </w:p>
        </w:tc>
        <w:tc>
          <w:tcPr>
            <w:tcW w:w="2025" w:type="dxa"/>
            <w:gridSpan w:val="3"/>
            <w:tcBorders>
              <w:top w:val="nil"/>
              <w:left w:val="nil"/>
              <w:bottom w:val="nil"/>
              <w:right w:val="nil"/>
            </w:tcBorders>
            <w:shd w:val="clear" w:color="auto" w:fill="auto"/>
            <w:noWrap w:val="0"/>
            <w:vAlign w:val="center"/>
          </w:tcPr>
          <w:p>
            <w:pPr>
              <w:jc w:val="center"/>
              <w:rPr>
                <w:rFonts w:hint="eastAsia" w:ascii="黑体" w:hAnsi="宋体" w:eastAsia="黑体" w:cs="黑体"/>
                <w:b/>
                <w:bCs/>
                <w:color w:val="000000"/>
                <w:sz w:val="30"/>
                <w:szCs w:val="30"/>
              </w:rPr>
            </w:pPr>
          </w:p>
        </w:tc>
        <w:tc>
          <w:tcPr>
            <w:tcW w:w="1702" w:type="dxa"/>
            <w:gridSpan w:val="3"/>
            <w:tcBorders>
              <w:top w:val="nil"/>
              <w:left w:val="nil"/>
              <w:bottom w:val="nil"/>
              <w:right w:val="nil"/>
            </w:tcBorders>
            <w:shd w:val="clear" w:color="auto" w:fill="auto"/>
            <w:noWrap w:val="0"/>
            <w:vAlign w:val="center"/>
          </w:tcPr>
          <w:p>
            <w:pPr>
              <w:jc w:val="center"/>
              <w:rPr>
                <w:rFonts w:hint="eastAsia" w:ascii="黑体" w:hAnsi="宋体" w:eastAsia="黑体" w:cs="黑体"/>
                <w:b/>
                <w:bCs/>
                <w:color w:val="000000"/>
                <w:sz w:val="30"/>
                <w:szCs w:val="30"/>
              </w:rPr>
            </w:pPr>
          </w:p>
        </w:tc>
        <w:tc>
          <w:tcPr>
            <w:tcW w:w="2224" w:type="dxa"/>
            <w:tcBorders>
              <w:top w:val="nil"/>
              <w:left w:val="nil"/>
              <w:bottom w:val="nil"/>
              <w:right w:val="nil"/>
            </w:tcBorders>
            <w:shd w:val="clear" w:color="auto" w:fill="auto"/>
            <w:noWrap w:val="0"/>
            <w:vAlign w:val="center"/>
          </w:tcPr>
          <w:p>
            <w:pPr>
              <w:jc w:val="center"/>
              <w:rPr>
                <w:rFonts w:hint="eastAsia" w:ascii="黑体" w:hAnsi="宋体" w:eastAsia="黑体" w:cs="黑体"/>
                <w:b/>
                <w:bCs/>
                <w:color w:val="000000"/>
                <w:sz w:val="30"/>
                <w:szCs w:val="30"/>
              </w:rPr>
            </w:pPr>
          </w:p>
        </w:tc>
        <w:tc>
          <w:tcPr>
            <w:tcW w:w="610" w:type="dxa"/>
            <w:gridSpan w:val="5"/>
            <w:tcBorders>
              <w:top w:val="nil"/>
              <w:left w:val="nil"/>
              <w:bottom w:val="nil"/>
              <w:right w:val="nil"/>
            </w:tcBorders>
            <w:shd w:val="clear" w:color="auto" w:fill="auto"/>
            <w:noWrap w:val="0"/>
            <w:vAlign w:val="center"/>
          </w:tcPr>
          <w:p>
            <w:pPr>
              <w:jc w:val="center"/>
              <w:rPr>
                <w:rFonts w:hint="eastAsia" w:ascii="黑体" w:hAnsi="宋体" w:eastAsia="黑体" w:cs="黑体"/>
                <w:b/>
                <w:bCs/>
                <w:color w:val="000000"/>
                <w:sz w:val="30"/>
                <w:szCs w:val="30"/>
              </w:rPr>
            </w:pPr>
          </w:p>
        </w:tc>
        <w:tc>
          <w:tcPr>
            <w:tcW w:w="1207" w:type="dxa"/>
            <w:tcBorders>
              <w:top w:val="nil"/>
              <w:left w:val="nil"/>
              <w:bottom w:val="nil"/>
              <w:right w:val="nil"/>
            </w:tcBorders>
            <w:shd w:val="clear" w:color="auto" w:fill="auto"/>
            <w:noWrap w:val="0"/>
            <w:vAlign w:val="center"/>
          </w:tcPr>
          <w:p>
            <w:pPr>
              <w:jc w:val="center"/>
              <w:rPr>
                <w:rFonts w:hint="eastAsia" w:ascii="黑体" w:hAnsi="宋体" w:eastAsia="黑体" w:cs="黑体"/>
                <w:b/>
                <w:bCs/>
                <w:color w:val="000000"/>
                <w:sz w:val="30"/>
                <w:szCs w:val="30"/>
              </w:rPr>
            </w:pPr>
          </w:p>
        </w:tc>
        <w:tc>
          <w:tcPr>
            <w:tcW w:w="520" w:type="dxa"/>
            <w:gridSpan w:val="3"/>
            <w:tcBorders>
              <w:top w:val="nil"/>
              <w:left w:val="nil"/>
              <w:bottom w:val="nil"/>
              <w:right w:val="nil"/>
            </w:tcBorders>
            <w:shd w:val="clear" w:color="auto" w:fill="auto"/>
            <w:noWrap w:val="0"/>
            <w:vAlign w:val="center"/>
          </w:tcPr>
          <w:p>
            <w:pPr>
              <w:jc w:val="center"/>
              <w:rPr>
                <w:rFonts w:hint="eastAsia" w:ascii="黑体" w:hAnsi="宋体" w:eastAsia="黑体" w:cs="黑体"/>
                <w:b/>
                <w:bCs/>
                <w:color w:val="000000"/>
                <w:sz w:val="30"/>
                <w:szCs w:val="30"/>
              </w:rPr>
            </w:pPr>
          </w:p>
        </w:tc>
        <w:tc>
          <w:tcPr>
            <w:tcW w:w="1272" w:type="dxa"/>
            <w:gridSpan w:val="3"/>
            <w:tcBorders>
              <w:top w:val="nil"/>
              <w:left w:val="nil"/>
              <w:bottom w:val="nil"/>
              <w:right w:val="nil"/>
            </w:tcBorders>
            <w:shd w:val="clear" w:color="auto" w:fill="auto"/>
            <w:noWrap w:val="0"/>
            <w:vAlign w:val="center"/>
          </w:tcPr>
          <w:p>
            <w:pPr>
              <w:jc w:val="center"/>
              <w:rPr>
                <w:rFonts w:hint="eastAsia" w:ascii="黑体" w:hAnsi="宋体" w:eastAsia="黑体" w:cs="黑体"/>
                <w:b/>
                <w:bCs/>
                <w:color w:val="000000"/>
                <w:sz w:val="30"/>
                <w:szCs w:val="30"/>
              </w:rPr>
            </w:pPr>
          </w:p>
        </w:tc>
        <w:tc>
          <w:tcPr>
            <w:tcW w:w="820" w:type="dxa"/>
            <w:gridSpan w:val="5"/>
            <w:tcBorders>
              <w:top w:val="nil"/>
              <w:left w:val="nil"/>
              <w:bottom w:val="nil"/>
              <w:right w:val="nil"/>
            </w:tcBorders>
            <w:shd w:val="clear" w:color="auto" w:fill="auto"/>
            <w:noWrap w:val="0"/>
            <w:vAlign w:val="center"/>
          </w:tcPr>
          <w:p>
            <w:pPr>
              <w:jc w:val="center"/>
              <w:rPr>
                <w:rFonts w:hint="eastAsia" w:ascii="黑体" w:hAnsi="宋体" w:eastAsia="黑体" w:cs="黑体"/>
                <w:b/>
                <w:bCs/>
                <w:color w:val="000000"/>
                <w:sz w:val="30"/>
                <w:szCs w:val="30"/>
              </w:rPr>
            </w:pPr>
          </w:p>
        </w:tc>
        <w:tc>
          <w:tcPr>
            <w:tcW w:w="897" w:type="dxa"/>
            <w:gridSpan w:val="3"/>
            <w:tcBorders>
              <w:top w:val="nil"/>
              <w:left w:val="nil"/>
              <w:bottom w:val="nil"/>
              <w:right w:val="nil"/>
            </w:tcBorders>
            <w:shd w:val="clear" w:color="auto" w:fill="auto"/>
            <w:noWrap w:val="0"/>
            <w:vAlign w:val="center"/>
          </w:tcPr>
          <w:p>
            <w:pPr>
              <w:jc w:val="center"/>
              <w:rPr>
                <w:rFonts w:hint="eastAsia" w:ascii="黑体" w:hAnsi="宋体" w:eastAsia="黑体" w:cs="黑体"/>
                <w:b/>
                <w:bCs/>
                <w:color w:val="000000"/>
                <w:sz w:val="30"/>
                <w:szCs w:val="30"/>
              </w:rPr>
            </w:pPr>
          </w:p>
        </w:tc>
        <w:tc>
          <w:tcPr>
            <w:tcW w:w="1798" w:type="dxa"/>
            <w:tcBorders>
              <w:top w:val="nil"/>
              <w:left w:val="nil"/>
              <w:bottom w:val="nil"/>
              <w:right w:val="nil"/>
            </w:tcBorders>
            <w:shd w:val="clear" w:color="auto" w:fill="auto"/>
            <w:noWrap w:val="0"/>
            <w:vAlign w:val="center"/>
          </w:tcPr>
          <w:p>
            <w:pPr>
              <w:jc w:val="center"/>
              <w:rPr>
                <w:rFonts w:hint="eastAsia" w:ascii="黑体" w:hAnsi="宋体" w:eastAsia="黑体" w:cs="黑体"/>
                <w:b/>
                <w:bCs/>
                <w:color w:val="000000"/>
                <w:sz w:val="30"/>
                <w:szCs w:val="30"/>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904" w:hRule="atLeast"/>
        </w:trPr>
        <w:tc>
          <w:tcPr>
            <w:tcW w:w="13876" w:type="dxa"/>
            <w:gridSpan w:val="31"/>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黑体" w:hAnsi="宋体" w:eastAsia="黑体" w:cs="黑体"/>
                <w:b/>
                <w:bCs/>
                <w:color w:val="000000"/>
                <w:sz w:val="30"/>
                <w:szCs w:val="30"/>
              </w:rPr>
            </w:pPr>
            <w:r>
              <w:rPr>
                <w:rFonts w:hint="eastAsia" w:ascii="黑体" w:hAnsi="宋体" w:eastAsia="黑体" w:cs="黑体"/>
                <w:b/>
                <w:bCs/>
                <w:color w:val="000000"/>
                <w:kern w:val="0"/>
                <w:sz w:val="30"/>
                <w:szCs w:val="30"/>
                <w:lang w:bidi="ar"/>
              </w:rPr>
              <w:t>部门预算项目支出绩效自评表（2024年度）</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108" w:type="dxa"/>
            <w:bottom w:w="0" w:type="dxa"/>
            <w:right w:w="108" w:type="dxa"/>
          </w:tblCellMar>
        </w:tblPrEx>
        <w:trPr>
          <w:gridBefore w:val="1"/>
          <w:gridAfter w:val="1"/>
          <w:wBefore w:w="3" w:type="dxa"/>
          <w:wAfter w:w="721" w:type="dxa"/>
          <w:trHeight w:val="440" w:hRule="atLeast"/>
        </w:trPr>
        <w:tc>
          <w:tcPr>
            <w:tcW w:w="2826"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项目名称</w:t>
            </w:r>
          </w:p>
        </w:tc>
        <w:tc>
          <w:tcPr>
            <w:tcW w:w="11050" w:type="dxa"/>
            <w:gridSpan w:val="2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51080021T000000052212-“天府通办“广元分站点项目运维费</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514" w:hRule="atLeast"/>
        </w:trPr>
        <w:tc>
          <w:tcPr>
            <w:tcW w:w="2826"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主管部门</w:t>
            </w:r>
          </w:p>
        </w:tc>
        <w:tc>
          <w:tcPr>
            <w:tcW w:w="6263" w:type="dxa"/>
            <w:gridSpan w:val="1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广元市政务服务和数据局部门</w:t>
            </w:r>
          </w:p>
        </w:tc>
        <w:tc>
          <w:tcPr>
            <w:tcW w:w="1272" w:type="dxa"/>
            <w:gridSpan w:val="3"/>
            <w:tcBorders>
              <w:top w:val="nil"/>
              <w:left w:val="nil"/>
              <w:bottom w:val="nil"/>
              <w:right w:val="nil"/>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实施单位 （盖章）</w:t>
            </w:r>
          </w:p>
        </w:tc>
        <w:tc>
          <w:tcPr>
            <w:tcW w:w="3515"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广元市政务服务和数据局</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285" w:hRule="atLeast"/>
        </w:trPr>
        <w:tc>
          <w:tcPr>
            <w:tcW w:w="801"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项目基本情况</w:t>
            </w:r>
          </w:p>
        </w:tc>
        <w:tc>
          <w:tcPr>
            <w:tcW w:w="202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1.项目年度目标完成情况</w:t>
            </w:r>
          </w:p>
        </w:tc>
        <w:tc>
          <w:tcPr>
            <w:tcW w:w="6263" w:type="dxa"/>
            <w:gridSpan w:val="1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项目年度目标</w:t>
            </w:r>
          </w:p>
        </w:tc>
        <w:tc>
          <w:tcPr>
            <w:tcW w:w="4787" w:type="dxa"/>
            <w:gridSpan w:val="1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年度目标完成情况</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709"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c>
          <w:tcPr>
            <w:tcW w:w="6263" w:type="dxa"/>
            <w:gridSpan w:val="1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　  根据“天府通办”分站建设项目建成后，确保正常运转。</w:t>
            </w:r>
            <w:r>
              <w:rPr>
                <w:rFonts w:ascii="Arial" w:hAnsi="Arial" w:eastAsia="宋体" w:cs="Arial"/>
                <w:color w:val="000000"/>
                <w:kern w:val="0"/>
                <w:sz w:val="18"/>
                <w:szCs w:val="18"/>
                <w:lang w:bidi="ar"/>
              </w:rPr>
              <w:t xml:space="preserve">     </w:t>
            </w:r>
          </w:p>
        </w:tc>
        <w:tc>
          <w:tcPr>
            <w:tcW w:w="4787" w:type="dxa"/>
            <w:gridSpan w:val="1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“天府通办”广元分站点项目建成后，平台运转正常，运维保障到位，提升了政务服务质效。</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694"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2.项目实施内容及过程概述</w:t>
            </w:r>
          </w:p>
        </w:tc>
        <w:tc>
          <w:tcPr>
            <w:tcW w:w="11050" w:type="dxa"/>
            <w:gridSpan w:val="2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预算下达后，经自行采购，合同金额23.244万元，供应商提供驻场人员1名，保障天府通办正常运行。</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60" w:hRule="atLeast"/>
        </w:trPr>
        <w:tc>
          <w:tcPr>
            <w:tcW w:w="801"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预算执行情况（10分）</w:t>
            </w: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年度预算数（万元）</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年初预算</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调整后预算数</w:t>
            </w: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预算执行数</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预算执行率</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权重</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得分</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原因</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45"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总额</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15.10</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44.90</w:t>
            </w: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26.52</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59.07%</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1798"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上年度结余指标15.1万元财政尚未收回。本年度项目资金预算29.8万元，已支付26.52万元，剩余部分根据合同约定需跨年度支付。</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90"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其中：财政资金</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15.10</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44.90</w:t>
            </w: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26.52</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59.07%</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798"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409"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财政专户管理资金</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798"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60"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单位资金</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798"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其他资金</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798"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454" w:hRule="atLeast"/>
        </w:trPr>
        <w:tc>
          <w:tcPr>
            <w:tcW w:w="801"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绩效指标（90分）</w:t>
            </w: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一级指标</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二级指标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三级指标</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指标性质</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指标值</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度量单位</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完成值</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权重</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得分</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未完成原因分析</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产出指标</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数量指标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运维的系统个数</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质量指标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系统正常运行率</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98</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98</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时效指标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维护周期</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效益指标</w:t>
            </w:r>
          </w:p>
        </w:tc>
        <w:tc>
          <w:tcPr>
            <w:tcW w:w="170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社会效益指标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对政务服务效率提升度</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30</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454"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0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对促进政务信息公开方面的影响程度</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定性</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454"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0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对提升数据共享服务方面的影响程度</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定性</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可持续影响指标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系统后续可拓展性</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定性</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优</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优</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454"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满意度指标</w:t>
            </w:r>
          </w:p>
        </w:tc>
        <w:tc>
          <w:tcPr>
            <w:tcW w:w="170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服务对象满意度指标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工作人员对系统使用满意度</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0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群众满意度</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成本指标</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经济成本指标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系统运维成本</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30</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万元</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26.52</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285" w:hRule="atLeast"/>
        </w:trPr>
        <w:tc>
          <w:tcPr>
            <w:tcW w:w="10361" w:type="dxa"/>
            <w:gridSpan w:val="2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合计</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96</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604" w:hRule="atLeast"/>
        </w:trPr>
        <w:tc>
          <w:tcPr>
            <w:tcW w:w="801"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评价结论</w:t>
            </w:r>
          </w:p>
        </w:tc>
        <w:tc>
          <w:tcPr>
            <w:tcW w:w="13075" w:type="dxa"/>
            <w:gridSpan w:val="28"/>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经自评，该项目得分96分。通过该项目的实施，“天府通办”广元分站点运转良好，各部门应用受到使用主体好评。</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574" w:hRule="atLeast"/>
        </w:trPr>
        <w:tc>
          <w:tcPr>
            <w:tcW w:w="801"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存在问题</w:t>
            </w:r>
          </w:p>
        </w:tc>
        <w:tc>
          <w:tcPr>
            <w:tcW w:w="13075" w:type="dxa"/>
            <w:gridSpan w:val="28"/>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由于存在上年结转资金导致预算执行存在偏差。</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108" w:type="dxa"/>
            <w:bottom w:w="0" w:type="dxa"/>
            <w:right w:w="108" w:type="dxa"/>
          </w:tblCellMar>
        </w:tblPrEx>
        <w:trPr>
          <w:gridBefore w:val="1"/>
          <w:gridAfter w:val="1"/>
          <w:wBefore w:w="3" w:type="dxa"/>
          <w:wAfter w:w="721" w:type="dxa"/>
          <w:trHeight w:val="634" w:hRule="atLeast"/>
        </w:trPr>
        <w:tc>
          <w:tcPr>
            <w:tcW w:w="801"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改进措施</w:t>
            </w:r>
          </w:p>
        </w:tc>
        <w:tc>
          <w:tcPr>
            <w:tcW w:w="13075" w:type="dxa"/>
            <w:gridSpan w:val="28"/>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项目结余资金申请财政及时收回。</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285" w:hRule="atLeast"/>
        </w:trPr>
        <w:tc>
          <w:tcPr>
            <w:tcW w:w="7362" w:type="dxa"/>
            <w:gridSpan w:val="1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项目负责人：杨勇</w:t>
            </w:r>
          </w:p>
        </w:tc>
        <w:tc>
          <w:tcPr>
            <w:tcW w:w="6514" w:type="dxa"/>
            <w:gridSpan w:val="1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财务负责人：袁玲</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860" w:hRule="atLeast"/>
        </w:trPr>
        <w:tc>
          <w:tcPr>
            <w:tcW w:w="801"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2025"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1702"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2224" w:type="dxa"/>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610" w:type="dxa"/>
            <w:gridSpan w:val="5"/>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1207" w:type="dxa"/>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520"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1272"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820" w:type="dxa"/>
            <w:gridSpan w:val="5"/>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897"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1798" w:type="dxa"/>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904" w:hRule="atLeast"/>
        </w:trPr>
        <w:tc>
          <w:tcPr>
            <w:tcW w:w="13876" w:type="dxa"/>
            <w:gridSpan w:val="31"/>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b/>
                <w:bCs/>
                <w:color w:val="000000"/>
                <w:sz w:val="16"/>
                <w:szCs w:val="16"/>
              </w:rPr>
            </w:pPr>
            <w:r>
              <w:rPr>
                <w:rFonts w:hint="eastAsia" w:ascii="黑体" w:hAnsi="宋体" w:eastAsia="黑体" w:cs="黑体"/>
                <w:b/>
                <w:bCs/>
                <w:color w:val="000000"/>
                <w:kern w:val="0"/>
                <w:sz w:val="30"/>
                <w:szCs w:val="30"/>
                <w:lang w:bidi="ar"/>
              </w:rPr>
              <w:t>部门预算项目支出绩效自评表（2024年度）</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108" w:type="dxa"/>
            <w:bottom w:w="0" w:type="dxa"/>
            <w:right w:w="108" w:type="dxa"/>
          </w:tblCellMar>
        </w:tblPrEx>
        <w:trPr>
          <w:gridBefore w:val="1"/>
          <w:gridAfter w:val="1"/>
          <w:wBefore w:w="3" w:type="dxa"/>
          <w:wAfter w:w="721" w:type="dxa"/>
          <w:trHeight w:val="320" w:hRule="atLeast"/>
        </w:trPr>
        <w:tc>
          <w:tcPr>
            <w:tcW w:w="2826"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项目名称</w:t>
            </w:r>
          </w:p>
        </w:tc>
        <w:tc>
          <w:tcPr>
            <w:tcW w:w="11050" w:type="dxa"/>
            <w:gridSpan w:val="2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51080021T000000052224-工程建设项目审批制度改革和审批提速经费</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514" w:hRule="atLeast"/>
        </w:trPr>
        <w:tc>
          <w:tcPr>
            <w:tcW w:w="2826"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主管部门</w:t>
            </w:r>
          </w:p>
        </w:tc>
        <w:tc>
          <w:tcPr>
            <w:tcW w:w="6263" w:type="dxa"/>
            <w:gridSpan w:val="1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广元市政务服务和数据局</w:t>
            </w:r>
          </w:p>
        </w:tc>
        <w:tc>
          <w:tcPr>
            <w:tcW w:w="1272" w:type="dxa"/>
            <w:gridSpan w:val="3"/>
            <w:tcBorders>
              <w:top w:val="nil"/>
              <w:left w:val="nil"/>
              <w:bottom w:val="nil"/>
              <w:right w:val="nil"/>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实施单位 （盖章）</w:t>
            </w:r>
          </w:p>
        </w:tc>
        <w:tc>
          <w:tcPr>
            <w:tcW w:w="3515"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广元市政务服务和数据局</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285" w:hRule="atLeast"/>
        </w:trPr>
        <w:tc>
          <w:tcPr>
            <w:tcW w:w="801"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项目基本情况</w:t>
            </w:r>
          </w:p>
        </w:tc>
        <w:tc>
          <w:tcPr>
            <w:tcW w:w="202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1.项目年度目标完成情况</w:t>
            </w:r>
          </w:p>
        </w:tc>
        <w:tc>
          <w:tcPr>
            <w:tcW w:w="6263" w:type="dxa"/>
            <w:gridSpan w:val="1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项目年度目标</w:t>
            </w:r>
          </w:p>
        </w:tc>
        <w:tc>
          <w:tcPr>
            <w:tcW w:w="4787" w:type="dxa"/>
            <w:gridSpan w:val="1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年度目标完成情况</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1800"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c>
          <w:tcPr>
            <w:tcW w:w="6263" w:type="dxa"/>
            <w:gridSpan w:val="1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通过对工程建设项目审批制度进行全流程、全覆盖、全事项改革，努力构建科学、便捷、高效的工程建设项目审批体系。实现助推我市工程建设项目快速落实投产，极大地改善广元营商环境，创造可复制的工程建设项目审批提速“广元经验”。</w:t>
            </w:r>
          </w:p>
        </w:tc>
        <w:tc>
          <w:tcPr>
            <w:tcW w:w="4787" w:type="dxa"/>
            <w:gridSpan w:val="1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通过对工程建设项目审批制度进行全流程、全覆盖、全事项改革，健全完善“改办督”一体联动推进机制，高效完成年初制定的各项目标。我市并联审批率、联合审图率、联合验收率等反映工程审批办理质效的三大主要指标排名长期保持在全省前列，全年按时办结率100%，施工许可等项目要素保障事项审批提速达30%以上，累计为企业开展帮代办、上门指导等特色服务100余次，企业满意率99.58.</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1200"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2.项目实施内容及过程概述</w:t>
            </w:r>
          </w:p>
        </w:tc>
        <w:tc>
          <w:tcPr>
            <w:tcW w:w="11050" w:type="dxa"/>
            <w:gridSpan w:val="2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全面实行“一窗进出、全程在线、并联审批”机制，依托联审中心抓统筹、工程综窗管进出、行业主管部门分阶段牵头、其他部门密切配合的运行模式，全面实现一个窗口提供综合服务、一张表单整合申报材料、一个标准集成并联审批。全面梳理并动态管理工程建设项目清单，为每个重点项目组建1个服务专班、开展预审辅导、“一对一”配备政务服务专员，实时精准出具个性化并联审批指导书，依托12345政务服务便民热线对项目审批过程进行全量回访，推动项目极速审批早日落地投产。</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60" w:hRule="atLeast"/>
        </w:trPr>
        <w:tc>
          <w:tcPr>
            <w:tcW w:w="801"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预算执行情况（10分）</w:t>
            </w: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年度预算数（万元）</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年初预算</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调整后预算数</w:t>
            </w: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预算执行数</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预算执行率</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权重</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得分</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原因</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45"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总额</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w:t>
            </w: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1798"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1.预算执行率=预算执行数/调整后预算数，预算执行率未达到90%的需说明原因（100字以内）;2.年中发生预算调整的（追加或调减）,应单独说明理由；3.其他资金包括：社会投入资金、银行贷款</w:t>
            </w:r>
            <w:r>
              <w:rPr>
                <w:rFonts w:hint="eastAsia" w:ascii="宋体" w:hAnsi="宋体" w:cs="宋体"/>
                <w:color w:val="000000"/>
                <w:kern w:val="0"/>
                <w:sz w:val="18"/>
                <w:szCs w:val="18"/>
                <w:lang w:eastAsia="zh-CN" w:bidi="ar"/>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90"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其中：财政资金</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w:t>
            </w: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798"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409"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财政专户管理资金</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798"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60"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单位资金</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798"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其他资金</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798"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454" w:hRule="atLeast"/>
        </w:trPr>
        <w:tc>
          <w:tcPr>
            <w:tcW w:w="801"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绩效指标（90分）</w:t>
            </w: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一级指标</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二级指标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三级指标</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指标性质</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指标值</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度量单位</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完成值</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权重</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得分</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未完成原因分析</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产出指标</w:t>
            </w:r>
          </w:p>
        </w:tc>
        <w:tc>
          <w:tcPr>
            <w:tcW w:w="170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数量指标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联合验收、上门服务次数</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次</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110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0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服务指南种类</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14</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类</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14</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660"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0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到县区督导工作次数</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次</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16</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结合工作安排及为基层减负等原因，在线指导、调度多，实际督导少一些。</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0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举办培训会议次数</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次</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460"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0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质量指标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培训合格率</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98</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98.5</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0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自助服务设备便民度</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95</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96.5</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0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服务指南准确率</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98</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时效指标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项目完成时间</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454"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效益指标</w:t>
            </w:r>
          </w:p>
        </w:tc>
        <w:tc>
          <w:tcPr>
            <w:tcW w:w="170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社会效益指标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并联审批服务工作长效机制健全度</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定性</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0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优化营商环境程度</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定性</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优</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月</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 xml:space="preserve">  优</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454"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满意度指标</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服务对象满意度指标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项目业主对并联审批服务工作满意度</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98</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99.58</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成本指标</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经济成本指标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项目总预算控制数</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万元</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285" w:hRule="atLeast"/>
        </w:trPr>
        <w:tc>
          <w:tcPr>
            <w:tcW w:w="10361" w:type="dxa"/>
            <w:gridSpan w:val="2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合计</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99</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604" w:hRule="atLeast"/>
        </w:trPr>
        <w:tc>
          <w:tcPr>
            <w:tcW w:w="801"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评价结论</w:t>
            </w:r>
          </w:p>
        </w:tc>
        <w:tc>
          <w:tcPr>
            <w:tcW w:w="13075" w:type="dxa"/>
            <w:gridSpan w:val="28"/>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经自评，该项目得分99分。通过“一对一”落实联络员、服务员、代办员“三员合一”的政务服务专员，通过专业化、精准化的咨询辅导服务，并为项目量身定制审批服务套餐，实时精准出具个性化的并联审批指导书，全面提升项目报建水平，极大提升了企业的满意度和获得感。</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574" w:hRule="atLeast"/>
        </w:trPr>
        <w:tc>
          <w:tcPr>
            <w:tcW w:w="801"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存在问题</w:t>
            </w:r>
          </w:p>
        </w:tc>
        <w:tc>
          <w:tcPr>
            <w:tcW w:w="13075" w:type="dxa"/>
            <w:gridSpan w:val="28"/>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省工改2.0系统的稳定性、通配性、兼容性功能还有待完善，申请资料和表单数据共享功能还不够完善，需要申请人重复上传和填报。</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680" w:hRule="atLeast"/>
        </w:trPr>
        <w:tc>
          <w:tcPr>
            <w:tcW w:w="801"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改进措施</w:t>
            </w:r>
          </w:p>
        </w:tc>
        <w:tc>
          <w:tcPr>
            <w:tcW w:w="13075" w:type="dxa"/>
            <w:gridSpan w:val="28"/>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按照省上统一部署，优化完善工程建设项目审批事项清单，包括修改完善工程建设项目审批事项办事指南、申请表单等，持续推动工程建设项目全流程审批标准化、规范化、便利化改革，规范全流程审批服务行为，全面推动落实完善策划生成、深化区域评估、提升网办深度等便利化举措，推动并联审批率等工程审批运行质效指标稳居全省前列。</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285" w:hRule="atLeast"/>
        </w:trPr>
        <w:tc>
          <w:tcPr>
            <w:tcW w:w="7362" w:type="dxa"/>
            <w:gridSpan w:val="1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项目负责人：邓雪梅</w:t>
            </w:r>
          </w:p>
        </w:tc>
        <w:tc>
          <w:tcPr>
            <w:tcW w:w="6514" w:type="dxa"/>
            <w:gridSpan w:val="1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财务负责人：袁玲</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720" w:hRule="atLeast"/>
        </w:trPr>
        <w:tc>
          <w:tcPr>
            <w:tcW w:w="801"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2025"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1702"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2224" w:type="dxa"/>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610" w:type="dxa"/>
            <w:gridSpan w:val="5"/>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1207" w:type="dxa"/>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520"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1272"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820" w:type="dxa"/>
            <w:gridSpan w:val="5"/>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897"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1798" w:type="dxa"/>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904" w:hRule="atLeast"/>
        </w:trPr>
        <w:tc>
          <w:tcPr>
            <w:tcW w:w="13876" w:type="dxa"/>
            <w:gridSpan w:val="31"/>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b/>
                <w:bCs/>
                <w:color w:val="000000"/>
                <w:sz w:val="18"/>
                <w:szCs w:val="18"/>
              </w:rPr>
            </w:pPr>
            <w:r>
              <w:rPr>
                <w:rFonts w:hint="eastAsia" w:ascii="黑体" w:hAnsi="宋体" w:eastAsia="黑体" w:cs="黑体"/>
                <w:b/>
                <w:bCs/>
                <w:color w:val="000000"/>
                <w:kern w:val="0"/>
                <w:sz w:val="30"/>
                <w:szCs w:val="30"/>
                <w:lang w:bidi="ar"/>
              </w:rPr>
              <w:t>部门预算项目支出绩效自评表（2024年度）</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108" w:type="dxa"/>
            <w:bottom w:w="0" w:type="dxa"/>
            <w:right w:w="108" w:type="dxa"/>
          </w:tblCellMar>
        </w:tblPrEx>
        <w:trPr>
          <w:gridBefore w:val="1"/>
          <w:gridAfter w:val="1"/>
          <w:wBefore w:w="3" w:type="dxa"/>
          <w:wAfter w:w="721" w:type="dxa"/>
          <w:trHeight w:val="380" w:hRule="atLeast"/>
        </w:trPr>
        <w:tc>
          <w:tcPr>
            <w:tcW w:w="2826"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项目名称</w:t>
            </w:r>
          </w:p>
        </w:tc>
        <w:tc>
          <w:tcPr>
            <w:tcW w:w="11050" w:type="dxa"/>
            <w:gridSpan w:val="2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51080022T000004931072-乡村振兴工作经费</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514" w:hRule="atLeast"/>
        </w:trPr>
        <w:tc>
          <w:tcPr>
            <w:tcW w:w="2826"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主管部门</w:t>
            </w:r>
          </w:p>
        </w:tc>
        <w:tc>
          <w:tcPr>
            <w:tcW w:w="6263" w:type="dxa"/>
            <w:gridSpan w:val="1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广元市政务服务和数据局部门</w:t>
            </w:r>
          </w:p>
        </w:tc>
        <w:tc>
          <w:tcPr>
            <w:tcW w:w="1272" w:type="dxa"/>
            <w:gridSpan w:val="3"/>
            <w:tcBorders>
              <w:top w:val="nil"/>
              <w:left w:val="nil"/>
              <w:bottom w:val="nil"/>
              <w:right w:val="nil"/>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实施单位 （盖章）</w:t>
            </w:r>
          </w:p>
        </w:tc>
        <w:tc>
          <w:tcPr>
            <w:tcW w:w="3515"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广元市政务服务和数据局</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285" w:hRule="atLeast"/>
        </w:trPr>
        <w:tc>
          <w:tcPr>
            <w:tcW w:w="801"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项目基本情况</w:t>
            </w:r>
          </w:p>
        </w:tc>
        <w:tc>
          <w:tcPr>
            <w:tcW w:w="202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1.项目年度目标完成情况</w:t>
            </w:r>
          </w:p>
        </w:tc>
        <w:tc>
          <w:tcPr>
            <w:tcW w:w="6263" w:type="dxa"/>
            <w:gridSpan w:val="1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项目年度目标</w:t>
            </w:r>
          </w:p>
        </w:tc>
        <w:tc>
          <w:tcPr>
            <w:tcW w:w="4787" w:type="dxa"/>
            <w:gridSpan w:val="1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年度目标完成情况</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709"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c>
          <w:tcPr>
            <w:tcW w:w="6263" w:type="dxa"/>
            <w:gridSpan w:val="1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通过对第一书记及驻村工作队员的后勤保障，高质量推进乡村振兴各项工作，圆满完成2024年度乡村振兴各项工作任务。</w:t>
            </w:r>
          </w:p>
        </w:tc>
        <w:tc>
          <w:tcPr>
            <w:tcW w:w="4787" w:type="dxa"/>
            <w:gridSpan w:val="1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第一书记及驻村工作队员的生活得到有效保证，圆满完成了2024年度乡村振兴各项工作任务。</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694"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2.项目实施内容及过程概述</w:t>
            </w:r>
          </w:p>
        </w:tc>
        <w:tc>
          <w:tcPr>
            <w:tcW w:w="11050" w:type="dxa"/>
            <w:gridSpan w:val="2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按照相关文件规定，定期向第一书记和驻村工作队员发放相关工作补贴，做好后勤服务保障，确保高质量完成乡村振兴驻村帮扶工作</w:t>
            </w:r>
            <w:r>
              <w:rPr>
                <w:rFonts w:hint="eastAsia" w:ascii="宋体" w:hAnsi="宋体" w:cs="宋体"/>
                <w:color w:val="000000"/>
                <w:kern w:val="0"/>
                <w:sz w:val="18"/>
                <w:szCs w:val="18"/>
                <w:lang w:eastAsia="zh-CN" w:bidi="ar"/>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60" w:hRule="atLeast"/>
        </w:trPr>
        <w:tc>
          <w:tcPr>
            <w:tcW w:w="801"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预算执行情况（10分）</w:t>
            </w: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年度预算数（万元）</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年初预算</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调整后预算数</w:t>
            </w: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预算执行数</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预算执行率</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权重</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得分</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原因</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45"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总额</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3.64</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3.64</w:t>
            </w: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3.64</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1798"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1.预算执行率=预算执行数/调整后预算数，预算执行率未达到90%的需说明原因（100字以内）;2.年中发生预算调整的（追加或调减）,应单独说明理由；3.其他资金包括：社会投入资金、银行贷款</w:t>
            </w:r>
            <w:r>
              <w:rPr>
                <w:rFonts w:hint="eastAsia" w:ascii="宋体" w:hAnsi="宋体" w:cs="宋体"/>
                <w:color w:val="000000"/>
                <w:kern w:val="0"/>
                <w:sz w:val="18"/>
                <w:szCs w:val="18"/>
                <w:lang w:eastAsia="zh-CN" w:bidi="ar"/>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90"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其中：财政资金</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3.64</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3.64</w:t>
            </w: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3.64</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798"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409"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财政专户管理资金</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798"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60"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单位资金</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798"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其他资金</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798"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454" w:hRule="atLeast"/>
        </w:trPr>
        <w:tc>
          <w:tcPr>
            <w:tcW w:w="801"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绩效指标（90分）</w:t>
            </w: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一级指标</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二级指标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三级指标</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指标性质</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指标值</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度量单位</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完成值</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权重</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得分</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未完成原因分析</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产出指标</w:t>
            </w:r>
          </w:p>
        </w:tc>
        <w:tc>
          <w:tcPr>
            <w:tcW w:w="170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数量指标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驻村人数</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人</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0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帮扶村数量</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质量指标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帮扶工作完成质量</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定性</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好</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好</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时效指标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驻村时间</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月</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效益指标</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经济效益指标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农民增收情况</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定性</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好</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好</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454"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社会效益指标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落实国家农村经济发展政策情况</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定性</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好</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好</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生态效益指标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农村生产生活条件改善度</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定性</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优</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优</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454"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满意度指标</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服务对象满意度指标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帮扶村村民对驻村工作满意度</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95</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95</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成本指标</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经济成本指标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项目总预算控制数</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3.64</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万元</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3.64</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285" w:hRule="atLeast"/>
        </w:trPr>
        <w:tc>
          <w:tcPr>
            <w:tcW w:w="10361" w:type="dxa"/>
            <w:gridSpan w:val="2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合计</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604" w:hRule="atLeast"/>
        </w:trPr>
        <w:tc>
          <w:tcPr>
            <w:tcW w:w="801"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评价结论</w:t>
            </w:r>
          </w:p>
        </w:tc>
        <w:tc>
          <w:tcPr>
            <w:tcW w:w="13075" w:type="dxa"/>
            <w:gridSpan w:val="28"/>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经自评，该项目得分为100分。严格按照巩固脱贫攻坚成果与乡村振兴有效衔接工作要求，联系帮扶村1个，派驻驻村工作人员2名，联系的龙青村帮扶工作成效显著，群众评价较高。</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574" w:hRule="atLeast"/>
        </w:trPr>
        <w:tc>
          <w:tcPr>
            <w:tcW w:w="801"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存在问题</w:t>
            </w:r>
          </w:p>
        </w:tc>
        <w:tc>
          <w:tcPr>
            <w:tcW w:w="13075" w:type="dxa"/>
            <w:gridSpan w:val="28"/>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无。</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634" w:hRule="atLeast"/>
        </w:trPr>
        <w:tc>
          <w:tcPr>
            <w:tcW w:w="801"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改进措施</w:t>
            </w:r>
          </w:p>
        </w:tc>
        <w:tc>
          <w:tcPr>
            <w:tcW w:w="13075" w:type="dxa"/>
            <w:gridSpan w:val="28"/>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无。</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285" w:hRule="atLeast"/>
        </w:trPr>
        <w:tc>
          <w:tcPr>
            <w:tcW w:w="7362" w:type="dxa"/>
            <w:gridSpan w:val="1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项目负责人：寇雪燕</w:t>
            </w:r>
          </w:p>
        </w:tc>
        <w:tc>
          <w:tcPr>
            <w:tcW w:w="6514" w:type="dxa"/>
            <w:gridSpan w:val="1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财务负责人：袁玲</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500" w:hRule="atLeast"/>
        </w:trPr>
        <w:tc>
          <w:tcPr>
            <w:tcW w:w="801"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2025"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1702"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2224" w:type="dxa"/>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610" w:type="dxa"/>
            <w:gridSpan w:val="5"/>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1207" w:type="dxa"/>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520"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1272"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820" w:type="dxa"/>
            <w:gridSpan w:val="5"/>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897"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1798" w:type="dxa"/>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40" w:hRule="atLeast"/>
        </w:trPr>
        <w:tc>
          <w:tcPr>
            <w:tcW w:w="801" w:type="dxa"/>
            <w:gridSpan w:val="3"/>
            <w:tcBorders>
              <w:top w:val="nil"/>
              <w:left w:val="nil"/>
              <w:bottom w:val="nil"/>
              <w:right w:val="nil"/>
            </w:tcBorders>
            <w:shd w:val="clear" w:color="auto" w:fill="auto"/>
            <w:noWrap w:val="0"/>
            <w:vAlign w:val="center"/>
          </w:tcPr>
          <w:p>
            <w:pPr>
              <w:jc w:val="center"/>
              <w:rPr>
                <w:rFonts w:hint="eastAsia" w:ascii="宋体" w:hAnsi="宋体" w:eastAsia="宋体" w:cs="宋体"/>
                <w:color w:val="000000"/>
                <w:sz w:val="16"/>
                <w:szCs w:val="16"/>
              </w:rPr>
            </w:pPr>
          </w:p>
        </w:tc>
        <w:tc>
          <w:tcPr>
            <w:tcW w:w="2025" w:type="dxa"/>
            <w:gridSpan w:val="3"/>
            <w:tcBorders>
              <w:top w:val="nil"/>
              <w:left w:val="nil"/>
              <w:bottom w:val="nil"/>
              <w:right w:val="nil"/>
            </w:tcBorders>
            <w:shd w:val="clear" w:color="auto" w:fill="auto"/>
            <w:noWrap w:val="0"/>
            <w:vAlign w:val="center"/>
          </w:tcPr>
          <w:p>
            <w:pPr>
              <w:jc w:val="center"/>
              <w:rPr>
                <w:rFonts w:hint="eastAsia" w:ascii="宋体" w:hAnsi="宋体" w:eastAsia="宋体" w:cs="宋体"/>
                <w:color w:val="000000"/>
                <w:sz w:val="16"/>
                <w:szCs w:val="16"/>
              </w:rPr>
            </w:pPr>
          </w:p>
        </w:tc>
        <w:tc>
          <w:tcPr>
            <w:tcW w:w="1702" w:type="dxa"/>
            <w:gridSpan w:val="3"/>
            <w:tcBorders>
              <w:top w:val="nil"/>
              <w:left w:val="nil"/>
              <w:bottom w:val="nil"/>
              <w:right w:val="nil"/>
            </w:tcBorders>
            <w:shd w:val="clear" w:color="auto" w:fill="auto"/>
            <w:noWrap w:val="0"/>
            <w:vAlign w:val="center"/>
          </w:tcPr>
          <w:p>
            <w:pPr>
              <w:jc w:val="center"/>
              <w:rPr>
                <w:rFonts w:hint="eastAsia" w:ascii="宋体" w:hAnsi="宋体" w:eastAsia="宋体" w:cs="宋体"/>
                <w:color w:val="000000"/>
                <w:sz w:val="16"/>
                <w:szCs w:val="16"/>
              </w:rPr>
            </w:pPr>
          </w:p>
        </w:tc>
        <w:tc>
          <w:tcPr>
            <w:tcW w:w="2224" w:type="dxa"/>
            <w:tcBorders>
              <w:top w:val="nil"/>
              <w:left w:val="nil"/>
              <w:bottom w:val="nil"/>
              <w:right w:val="nil"/>
            </w:tcBorders>
            <w:shd w:val="clear" w:color="auto" w:fill="auto"/>
            <w:noWrap w:val="0"/>
            <w:vAlign w:val="center"/>
          </w:tcPr>
          <w:p>
            <w:pPr>
              <w:jc w:val="center"/>
              <w:rPr>
                <w:rFonts w:hint="eastAsia" w:ascii="宋体" w:hAnsi="宋体" w:eastAsia="宋体" w:cs="宋体"/>
                <w:color w:val="000000"/>
                <w:sz w:val="16"/>
                <w:szCs w:val="16"/>
              </w:rPr>
            </w:pPr>
          </w:p>
        </w:tc>
        <w:tc>
          <w:tcPr>
            <w:tcW w:w="610" w:type="dxa"/>
            <w:gridSpan w:val="5"/>
            <w:tcBorders>
              <w:top w:val="nil"/>
              <w:left w:val="nil"/>
              <w:bottom w:val="nil"/>
              <w:right w:val="nil"/>
            </w:tcBorders>
            <w:shd w:val="clear" w:color="auto" w:fill="auto"/>
            <w:noWrap w:val="0"/>
            <w:vAlign w:val="center"/>
          </w:tcPr>
          <w:p>
            <w:pPr>
              <w:jc w:val="center"/>
              <w:rPr>
                <w:rFonts w:hint="eastAsia" w:ascii="宋体" w:hAnsi="宋体" w:eastAsia="宋体" w:cs="宋体"/>
                <w:color w:val="000000"/>
                <w:sz w:val="16"/>
                <w:szCs w:val="16"/>
              </w:rPr>
            </w:pPr>
          </w:p>
        </w:tc>
        <w:tc>
          <w:tcPr>
            <w:tcW w:w="1207" w:type="dxa"/>
            <w:tcBorders>
              <w:top w:val="nil"/>
              <w:left w:val="nil"/>
              <w:bottom w:val="nil"/>
              <w:right w:val="nil"/>
            </w:tcBorders>
            <w:shd w:val="clear" w:color="auto" w:fill="auto"/>
            <w:noWrap w:val="0"/>
            <w:vAlign w:val="center"/>
          </w:tcPr>
          <w:p>
            <w:pPr>
              <w:jc w:val="center"/>
              <w:rPr>
                <w:rFonts w:hint="eastAsia" w:ascii="宋体" w:hAnsi="宋体" w:eastAsia="宋体" w:cs="宋体"/>
                <w:color w:val="000000"/>
                <w:sz w:val="16"/>
                <w:szCs w:val="16"/>
              </w:rPr>
            </w:pPr>
          </w:p>
        </w:tc>
        <w:tc>
          <w:tcPr>
            <w:tcW w:w="520" w:type="dxa"/>
            <w:gridSpan w:val="3"/>
            <w:tcBorders>
              <w:top w:val="nil"/>
              <w:left w:val="nil"/>
              <w:bottom w:val="nil"/>
              <w:right w:val="nil"/>
            </w:tcBorders>
            <w:shd w:val="clear" w:color="auto" w:fill="auto"/>
            <w:noWrap w:val="0"/>
            <w:vAlign w:val="center"/>
          </w:tcPr>
          <w:p>
            <w:pPr>
              <w:jc w:val="center"/>
              <w:rPr>
                <w:rFonts w:hint="eastAsia" w:ascii="宋体" w:hAnsi="宋体" w:eastAsia="宋体" w:cs="宋体"/>
                <w:color w:val="000000"/>
                <w:sz w:val="16"/>
                <w:szCs w:val="16"/>
              </w:rPr>
            </w:pPr>
          </w:p>
        </w:tc>
        <w:tc>
          <w:tcPr>
            <w:tcW w:w="1272" w:type="dxa"/>
            <w:gridSpan w:val="3"/>
            <w:tcBorders>
              <w:top w:val="nil"/>
              <w:left w:val="nil"/>
              <w:bottom w:val="nil"/>
              <w:right w:val="nil"/>
            </w:tcBorders>
            <w:shd w:val="clear" w:color="auto" w:fill="auto"/>
            <w:noWrap w:val="0"/>
            <w:vAlign w:val="center"/>
          </w:tcPr>
          <w:p>
            <w:pPr>
              <w:jc w:val="center"/>
              <w:rPr>
                <w:rFonts w:hint="eastAsia" w:ascii="宋体" w:hAnsi="宋体" w:eastAsia="宋体" w:cs="宋体"/>
                <w:color w:val="000000"/>
                <w:sz w:val="16"/>
                <w:szCs w:val="16"/>
              </w:rPr>
            </w:pPr>
          </w:p>
        </w:tc>
        <w:tc>
          <w:tcPr>
            <w:tcW w:w="820" w:type="dxa"/>
            <w:gridSpan w:val="5"/>
            <w:tcBorders>
              <w:top w:val="nil"/>
              <w:left w:val="nil"/>
              <w:bottom w:val="nil"/>
              <w:right w:val="nil"/>
            </w:tcBorders>
            <w:shd w:val="clear" w:color="auto" w:fill="auto"/>
            <w:noWrap w:val="0"/>
            <w:vAlign w:val="center"/>
          </w:tcPr>
          <w:p>
            <w:pPr>
              <w:jc w:val="center"/>
              <w:rPr>
                <w:rFonts w:hint="eastAsia" w:ascii="宋体" w:hAnsi="宋体" w:eastAsia="宋体" w:cs="宋体"/>
                <w:color w:val="000000"/>
                <w:sz w:val="16"/>
                <w:szCs w:val="16"/>
              </w:rPr>
            </w:pPr>
          </w:p>
        </w:tc>
        <w:tc>
          <w:tcPr>
            <w:tcW w:w="897" w:type="dxa"/>
            <w:gridSpan w:val="3"/>
            <w:tcBorders>
              <w:top w:val="nil"/>
              <w:left w:val="nil"/>
              <w:bottom w:val="nil"/>
              <w:right w:val="nil"/>
            </w:tcBorders>
            <w:shd w:val="clear" w:color="auto" w:fill="auto"/>
            <w:noWrap w:val="0"/>
            <w:vAlign w:val="center"/>
          </w:tcPr>
          <w:p>
            <w:pPr>
              <w:jc w:val="center"/>
              <w:rPr>
                <w:rFonts w:hint="eastAsia" w:ascii="宋体" w:hAnsi="宋体" w:eastAsia="宋体" w:cs="宋体"/>
                <w:color w:val="000000"/>
                <w:sz w:val="16"/>
                <w:szCs w:val="16"/>
              </w:rPr>
            </w:pPr>
          </w:p>
        </w:tc>
        <w:tc>
          <w:tcPr>
            <w:tcW w:w="1798" w:type="dxa"/>
            <w:tcBorders>
              <w:top w:val="nil"/>
              <w:left w:val="nil"/>
              <w:bottom w:val="nil"/>
              <w:right w:val="nil"/>
            </w:tcBorders>
            <w:shd w:val="clear" w:color="auto" w:fill="auto"/>
            <w:noWrap w:val="0"/>
            <w:vAlign w:val="center"/>
          </w:tcPr>
          <w:p>
            <w:pPr>
              <w:jc w:val="center"/>
              <w:rPr>
                <w:rFonts w:hint="eastAsia" w:ascii="宋体" w:hAnsi="宋体" w:eastAsia="宋体" w:cs="宋体"/>
                <w:color w:val="000000"/>
                <w:sz w:val="16"/>
                <w:szCs w:val="16"/>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904" w:hRule="atLeast"/>
        </w:trPr>
        <w:tc>
          <w:tcPr>
            <w:tcW w:w="13876" w:type="dxa"/>
            <w:gridSpan w:val="31"/>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6"/>
                <w:szCs w:val="16"/>
              </w:rPr>
            </w:pPr>
            <w:r>
              <w:rPr>
                <w:rFonts w:hint="eastAsia" w:ascii="黑体" w:hAnsi="宋体" w:eastAsia="黑体" w:cs="黑体"/>
                <w:b/>
                <w:bCs/>
                <w:color w:val="000000"/>
                <w:kern w:val="0"/>
                <w:sz w:val="30"/>
                <w:szCs w:val="30"/>
                <w:lang w:bidi="ar"/>
              </w:rPr>
              <w:t>部门预算项目支出绩效自评表（2024年度）</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108" w:type="dxa"/>
            <w:bottom w:w="0" w:type="dxa"/>
            <w:right w:w="108" w:type="dxa"/>
          </w:tblCellMar>
        </w:tblPrEx>
        <w:trPr>
          <w:gridBefore w:val="1"/>
          <w:gridAfter w:val="1"/>
          <w:wBefore w:w="3" w:type="dxa"/>
          <w:wAfter w:w="721" w:type="dxa"/>
          <w:trHeight w:val="380" w:hRule="atLeast"/>
        </w:trPr>
        <w:tc>
          <w:tcPr>
            <w:tcW w:w="2826"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项目名称</w:t>
            </w:r>
          </w:p>
        </w:tc>
        <w:tc>
          <w:tcPr>
            <w:tcW w:w="11050" w:type="dxa"/>
            <w:gridSpan w:val="2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51080022T000006747723-12345政务服务热线运行经费</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514" w:hRule="atLeast"/>
        </w:trPr>
        <w:tc>
          <w:tcPr>
            <w:tcW w:w="2826"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主管部门</w:t>
            </w:r>
          </w:p>
        </w:tc>
        <w:tc>
          <w:tcPr>
            <w:tcW w:w="6263" w:type="dxa"/>
            <w:gridSpan w:val="1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广元市政务服务和数据局部门</w:t>
            </w:r>
          </w:p>
        </w:tc>
        <w:tc>
          <w:tcPr>
            <w:tcW w:w="1272" w:type="dxa"/>
            <w:gridSpan w:val="3"/>
            <w:tcBorders>
              <w:top w:val="nil"/>
              <w:left w:val="nil"/>
              <w:bottom w:val="nil"/>
              <w:right w:val="nil"/>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实施单位 （盖章）</w:t>
            </w:r>
          </w:p>
        </w:tc>
        <w:tc>
          <w:tcPr>
            <w:tcW w:w="3515"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广元市政务服务和数据局</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285" w:hRule="atLeast"/>
        </w:trPr>
        <w:tc>
          <w:tcPr>
            <w:tcW w:w="801"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项目基本情况</w:t>
            </w:r>
          </w:p>
        </w:tc>
        <w:tc>
          <w:tcPr>
            <w:tcW w:w="202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1.项目年度目标完成情况</w:t>
            </w:r>
          </w:p>
        </w:tc>
        <w:tc>
          <w:tcPr>
            <w:tcW w:w="6263" w:type="dxa"/>
            <w:gridSpan w:val="1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项目年度目标</w:t>
            </w:r>
          </w:p>
        </w:tc>
        <w:tc>
          <w:tcPr>
            <w:tcW w:w="4787" w:type="dxa"/>
            <w:gridSpan w:val="1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年度目标完成情况</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1860"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c>
          <w:tcPr>
            <w:tcW w:w="6263" w:type="dxa"/>
            <w:gridSpan w:val="1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2024年进一步规范12345政务服务热线平台管理，健全承办工作机制，按时办结率达100%，群众满意率达90%以上。</w:t>
            </w:r>
          </w:p>
        </w:tc>
        <w:tc>
          <w:tcPr>
            <w:tcW w:w="4787" w:type="dxa"/>
            <w:gridSpan w:val="1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2024年，12345热线中心话务总量49.03万通,受理群众有效诉求43.64万件，向各县区、各部门单位转派工单19.75万件，累计督办1800余次,处理无部门接收或互相推诿等疑难工单167件次，按时办结率100%。回访43.02万件，办件结果群众满意率99.82%。更新知识库信息84863条。亲商助企热线受理涉企诉求460件，回访企业118家，联合县区开展助企纾困专项活动5次，协调解决企业反映重点问题58个。</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1800"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2.项目实施内容及过程概述</w:t>
            </w:r>
          </w:p>
        </w:tc>
        <w:tc>
          <w:tcPr>
            <w:tcW w:w="11050" w:type="dxa"/>
            <w:gridSpan w:val="2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实施内容：负责建设热线平台，招聘和管理话务员，开展热线平台系统相关操作培训,建立工作制度并实施监督。负责热线平台系统受理，向承办单位派发热线办理事项工单。负责督促承办单位依法高效办理热线平台转办事项，协调跨部门事项办理，对办件效率和效果开展绩效评价和考核。负责转办事项的日常督查督办。负责热线平台各类数据信息的管理和利用工作。负责四川省政务服务“好差评”线上工作。负责“一线”（整合全市非紧急类热线电话后的12345热线）、“一网”（政务服务网12345在线和网民留言）、“一单”（省热线平台派发工单）、“两微一端”（微博、微信和移动客户端）等渠道受理市民提出的咨询、求助、投诉、举报和建议。</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实施过程：以回应市民关切、妥善解决市民诉求为追求目标,通过加强协调,建立完善回访、复核机制、分级分责协调督办机制以及监察、行政督查和热线督办“三位一体”联动督办机制,实现对热线事项办理过程和结果的监控。</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60" w:hRule="atLeast"/>
        </w:trPr>
        <w:tc>
          <w:tcPr>
            <w:tcW w:w="801"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预算执行情况（10分）</w:t>
            </w: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年度预算数（万元）</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年初预算</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调整后预算数</w:t>
            </w: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预算执行数</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预算执行率</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权重</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得分</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原因</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45"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总额</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262.40</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262.40</w:t>
            </w: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262.40</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1798"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1.预算执行率=预算执行数/调整后预算数，预算执行率未达到90%的需说明原因（100字以内）;2.年中发生预算调整的（追加或调减）,应单独说明理由；3.其他资金包括：社会投入资金、银行贷款</w:t>
            </w:r>
            <w:r>
              <w:rPr>
                <w:rFonts w:hint="eastAsia" w:ascii="宋体" w:hAnsi="宋体" w:cs="宋体"/>
                <w:color w:val="000000"/>
                <w:kern w:val="0"/>
                <w:sz w:val="18"/>
                <w:szCs w:val="18"/>
                <w:lang w:eastAsia="zh-CN" w:bidi="ar"/>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90"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其中：财政资金</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262.40</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262.40</w:t>
            </w: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262.40</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798"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409"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财政专户管理资金</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798"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60"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单位资金</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798"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其他资金</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798"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454" w:hRule="atLeast"/>
        </w:trPr>
        <w:tc>
          <w:tcPr>
            <w:tcW w:w="801"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绩效指标（90分）</w:t>
            </w: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一级指标</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二级指标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三级指标</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指标性质</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指标值</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度量单位</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完成值</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权重</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得分</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未完成原因分析</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产出指标</w:t>
            </w:r>
          </w:p>
        </w:tc>
        <w:tc>
          <w:tcPr>
            <w:tcW w:w="170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数量指标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系统平台运维个数</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1080"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0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话务总量</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550000</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件</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490258</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一是“未诉先办”机制发挥作用，提前发现并解决群众潜在诉求；基层治理能力增强，主动将矛盾化解在萌芽阶段。</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0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聘用话务员数量</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40</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名</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38</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聘用人员中途辞职尚未补充到位</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0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质量指标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话务人员考核合格率</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99</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0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平台正常运行率</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95</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98</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0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按时办结率</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99</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0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话务接通率</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92</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96.97</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0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时效指标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项目完成时间</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0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诉求办理时限</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天</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1.77</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效益指标</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社会效益指标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服务民生大众情况</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定性</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优</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优</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454"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满意度指标</w:t>
            </w:r>
          </w:p>
        </w:tc>
        <w:tc>
          <w:tcPr>
            <w:tcW w:w="170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满意度指标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群众对话务员服务态度的满意度</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98</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98.53</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0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群众对办件结果的满意度</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98</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99.82</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成本指标</w:t>
            </w:r>
          </w:p>
        </w:tc>
        <w:tc>
          <w:tcPr>
            <w:tcW w:w="170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经济成本指标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项目总预算控制数</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262.4</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万元</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262.4</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679"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0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人员经费保障标准</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5.5</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万元/个</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5.5</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285" w:hRule="atLeast"/>
        </w:trPr>
        <w:tc>
          <w:tcPr>
            <w:tcW w:w="10361" w:type="dxa"/>
            <w:gridSpan w:val="2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合计</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99</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1040" w:hRule="atLeast"/>
        </w:trPr>
        <w:tc>
          <w:tcPr>
            <w:tcW w:w="801"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评价结论</w:t>
            </w:r>
          </w:p>
        </w:tc>
        <w:tc>
          <w:tcPr>
            <w:tcW w:w="13075" w:type="dxa"/>
            <w:gridSpan w:val="28"/>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经自评，该项目得分99分。项目执行规范,预算执行及时、有效,绩效目标得到较好实现。“12345”热线以“听民声、汇民意、集民智、解民忧”为价值追求,以“提高政务服务效能、提升政府公共服务和社会管理水平、推进服务型政府建设”为职责担当,狠抓服务质量,提升服务水平,按照“统一平台、统一标准、统一受理”的原则,认真贯彻落实市委、市政府的工作部署,不断加强运营管理和诉求办理工作,确保平台健康、有序、高效的运转,为群众解决了大量生产、生活中的问题,得到了群众的一致好评。</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600" w:hRule="atLeast"/>
        </w:trPr>
        <w:tc>
          <w:tcPr>
            <w:tcW w:w="801"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存在问题</w:t>
            </w:r>
          </w:p>
        </w:tc>
        <w:tc>
          <w:tcPr>
            <w:tcW w:w="13075" w:type="dxa"/>
            <w:gridSpan w:val="28"/>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一是存在部门职能职责交叉，地界交叉的以及需要政策解答的，需要多次协调才会办理，严重影响办件质量；二是未落实首办责任制，存在首办是该部门，群众评价为不满意后不愿意再办件，多次退件；三是承办部门与来电人缺乏沟通，导致来电人对办件结果不理解，影响群众满意度。</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1020" w:hRule="atLeast"/>
        </w:trPr>
        <w:tc>
          <w:tcPr>
            <w:tcW w:w="801"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改进措施</w:t>
            </w:r>
          </w:p>
        </w:tc>
        <w:tc>
          <w:tcPr>
            <w:tcW w:w="13075" w:type="dxa"/>
            <w:gridSpan w:val="28"/>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一是督促各县（区）、市级各部门认真落实首接负责制，减少因部门责任不清、职能交叉、涉及多个部门的诉求事项相互推诿扯皮无人接单的情况。二是认真做好各项联动工作，推动联动工作落地落实，共同协调解决联动工作中遇到的困难和问题。三是热线办理过程中，各承办部门要及时与诉求人联系，了解具体情况。对群众反映的合理问题，及时解决；确因超出法律法规规定、受到相关政策等客观条件限制、诉求人期望过高等因素导致无法解决的，承办单位要向诉求人耐心解释、积极引导、争取理解。</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20" w:hRule="atLeast"/>
        </w:trPr>
        <w:tc>
          <w:tcPr>
            <w:tcW w:w="7362" w:type="dxa"/>
            <w:gridSpan w:val="1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项目负责人：冯晓琴</w:t>
            </w:r>
          </w:p>
        </w:tc>
        <w:tc>
          <w:tcPr>
            <w:tcW w:w="6514" w:type="dxa"/>
            <w:gridSpan w:val="1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财务负责人：袁玲</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700" w:hRule="atLeast"/>
        </w:trPr>
        <w:tc>
          <w:tcPr>
            <w:tcW w:w="801"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2025"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1702"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2224" w:type="dxa"/>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610" w:type="dxa"/>
            <w:gridSpan w:val="5"/>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1207" w:type="dxa"/>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520"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1272"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820" w:type="dxa"/>
            <w:gridSpan w:val="5"/>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897"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1798" w:type="dxa"/>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904" w:hRule="atLeast"/>
        </w:trPr>
        <w:tc>
          <w:tcPr>
            <w:tcW w:w="13876" w:type="dxa"/>
            <w:gridSpan w:val="31"/>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黑体" w:hAnsi="宋体" w:eastAsia="黑体" w:cs="黑体"/>
                <w:b/>
                <w:bCs/>
                <w:color w:val="000000"/>
                <w:sz w:val="30"/>
                <w:szCs w:val="30"/>
              </w:rPr>
            </w:pPr>
            <w:r>
              <w:rPr>
                <w:rFonts w:hint="eastAsia" w:ascii="黑体" w:hAnsi="宋体" w:eastAsia="黑体" w:cs="黑体"/>
                <w:b/>
                <w:bCs/>
                <w:color w:val="000000"/>
                <w:kern w:val="0"/>
                <w:sz w:val="30"/>
                <w:szCs w:val="30"/>
                <w:lang w:bidi="ar"/>
              </w:rPr>
              <w:t>部门预算项目支出绩效自评表（2024年度）</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108" w:type="dxa"/>
            <w:bottom w:w="0" w:type="dxa"/>
            <w:right w:w="108" w:type="dxa"/>
          </w:tblCellMar>
        </w:tblPrEx>
        <w:trPr>
          <w:gridBefore w:val="1"/>
          <w:gridAfter w:val="1"/>
          <w:wBefore w:w="3" w:type="dxa"/>
          <w:wAfter w:w="721" w:type="dxa"/>
          <w:trHeight w:val="320" w:hRule="atLeast"/>
        </w:trPr>
        <w:tc>
          <w:tcPr>
            <w:tcW w:w="2826"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项目名称</w:t>
            </w:r>
          </w:p>
        </w:tc>
        <w:tc>
          <w:tcPr>
            <w:tcW w:w="11050" w:type="dxa"/>
            <w:gridSpan w:val="2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51080022T000006960150-市政务服务大厅智慧化信息化管理系统建设</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514" w:hRule="atLeast"/>
        </w:trPr>
        <w:tc>
          <w:tcPr>
            <w:tcW w:w="2826"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主管部门</w:t>
            </w:r>
          </w:p>
        </w:tc>
        <w:tc>
          <w:tcPr>
            <w:tcW w:w="6263" w:type="dxa"/>
            <w:gridSpan w:val="1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广元市政务服务和数据局部门</w:t>
            </w:r>
          </w:p>
        </w:tc>
        <w:tc>
          <w:tcPr>
            <w:tcW w:w="1272" w:type="dxa"/>
            <w:gridSpan w:val="3"/>
            <w:tcBorders>
              <w:top w:val="nil"/>
              <w:left w:val="nil"/>
              <w:bottom w:val="nil"/>
              <w:right w:val="nil"/>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实施单位 （盖章）</w:t>
            </w:r>
          </w:p>
        </w:tc>
        <w:tc>
          <w:tcPr>
            <w:tcW w:w="3515"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广元市政务服务和数据局</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285" w:hRule="atLeast"/>
        </w:trPr>
        <w:tc>
          <w:tcPr>
            <w:tcW w:w="801"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项目基本情况</w:t>
            </w:r>
          </w:p>
        </w:tc>
        <w:tc>
          <w:tcPr>
            <w:tcW w:w="202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1.项目年度目标完成情况</w:t>
            </w:r>
          </w:p>
        </w:tc>
        <w:tc>
          <w:tcPr>
            <w:tcW w:w="6263" w:type="dxa"/>
            <w:gridSpan w:val="1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项目年度目标</w:t>
            </w:r>
          </w:p>
        </w:tc>
        <w:tc>
          <w:tcPr>
            <w:tcW w:w="4787" w:type="dxa"/>
            <w:gridSpan w:val="1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年度目标完成情况</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904"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c>
          <w:tcPr>
            <w:tcW w:w="6263" w:type="dxa"/>
            <w:gridSpan w:val="1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市政务服务大厅智慧化信息化管理系统建设项目建议以智慧大厅运行管理平台、智慧大厅引导管理平台、智慧大厅业务辅助平台、自助服务区，升级大厅网络及安防系统改造升级等，实现大厅集成化管理，提高管理效率和服务质效，增强企业群众对政务服务的满意度和获得感。</w:t>
            </w:r>
          </w:p>
        </w:tc>
        <w:tc>
          <w:tcPr>
            <w:tcW w:w="4787" w:type="dxa"/>
            <w:gridSpan w:val="1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本年度，各项硬件设备正常运行，故障率低，软件系统运行正常，对大厅设备和人员管理促进作用大。</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694"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2.项目实施内容及过程概述</w:t>
            </w:r>
          </w:p>
        </w:tc>
        <w:tc>
          <w:tcPr>
            <w:tcW w:w="11050" w:type="dxa"/>
            <w:gridSpan w:val="2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本年度主要是对质保期内的设备开展运行维护，确保在质保期内各项设备正常运行，出现故障及时维修或者更换。</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60" w:hRule="atLeast"/>
        </w:trPr>
        <w:tc>
          <w:tcPr>
            <w:tcW w:w="801"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预算执行情况（10分）</w:t>
            </w: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年度预算数（万元）</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年初预算</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调整后预算数</w:t>
            </w: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预算执行数</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预算执行率</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权重</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得分</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原因</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45"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总额</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17.77</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17.77</w:t>
            </w: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17.77</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1798"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1.预算执行率=预算执行数/调整后预算数，预算执行率未达到90%的需说明原因（100字以内）;2.年中发生预算调整的（追加或调减）,应单独说明理由；3.其他资金包括：社会投入资金、银行贷款</w:t>
            </w:r>
            <w:r>
              <w:rPr>
                <w:rFonts w:hint="eastAsia" w:ascii="宋体" w:hAnsi="宋体" w:cs="宋体"/>
                <w:color w:val="000000"/>
                <w:kern w:val="0"/>
                <w:sz w:val="18"/>
                <w:szCs w:val="18"/>
                <w:lang w:eastAsia="zh-CN" w:bidi="ar"/>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90"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其中：财政资金</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17.77</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17.77</w:t>
            </w: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17.77</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798"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409"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财政专户管理资金</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798"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60"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单位资金</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798"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其他资金</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798"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454" w:hRule="atLeast"/>
        </w:trPr>
        <w:tc>
          <w:tcPr>
            <w:tcW w:w="801"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绩效指标（90分）</w:t>
            </w: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一级指标</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二级指标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三级指标</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指标性质</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指标值</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度量单位</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完成值</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权重</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得分</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未完成原因分析</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454"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产出指标</w:t>
            </w:r>
          </w:p>
        </w:tc>
        <w:tc>
          <w:tcPr>
            <w:tcW w:w="170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数量指标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LED大屏</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40</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平方米</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33</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方案有调整</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0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窗口数字业务辅助终端</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80</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方案有调整</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0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窗口显示终端</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40</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262</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0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等候区叫号显示屏</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方案有调整</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0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枪击摄像头</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80</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133</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0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广元一事通系统</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套</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方案有调整</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0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大厅综合管理系统</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套</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0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大厅绩效考核系统</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套</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0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政务信息宣传屏</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0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智能排队取号机</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方案有调整</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0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自助复印打印一体机</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方案有调整</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0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触摸一体机</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方案有调整</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质量指标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完成安装调试设备</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99</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99</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时效指标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完成时间</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454"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效益指标</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社会效益指标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办事群众、窗口工作人员使用相关设备</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99</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99</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454"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可持续影响指标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办事群众享受优质、高效、便捷的服务</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99</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99</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满意度指标</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满意度指标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设备使用满意度</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99</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99</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成本指标</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经济成本指标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设备购置及实施安装</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17.7717</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万元</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17.7717</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285" w:hRule="atLeast"/>
        </w:trPr>
        <w:tc>
          <w:tcPr>
            <w:tcW w:w="10361" w:type="dxa"/>
            <w:gridSpan w:val="2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合计</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85</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604" w:hRule="atLeast"/>
        </w:trPr>
        <w:tc>
          <w:tcPr>
            <w:tcW w:w="801"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评价结论</w:t>
            </w:r>
          </w:p>
        </w:tc>
        <w:tc>
          <w:tcPr>
            <w:tcW w:w="13075" w:type="dxa"/>
            <w:gridSpan w:val="28"/>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经自评，该项目得分85分。质保期内，软硬件设备均运行良好，故障率低，系统正常运转。</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574" w:hRule="atLeast"/>
        </w:trPr>
        <w:tc>
          <w:tcPr>
            <w:tcW w:w="801"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存在问题</w:t>
            </w:r>
          </w:p>
        </w:tc>
        <w:tc>
          <w:tcPr>
            <w:tcW w:w="13075" w:type="dxa"/>
            <w:gridSpan w:val="28"/>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由于根据实际情况，建设方案后期有调整，导致部分绩效指标有偏差。</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634" w:hRule="atLeast"/>
        </w:trPr>
        <w:tc>
          <w:tcPr>
            <w:tcW w:w="801"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改进措施</w:t>
            </w:r>
          </w:p>
        </w:tc>
        <w:tc>
          <w:tcPr>
            <w:tcW w:w="13075" w:type="dxa"/>
            <w:gridSpan w:val="28"/>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根据项目建设情况，及时调整绩效指标。</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108" w:type="dxa"/>
            <w:bottom w:w="0" w:type="dxa"/>
            <w:right w:w="108" w:type="dxa"/>
          </w:tblCellMar>
        </w:tblPrEx>
        <w:trPr>
          <w:gridBefore w:val="1"/>
          <w:gridAfter w:val="1"/>
          <w:wBefore w:w="3" w:type="dxa"/>
          <w:wAfter w:w="721" w:type="dxa"/>
          <w:trHeight w:val="285" w:hRule="atLeast"/>
        </w:trPr>
        <w:tc>
          <w:tcPr>
            <w:tcW w:w="7362" w:type="dxa"/>
            <w:gridSpan w:val="1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项目负责人：杨勇</w:t>
            </w:r>
          </w:p>
        </w:tc>
        <w:tc>
          <w:tcPr>
            <w:tcW w:w="6514" w:type="dxa"/>
            <w:gridSpan w:val="1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财务负责人：杨勇</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400" w:hRule="atLeast"/>
        </w:trPr>
        <w:tc>
          <w:tcPr>
            <w:tcW w:w="801"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2025"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1702"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2224" w:type="dxa"/>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610" w:type="dxa"/>
            <w:gridSpan w:val="5"/>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1207" w:type="dxa"/>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520"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1272"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820" w:type="dxa"/>
            <w:gridSpan w:val="5"/>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897"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1798" w:type="dxa"/>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904" w:hRule="atLeast"/>
        </w:trPr>
        <w:tc>
          <w:tcPr>
            <w:tcW w:w="801" w:type="dxa"/>
            <w:gridSpan w:val="3"/>
            <w:tcBorders>
              <w:top w:val="nil"/>
              <w:left w:val="nil"/>
              <w:bottom w:val="nil"/>
              <w:right w:val="nil"/>
            </w:tcBorders>
            <w:shd w:val="clear" w:color="auto" w:fill="auto"/>
            <w:noWrap w:val="0"/>
            <w:vAlign w:val="center"/>
          </w:tcPr>
          <w:p>
            <w:pPr>
              <w:jc w:val="center"/>
              <w:rPr>
                <w:rFonts w:hint="eastAsia" w:ascii="黑体" w:hAnsi="宋体" w:eastAsia="黑体" w:cs="黑体"/>
                <w:b/>
                <w:bCs/>
                <w:color w:val="000000"/>
                <w:sz w:val="30"/>
                <w:szCs w:val="30"/>
              </w:rPr>
            </w:pPr>
          </w:p>
        </w:tc>
        <w:tc>
          <w:tcPr>
            <w:tcW w:w="2025" w:type="dxa"/>
            <w:gridSpan w:val="3"/>
            <w:tcBorders>
              <w:top w:val="nil"/>
              <w:left w:val="nil"/>
              <w:bottom w:val="nil"/>
              <w:right w:val="nil"/>
            </w:tcBorders>
            <w:shd w:val="clear" w:color="auto" w:fill="auto"/>
            <w:noWrap w:val="0"/>
            <w:vAlign w:val="center"/>
          </w:tcPr>
          <w:p>
            <w:pPr>
              <w:jc w:val="center"/>
              <w:rPr>
                <w:rFonts w:hint="eastAsia" w:ascii="黑体" w:hAnsi="宋体" w:eastAsia="黑体" w:cs="黑体"/>
                <w:b/>
                <w:bCs/>
                <w:color w:val="000000"/>
                <w:sz w:val="30"/>
                <w:szCs w:val="30"/>
              </w:rPr>
            </w:pPr>
          </w:p>
        </w:tc>
        <w:tc>
          <w:tcPr>
            <w:tcW w:w="1702" w:type="dxa"/>
            <w:gridSpan w:val="3"/>
            <w:tcBorders>
              <w:top w:val="nil"/>
              <w:left w:val="nil"/>
              <w:bottom w:val="nil"/>
              <w:right w:val="nil"/>
            </w:tcBorders>
            <w:shd w:val="clear" w:color="auto" w:fill="auto"/>
            <w:noWrap w:val="0"/>
            <w:vAlign w:val="center"/>
          </w:tcPr>
          <w:p>
            <w:pPr>
              <w:jc w:val="center"/>
              <w:rPr>
                <w:rFonts w:hint="eastAsia" w:ascii="黑体" w:hAnsi="宋体" w:eastAsia="黑体" w:cs="黑体"/>
                <w:b/>
                <w:bCs/>
                <w:color w:val="000000"/>
                <w:sz w:val="30"/>
                <w:szCs w:val="30"/>
              </w:rPr>
            </w:pPr>
          </w:p>
        </w:tc>
        <w:tc>
          <w:tcPr>
            <w:tcW w:w="2224" w:type="dxa"/>
            <w:tcBorders>
              <w:top w:val="nil"/>
              <w:left w:val="nil"/>
              <w:bottom w:val="nil"/>
              <w:right w:val="nil"/>
            </w:tcBorders>
            <w:shd w:val="clear" w:color="auto" w:fill="auto"/>
            <w:noWrap w:val="0"/>
            <w:vAlign w:val="center"/>
          </w:tcPr>
          <w:p>
            <w:pPr>
              <w:jc w:val="center"/>
              <w:rPr>
                <w:rFonts w:hint="eastAsia" w:ascii="黑体" w:hAnsi="宋体" w:eastAsia="黑体" w:cs="黑体"/>
                <w:b/>
                <w:bCs/>
                <w:color w:val="000000"/>
                <w:sz w:val="30"/>
                <w:szCs w:val="30"/>
              </w:rPr>
            </w:pPr>
          </w:p>
        </w:tc>
        <w:tc>
          <w:tcPr>
            <w:tcW w:w="610" w:type="dxa"/>
            <w:gridSpan w:val="5"/>
            <w:tcBorders>
              <w:top w:val="nil"/>
              <w:left w:val="nil"/>
              <w:bottom w:val="nil"/>
              <w:right w:val="nil"/>
            </w:tcBorders>
            <w:shd w:val="clear" w:color="auto" w:fill="auto"/>
            <w:noWrap w:val="0"/>
            <w:vAlign w:val="center"/>
          </w:tcPr>
          <w:p>
            <w:pPr>
              <w:jc w:val="center"/>
              <w:rPr>
                <w:rFonts w:hint="eastAsia" w:ascii="黑体" w:hAnsi="宋体" w:eastAsia="黑体" w:cs="黑体"/>
                <w:b/>
                <w:bCs/>
                <w:color w:val="000000"/>
                <w:sz w:val="30"/>
                <w:szCs w:val="30"/>
              </w:rPr>
            </w:pPr>
          </w:p>
        </w:tc>
        <w:tc>
          <w:tcPr>
            <w:tcW w:w="1207" w:type="dxa"/>
            <w:tcBorders>
              <w:top w:val="nil"/>
              <w:left w:val="nil"/>
              <w:bottom w:val="nil"/>
              <w:right w:val="nil"/>
            </w:tcBorders>
            <w:shd w:val="clear" w:color="auto" w:fill="auto"/>
            <w:noWrap w:val="0"/>
            <w:vAlign w:val="center"/>
          </w:tcPr>
          <w:p>
            <w:pPr>
              <w:jc w:val="center"/>
              <w:rPr>
                <w:rFonts w:hint="eastAsia" w:ascii="黑体" w:hAnsi="宋体" w:eastAsia="黑体" w:cs="黑体"/>
                <w:b/>
                <w:bCs/>
                <w:color w:val="000000"/>
                <w:sz w:val="30"/>
                <w:szCs w:val="30"/>
              </w:rPr>
            </w:pPr>
          </w:p>
        </w:tc>
        <w:tc>
          <w:tcPr>
            <w:tcW w:w="520" w:type="dxa"/>
            <w:gridSpan w:val="3"/>
            <w:tcBorders>
              <w:top w:val="nil"/>
              <w:left w:val="nil"/>
              <w:bottom w:val="nil"/>
              <w:right w:val="nil"/>
            </w:tcBorders>
            <w:shd w:val="clear" w:color="auto" w:fill="auto"/>
            <w:noWrap w:val="0"/>
            <w:vAlign w:val="center"/>
          </w:tcPr>
          <w:p>
            <w:pPr>
              <w:jc w:val="center"/>
              <w:rPr>
                <w:rFonts w:hint="eastAsia" w:ascii="黑体" w:hAnsi="宋体" w:eastAsia="黑体" w:cs="黑体"/>
                <w:b/>
                <w:bCs/>
                <w:color w:val="000000"/>
                <w:sz w:val="30"/>
                <w:szCs w:val="30"/>
              </w:rPr>
            </w:pPr>
          </w:p>
        </w:tc>
        <w:tc>
          <w:tcPr>
            <w:tcW w:w="1272" w:type="dxa"/>
            <w:gridSpan w:val="3"/>
            <w:tcBorders>
              <w:top w:val="nil"/>
              <w:left w:val="nil"/>
              <w:bottom w:val="nil"/>
              <w:right w:val="nil"/>
            </w:tcBorders>
            <w:shd w:val="clear" w:color="auto" w:fill="auto"/>
            <w:noWrap w:val="0"/>
            <w:vAlign w:val="center"/>
          </w:tcPr>
          <w:p>
            <w:pPr>
              <w:jc w:val="center"/>
              <w:rPr>
                <w:rFonts w:hint="eastAsia" w:ascii="黑体" w:hAnsi="宋体" w:eastAsia="黑体" w:cs="黑体"/>
                <w:b/>
                <w:bCs/>
                <w:color w:val="000000"/>
                <w:sz w:val="30"/>
                <w:szCs w:val="30"/>
              </w:rPr>
            </w:pPr>
          </w:p>
        </w:tc>
        <w:tc>
          <w:tcPr>
            <w:tcW w:w="820" w:type="dxa"/>
            <w:gridSpan w:val="5"/>
            <w:tcBorders>
              <w:top w:val="nil"/>
              <w:left w:val="nil"/>
              <w:bottom w:val="nil"/>
              <w:right w:val="nil"/>
            </w:tcBorders>
            <w:shd w:val="clear" w:color="auto" w:fill="auto"/>
            <w:noWrap w:val="0"/>
            <w:vAlign w:val="center"/>
          </w:tcPr>
          <w:p>
            <w:pPr>
              <w:jc w:val="center"/>
              <w:rPr>
                <w:rFonts w:hint="eastAsia" w:ascii="黑体" w:hAnsi="宋体" w:eastAsia="黑体" w:cs="黑体"/>
                <w:b/>
                <w:bCs/>
                <w:color w:val="000000"/>
                <w:sz w:val="30"/>
                <w:szCs w:val="30"/>
              </w:rPr>
            </w:pPr>
          </w:p>
        </w:tc>
        <w:tc>
          <w:tcPr>
            <w:tcW w:w="897" w:type="dxa"/>
            <w:gridSpan w:val="3"/>
            <w:tcBorders>
              <w:top w:val="nil"/>
              <w:left w:val="nil"/>
              <w:bottom w:val="nil"/>
              <w:right w:val="nil"/>
            </w:tcBorders>
            <w:shd w:val="clear" w:color="auto" w:fill="auto"/>
            <w:noWrap w:val="0"/>
            <w:vAlign w:val="center"/>
          </w:tcPr>
          <w:p>
            <w:pPr>
              <w:jc w:val="center"/>
              <w:rPr>
                <w:rFonts w:hint="eastAsia" w:ascii="黑体" w:hAnsi="宋体" w:eastAsia="黑体" w:cs="黑体"/>
                <w:b/>
                <w:bCs/>
                <w:color w:val="000000"/>
                <w:sz w:val="30"/>
                <w:szCs w:val="30"/>
              </w:rPr>
            </w:pPr>
          </w:p>
        </w:tc>
        <w:tc>
          <w:tcPr>
            <w:tcW w:w="1798" w:type="dxa"/>
            <w:tcBorders>
              <w:top w:val="nil"/>
              <w:left w:val="nil"/>
              <w:bottom w:val="nil"/>
              <w:right w:val="nil"/>
            </w:tcBorders>
            <w:shd w:val="clear" w:color="auto" w:fill="auto"/>
            <w:noWrap w:val="0"/>
            <w:vAlign w:val="center"/>
          </w:tcPr>
          <w:p>
            <w:pPr>
              <w:jc w:val="center"/>
              <w:rPr>
                <w:rFonts w:hint="eastAsia" w:ascii="黑体" w:hAnsi="宋体" w:eastAsia="黑体" w:cs="黑体"/>
                <w:b/>
                <w:bCs/>
                <w:color w:val="000000"/>
                <w:sz w:val="30"/>
                <w:szCs w:val="30"/>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904" w:hRule="atLeast"/>
        </w:trPr>
        <w:tc>
          <w:tcPr>
            <w:tcW w:w="13876" w:type="dxa"/>
            <w:gridSpan w:val="31"/>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黑体" w:hAnsi="宋体" w:eastAsia="黑体" w:cs="黑体"/>
                <w:b/>
                <w:bCs/>
                <w:color w:val="000000"/>
                <w:sz w:val="30"/>
                <w:szCs w:val="30"/>
              </w:rPr>
            </w:pPr>
            <w:r>
              <w:rPr>
                <w:rFonts w:hint="eastAsia" w:ascii="黑体" w:hAnsi="宋体" w:eastAsia="黑体" w:cs="黑体"/>
                <w:b/>
                <w:bCs/>
                <w:color w:val="000000"/>
                <w:kern w:val="0"/>
                <w:sz w:val="30"/>
                <w:szCs w:val="30"/>
                <w:lang w:bidi="ar"/>
              </w:rPr>
              <w:t>部门预算项目支出绩效自评表（2024年度）</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108" w:type="dxa"/>
            <w:bottom w:w="0" w:type="dxa"/>
            <w:right w:w="108" w:type="dxa"/>
          </w:tblCellMar>
        </w:tblPrEx>
        <w:trPr>
          <w:gridBefore w:val="1"/>
          <w:gridAfter w:val="1"/>
          <w:wBefore w:w="3" w:type="dxa"/>
          <w:wAfter w:w="721" w:type="dxa"/>
          <w:trHeight w:val="400" w:hRule="atLeast"/>
        </w:trPr>
        <w:tc>
          <w:tcPr>
            <w:tcW w:w="2826"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项目名称</w:t>
            </w:r>
          </w:p>
        </w:tc>
        <w:tc>
          <w:tcPr>
            <w:tcW w:w="11050" w:type="dxa"/>
            <w:gridSpan w:val="2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51080022T000007381316-无差别综合窗口运行经费</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514" w:hRule="atLeast"/>
        </w:trPr>
        <w:tc>
          <w:tcPr>
            <w:tcW w:w="2826"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主管部门</w:t>
            </w:r>
          </w:p>
        </w:tc>
        <w:tc>
          <w:tcPr>
            <w:tcW w:w="6263" w:type="dxa"/>
            <w:gridSpan w:val="1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广元市政务服务和数据局部门</w:t>
            </w:r>
          </w:p>
        </w:tc>
        <w:tc>
          <w:tcPr>
            <w:tcW w:w="1272" w:type="dxa"/>
            <w:gridSpan w:val="3"/>
            <w:tcBorders>
              <w:top w:val="nil"/>
              <w:left w:val="nil"/>
              <w:bottom w:val="nil"/>
              <w:right w:val="nil"/>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实施单位 （盖章）</w:t>
            </w:r>
          </w:p>
        </w:tc>
        <w:tc>
          <w:tcPr>
            <w:tcW w:w="3515"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广元市政务服务和数据局</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285" w:hRule="atLeast"/>
        </w:trPr>
        <w:tc>
          <w:tcPr>
            <w:tcW w:w="801"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项目基本情况</w:t>
            </w:r>
          </w:p>
        </w:tc>
        <w:tc>
          <w:tcPr>
            <w:tcW w:w="202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1.项目年度目标完成情况</w:t>
            </w:r>
          </w:p>
        </w:tc>
        <w:tc>
          <w:tcPr>
            <w:tcW w:w="6263" w:type="dxa"/>
            <w:gridSpan w:val="1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项目年度目标</w:t>
            </w:r>
          </w:p>
        </w:tc>
        <w:tc>
          <w:tcPr>
            <w:tcW w:w="4787" w:type="dxa"/>
            <w:gridSpan w:val="1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年度目标完成情况</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1340"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c>
          <w:tcPr>
            <w:tcW w:w="6263" w:type="dxa"/>
            <w:gridSpan w:val="1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通过无差别综合窗口的规范运行，合理设置重大项目、惠企政策、帮办代办、“办不成事”反映、咨询导办等特色窗口，实行“前台综合受理、后台分类审批、综合窗口出件”的工作模式。加快政务服务标准化、规范化、便民化建设，提升政务服务水平。</w:t>
            </w:r>
          </w:p>
        </w:tc>
        <w:tc>
          <w:tcPr>
            <w:tcW w:w="4787" w:type="dxa"/>
            <w:gridSpan w:val="1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2024年，市政务服务中心无差别综合窗口在岗人员20名，32个市级部门授权综合窗口受理政务服务事项1075个，全年共受理办件6307件，处理“办不成事”反映160件，常态化提供惠企政策咨询、窗口服务咨询和引导等服务。</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1000"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2.项目实施内容及过程概述</w:t>
            </w:r>
          </w:p>
        </w:tc>
        <w:tc>
          <w:tcPr>
            <w:tcW w:w="11050" w:type="dxa"/>
            <w:gridSpan w:val="2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2024年，市政务服务中心无差别综合窗口20名工作人员承担的工作包括：负责日常接待企业和群众办事，受理和转递办事申请材料，月均办件500件左右；处理12345热线转办的窗口服务投诉；提供窗口办事咨询服务；政务大厅日常广播；“广元政务之声”线上服务平台宣传视频制作；部门窗口服务数据统计；主管科室安排的其他工作任务等。</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440" w:hRule="atLeast"/>
        </w:trPr>
        <w:tc>
          <w:tcPr>
            <w:tcW w:w="801"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预算执行情况（10分）</w:t>
            </w: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年度预算数（万元）</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年初预算</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调整后预算数</w:t>
            </w: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预算执行数</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预算执行率</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权重</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得分</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原因</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45"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总额</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110.00</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110.00</w:t>
            </w: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110.00</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1798"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1.预算执行率=预算执行数/调整后预算数，预算执行率未达到90%的需说明原因（100字以内）;2.年中发生预算调整的（追加或调减）,应单独说明理由；3.其他资金包括：社会投入资金、银行贷款</w:t>
            </w:r>
            <w:r>
              <w:rPr>
                <w:rFonts w:hint="eastAsia" w:ascii="宋体" w:hAnsi="宋体" w:cs="宋体"/>
                <w:color w:val="000000"/>
                <w:kern w:val="0"/>
                <w:sz w:val="18"/>
                <w:szCs w:val="18"/>
                <w:lang w:eastAsia="zh-CN" w:bidi="ar"/>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90"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其中：财政资金</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110.00</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110.00</w:t>
            </w: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110.00</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798"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409"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财政专户管理资金</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798"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60"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单位资金</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798"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其他资金</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798"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454" w:hRule="atLeast"/>
        </w:trPr>
        <w:tc>
          <w:tcPr>
            <w:tcW w:w="801"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绩效指标（90分）</w:t>
            </w: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一级指标</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二级指标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三级指标</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指标性质</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指标值</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度量单位</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完成值</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权重</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得分</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未完成原因分析</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产出指标</w:t>
            </w:r>
          </w:p>
        </w:tc>
        <w:tc>
          <w:tcPr>
            <w:tcW w:w="170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数量指标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窗口聘用工作人员数量</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740"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0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服务部门</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35</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32</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授权市政务服务中心无差别综合窗口受理业务的部门仅32个，未达到35个。</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900"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0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受理事项</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1120</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1075</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4.8</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经清理规范，市级部门授权市政务服务中心无差别综合窗口受理的政务服务事项共1075个，未达1120个。</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0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质量指标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综窗人员考核合格率</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99</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0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业务办件准确率</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95</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时效指标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项目完成时间</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效益指标</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社会效益指标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服务民生大众情况</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定性</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优</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优</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满意度指标</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满意度指标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人民群众满意度</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99</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成本指标</w:t>
            </w:r>
          </w:p>
        </w:tc>
        <w:tc>
          <w:tcPr>
            <w:tcW w:w="170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经济成本指标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项目总预算控制数</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110</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万元</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110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679"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0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经费保障标准</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5.5</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万元/个</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5.5</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285" w:hRule="atLeast"/>
        </w:trPr>
        <w:tc>
          <w:tcPr>
            <w:tcW w:w="10361" w:type="dxa"/>
            <w:gridSpan w:val="2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合计</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98.8</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860" w:hRule="atLeast"/>
        </w:trPr>
        <w:tc>
          <w:tcPr>
            <w:tcW w:w="801"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评价结论</w:t>
            </w:r>
          </w:p>
        </w:tc>
        <w:tc>
          <w:tcPr>
            <w:tcW w:w="13075" w:type="dxa"/>
            <w:gridSpan w:val="28"/>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经自评，该项目得分98.8分。通过建设运行无差别综合窗口，32个市级部门授权综合窗口受理政务服务事项1075个，不再面向办事企业群众设置受理窗口，极大减少了受理窗口数量和受理窗口服务人员，有效降低了行政运行成本。通过实行“前台综合受理、后台分类审批、综合窗口出件”模式，企业群众办事实现“一窗受理”“一窗出件”，减少了窗口办事多头跑动。</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574" w:hRule="atLeast"/>
        </w:trPr>
        <w:tc>
          <w:tcPr>
            <w:tcW w:w="801"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存在问题</w:t>
            </w:r>
          </w:p>
        </w:tc>
        <w:tc>
          <w:tcPr>
            <w:tcW w:w="13075" w:type="dxa"/>
            <w:gridSpan w:val="28"/>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经清理，综合窗口的服务部门和受理事项有调整，绩效指标尚未调整。</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634" w:hRule="atLeast"/>
        </w:trPr>
        <w:tc>
          <w:tcPr>
            <w:tcW w:w="801"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改进措施</w:t>
            </w:r>
          </w:p>
        </w:tc>
        <w:tc>
          <w:tcPr>
            <w:tcW w:w="13075" w:type="dxa"/>
            <w:gridSpan w:val="28"/>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下一年度调整相应的绩效指标。</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285" w:hRule="atLeast"/>
        </w:trPr>
        <w:tc>
          <w:tcPr>
            <w:tcW w:w="7362" w:type="dxa"/>
            <w:gridSpan w:val="1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项目负责人：程阳</w:t>
            </w:r>
          </w:p>
        </w:tc>
        <w:tc>
          <w:tcPr>
            <w:tcW w:w="6514" w:type="dxa"/>
            <w:gridSpan w:val="1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财务负责人：袁玲</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940" w:hRule="atLeast"/>
        </w:trPr>
        <w:tc>
          <w:tcPr>
            <w:tcW w:w="801"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2025"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1702"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2224" w:type="dxa"/>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610" w:type="dxa"/>
            <w:gridSpan w:val="5"/>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1207" w:type="dxa"/>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520"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1272"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820" w:type="dxa"/>
            <w:gridSpan w:val="5"/>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897"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1798" w:type="dxa"/>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904" w:hRule="atLeast"/>
        </w:trPr>
        <w:tc>
          <w:tcPr>
            <w:tcW w:w="13876" w:type="dxa"/>
            <w:gridSpan w:val="31"/>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b/>
                <w:bCs/>
                <w:color w:val="000000"/>
                <w:sz w:val="16"/>
                <w:szCs w:val="16"/>
              </w:rPr>
            </w:pPr>
            <w:r>
              <w:rPr>
                <w:rFonts w:hint="eastAsia" w:ascii="黑体" w:hAnsi="宋体" w:eastAsia="黑体" w:cs="黑体"/>
                <w:b/>
                <w:bCs/>
                <w:color w:val="000000"/>
                <w:kern w:val="0"/>
                <w:sz w:val="30"/>
                <w:szCs w:val="30"/>
                <w:lang w:bidi="ar"/>
              </w:rPr>
              <w:t>部门预算项目支出绩效自评表（2024年度）</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108" w:type="dxa"/>
            <w:bottom w:w="0" w:type="dxa"/>
            <w:right w:w="108" w:type="dxa"/>
          </w:tblCellMar>
        </w:tblPrEx>
        <w:trPr>
          <w:gridBefore w:val="1"/>
          <w:gridAfter w:val="1"/>
          <w:wBefore w:w="3" w:type="dxa"/>
          <w:wAfter w:w="721" w:type="dxa"/>
          <w:trHeight w:val="380" w:hRule="atLeast"/>
        </w:trPr>
        <w:tc>
          <w:tcPr>
            <w:tcW w:w="2826"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项目名称</w:t>
            </w:r>
          </w:p>
        </w:tc>
        <w:tc>
          <w:tcPr>
            <w:tcW w:w="11050" w:type="dxa"/>
            <w:gridSpan w:val="2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51080023T000009641836-物业管理费</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514" w:hRule="atLeast"/>
        </w:trPr>
        <w:tc>
          <w:tcPr>
            <w:tcW w:w="2826"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主管部门</w:t>
            </w:r>
          </w:p>
        </w:tc>
        <w:tc>
          <w:tcPr>
            <w:tcW w:w="6263" w:type="dxa"/>
            <w:gridSpan w:val="1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广元市政务服务和数据局部门</w:t>
            </w:r>
          </w:p>
        </w:tc>
        <w:tc>
          <w:tcPr>
            <w:tcW w:w="1272" w:type="dxa"/>
            <w:gridSpan w:val="3"/>
            <w:tcBorders>
              <w:top w:val="nil"/>
              <w:left w:val="nil"/>
              <w:bottom w:val="nil"/>
              <w:right w:val="nil"/>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实施单位 （盖章）</w:t>
            </w:r>
          </w:p>
        </w:tc>
        <w:tc>
          <w:tcPr>
            <w:tcW w:w="3515"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广元市政务服务和数据局</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285" w:hRule="atLeast"/>
        </w:trPr>
        <w:tc>
          <w:tcPr>
            <w:tcW w:w="801"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项目基本情况</w:t>
            </w:r>
          </w:p>
        </w:tc>
        <w:tc>
          <w:tcPr>
            <w:tcW w:w="202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1.项目年度目标完成情况</w:t>
            </w:r>
          </w:p>
        </w:tc>
        <w:tc>
          <w:tcPr>
            <w:tcW w:w="6263" w:type="dxa"/>
            <w:gridSpan w:val="1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项目年度目标</w:t>
            </w:r>
          </w:p>
        </w:tc>
        <w:tc>
          <w:tcPr>
            <w:tcW w:w="4787" w:type="dxa"/>
            <w:gridSpan w:val="1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年度目标完成情况</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709"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c>
          <w:tcPr>
            <w:tcW w:w="6263" w:type="dxa"/>
            <w:gridSpan w:val="1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通过物业管理项目的实施，加强对物业公司的考核，使政务大厅环境整洁美观，政务办公场所安全有序，保障政务服务和公共资源交易工作正常有序开展，提高人民群众满意度。</w:t>
            </w:r>
          </w:p>
        </w:tc>
        <w:tc>
          <w:tcPr>
            <w:tcW w:w="4787" w:type="dxa"/>
            <w:gridSpan w:val="1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市级政务服务中心大楼得到了正常运转，物业服务质量较好，为办事群众提供了良好的办事环境。</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694"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2.项目实施内容及过程概述</w:t>
            </w:r>
          </w:p>
        </w:tc>
        <w:tc>
          <w:tcPr>
            <w:tcW w:w="11050" w:type="dxa"/>
            <w:gridSpan w:val="2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通过对物业公司服务进行考核，按月支付物业管理费，物业公司提供了优质高效的服务，政务大厅干净整洁、井然有序，办事群众满意度高。</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60" w:hRule="atLeast"/>
        </w:trPr>
        <w:tc>
          <w:tcPr>
            <w:tcW w:w="801"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预算执行情况（10分）</w:t>
            </w: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年度预算数（万元）</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年初预算</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调整后预算数</w:t>
            </w: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预算执行数</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预算执行率</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权重</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得分</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原因</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45"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总额</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95.10</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95.10</w:t>
            </w: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95.08</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99.98%</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98"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1.预算执行率=预算执行数/调整后预算数，预算执行率未达到90%的需说明原因（100字以内）;2.年中发生预算调整的（追加或调减）,应单独说明理由；3.其他资金包括：社会投入资金、银行贷款</w:t>
            </w:r>
            <w:r>
              <w:rPr>
                <w:rFonts w:hint="eastAsia" w:ascii="宋体" w:hAnsi="宋体" w:cs="宋体"/>
                <w:color w:val="000000"/>
                <w:kern w:val="0"/>
                <w:sz w:val="18"/>
                <w:szCs w:val="18"/>
                <w:lang w:eastAsia="zh-CN" w:bidi="ar"/>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90"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其中：财政资金</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95.10</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95.10</w:t>
            </w: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95.08</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99.98%</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798"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409"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财政专户管理资金</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798"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60"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单位资金</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798"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其他资金</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798"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454" w:hRule="atLeast"/>
        </w:trPr>
        <w:tc>
          <w:tcPr>
            <w:tcW w:w="801"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绩效指标（90分）</w:t>
            </w: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一级指标</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二级指标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三级指标</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指标性质</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指标值</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度量单位</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完成值</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权重</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得分</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未完成原因分析</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454"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产出指标</w:t>
            </w:r>
          </w:p>
        </w:tc>
        <w:tc>
          <w:tcPr>
            <w:tcW w:w="170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数量指标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物业服务面积</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32300</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平方米</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32300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0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物业公司服务人数</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35</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名</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35</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质量指标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物业服务合格率</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0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时效指标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物业费按时支付率</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0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完成时间</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月</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效益指标</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社会效益指标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政务服务质量水平提升度</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定性</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生态效益指标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政务服务环境改善度</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定性</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优</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优</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政务服务环境还有待优化。</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454"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满意度指标</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服务对象满意度指标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物业服务质量满意度</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96</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物业服务质量还有待提升。</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成本指标</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经济成本指标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项目总预算控制数</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95.1</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万元</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285" w:hRule="atLeast"/>
        </w:trPr>
        <w:tc>
          <w:tcPr>
            <w:tcW w:w="10361" w:type="dxa"/>
            <w:gridSpan w:val="2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合计</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98</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604" w:hRule="atLeast"/>
        </w:trPr>
        <w:tc>
          <w:tcPr>
            <w:tcW w:w="801"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评价结论</w:t>
            </w:r>
          </w:p>
        </w:tc>
        <w:tc>
          <w:tcPr>
            <w:tcW w:w="13075" w:type="dxa"/>
            <w:gridSpan w:val="28"/>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经自评，该项目得分为98分。通过该项目的实施，市级政务服务中心大楼设施设备、安保、保洁等正常运转，为企业和办事群众提供了良好的办事环境。</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574" w:hRule="atLeast"/>
        </w:trPr>
        <w:tc>
          <w:tcPr>
            <w:tcW w:w="801"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存在问题</w:t>
            </w:r>
          </w:p>
        </w:tc>
        <w:tc>
          <w:tcPr>
            <w:tcW w:w="13075" w:type="dxa"/>
            <w:gridSpan w:val="28"/>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无。</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634" w:hRule="atLeast"/>
        </w:trPr>
        <w:tc>
          <w:tcPr>
            <w:tcW w:w="801"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改进措施</w:t>
            </w:r>
          </w:p>
        </w:tc>
        <w:tc>
          <w:tcPr>
            <w:tcW w:w="13075" w:type="dxa"/>
            <w:gridSpan w:val="28"/>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无。</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285" w:hRule="atLeast"/>
        </w:trPr>
        <w:tc>
          <w:tcPr>
            <w:tcW w:w="7362" w:type="dxa"/>
            <w:gridSpan w:val="1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项目负责人：王娅</w:t>
            </w:r>
          </w:p>
        </w:tc>
        <w:tc>
          <w:tcPr>
            <w:tcW w:w="6514" w:type="dxa"/>
            <w:gridSpan w:val="1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财务负责人：袁玲</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740" w:hRule="atLeast"/>
        </w:trPr>
        <w:tc>
          <w:tcPr>
            <w:tcW w:w="801"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2025"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1702"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2224" w:type="dxa"/>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610" w:type="dxa"/>
            <w:gridSpan w:val="5"/>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1207" w:type="dxa"/>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520"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1272"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820" w:type="dxa"/>
            <w:gridSpan w:val="5"/>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897"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1798" w:type="dxa"/>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900" w:hRule="atLeast"/>
        </w:trPr>
        <w:tc>
          <w:tcPr>
            <w:tcW w:w="13876" w:type="dxa"/>
            <w:gridSpan w:val="31"/>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黑体" w:hAnsi="宋体" w:eastAsia="黑体" w:cs="黑体"/>
                <w:b/>
                <w:bCs/>
                <w:color w:val="000000"/>
                <w:sz w:val="30"/>
                <w:szCs w:val="30"/>
              </w:rPr>
            </w:pPr>
            <w:r>
              <w:rPr>
                <w:rFonts w:hint="eastAsia" w:ascii="黑体" w:hAnsi="宋体" w:eastAsia="黑体" w:cs="黑体"/>
                <w:b/>
                <w:bCs/>
                <w:color w:val="000000"/>
                <w:kern w:val="0"/>
                <w:sz w:val="30"/>
                <w:szCs w:val="30"/>
                <w:lang w:bidi="ar"/>
              </w:rPr>
              <w:t>部门预算项目支出绩效自评表（2024年度）</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108" w:type="dxa"/>
            <w:bottom w:w="0" w:type="dxa"/>
            <w:right w:w="108" w:type="dxa"/>
          </w:tblCellMar>
        </w:tblPrEx>
        <w:trPr>
          <w:gridBefore w:val="1"/>
          <w:gridAfter w:val="1"/>
          <w:wBefore w:w="3" w:type="dxa"/>
          <w:wAfter w:w="721" w:type="dxa"/>
          <w:trHeight w:val="420" w:hRule="atLeast"/>
        </w:trPr>
        <w:tc>
          <w:tcPr>
            <w:tcW w:w="2826"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ascii="宋体" w:hAnsi="宋体" w:eastAsia="宋体" w:cs="宋体"/>
                <w:color w:val="000000"/>
                <w:sz w:val="20"/>
                <w:szCs w:val="20"/>
              </w:rPr>
            </w:pPr>
            <w:r>
              <w:rPr>
                <w:rFonts w:ascii="宋体" w:hAnsi="宋体" w:eastAsia="宋体" w:cs="宋体"/>
                <w:color w:val="000000"/>
                <w:kern w:val="0"/>
                <w:sz w:val="20"/>
                <w:szCs w:val="20"/>
                <w:lang w:bidi="ar"/>
              </w:rPr>
              <w:t>项目名称</w:t>
            </w:r>
          </w:p>
        </w:tc>
        <w:tc>
          <w:tcPr>
            <w:tcW w:w="11050" w:type="dxa"/>
            <w:gridSpan w:val="2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ascii="宋体" w:hAnsi="宋体" w:eastAsia="宋体" w:cs="宋体"/>
                <w:color w:val="000000"/>
                <w:sz w:val="20"/>
                <w:szCs w:val="20"/>
              </w:rPr>
            </w:pPr>
            <w:r>
              <w:rPr>
                <w:rFonts w:ascii="宋体" w:hAnsi="宋体" w:eastAsia="宋体" w:cs="宋体"/>
                <w:color w:val="000000"/>
                <w:kern w:val="0"/>
                <w:sz w:val="20"/>
                <w:szCs w:val="20"/>
                <w:lang w:bidi="ar"/>
              </w:rPr>
              <w:t>51080023T000009662509-广元市惠企政策精准推送系统项目</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514" w:hRule="atLeast"/>
        </w:trPr>
        <w:tc>
          <w:tcPr>
            <w:tcW w:w="2826"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ascii="宋体" w:hAnsi="宋体" w:eastAsia="宋体" w:cs="宋体"/>
                <w:color w:val="000000"/>
                <w:sz w:val="20"/>
                <w:szCs w:val="20"/>
              </w:rPr>
            </w:pPr>
            <w:r>
              <w:rPr>
                <w:rFonts w:ascii="宋体" w:hAnsi="宋体" w:eastAsia="宋体" w:cs="宋体"/>
                <w:color w:val="000000"/>
                <w:kern w:val="0"/>
                <w:sz w:val="20"/>
                <w:szCs w:val="20"/>
                <w:lang w:bidi="ar"/>
              </w:rPr>
              <w:t>主管部门</w:t>
            </w:r>
          </w:p>
        </w:tc>
        <w:tc>
          <w:tcPr>
            <w:tcW w:w="6263" w:type="dxa"/>
            <w:gridSpan w:val="1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ascii="宋体" w:hAnsi="宋体" w:eastAsia="宋体" w:cs="宋体"/>
                <w:color w:val="000000"/>
                <w:sz w:val="20"/>
                <w:szCs w:val="20"/>
              </w:rPr>
            </w:pPr>
            <w:r>
              <w:rPr>
                <w:rFonts w:ascii="宋体" w:hAnsi="宋体" w:eastAsia="宋体" w:cs="宋体"/>
                <w:color w:val="000000"/>
                <w:kern w:val="0"/>
                <w:sz w:val="20"/>
                <w:szCs w:val="20"/>
                <w:lang w:bidi="ar"/>
              </w:rPr>
              <w:t>广元市政务服务和数据局部门</w:t>
            </w:r>
          </w:p>
        </w:tc>
        <w:tc>
          <w:tcPr>
            <w:tcW w:w="1272" w:type="dxa"/>
            <w:gridSpan w:val="3"/>
            <w:tcBorders>
              <w:top w:val="nil"/>
              <w:left w:val="nil"/>
              <w:bottom w:val="nil"/>
              <w:right w:val="nil"/>
            </w:tcBorders>
            <w:shd w:val="clear" w:color="auto" w:fill="auto"/>
            <w:noWrap w:val="0"/>
            <w:vAlign w:val="center"/>
          </w:tcPr>
          <w:p>
            <w:pPr>
              <w:widowControl/>
              <w:jc w:val="left"/>
              <w:textAlignment w:val="center"/>
              <w:rPr>
                <w:rFonts w:ascii="黑体" w:hAnsi="黑体" w:eastAsia="黑体" w:cs="黑体"/>
                <w:color w:val="000000"/>
                <w:sz w:val="20"/>
                <w:szCs w:val="20"/>
              </w:rPr>
            </w:pPr>
            <w:r>
              <w:rPr>
                <w:rFonts w:hint="eastAsia" w:ascii="黑体" w:hAnsi="黑体" w:eastAsia="黑体" w:cs="黑体"/>
                <w:color w:val="000000"/>
                <w:kern w:val="0"/>
                <w:sz w:val="20"/>
                <w:szCs w:val="20"/>
                <w:lang w:bidi="ar"/>
              </w:rPr>
              <w:t>实施单位 （盖章）</w:t>
            </w:r>
          </w:p>
        </w:tc>
        <w:tc>
          <w:tcPr>
            <w:tcW w:w="3515"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ascii="宋体" w:hAnsi="宋体" w:eastAsia="宋体" w:cs="宋体"/>
                <w:color w:val="000000"/>
                <w:sz w:val="20"/>
                <w:szCs w:val="20"/>
              </w:rPr>
            </w:pPr>
            <w:r>
              <w:rPr>
                <w:rFonts w:ascii="宋体" w:hAnsi="宋体" w:eastAsia="宋体" w:cs="宋体"/>
                <w:color w:val="000000"/>
                <w:kern w:val="0"/>
                <w:sz w:val="20"/>
                <w:szCs w:val="20"/>
                <w:lang w:bidi="ar"/>
              </w:rPr>
              <w:t>广元市政务服务和数据局</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285" w:hRule="atLeast"/>
        </w:trPr>
        <w:tc>
          <w:tcPr>
            <w:tcW w:w="801"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ascii="宋体" w:hAnsi="宋体" w:eastAsia="宋体" w:cs="宋体"/>
                <w:color w:val="000000"/>
                <w:sz w:val="20"/>
                <w:szCs w:val="20"/>
              </w:rPr>
            </w:pPr>
            <w:r>
              <w:rPr>
                <w:rFonts w:ascii="宋体" w:hAnsi="宋体" w:eastAsia="宋体" w:cs="宋体"/>
                <w:color w:val="000000"/>
                <w:kern w:val="0"/>
                <w:sz w:val="20"/>
                <w:szCs w:val="20"/>
                <w:lang w:bidi="ar"/>
              </w:rPr>
              <w:t>项目基本情况</w:t>
            </w:r>
          </w:p>
        </w:tc>
        <w:tc>
          <w:tcPr>
            <w:tcW w:w="202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ascii="宋体" w:hAnsi="宋体" w:eastAsia="宋体" w:cs="宋体"/>
                <w:color w:val="000000"/>
                <w:sz w:val="20"/>
                <w:szCs w:val="20"/>
              </w:rPr>
            </w:pPr>
            <w:r>
              <w:rPr>
                <w:rFonts w:ascii="宋体" w:hAnsi="宋体" w:eastAsia="宋体" w:cs="宋体"/>
                <w:color w:val="000000"/>
                <w:kern w:val="0"/>
                <w:sz w:val="20"/>
                <w:szCs w:val="20"/>
                <w:lang w:bidi="ar"/>
              </w:rPr>
              <w:t>1.项目年度目标完成情况</w:t>
            </w:r>
          </w:p>
        </w:tc>
        <w:tc>
          <w:tcPr>
            <w:tcW w:w="6263" w:type="dxa"/>
            <w:gridSpan w:val="1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ascii="宋体" w:hAnsi="宋体" w:eastAsia="宋体" w:cs="宋体"/>
                <w:color w:val="000000"/>
                <w:sz w:val="20"/>
                <w:szCs w:val="20"/>
              </w:rPr>
            </w:pPr>
            <w:r>
              <w:rPr>
                <w:rFonts w:ascii="宋体" w:hAnsi="宋体" w:eastAsia="宋体" w:cs="宋体"/>
                <w:color w:val="000000"/>
                <w:kern w:val="0"/>
                <w:sz w:val="20"/>
                <w:szCs w:val="20"/>
                <w:lang w:bidi="ar"/>
              </w:rPr>
              <w:t>项目年度目标</w:t>
            </w:r>
          </w:p>
        </w:tc>
        <w:tc>
          <w:tcPr>
            <w:tcW w:w="4787" w:type="dxa"/>
            <w:gridSpan w:val="1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黑体" w:hAnsi="黑体" w:eastAsia="黑体" w:cs="黑体"/>
                <w:color w:val="000000"/>
                <w:sz w:val="20"/>
                <w:szCs w:val="20"/>
              </w:rPr>
            </w:pPr>
            <w:r>
              <w:rPr>
                <w:rFonts w:hint="eastAsia" w:ascii="黑体" w:hAnsi="黑体" w:eastAsia="黑体" w:cs="黑体"/>
                <w:color w:val="000000"/>
                <w:kern w:val="0"/>
                <w:sz w:val="20"/>
                <w:szCs w:val="20"/>
                <w:lang w:bidi="ar"/>
              </w:rPr>
              <w:t>年度目标完成情况</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904"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20"/>
                <w:szCs w:val="20"/>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20"/>
                <w:szCs w:val="20"/>
              </w:rPr>
            </w:pPr>
          </w:p>
        </w:tc>
        <w:tc>
          <w:tcPr>
            <w:tcW w:w="6263" w:type="dxa"/>
            <w:gridSpan w:val="1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ascii="宋体" w:hAnsi="宋体" w:eastAsia="宋体" w:cs="宋体"/>
                <w:color w:val="000000"/>
                <w:sz w:val="20"/>
                <w:szCs w:val="20"/>
              </w:rPr>
            </w:pPr>
            <w:r>
              <w:rPr>
                <w:rFonts w:ascii="宋体" w:hAnsi="宋体" w:eastAsia="宋体" w:cs="宋体"/>
                <w:color w:val="000000"/>
                <w:kern w:val="0"/>
                <w:sz w:val="20"/>
                <w:szCs w:val="20"/>
                <w:lang w:bidi="ar"/>
              </w:rPr>
              <w:t>建立惠企政策精准推送专用系统”要求：市政务服务和资源交易中心牵头建设全市统一的惠企政策“查、办、送、评”信息化系统，实现惠企政策“一网”通查、“一键”匹配、“一秒”推送、“一站”服务，实现企业在线申请、部门在线审批，惠企政策兑现“全程网办”。</w:t>
            </w:r>
          </w:p>
        </w:tc>
        <w:tc>
          <w:tcPr>
            <w:tcW w:w="4787" w:type="dxa"/>
            <w:gridSpan w:val="1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黑体" w:hAnsi="黑体" w:eastAsia="黑体" w:cs="黑体"/>
                <w:color w:val="000000"/>
                <w:sz w:val="20"/>
                <w:szCs w:val="20"/>
              </w:rPr>
            </w:pPr>
            <w:r>
              <w:rPr>
                <w:rFonts w:hint="eastAsia" w:ascii="黑体" w:hAnsi="黑体" w:eastAsia="黑体" w:cs="黑体"/>
                <w:color w:val="000000"/>
                <w:kern w:val="0"/>
                <w:sz w:val="20"/>
                <w:szCs w:val="20"/>
                <w:lang w:bidi="ar"/>
              </w:rPr>
              <w:t>2024年度，已建成“一中心、两端、九应用、六支撑”，实现对企业精准画像和政策精准匹配，达到了预期建设目标。</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694"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20"/>
                <w:szCs w:val="20"/>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ascii="宋体" w:hAnsi="宋体" w:eastAsia="宋体" w:cs="宋体"/>
                <w:color w:val="000000"/>
                <w:sz w:val="20"/>
                <w:szCs w:val="20"/>
              </w:rPr>
            </w:pPr>
            <w:r>
              <w:rPr>
                <w:rFonts w:ascii="宋体" w:hAnsi="宋体" w:eastAsia="宋体" w:cs="宋体"/>
                <w:color w:val="000000"/>
                <w:kern w:val="0"/>
                <w:sz w:val="20"/>
                <w:szCs w:val="20"/>
                <w:lang w:bidi="ar"/>
              </w:rPr>
              <w:t>2.项目实施内容及过程概述</w:t>
            </w:r>
          </w:p>
        </w:tc>
        <w:tc>
          <w:tcPr>
            <w:tcW w:w="11050" w:type="dxa"/>
            <w:gridSpan w:val="2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ascii="宋体" w:hAnsi="宋体" w:eastAsia="宋体" w:cs="宋体"/>
                <w:color w:val="000000"/>
                <w:sz w:val="20"/>
                <w:szCs w:val="20"/>
              </w:rPr>
            </w:pPr>
            <w:r>
              <w:rPr>
                <w:rFonts w:ascii="宋体" w:hAnsi="宋体" w:eastAsia="宋体" w:cs="宋体"/>
                <w:color w:val="000000"/>
                <w:kern w:val="0"/>
                <w:sz w:val="20"/>
                <w:szCs w:val="20"/>
                <w:lang w:bidi="ar"/>
              </w:rPr>
              <w:t>该项目实施内容包含“一中心、两端、九应用、六支撑”，2024年1月开始进行软件开发，4月完成初步验收，9月软件系统上线发布，已完成履约验收并支付资金。</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60" w:hRule="atLeast"/>
        </w:trPr>
        <w:tc>
          <w:tcPr>
            <w:tcW w:w="801"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预算执行情况（10分）</w:t>
            </w: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年度预算数（万元）</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年初预算</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调整后预算数</w:t>
            </w: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预算执行数</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预算执行率</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权重</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得分</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原因</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45"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20"/>
                <w:szCs w:val="20"/>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总额</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376.75</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376.75</w:t>
            </w: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228.70</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60.70%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10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6</w:t>
            </w:r>
          </w:p>
        </w:tc>
        <w:tc>
          <w:tcPr>
            <w:tcW w:w="1798"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该项目总投资377万元，财政评审审定金额309万元，2023年财政下达预算资金377万元。2024年度结转上年度资金376.75万元，根据合同约定支付228.7.项目已结束，剩余指标财政于2024年年底收回。</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90"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20"/>
                <w:szCs w:val="20"/>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其中：财政资金</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376.75</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376.75</w:t>
            </w: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228.70</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60.70%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w:t>
            </w:r>
          </w:p>
        </w:tc>
        <w:tc>
          <w:tcPr>
            <w:tcW w:w="1798"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20"/>
                <w:szCs w:val="20"/>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409"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20"/>
                <w:szCs w:val="20"/>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财政专户管理资金</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w:t>
            </w:r>
          </w:p>
        </w:tc>
        <w:tc>
          <w:tcPr>
            <w:tcW w:w="1798"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20"/>
                <w:szCs w:val="20"/>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60"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20"/>
                <w:szCs w:val="20"/>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单位资金</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w:t>
            </w:r>
          </w:p>
        </w:tc>
        <w:tc>
          <w:tcPr>
            <w:tcW w:w="1798"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20"/>
                <w:szCs w:val="20"/>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20"/>
                <w:szCs w:val="20"/>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其他资金</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iCs/>
                <w:color w:val="000000"/>
                <w:sz w:val="20"/>
                <w:szCs w:val="20"/>
              </w:rPr>
            </w:pP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iCs/>
                <w:color w:val="000000"/>
                <w:sz w:val="20"/>
                <w:szCs w:val="20"/>
              </w:rPr>
            </w:pP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iCs/>
                <w:color w:val="000000"/>
                <w:sz w:val="20"/>
                <w:szCs w:val="20"/>
              </w:rPr>
            </w:pP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iCs/>
                <w:color w:val="000000"/>
                <w:sz w:val="20"/>
                <w:szCs w:val="20"/>
              </w:rPr>
            </w:pP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w:t>
            </w:r>
          </w:p>
        </w:tc>
        <w:tc>
          <w:tcPr>
            <w:tcW w:w="1798"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20"/>
                <w:szCs w:val="20"/>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454" w:hRule="atLeast"/>
        </w:trPr>
        <w:tc>
          <w:tcPr>
            <w:tcW w:w="801"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绩效指标（90分）</w:t>
            </w: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一级指标</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二级指标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三级指标</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指标性质</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指标值</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度量单位</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完成值</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权重</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得分</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未完成原因分析</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20"/>
                <w:szCs w:val="20"/>
              </w:rPr>
            </w:pPr>
          </w:p>
        </w:tc>
        <w:tc>
          <w:tcPr>
            <w:tcW w:w="202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产出指标</w:t>
            </w:r>
          </w:p>
        </w:tc>
        <w:tc>
          <w:tcPr>
            <w:tcW w:w="170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数量指标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开发的系统个数</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1</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个</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1</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6</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6</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iCs/>
                <w:color w:val="000000"/>
                <w:sz w:val="20"/>
                <w:szCs w:val="20"/>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20"/>
                <w:szCs w:val="20"/>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20"/>
                <w:szCs w:val="20"/>
              </w:rPr>
            </w:pPr>
          </w:p>
        </w:tc>
        <w:tc>
          <w:tcPr>
            <w:tcW w:w="170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20"/>
                <w:szCs w:val="20"/>
              </w:rPr>
            </w:pP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开发的功能模块数量</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5</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个</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9</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4</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4</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iCs/>
                <w:color w:val="000000"/>
                <w:sz w:val="20"/>
                <w:szCs w:val="20"/>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20"/>
                <w:szCs w:val="20"/>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20"/>
                <w:szCs w:val="20"/>
              </w:rPr>
            </w:pPr>
          </w:p>
        </w:tc>
        <w:tc>
          <w:tcPr>
            <w:tcW w:w="170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20"/>
                <w:szCs w:val="20"/>
              </w:rPr>
            </w:pP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配置硬件数量</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10</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个</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12</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6</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6</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iCs/>
                <w:color w:val="000000"/>
                <w:sz w:val="20"/>
                <w:szCs w:val="20"/>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20"/>
                <w:szCs w:val="20"/>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20"/>
                <w:szCs w:val="20"/>
              </w:rPr>
            </w:pPr>
          </w:p>
        </w:tc>
        <w:tc>
          <w:tcPr>
            <w:tcW w:w="170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质量指标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系统正常运行率</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98</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98</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6</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6</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iCs/>
                <w:color w:val="000000"/>
                <w:sz w:val="20"/>
                <w:szCs w:val="20"/>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20"/>
                <w:szCs w:val="20"/>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20"/>
                <w:szCs w:val="20"/>
              </w:rPr>
            </w:pPr>
          </w:p>
        </w:tc>
        <w:tc>
          <w:tcPr>
            <w:tcW w:w="170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20"/>
                <w:szCs w:val="20"/>
              </w:rPr>
            </w:pP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软件验收合格率</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98</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98</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6</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6</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iCs/>
                <w:color w:val="000000"/>
                <w:sz w:val="20"/>
                <w:szCs w:val="20"/>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20"/>
                <w:szCs w:val="20"/>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20"/>
                <w:szCs w:val="20"/>
              </w:rPr>
            </w:pPr>
          </w:p>
        </w:tc>
        <w:tc>
          <w:tcPr>
            <w:tcW w:w="170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20"/>
                <w:szCs w:val="20"/>
              </w:rPr>
            </w:pP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硬件验收合格率</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98</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98</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6</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6</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iCs/>
                <w:color w:val="000000"/>
                <w:sz w:val="20"/>
                <w:szCs w:val="20"/>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20"/>
                <w:szCs w:val="20"/>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20"/>
                <w:szCs w:val="20"/>
              </w:rPr>
            </w:pP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时效指标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项目采购完成时间</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1</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年</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0.5</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6</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6</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iCs/>
                <w:color w:val="000000"/>
                <w:sz w:val="20"/>
                <w:szCs w:val="20"/>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454"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20"/>
                <w:szCs w:val="20"/>
              </w:rPr>
            </w:pPr>
          </w:p>
        </w:tc>
        <w:tc>
          <w:tcPr>
            <w:tcW w:w="202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效益指标</w:t>
            </w:r>
          </w:p>
        </w:tc>
        <w:tc>
          <w:tcPr>
            <w:tcW w:w="170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社会效益指标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对促进惠企政策公开方面的影响程度</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定性</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高</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20"/>
                <w:szCs w:val="20"/>
              </w:rPr>
            </w:pP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高</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3</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2</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促进惠企政策公开方面的影响程度有待进一步提升。</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20"/>
                <w:szCs w:val="20"/>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20"/>
                <w:szCs w:val="20"/>
              </w:rPr>
            </w:pPr>
          </w:p>
        </w:tc>
        <w:tc>
          <w:tcPr>
            <w:tcW w:w="170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20"/>
                <w:szCs w:val="20"/>
              </w:rPr>
            </w:pP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提高惠企政策兑现效率</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30</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50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3</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3</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left"/>
              <w:rPr>
                <w:rFonts w:hint="eastAsia" w:ascii="宋体" w:hAnsi="宋体" w:eastAsia="宋体" w:cs="宋体"/>
                <w:color w:val="000000"/>
                <w:sz w:val="20"/>
                <w:szCs w:val="20"/>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454"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20"/>
                <w:szCs w:val="20"/>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20"/>
                <w:szCs w:val="20"/>
              </w:rPr>
            </w:pPr>
          </w:p>
        </w:tc>
        <w:tc>
          <w:tcPr>
            <w:tcW w:w="170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20"/>
                <w:szCs w:val="20"/>
              </w:rPr>
            </w:pP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对提升数据共享服务方面的影响程度</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定性</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高</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20"/>
                <w:szCs w:val="20"/>
              </w:rPr>
            </w:pP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高</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3</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1</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对提升数据共享服务方面的影响程度有待进一步提升。</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20"/>
                <w:szCs w:val="20"/>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20"/>
                <w:szCs w:val="20"/>
              </w:rPr>
            </w:pPr>
          </w:p>
        </w:tc>
        <w:tc>
          <w:tcPr>
            <w:tcW w:w="170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可持续影响指标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系统后续可拓展性</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定性</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优</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20"/>
                <w:szCs w:val="20"/>
              </w:rPr>
            </w:pP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优</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4</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2</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系统后续可拓展性有待进一步加强。</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108" w:type="dxa"/>
            <w:bottom w:w="0" w:type="dxa"/>
            <w:right w:w="108" w:type="dxa"/>
          </w:tblCellMar>
        </w:tblPrEx>
        <w:trPr>
          <w:gridBefore w:val="1"/>
          <w:gridAfter w:val="1"/>
          <w:wBefore w:w="3" w:type="dxa"/>
          <w:wAfter w:w="721" w:type="dxa"/>
          <w:trHeight w:val="454"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20"/>
                <w:szCs w:val="20"/>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20"/>
                <w:szCs w:val="20"/>
              </w:rPr>
            </w:pPr>
          </w:p>
        </w:tc>
        <w:tc>
          <w:tcPr>
            <w:tcW w:w="170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20"/>
                <w:szCs w:val="20"/>
              </w:rPr>
            </w:pP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对惠企政策兑现大数据分析能力提升程度</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定性</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高</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20"/>
                <w:szCs w:val="20"/>
              </w:rPr>
            </w:pP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高</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3</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2</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对惠企政策兑现大数据分析能力提升程度有待进一步提升。</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20"/>
                <w:szCs w:val="20"/>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20"/>
                <w:szCs w:val="20"/>
              </w:rPr>
            </w:pPr>
          </w:p>
        </w:tc>
        <w:tc>
          <w:tcPr>
            <w:tcW w:w="170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20"/>
                <w:szCs w:val="20"/>
              </w:rPr>
            </w:pP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惠企政策精准推送实现率</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80</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85</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4</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4</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iCs/>
                <w:color w:val="000000"/>
                <w:sz w:val="20"/>
                <w:szCs w:val="20"/>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454"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20"/>
                <w:szCs w:val="20"/>
              </w:rPr>
            </w:pPr>
          </w:p>
        </w:tc>
        <w:tc>
          <w:tcPr>
            <w:tcW w:w="202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满意度指标</w:t>
            </w:r>
          </w:p>
        </w:tc>
        <w:tc>
          <w:tcPr>
            <w:tcW w:w="170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服务对象满意度指标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工作人员对系统使用满意度</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90</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90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5</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5</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iCs/>
                <w:color w:val="000000"/>
                <w:sz w:val="20"/>
                <w:szCs w:val="20"/>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20"/>
                <w:szCs w:val="20"/>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20"/>
                <w:szCs w:val="20"/>
              </w:rPr>
            </w:pPr>
          </w:p>
        </w:tc>
        <w:tc>
          <w:tcPr>
            <w:tcW w:w="170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20"/>
                <w:szCs w:val="20"/>
              </w:rPr>
            </w:pP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平台使用者满意度</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90</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90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5</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5</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iCs/>
                <w:color w:val="000000"/>
                <w:sz w:val="20"/>
                <w:szCs w:val="20"/>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20"/>
                <w:szCs w:val="20"/>
              </w:rPr>
            </w:pPr>
          </w:p>
        </w:tc>
        <w:tc>
          <w:tcPr>
            <w:tcW w:w="202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成本指标</w:t>
            </w:r>
          </w:p>
        </w:tc>
        <w:tc>
          <w:tcPr>
            <w:tcW w:w="170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经济成本指标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系统运维成本</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20</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万元</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6</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6</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iCs/>
                <w:color w:val="000000"/>
                <w:sz w:val="20"/>
                <w:szCs w:val="20"/>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20"/>
                <w:szCs w:val="20"/>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20"/>
                <w:szCs w:val="20"/>
              </w:rPr>
            </w:pPr>
          </w:p>
        </w:tc>
        <w:tc>
          <w:tcPr>
            <w:tcW w:w="170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20"/>
                <w:szCs w:val="20"/>
              </w:rPr>
            </w:pP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系统开发成本</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327</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万元</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200.18</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7</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7</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iCs/>
                <w:color w:val="000000"/>
                <w:sz w:val="20"/>
                <w:szCs w:val="20"/>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20"/>
                <w:szCs w:val="20"/>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20"/>
                <w:szCs w:val="20"/>
              </w:rPr>
            </w:pPr>
          </w:p>
        </w:tc>
        <w:tc>
          <w:tcPr>
            <w:tcW w:w="170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20"/>
                <w:szCs w:val="20"/>
              </w:rPr>
            </w:pP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硬件采购成本</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30</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万元</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23.19</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7</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7</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iCs/>
                <w:color w:val="000000"/>
                <w:sz w:val="20"/>
                <w:szCs w:val="20"/>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285" w:hRule="atLeast"/>
        </w:trPr>
        <w:tc>
          <w:tcPr>
            <w:tcW w:w="10361" w:type="dxa"/>
            <w:gridSpan w:val="2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合计</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100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90</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20"/>
                <w:szCs w:val="20"/>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604" w:hRule="atLeast"/>
        </w:trPr>
        <w:tc>
          <w:tcPr>
            <w:tcW w:w="801"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评价结论</w:t>
            </w:r>
          </w:p>
        </w:tc>
        <w:tc>
          <w:tcPr>
            <w:tcW w:w="13075" w:type="dxa"/>
            <w:gridSpan w:val="28"/>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经自评，该项目得分为90分</w:t>
            </w:r>
            <w:r>
              <w:rPr>
                <w:rFonts w:hint="eastAsia" w:ascii="宋体" w:hAnsi="宋体" w:cs="宋体"/>
                <w:color w:val="000000"/>
                <w:kern w:val="0"/>
                <w:sz w:val="20"/>
                <w:szCs w:val="20"/>
                <w:lang w:eastAsia="zh-CN" w:bidi="ar"/>
              </w:rPr>
              <w:t>。</w:t>
            </w:r>
            <w:r>
              <w:rPr>
                <w:rFonts w:hint="eastAsia" w:ascii="宋体" w:hAnsi="宋体" w:eastAsia="宋体" w:cs="宋体"/>
                <w:color w:val="000000"/>
                <w:kern w:val="0"/>
                <w:sz w:val="20"/>
                <w:szCs w:val="20"/>
                <w:lang w:bidi="ar"/>
              </w:rPr>
              <w:t>通过建设“一中心、两端、九应用、六支撑”，实现对企业精准画像和政策精准匹配。</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574" w:hRule="atLeast"/>
        </w:trPr>
        <w:tc>
          <w:tcPr>
            <w:tcW w:w="801"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存在问题</w:t>
            </w:r>
          </w:p>
        </w:tc>
        <w:tc>
          <w:tcPr>
            <w:tcW w:w="13075" w:type="dxa"/>
            <w:gridSpan w:val="28"/>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涉及惠企政策的部门政策公开不及时，数据共享有待进一步加强，省级已建惠企政策平台，后续不再扩展该平台，大数据分析能力有待进一步提升。</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634" w:hRule="atLeast"/>
        </w:trPr>
        <w:tc>
          <w:tcPr>
            <w:tcW w:w="801"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改进措施</w:t>
            </w:r>
          </w:p>
        </w:tc>
        <w:tc>
          <w:tcPr>
            <w:tcW w:w="13075" w:type="dxa"/>
            <w:gridSpan w:val="28"/>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敦促涉及惠企政策的部门及时公开香瓜政策，实施更新数据共享，进一步提升大数据分析能力。</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40" w:hRule="atLeast"/>
        </w:trPr>
        <w:tc>
          <w:tcPr>
            <w:tcW w:w="7362" w:type="dxa"/>
            <w:gridSpan w:val="1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项目负责人：杨勇</w:t>
            </w:r>
          </w:p>
        </w:tc>
        <w:tc>
          <w:tcPr>
            <w:tcW w:w="6514" w:type="dxa"/>
            <w:gridSpan w:val="1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财务负责人：袁玲</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740" w:hRule="atLeast"/>
        </w:trPr>
        <w:tc>
          <w:tcPr>
            <w:tcW w:w="801"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2025"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1702"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2224" w:type="dxa"/>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610" w:type="dxa"/>
            <w:gridSpan w:val="5"/>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1207" w:type="dxa"/>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520"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1272"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820" w:type="dxa"/>
            <w:gridSpan w:val="5"/>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897"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1798" w:type="dxa"/>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904" w:hRule="atLeast"/>
        </w:trPr>
        <w:tc>
          <w:tcPr>
            <w:tcW w:w="13876" w:type="dxa"/>
            <w:gridSpan w:val="31"/>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b/>
                <w:bCs/>
                <w:color w:val="000000"/>
                <w:sz w:val="16"/>
                <w:szCs w:val="16"/>
              </w:rPr>
            </w:pPr>
            <w:r>
              <w:rPr>
                <w:rFonts w:hint="eastAsia" w:ascii="黑体" w:hAnsi="宋体" w:eastAsia="黑体" w:cs="黑体"/>
                <w:b/>
                <w:bCs/>
                <w:color w:val="000000"/>
                <w:kern w:val="0"/>
                <w:sz w:val="30"/>
                <w:szCs w:val="30"/>
                <w:lang w:bidi="ar"/>
              </w:rPr>
              <w:t>部门预算项目支出绩效自评表（2024年度）</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108" w:type="dxa"/>
            <w:bottom w:w="0" w:type="dxa"/>
            <w:right w:w="108" w:type="dxa"/>
          </w:tblCellMar>
        </w:tblPrEx>
        <w:trPr>
          <w:gridBefore w:val="1"/>
          <w:gridAfter w:val="1"/>
          <w:wBefore w:w="3" w:type="dxa"/>
          <w:wAfter w:w="721" w:type="dxa"/>
          <w:trHeight w:val="285" w:hRule="atLeast"/>
        </w:trPr>
        <w:tc>
          <w:tcPr>
            <w:tcW w:w="2826"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项目名称</w:t>
            </w:r>
          </w:p>
        </w:tc>
        <w:tc>
          <w:tcPr>
            <w:tcW w:w="11050" w:type="dxa"/>
            <w:gridSpan w:val="2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51080023T000009696747-工作服采购经费</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514" w:hRule="atLeast"/>
        </w:trPr>
        <w:tc>
          <w:tcPr>
            <w:tcW w:w="2826"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主管部门</w:t>
            </w:r>
          </w:p>
        </w:tc>
        <w:tc>
          <w:tcPr>
            <w:tcW w:w="6263" w:type="dxa"/>
            <w:gridSpan w:val="1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广元市政务服务和数据局部门</w:t>
            </w:r>
          </w:p>
        </w:tc>
        <w:tc>
          <w:tcPr>
            <w:tcW w:w="1272" w:type="dxa"/>
            <w:gridSpan w:val="3"/>
            <w:tcBorders>
              <w:top w:val="nil"/>
              <w:left w:val="nil"/>
              <w:bottom w:val="nil"/>
              <w:right w:val="nil"/>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实施单位 （盖章）</w:t>
            </w:r>
          </w:p>
        </w:tc>
        <w:tc>
          <w:tcPr>
            <w:tcW w:w="3515"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广元市政务服务和数据局</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420" w:hRule="atLeast"/>
        </w:trPr>
        <w:tc>
          <w:tcPr>
            <w:tcW w:w="801"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项目基本情况</w:t>
            </w:r>
          </w:p>
        </w:tc>
        <w:tc>
          <w:tcPr>
            <w:tcW w:w="202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1.项目年度目标完成情况</w:t>
            </w:r>
          </w:p>
        </w:tc>
        <w:tc>
          <w:tcPr>
            <w:tcW w:w="6263" w:type="dxa"/>
            <w:gridSpan w:val="1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项目年度目标</w:t>
            </w:r>
          </w:p>
        </w:tc>
        <w:tc>
          <w:tcPr>
            <w:tcW w:w="4787" w:type="dxa"/>
            <w:gridSpan w:val="1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年度目标完成情况</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1583"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c>
          <w:tcPr>
            <w:tcW w:w="6263" w:type="dxa"/>
            <w:gridSpan w:val="1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按照《关于印发四川省政务服务中心标准化建设实施方案的通知》（川办发〔2009〕18号）、国家标准《政务服务中心运行规范》(GBT32169.3-2015）和《关于推进国务院十省百家办事大厅暗访督查问题整改落实的通知》（川政公函〔2018〕228号）要求，政务服务中心工作人员必须统一着装。目前，市政务服务中心工作人员使用的工作服为2019年统一采购，到2023年，该批次采购的工作服使用将达5年。因此，为深化政务服务“三化”建设，提升政府窗口服务形象</w:t>
            </w:r>
          </w:p>
        </w:tc>
        <w:tc>
          <w:tcPr>
            <w:tcW w:w="4787" w:type="dxa"/>
            <w:gridSpan w:val="1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2023年 9月采购预算资金下达后，中心及时在四川政府采购网进行采购意向公开一个月。采购意向公开结束后，立即启动政府采购程序。采购出供应商后，财政局收到对中标供应商质疑投诉，待财政局认定投诉无效后，11月与采购人签订合同，按照合同约定支付预付款42.32万元。</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694"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2.项目实施内容及过程概述</w:t>
            </w:r>
          </w:p>
        </w:tc>
        <w:tc>
          <w:tcPr>
            <w:tcW w:w="11050" w:type="dxa"/>
            <w:gridSpan w:val="2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2023年9月市财政局下达工作服采购项目资金205万元后，中心及时在四川政府采购网进行采购意向公开一个月。采购意向公开结束后，立即启动政府采购程序。采购出供应商后，财政局收到对中标供应商质疑投诉，待财政局认定投诉无效后，11月与采购人签订合同，2023年按照合同约定，支付42.32万元。2024年结转资金162.68万元，2024年支付96.6万元。</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60" w:hRule="atLeast"/>
        </w:trPr>
        <w:tc>
          <w:tcPr>
            <w:tcW w:w="801"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预算执行情况（10分）</w:t>
            </w: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年度预算数（万元）</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年初预算</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调整后预算数</w:t>
            </w: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预算执行数</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预算执行率</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权重</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得分</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原因</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45"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总额</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162.68</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162.68</w:t>
            </w: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96.60</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59.38%</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1798"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由于部门整合，入驻窗口工作人员人员调整导致实际定制工作服人数比原计划减少，预算执行数较低。</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90"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其中：财政资金</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162.68</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162.68</w:t>
            </w: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96.60</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59.38%</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798"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409"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财政专户管理资金</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798"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60"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单位资金</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798"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其他资金</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798"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454" w:hRule="atLeast"/>
        </w:trPr>
        <w:tc>
          <w:tcPr>
            <w:tcW w:w="801"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绩效指标（90分）</w:t>
            </w: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一级指标</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二级指标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三级指标</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指标性质</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指标值</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度量单位</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完成值</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权重</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得分</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未完成原因分析</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780"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产出指标</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数量指标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服务大厅工作人员数量</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309</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人</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317</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因中心人员变动、机构改革等，经中心党组研究，本项目实际为317名工作人员制作工作服。</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0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质量指标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工作服质量</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定性</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优</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优</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0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工作服合身美观</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0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时效指标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工作服按时交付</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月</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454"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0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工作服采购经费按时支付率</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454"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效益指标</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社会效益指标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政府窗口服务形象大力提升</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定性</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优</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优</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454"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满意度指标</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服务对象满意度指标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办事企业群众满意度</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满意度指标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工作人员对服装满意度</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1080"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成本指标</w:t>
            </w:r>
          </w:p>
        </w:tc>
        <w:tc>
          <w:tcPr>
            <w:tcW w:w="170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经济成本指标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项目总预算控制数</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162.68</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万元</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96.6</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由于部门整合，入驻窗口工作人员调整导致实际定制工作服人数比原计划减少，预算执行数较低。</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0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工作服人均标准</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0.5</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万元</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0.48</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285" w:hRule="atLeast"/>
        </w:trPr>
        <w:tc>
          <w:tcPr>
            <w:tcW w:w="10361" w:type="dxa"/>
            <w:gridSpan w:val="2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合计</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95</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604" w:hRule="atLeast"/>
        </w:trPr>
        <w:tc>
          <w:tcPr>
            <w:tcW w:w="801"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评价结论</w:t>
            </w:r>
          </w:p>
        </w:tc>
        <w:tc>
          <w:tcPr>
            <w:tcW w:w="13075" w:type="dxa"/>
            <w:gridSpan w:val="28"/>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经自评，该项目得分为95分。市级政务服务中心工作人员统一着装增强了工作人员的归属感，激发了工作热情，使政务服务管理更加规范，同时也提升团队凝聚力。</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574" w:hRule="atLeast"/>
        </w:trPr>
        <w:tc>
          <w:tcPr>
            <w:tcW w:w="801"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存在问题</w:t>
            </w:r>
          </w:p>
        </w:tc>
        <w:tc>
          <w:tcPr>
            <w:tcW w:w="13075" w:type="dxa"/>
            <w:gridSpan w:val="28"/>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由于部门整合，入驻窗口工作人员人员调整导致实际定制工作服人数比原计划减少；调整绩效目标指标后，又因人员变动、机构改革等原因导致人员数量指标增加。</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634" w:hRule="atLeast"/>
        </w:trPr>
        <w:tc>
          <w:tcPr>
            <w:tcW w:w="801"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改进措施</w:t>
            </w:r>
          </w:p>
        </w:tc>
        <w:tc>
          <w:tcPr>
            <w:tcW w:w="13075" w:type="dxa"/>
            <w:gridSpan w:val="28"/>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加强资金管理，科学制定预算绩效指标，建立有效的沟通机制，及时进行调整。</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285" w:hRule="atLeast"/>
        </w:trPr>
        <w:tc>
          <w:tcPr>
            <w:tcW w:w="7362" w:type="dxa"/>
            <w:gridSpan w:val="1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项目负责人：王娅</w:t>
            </w:r>
          </w:p>
        </w:tc>
        <w:tc>
          <w:tcPr>
            <w:tcW w:w="6514" w:type="dxa"/>
            <w:gridSpan w:val="1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财务负责人：袁玲</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780" w:hRule="atLeast"/>
        </w:trPr>
        <w:tc>
          <w:tcPr>
            <w:tcW w:w="801"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2025"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1702"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2224" w:type="dxa"/>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610" w:type="dxa"/>
            <w:gridSpan w:val="5"/>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1207" w:type="dxa"/>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520"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1272"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820" w:type="dxa"/>
            <w:gridSpan w:val="5"/>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897"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1798" w:type="dxa"/>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904" w:hRule="atLeast"/>
        </w:trPr>
        <w:tc>
          <w:tcPr>
            <w:tcW w:w="13876" w:type="dxa"/>
            <w:gridSpan w:val="31"/>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黑体" w:hAnsi="宋体" w:eastAsia="黑体" w:cs="黑体"/>
                <w:b/>
                <w:bCs/>
                <w:color w:val="000000"/>
                <w:sz w:val="30"/>
                <w:szCs w:val="30"/>
              </w:rPr>
            </w:pPr>
            <w:r>
              <w:rPr>
                <w:rFonts w:hint="eastAsia" w:ascii="黑体" w:hAnsi="宋体" w:eastAsia="黑体" w:cs="黑体"/>
                <w:b/>
                <w:bCs/>
                <w:color w:val="000000"/>
                <w:kern w:val="0"/>
                <w:sz w:val="30"/>
                <w:szCs w:val="30"/>
                <w:lang w:bidi="ar"/>
              </w:rPr>
              <w:t>部门预算项目支出绩效自评表（2024年度）</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108" w:type="dxa"/>
            <w:bottom w:w="0" w:type="dxa"/>
            <w:right w:w="108" w:type="dxa"/>
          </w:tblCellMar>
        </w:tblPrEx>
        <w:trPr>
          <w:gridBefore w:val="1"/>
          <w:gridAfter w:val="1"/>
          <w:wBefore w:w="3" w:type="dxa"/>
          <w:wAfter w:w="721" w:type="dxa"/>
          <w:trHeight w:val="285" w:hRule="atLeast"/>
        </w:trPr>
        <w:tc>
          <w:tcPr>
            <w:tcW w:w="2826"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项目名称</w:t>
            </w:r>
          </w:p>
        </w:tc>
        <w:tc>
          <w:tcPr>
            <w:tcW w:w="11050" w:type="dxa"/>
            <w:gridSpan w:val="2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51080024T000010682258-广元市12345政务服务热线系统安可适配改造项目</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514" w:hRule="atLeast"/>
        </w:trPr>
        <w:tc>
          <w:tcPr>
            <w:tcW w:w="2826"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主管部门</w:t>
            </w:r>
          </w:p>
        </w:tc>
        <w:tc>
          <w:tcPr>
            <w:tcW w:w="6263" w:type="dxa"/>
            <w:gridSpan w:val="1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广元市政务服务和数据局部门</w:t>
            </w:r>
          </w:p>
        </w:tc>
        <w:tc>
          <w:tcPr>
            <w:tcW w:w="1272" w:type="dxa"/>
            <w:gridSpan w:val="3"/>
            <w:tcBorders>
              <w:top w:val="nil"/>
              <w:left w:val="nil"/>
              <w:bottom w:val="nil"/>
              <w:right w:val="nil"/>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实施单位 （盖章）</w:t>
            </w:r>
          </w:p>
        </w:tc>
        <w:tc>
          <w:tcPr>
            <w:tcW w:w="3515"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广元市政务服务和数据局</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285" w:hRule="atLeast"/>
        </w:trPr>
        <w:tc>
          <w:tcPr>
            <w:tcW w:w="801"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项目基本情况</w:t>
            </w:r>
          </w:p>
        </w:tc>
        <w:tc>
          <w:tcPr>
            <w:tcW w:w="202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1.项目年度目标完成情况</w:t>
            </w:r>
          </w:p>
        </w:tc>
        <w:tc>
          <w:tcPr>
            <w:tcW w:w="6263" w:type="dxa"/>
            <w:gridSpan w:val="1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项目年度目标</w:t>
            </w:r>
          </w:p>
        </w:tc>
        <w:tc>
          <w:tcPr>
            <w:tcW w:w="4787" w:type="dxa"/>
            <w:gridSpan w:val="1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年度目标完成情况</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1129"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c>
          <w:tcPr>
            <w:tcW w:w="6263" w:type="dxa"/>
            <w:gridSpan w:val="1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按照《信息技术产品安全可控评价指标》、《网络产品和服务安全审查办法》等法律法规及相关评测文件要求进行制度和系统方面的改造。适配后，保证12345政务服务热线系统能够在信创基础软、硬件环境下正常运行，实现在信创电脑环境中，12345政务服务热线系统的正常运行，快速响应业务需求，满足关键业务的弹性增长需求，提升用户使用体验。</w:t>
            </w:r>
          </w:p>
        </w:tc>
        <w:tc>
          <w:tcPr>
            <w:tcW w:w="4787" w:type="dxa"/>
            <w:gridSpan w:val="1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通过对12345政务服务热线系统进行安可适配改造，12345政务服务热线系统能够在信创基础软、硬件环境下正常运行，用户使用体验反馈好。</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694"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2.项目实施内容及过程概述</w:t>
            </w:r>
          </w:p>
        </w:tc>
        <w:tc>
          <w:tcPr>
            <w:tcW w:w="11050" w:type="dxa"/>
            <w:gridSpan w:val="2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广元市12345政务服务热线系统安可适配改造项目于2023年11月签订合同并启动实施，工期60天，目前已验收完成并支付资金。</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60" w:hRule="atLeast"/>
        </w:trPr>
        <w:tc>
          <w:tcPr>
            <w:tcW w:w="801"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预算执行情况（10分）</w:t>
            </w: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年度预算数（万元）</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年初预算</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调整后预算数</w:t>
            </w: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预算执行数</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预算执行率</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权重</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得分</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原因</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45"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总额</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22.74</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22.74</w:t>
            </w: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22.74</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1798"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1.预算执行率=预算执行数/调整后预算数，预算执行率未达到90%的需说明原因（100字以内）;2.年中发生预算调整的（追加或调减）,应单独说明理由；3.其他资金包括：社会投入资金、银行贷款</w:t>
            </w:r>
            <w:r>
              <w:rPr>
                <w:rFonts w:hint="eastAsia" w:ascii="宋体" w:hAnsi="宋体" w:cs="宋体"/>
                <w:color w:val="000000"/>
                <w:kern w:val="0"/>
                <w:sz w:val="18"/>
                <w:szCs w:val="18"/>
                <w:lang w:eastAsia="zh-CN" w:bidi="ar"/>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90"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其中：财政资金</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22.74</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22.74</w:t>
            </w: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22.74</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798"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409"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财政专户管理资金</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798"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60"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单位资金</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798"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其他资金</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798"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454" w:hRule="atLeast"/>
        </w:trPr>
        <w:tc>
          <w:tcPr>
            <w:tcW w:w="801"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绩效指标（90分）</w:t>
            </w: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一级指标</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二级指标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三级指标</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指标性质</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指标值</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度量单位</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完成值</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权重</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得分</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未完成原因分析</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产出指标</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数量指标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改造模块数</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0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质量指标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软件验收合格率</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98</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98</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0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系统正常运行率</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98</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98</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时效指标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项目完成时间</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月</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13</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因数据共享致完成时间滞后</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效益指标</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社会效益指标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提高12345热线办件率</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454"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可持续影响指标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对12345热线办件提升程度</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定性</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454"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满意度指标</w:t>
            </w:r>
          </w:p>
        </w:tc>
        <w:tc>
          <w:tcPr>
            <w:tcW w:w="170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服务对象满意度指标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工作人员对系统使用满意度</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0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平台使用者满意度</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成本指标</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经济成本指标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系统改造成本</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22.74</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万元</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22.74</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285" w:hRule="atLeast"/>
        </w:trPr>
        <w:tc>
          <w:tcPr>
            <w:tcW w:w="10361" w:type="dxa"/>
            <w:gridSpan w:val="2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合计</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92</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604" w:hRule="atLeast"/>
        </w:trPr>
        <w:tc>
          <w:tcPr>
            <w:tcW w:w="801"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评价结论</w:t>
            </w:r>
          </w:p>
        </w:tc>
        <w:tc>
          <w:tcPr>
            <w:tcW w:w="13075" w:type="dxa"/>
            <w:gridSpan w:val="28"/>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经自评，该项目得分为92分。12345政务服务热线系统安可适配改造后，能够在信创基础软、硬件环境下正常运行。</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574" w:hRule="atLeast"/>
        </w:trPr>
        <w:tc>
          <w:tcPr>
            <w:tcW w:w="801"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存在问题</w:t>
            </w:r>
          </w:p>
        </w:tc>
        <w:tc>
          <w:tcPr>
            <w:tcW w:w="13075" w:type="dxa"/>
            <w:gridSpan w:val="28"/>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因原平台需要进行数据共享致项目完成时间滞后。</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108" w:type="dxa"/>
            <w:bottom w:w="0" w:type="dxa"/>
            <w:right w:w="108" w:type="dxa"/>
          </w:tblCellMar>
        </w:tblPrEx>
        <w:trPr>
          <w:gridBefore w:val="1"/>
          <w:gridAfter w:val="1"/>
          <w:wBefore w:w="3" w:type="dxa"/>
          <w:wAfter w:w="721" w:type="dxa"/>
          <w:trHeight w:val="634" w:hRule="atLeast"/>
        </w:trPr>
        <w:tc>
          <w:tcPr>
            <w:tcW w:w="801"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改进措施</w:t>
            </w:r>
          </w:p>
        </w:tc>
        <w:tc>
          <w:tcPr>
            <w:tcW w:w="13075" w:type="dxa"/>
            <w:gridSpan w:val="28"/>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加强项目监管，督促项目的实施。</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285" w:hRule="atLeast"/>
        </w:trPr>
        <w:tc>
          <w:tcPr>
            <w:tcW w:w="7362" w:type="dxa"/>
            <w:gridSpan w:val="1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项目负责人：杨勇</w:t>
            </w:r>
          </w:p>
        </w:tc>
        <w:tc>
          <w:tcPr>
            <w:tcW w:w="6514" w:type="dxa"/>
            <w:gridSpan w:val="1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财务负责人：袁玲</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820" w:hRule="atLeast"/>
        </w:trPr>
        <w:tc>
          <w:tcPr>
            <w:tcW w:w="801"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2025"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1702"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2224" w:type="dxa"/>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610" w:type="dxa"/>
            <w:gridSpan w:val="5"/>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1207" w:type="dxa"/>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520"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1272"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820" w:type="dxa"/>
            <w:gridSpan w:val="5"/>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897"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1798" w:type="dxa"/>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900" w:hRule="atLeast"/>
        </w:trPr>
        <w:tc>
          <w:tcPr>
            <w:tcW w:w="13876" w:type="dxa"/>
            <w:gridSpan w:val="31"/>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黑体" w:hAnsi="宋体" w:eastAsia="黑体" w:cs="黑体"/>
                <w:b/>
                <w:bCs/>
                <w:color w:val="000000"/>
                <w:sz w:val="30"/>
                <w:szCs w:val="30"/>
              </w:rPr>
            </w:pPr>
            <w:r>
              <w:rPr>
                <w:rFonts w:hint="eastAsia" w:ascii="黑体" w:hAnsi="宋体" w:eastAsia="黑体" w:cs="黑体"/>
                <w:b/>
                <w:bCs/>
                <w:color w:val="000000"/>
                <w:kern w:val="0"/>
                <w:sz w:val="30"/>
                <w:szCs w:val="30"/>
                <w:lang w:bidi="ar"/>
              </w:rPr>
              <w:t>部门预算项目支出绩效自评表（2024年度）</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108" w:type="dxa"/>
            <w:bottom w:w="0" w:type="dxa"/>
            <w:right w:w="108" w:type="dxa"/>
          </w:tblCellMar>
        </w:tblPrEx>
        <w:trPr>
          <w:gridBefore w:val="1"/>
          <w:gridAfter w:val="1"/>
          <w:wBefore w:w="3" w:type="dxa"/>
          <w:wAfter w:w="721" w:type="dxa"/>
          <w:trHeight w:val="285" w:hRule="atLeast"/>
        </w:trPr>
        <w:tc>
          <w:tcPr>
            <w:tcW w:w="2826"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项目名称</w:t>
            </w:r>
          </w:p>
        </w:tc>
        <w:tc>
          <w:tcPr>
            <w:tcW w:w="11050" w:type="dxa"/>
            <w:gridSpan w:val="2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51080024T000010682266-广元市公共资源电子交易系统安可适配改造项目</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514" w:hRule="atLeast"/>
        </w:trPr>
        <w:tc>
          <w:tcPr>
            <w:tcW w:w="2826"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主管部门</w:t>
            </w:r>
          </w:p>
        </w:tc>
        <w:tc>
          <w:tcPr>
            <w:tcW w:w="6263" w:type="dxa"/>
            <w:gridSpan w:val="1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广元市政务服务和数据局部门</w:t>
            </w:r>
          </w:p>
        </w:tc>
        <w:tc>
          <w:tcPr>
            <w:tcW w:w="1272" w:type="dxa"/>
            <w:gridSpan w:val="3"/>
            <w:tcBorders>
              <w:top w:val="nil"/>
              <w:left w:val="nil"/>
              <w:bottom w:val="nil"/>
              <w:right w:val="nil"/>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实施单位 （盖章）</w:t>
            </w:r>
          </w:p>
        </w:tc>
        <w:tc>
          <w:tcPr>
            <w:tcW w:w="3515"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广元市政务服务和数据局</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285" w:hRule="atLeast"/>
        </w:trPr>
        <w:tc>
          <w:tcPr>
            <w:tcW w:w="801"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项目基本情况</w:t>
            </w:r>
          </w:p>
        </w:tc>
        <w:tc>
          <w:tcPr>
            <w:tcW w:w="202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1.项目年度目标完成情况</w:t>
            </w:r>
          </w:p>
        </w:tc>
        <w:tc>
          <w:tcPr>
            <w:tcW w:w="6263" w:type="dxa"/>
            <w:gridSpan w:val="1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项目年度目标</w:t>
            </w:r>
          </w:p>
        </w:tc>
        <w:tc>
          <w:tcPr>
            <w:tcW w:w="4787" w:type="dxa"/>
            <w:gridSpan w:val="1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年度目标完成情况</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1129"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c>
          <w:tcPr>
            <w:tcW w:w="6263" w:type="dxa"/>
            <w:gridSpan w:val="1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按照《信息技术产品安全可控评价指标》、《网络产品和服务安全审查办法》等法律法规及相关评测文件要求进行制度和系统方面的改造。适配后，保证公共资源交易系统能够在信创基础软、硬件环境下正常运行，实现在信创电脑环境中，交易业务系统的正常运行，快速响应业务需求，满足关键业务的弹性增长需求，提升用户使用体验。</w:t>
            </w:r>
          </w:p>
        </w:tc>
        <w:tc>
          <w:tcPr>
            <w:tcW w:w="4787" w:type="dxa"/>
            <w:gridSpan w:val="1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通过对广元市公共资源电子交易系统进行安可适配改造，保证公共资源交易系统能够在信创基础软、硬件环境下正常运行，用户使用体验反馈效果好。</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694"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2.项目实施内容及过程概述</w:t>
            </w:r>
          </w:p>
        </w:tc>
        <w:tc>
          <w:tcPr>
            <w:tcW w:w="11050" w:type="dxa"/>
            <w:gridSpan w:val="2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广元市公共资源电子交易系统安可适配改造项目于2023年11月签订合同并启动实施，工期60天，目前已验收完成并支付资金。</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60" w:hRule="atLeast"/>
        </w:trPr>
        <w:tc>
          <w:tcPr>
            <w:tcW w:w="801"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预算执行情况（10分）</w:t>
            </w: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年度预算数（万元）</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年初预算</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调整后预算数</w:t>
            </w: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预算执行数</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预算执行率</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权重</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得分</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原因</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45"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总额</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53.22</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53.22</w:t>
            </w: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53.22</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1798"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1.预算执行率=预算执行数/调整后预算数，预算执行率未达到90%的需说明原因（100字以内）;2.年中发生预算调整的（追加或调减）,应单独说明理由；3.其他资金包括：社会投入资金、银行贷款</w:t>
            </w:r>
            <w:r>
              <w:rPr>
                <w:rFonts w:hint="eastAsia" w:ascii="宋体" w:hAnsi="宋体" w:cs="宋体"/>
                <w:color w:val="000000"/>
                <w:kern w:val="0"/>
                <w:sz w:val="18"/>
                <w:szCs w:val="18"/>
                <w:lang w:eastAsia="zh-CN" w:bidi="ar"/>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90"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其中：财政资金</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53.22</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53.22</w:t>
            </w: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53.22</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798"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409"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财政专户管理资金</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798"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60"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单位资金</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798"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其他资金</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iCs/>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iCs/>
                <w:color w:val="000000"/>
                <w:sz w:val="18"/>
                <w:szCs w:val="18"/>
              </w:rPr>
            </w:pP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iCs/>
                <w:color w:val="000000"/>
                <w:sz w:val="18"/>
                <w:szCs w:val="18"/>
              </w:rPr>
            </w:pP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iCs/>
                <w:color w:val="000000"/>
                <w:sz w:val="18"/>
                <w:szCs w:val="18"/>
              </w:rPr>
            </w:pP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798"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454" w:hRule="atLeast"/>
        </w:trPr>
        <w:tc>
          <w:tcPr>
            <w:tcW w:w="801"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绩效指标（90分）</w:t>
            </w: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一级指标</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二级指标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三级指标</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指标性质</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指标值</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度量单位</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完成值</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权重</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得分</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未完成原因分析</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产出指标</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数量指标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改造模块数</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16</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iCs/>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0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质量指标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软件验收合格率</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98</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98</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iCs/>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0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系统正常运行率</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98</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98</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iCs/>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时效指标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项目完成时间</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月</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13</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因数据共享致完成时间滞后</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效益指标</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社会效益指标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提高全流程电子化交易率</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iCs/>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454"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可持续影响指标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对全流程电子化交易提升程度</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定性</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iCs/>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满意度指标</w:t>
            </w:r>
          </w:p>
        </w:tc>
        <w:tc>
          <w:tcPr>
            <w:tcW w:w="170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服务对象满意度指标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平台使用者满意度</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iCs/>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454"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0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工作人员对系统使用满意度</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iCs/>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成本指标</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经济成本指标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系统改造成本</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53.22</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万元</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53.22</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iCs/>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285" w:hRule="atLeast"/>
        </w:trPr>
        <w:tc>
          <w:tcPr>
            <w:tcW w:w="10361" w:type="dxa"/>
            <w:gridSpan w:val="2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合计</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92</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604" w:hRule="atLeast"/>
        </w:trPr>
        <w:tc>
          <w:tcPr>
            <w:tcW w:w="801"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评价结论</w:t>
            </w:r>
          </w:p>
        </w:tc>
        <w:tc>
          <w:tcPr>
            <w:tcW w:w="13075" w:type="dxa"/>
            <w:gridSpan w:val="28"/>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经自评，该项目得分为92分。广元市公共资源电子交易系统安可适配改造后，能够在信创基础软、硬件环境下正常运行。</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574" w:hRule="atLeast"/>
        </w:trPr>
        <w:tc>
          <w:tcPr>
            <w:tcW w:w="801"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存在问题</w:t>
            </w:r>
          </w:p>
        </w:tc>
        <w:tc>
          <w:tcPr>
            <w:tcW w:w="13075" w:type="dxa"/>
            <w:gridSpan w:val="28"/>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因原平台需要进行数据共享致项目完成时间滞后。</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108" w:type="dxa"/>
            <w:bottom w:w="0" w:type="dxa"/>
            <w:right w:w="108" w:type="dxa"/>
          </w:tblCellMar>
        </w:tblPrEx>
        <w:trPr>
          <w:gridBefore w:val="1"/>
          <w:gridAfter w:val="1"/>
          <w:wBefore w:w="3" w:type="dxa"/>
          <w:wAfter w:w="721" w:type="dxa"/>
          <w:trHeight w:val="634" w:hRule="atLeast"/>
        </w:trPr>
        <w:tc>
          <w:tcPr>
            <w:tcW w:w="801"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改进措施</w:t>
            </w:r>
          </w:p>
        </w:tc>
        <w:tc>
          <w:tcPr>
            <w:tcW w:w="13075" w:type="dxa"/>
            <w:gridSpan w:val="28"/>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加强项目监管，督促项目的实施。</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285" w:hRule="atLeast"/>
        </w:trPr>
        <w:tc>
          <w:tcPr>
            <w:tcW w:w="7362" w:type="dxa"/>
            <w:gridSpan w:val="1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项目负责人：杨勇</w:t>
            </w:r>
          </w:p>
        </w:tc>
        <w:tc>
          <w:tcPr>
            <w:tcW w:w="6514" w:type="dxa"/>
            <w:gridSpan w:val="1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财务负责人：袁玲</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680" w:hRule="atLeast"/>
        </w:trPr>
        <w:tc>
          <w:tcPr>
            <w:tcW w:w="801"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2025"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1702"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2224" w:type="dxa"/>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610" w:type="dxa"/>
            <w:gridSpan w:val="5"/>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1207" w:type="dxa"/>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520"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1272"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820" w:type="dxa"/>
            <w:gridSpan w:val="5"/>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897"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1798" w:type="dxa"/>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904" w:hRule="atLeast"/>
        </w:trPr>
        <w:tc>
          <w:tcPr>
            <w:tcW w:w="13876" w:type="dxa"/>
            <w:gridSpan w:val="31"/>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黑体" w:hAnsi="宋体" w:eastAsia="黑体" w:cs="黑体"/>
                <w:b/>
                <w:bCs/>
                <w:color w:val="000000"/>
                <w:sz w:val="30"/>
                <w:szCs w:val="30"/>
              </w:rPr>
            </w:pPr>
            <w:r>
              <w:rPr>
                <w:rFonts w:hint="eastAsia" w:ascii="黑体" w:hAnsi="宋体" w:eastAsia="黑体" w:cs="黑体"/>
                <w:b/>
                <w:bCs/>
                <w:color w:val="000000"/>
                <w:kern w:val="0"/>
                <w:sz w:val="30"/>
                <w:szCs w:val="30"/>
                <w:lang w:bidi="ar"/>
              </w:rPr>
              <w:t>部门预算项目支出绩效自评表（2024年度）</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108" w:type="dxa"/>
            <w:bottom w:w="0" w:type="dxa"/>
            <w:right w:w="108" w:type="dxa"/>
          </w:tblCellMar>
        </w:tblPrEx>
        <w:trPr>
          <w:gridBefore w:val="1"/>
          <w:gridAfter w:val="1"/>
          <w:wBefore w:w="3" w:type="dxa"/>
          <w:wAfter w:w="721" w:type="dxa"/>
          <w:trHeight w:val="285" w:hRule="atLeast"/>
        </w:trPr>
        <w:tc>
          <w:tcPr>
            <w:tcW w:w="2826"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项目名称</w:t>
            </w:r>
          </w:p>
        </w:tc>
        <w:tc>
          <w:tcPr>
            <w:tcW w:w="11050" w:type="dxa"/>
            <w:gridSpan w:val="2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51080024T000011629745-公开引进高层次人才安家补助和工作补助</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514" w:hRule="atLeast"/>
        </w:trPr>
        <w:tc>
          <w:tcPr>
            <w:tcW w:w="2826"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主管部门</w:t>
            </w:r>
          </w:p>
        </w:tc>
        <w:tc>
          <w:tcPr>
            <w:tcW w:w="6263" w:type="dxa"/>
            <w:gridSpan w:val="1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广元市政务服务和数据局部门</w:t>
            </w:r>
          </w:p>
        </w:tc>
        <w:tc>
          <w:tcPr>
            <w:tcW w:w="1272" w:type="dxa"/>
            <w:gridSpan w:val="3"/>
            <w:tcBorders>
              <w:top w:val="nil"/>
              <w:left w:val="nil"/>
              <w:bottom w:val="nil"/>
              <w:right w:val="nil"/>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实施单位 （盖章）</w:t>
            </w:r>
          </w:p>
        </w:tc>
        <w:tc>
          <w:tcPr>
            <w:tcW w:w="3515"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广元市政务服务和数据局</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285" w:hRule="atLeast"/>
        </w:trPr>
        <w:tc>
          <w:tcPr>
            <w:tcW w:w="801"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项目基本情况</w:t>
            </w:r>
          </w:p>
        </w:tc>
        <w:tc>
          <w:tcPr>
            <w:tcW w:w="202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1.项目年度目标完成情况</w:t>
            </w:r>
          </w:p>
        </w:tc>
        <w:tc>
          <w:tcPr>
            <w:tcW w:w="6263" w:type="dxa"/>
            <w:gridSpan w:val="1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项目年度目标</w:t>
            </w:r>
          </w:p>
        </w:tc>
        <w:tc>
          <w:tcPr>
            <w:tcW w:w="4787" w:type="dxa"/>
            <w:gridSpan w:val="1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年度目标完成情况</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709"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c>
          <w:tcPr>
            <w:tcW w:w="6263" w:type="dxa"/>
            <w:gridSpan w:val="1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通过兑现引进人才的补助费用，激发其干事创业精神。</w:t>
            </w:r>
          </w:p>
        </w:tc>
        <w:tc>
          <w:tcPr>
            <w:tcW w:w="4787" w:type="dxa"/>
            <w:gridSpan w:val="1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已完成对引进人才的补助发放，到位率100%。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108" w:type="dxa"/>
            <w:bottom w:w="0" w:type="dxa"/>
            <w:right w:w="108" w:type="dxa"/>
          </w:tblCellMar>
        </w:tblPrEx>
        <w:trPr>
          <w:gridBefore w:val="1"/>
          <w:gridAfter w:val="1"/>
          <w:wBefore w:w="3" w:type="dxa"/>
          <w:wAfter w:w="721" w:type="dxa"/>
          <w:trHeight w:val="694"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2.项目实施内容及过程概述</w:t>
            </w:r>
          </w:p>
        </w:tc>
        <w:tc>
          <w:tcPr>
            <w:tcW w:w="11050" w:type="dxa"/>
            <w:gridSpan w:val="2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对引进的两名专业技术人才及因机构改革划转的1名专业技术人才及时发放生活补助，激发其干事创业精神。</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60" w:hRule="atLeast"/>
        </w:trPr>
        <w:tc>
          <w:tcPr>
            <w:tcW w:w="801"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预算执行情况（10分）</w:t>
            </w: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年度预算数（万元）</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年初预算</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调整后预算数</w:t>
            </w: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预算执行数</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预算执行率</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权重</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得分</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原因</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45"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总额</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1.50</w:t>
            </w: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1.50</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1798"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1.预算执行率=预算执行数/调整后预算数，预算执行率未达到90%的需说明原因（100字以内）;2.年中发生预算调整的（追加或调减）,应单独说明理由；3.其他资金包括：社会投入资金、银行贷款</w:t>
            </w:r>
            <w:r>
              <w:rPr>
                <w:rFonts w:hint="eastAsia" w:ascii="宋体" w:hAnsi="宋体" w:cs="宋体"/>
                <w:color w:val="000000"/>
                <w:kern w:val="0"/>
                <w:sz w:val="18"/>
                <w:szCs w:val="18"/>
                <w:lang w:eastAsia="zh-CN" w:bidi="ar"/>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90"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其中：财政资金</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1.50</w:t>
            </w: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1.50</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798"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409"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财政专户管理资金</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798"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60"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单位资金</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798"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其他资金</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798"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454" w:hRule="atLeast"/>
        </w:trPr>
        <w:tc>
          <w:tcPr>
            <w:tcW w:w="801"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绩效指标（90分）</w:t>
            </w: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一级指标</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二级指标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三级指标</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指标性质</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指标值</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度量单位</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完成值</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权重</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得分</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未完成原因分析</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产出指标</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数量指标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引进人才数量</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人</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质量指标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补助发放到位率</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98</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0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时效指标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补助发放月份</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月</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0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补助发放及时率</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98</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效益指标</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社会效益指标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吸引人才落地</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454"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满意度指标</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满意度指标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引进人才对补助发放满意度</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98</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成本指标</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经济成本指标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年度补助金额</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15000</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元</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15000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285" w:hRule="atLeast"/>
        </w:trPr>
        <w:tc>
          <w:tcPr>
            <w:tcW w:w="10361" w:type="dxa"/>
            <w:gridSpan w:val="2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合计</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604" w:hRule="atLeast"/>
        </w:trPr>
        <w:tc>
          <w:tcPr>
            <w:tcW w:w="801"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评价结论</w:t>
            </w:r>
          </w:p>
        </w:tc>
        <w:tc>
          <w:tcPr>
            <w:tcW w:w="13075" w:type="dxa"/>
            <w:gridSpan w:val="28"/>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经自评，该项目得分为100分。通过兑现引进人才的补助费用，激发其干事创业精神。</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574" w:hRule="atLeast"/>
        </w:trPr>
        <w:tc>
          <w:tcPr>
            <w:tcW w:w="801"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存在问题</w:t>
            </w:r>
          </w:p>
        </w:tc>
        <w:tc>
          <w:tcPr>
            <w:tcW w:w="13075" w:type="dxa"/>
            <w:gridSpan w:val="28"/>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无。</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634" w:hRule="atLeast"/>
        </w:trPr>
        <w:tc>
          <w:tcPr>
            <w:tcW w:w="801"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改进措施</w:t>
            </w:r>
          </w:p>
        </w:tc>
        <w:tc>
          <w:tcPr>
            <w:tcW w:w="13075" w:type="dxa"/>
            <w:gridSpan w:val="28"/>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无。</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285" w:hRule="atLeast"/>
        </w:trPr>
        <w:tc>
          <w:tcPr>
            <w:tcW w:w="7362" w:type="dxa"/>
            <w:gridSpan w:val="1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项目负责人：侯海霞</w:t>
            </w:r>
          </w:p>
        </w:tc>
        <w:tc>
          <w:tcPr>
            <w:tcW w:w="6514" w:type="dxa"/>
            <w:gridSpan w:val="1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财务负责人：袁玲</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680" w:hRule="atLeast"/>
        </w:trPr>
        <w:tc>
          <w:tcPr>
            <w:tcW w:w="801"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2025"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1702"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2224" w:type="dxa"/>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610" w:type="dxa"/>
            <w:gridSpan w:val="5"/>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1207" w:type="dxa"/>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520"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1272"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820" w:type="dxa"/>
            <w:gridSpan w:val="5"/>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897"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1798" w:type="dxa"/>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904" w:hRule="atLeast"/>
        </w:trPr>
        <w:tc>
          <w:tcPr>
            <w:tcW w:w="13876" w:type="dxa"/>
            <w:gridSpan w:val="31"/>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黑体" w:hAnsi="宋体" w:eastAsia="黑体" w:cs="黑体"/>
                <w:b/>
                <w:bCs/>
                <w:color w:val="000000"/>
                <w:sz w:val="30"/>
                <w:szCs w:val="30"/>
              </w:rPr>
            </w:pPr>
            <w:r>
              <w:rPr>
                <w:rFonts w:hint="eastAsia" w:ascii="黑体" w:hAnsi="宋体" w:eastAsia="黑体" w:cs="黑体"/>
                <w:b/>
                <w:bCs/>
                <w:color w:val="000000"/>
                <w:kern w:val="0"/>
                <w:sz w:val="30"/>
                <w:szCs w:val="30"/>
                <w:lang w:bidi="ar"/>
              </w:rPr>
              <w:t>部门预算项目支出绩效自评表（2024年度）</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108" w:type="dxa"/>
            <w:bottom w:w="0" w:type="dxa"/>
            <w:right w:w="108" w:type="dxa"/>
          </w:tblCellMar>
        </w:tblPrEx>
        <w:trPr>
          <w:gridBefore w:val="1"/>
          <w:gridAfter w:val="1"/>
          <w:wBefore w:w="3" w:type="dxa"/>
          <w:wAfter w:w="721" w:type="dxa"/>
          <w:trHeight w:val="285" w:hRule="atLeast"/>
        </w:trPr>
        <w:tc>
          <w:tcPr>
            <w:tcW w:w="2826"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项目名称</w:t>
            </w:r>
          </w:p>
        </w:tc>
        <w:tc>
          <w:tcPr>
            <w:tcW w:w="11050" w:type="dxa"/>
            <w:gridSpan w:val="2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51080025T000012328355-市政务服务标杆大厅创建场地服务设施改造项目</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514" w:hRule="atLeast"/>
        </w:trPr>
        <w:tc>
          <w:tcPr>
            <w:tcW w:w="2826"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主管部门</w:t>
            </w:r>
          </w:p>
        </w:tc>
        <w:tc>
          <w:tcPr>
            <w:tcW w:w="6263" w:type="dxa"/>
            <w:gridSpan w:val="1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广元市政务服务和数据局部门</w:t>
            </w:r>
          </w:p>
        </w:tc>
        <w:tc>
          <w:tcPr>
            <w:tcW w:w="1272" w:type="dxa"/>
            <w:gridSpan w:val="3"/>
            <w:tcBorders>
              <w:top w:val="nil"/>
              <w:left w:val="nil"/>
              <w:bottom w:val="nil"/>
              <w:right w:val="nil"/>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实施单位 （盖章）</w:t>
            </w:r>
          </w:p>
        </w:tc>
        <w:tc>
          <w:tcPr>
            <w:tcW w:w="3515"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广元市政务服务和数据局</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285" w:hRule="atLeast"/>
        </w:trPr>
        <w:tc>
          <w:tcPr>
            <w:tcW w:w="801"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项目基本情况</w:t>
            </w:r>
          </w:p>
        </w:tc>
        <w:tc>
          <w:tcPr>
            <w:tcW w:w="202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1.项目年度目标完成情况</w:t>
            </w:r>
          </w:p>
        </w:tc>
        <w:tc>
          <w:tcPr>
            <w:tcW w:w="6263" w:type="dxa"/>
            <w:gridSpan w:val="1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项目年度目标</w:t>
            </w:r>
          </w:p>
        </w:tc>
        <w:tc>
          <w:tcPr>
            <w:tcW w:w="4787" w:type="dxa"/>
            <w:gridSpan w:val="1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年度目标完成情况</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1100"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c>
          <w:tcPr>
            <w:tcW w:w="6263" w:type="dxa"/>
            <w:gridSpan w:val="1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按照标杆政务大厅建设要求，完成市政务服务中心场地服务设施改造，提升政务服务标准化、规范化、便利化水平。</w:t>
            </w:r>
          </w:p>
        </w:tc>
        <w:tc>
          <w:tcPr>
            <w:tcW w:w="4787" w:type="dxa"/>
            <w:gridSpan w:val="1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12月9日我局与中标单位签订施工合同，按照合同约定已支付107.66万元，截至2024年12月底，该项目正在进行中，尚未完工。</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900"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2.项目实施内容及过程概述</w:t>
            </w:r>
          </w:p>
        </w:tc>
        <w:tc>
          <w:tcPr>
            <w:tcW w:w="11050" w:type="dxa"/>
            <w:gridSpan w:val="2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2024年8月30日，市财政局下达广元市政务服务中心B区一楼大厅装修改造项目（市政务服务标杆大厅创建场地服务设施改造项目）资金230.7万元，来源为财政资金。2024年9月24日财政下达预算指标，9月25日发布采购意向公告，11月26日经委托市政府采购中心公开竞争性磋商，辽宁海博建设集团有限公司以2290919.27元中标。经中标公示无异议后，12月9日我局与中标单位签订施工合同，并按合同约定支付预付款107.66万元。</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60" w:hRule="atLeast"/>
        </w:trPr>
        <w:tc>
          <w:tcPr>
            <w:tcW w:w="801"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预算执行情况（10分）</w:t>
            </w: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年度预算数（万元）</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年初预算</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调整后预算数</w:t>
            </w: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预算执行数</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预算执行率</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权重</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得分</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原因</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500"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总额</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230.70</w:t>
            </w: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107.66</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46.67%</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1798"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该项目指标下达时间较晚，12月9日才签订采购合同，截至12月底项目尚未完工，项目资金涉及跨年度支付。</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540"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其中：财政资金</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230.70</w:t>
            </w: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107.66</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46.67%</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798"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500"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财政专户管理资金</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798"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540"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单位资金</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798"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560"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其他资金</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798"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454" w:hRule="atLeast"/>
        </w:trPr>
        <w:tc>
          <w:tcPr>
            <w:tcW w:w="801"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绩效指标（90分）</w:t>
            </w: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一级指标</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二级指标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三级指标</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指标性质</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指标值</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度量单位</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完成值</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权重</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得分</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未完成原因分析</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454"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产出指标</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数量指标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大厅装修改造面积</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2000</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平方米</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该项目尚未完工</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0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质量指标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功能实用性</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定性</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强</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该项目尚未完工</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0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装修合格率</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98</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该项目尚未完工</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0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时效指标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项目建设时间</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月</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该项目尚未完工</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0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采购完成时间</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月</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该项目尚未完工</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效益指标</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经济效益指标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群众办事便利度</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95</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该项目尚未完工</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454"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满意度指标</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服务对象满意度指标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办事群众满意度</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95</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该项目尚未完工</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成本指标</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经济成本指标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装修改造成本</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230.7</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万元</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107.66</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该项目尚未完工</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285" w:hRule="atLeast"/>
        </w:trPr>
        <w:tc>
          <w:tcPr>
            <w:tcW w:w="10361" w:type="dxa"/>
            <w:gridSpan w:val="2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合计</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33</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880" w:hRule="atLeast"/>
        </w:trPr>
        <w:tc>
          <w:tcPr>
            <w:tcW w:w="801"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评价结论</w:t>
            </w:r>
          </w:p>
        </w:tc>
        <w:tc>
          <w:tcPr>
            <w:tcW w:w="13075" w:type="dxa"/>
            <w:gridSpan w:val="28"/>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经自评，该项目得分33分。截止2024年年底，市政务服务标杆大厅创建场地服务设施改造项目正处于施工阶段，尚未完工，大部分指标尚无法开展自评。</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574" w:hRule="atLeast"/>
        </w:trPr>
        <w:tc>
          <w:tcPr>
            <w:tcW w:w="801"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存在问题</w:t>
            </w:r>
          </w:p>
        </w:tc>
        <w:tc>
          <w:tcPr>
            <w:tcW w:w="13075" w:type="dxa"/>
            <w:gridSpan w:val="28"/>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截止2024年年底，市政务服务标杆大厅创建场地服务设施改造项目正处于施工阶段，尚未完工，大部分指标尚无法开展自评。</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634" w:hRule="atLeast"/>
        </w:trPr>
        <w:tc>
          <w:tcPr>
            <w:tcW w:w="801"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改进措施</w:t>
            </w:r>
          </w:p>
        </w:tc>
        <w:tc>
          <w:tcPr>
            <w:tcW w:w="13075" w:type="dxa"/>
            <w:gridSpan w:val="28"/>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该项目结束后再次开展项目绩效评价。</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108" w:type="dxa"/>
            <w:bottom w:w="0" w:type="dxa"/>
            <w:right w:w="108" w:type="dxa"/>
          </w:tblCellMar>
        </w:tblPrEx>
        <w:trPr>
          <w:gridBefore w:val="1"/>
          <w:gridAfter w:val="1"/>
          <w:wBefore w:w="3" w:type="dxa"/>
          <w:wAfter w:w="721" w:type="dxa"/>
          <w:trHeight w:val="285" w:hRule="atLeast"/>
        </w:trPr>
        <w:tc>
          <w:tcPr>
            <w:tcW w:w="7362" w:type="dxa"/>
            <w:gridSpan w:val="1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项目负责人：王娅</w:t>
            </w:r>
          </w:p>
        </w:tc>
        <w:tc>
          <w:tcPr>
            <w:tcW w:w="6514" w:type="dxa"/>
            <w:gridSpan w:val="1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财务负责人：袁玲</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840" w:hRule="atLeast"/>
        </w:trPr>
        <w:tc>
          <w:tcPr>
            <w:tcW w:w="801"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2025"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1702"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2224" w:type="dxa"/>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610" w:type="dxa"/>
            <w:gridSpan w:val="5"/>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1207" w:type="dxa"/>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520"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1272"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820" w:type="dxa"/>
            <w:gridSpan w:val="5"/>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897"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1798" w:type="dxa"/>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904" w:hRule="atLeast"/>
        </w:trPr>
        <w:tc>
          <w:tcPr>
            <w:tcW w:w="13876" w:type="dxa"/>
            <w:gridSpan w:val="31"/>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黑体" w:hAnsi="宋体" w:eastAsia="黑体" w:cs="黑体"/>
                <w:b/>
                <w:bCs/>
                <w:color w:val="000000"/>
                <w:sz w:val="30"/>
                <w:szCs w:val="30"/>
              </w:rPr>
            </w:pPr>
            <w:r>
              <w:rPr>
                <w:rFonts w:hint="eastAsia" w:ascii="黑体" w:hAnsi="宋体" w:eastAsia="黑体" w:cs="黑体"/>
                <w:b/>
                <w:bCs/>
                <w:color w:val="000000"/>
                <w:kern w:val="0"/>
                <w:sz w:val="30"/>
                <w:szCs w:val="30"/>
                <w:lang w:bidi="ar"/>
              </w:rPr>
              <w:t>部门预算项目支出绩效自评表（2024年度）</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108" w:type="dxa"/>
            <w:bottom w:w="0" w:type="dxa"/>
            <w:right w:w="108" w:type="dxa"/>
          </w:tblCellMar>
        </w:tblPrEx>
        <w:trPr>
          <w:gridBefore w:val="1"/>
          <w:gridAfter w:val="1"/>
          <w:wBefore w:w="3" w:type="dxa"/>
          <w:wAfter w:w="721" w:type="dxa"/>
          <w:trHeight w:val="420" w:hRule="atLeast"/>
        </w:trPr>
        <w:tc>
          <w:tcPr>
            <w:tcW w:w="2826"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项目名称</w:t>
            </w:r>
          </w:p>
        </w:tc>
        <w:tc>
          <w:tcPr>
            <w:tcW w:w="11050" w:type="dxa"/>
            <w:gridSpan w:val="2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51080025T000012328705-市政务服务标杆大厅创建数智服务建设项目</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514" w:hRule="atLeast"/>
        </w:trPr>
        <w:tc>
          <w:tcPr>
            <w:tcW w:w="2826"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主管部门</w:t>
            </w:r>
          </w:p>
        </w:tc>
        <w:tc>
          <w:tcPr>
            <w:tcW w:w="6263" w:type="dxa"/>
            <w:gridSpan w:val="1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广元市政务服务和数据局部门</w:t>
            </w:r>
          </w:p>
        </w:tc>
        <w:tc>
          <w:tcPr>
            <w:tcW w:w="1272" w:type="dxa"/>
            <w:gridSpan w:val="3"/>
            <w:tcBorders>
              <w:top w:val="nil"/>
              <w:left w:val="nil"/>
              <w:bottom w:val="nil"/>
              <w:right w:val="nil"/>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实施单位 （盖章）</w:t>
            </w:r>
          </w:p>
        </w:tc>
        <w:tc>
          <w:tcPr>
            <w:tcW w:w="3515"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广元市政务服务和数据局</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285" w:hRule="atLeast"/>
        </w:trPr>
        <w:tc>
          <w:tcPr>
            <w:tcW w:w="801"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项目基本情况</w:t>
            </w:r>
          </w:p>
        </w:tc>
        <w:tc>
          <w:tcPr>
            <w:tcW w:w="202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1.项目年度目标完成情况</w:t>
            </w:r>
          </w:p>
        </w:tc>
        <w:tc>
          <w:tcPr>
            <w:tcW w:w="6263" w:type="dxa"/>
            <w:gridSpan w:val="1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项目年度目标</w:t>
            </w:r>
          </w:p>
        </w:tc>
        <w:tc>
          <w:tcPr>
            <w:tcW w:w="4787" w:type="dxa"/>
            <w:gridSpan w:val="1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年度目标完成情况</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900"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c>
          <w:tcPr>
            <w:tcW w:w="6263" w:type="dxa"/>
            <w:gridSpan w:val="1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按照标杆政务大厅创建要求，增添数字化、智能化服务设施，打造企业“一站式”服务中心，全面实现企业群众办事“一窗受理”，提升市政务服务中心综合服务能力和水平。</w:t>
            </w:r>
          </w:p>
        </w:tc>
        <w:tc>
          <w:tcPr>
            <w:tcW w:w="4787" w:type="dxa"/>
            <w:gridSpan w:val="1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该项目于2024年8月启动实施，11月发布采购公告，12月签订采购合同，截至2024年年底，项目正处于硬件定制和软件开发阶段。2024年该项目预算下达资金108.66万元，执行资金37.5万元。</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694"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2.项目实施内容及过程概述</w:t>
            </w:r>
          </w:p>
        </w:tc>
        <w:tc>
          <w:tcPr>
            <w:tcW w:w="11050" w:type="dxa"/>
            <w:gridSpan w:val="2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该项目于2024年8月启动实施，11月发布采购公告，12月签订采购合同，截至2024年年底，项目正处于硬件定制和软件开发阶段。</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60" w:hRule="atLeast"/>
        </w:trPr>
        <w:tc>
          <w:tcPr>
            <w:tcW w:w="801"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预算执行情况（10分）</w:t>
            </w: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年度预算数（万元）</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年初预算</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调整后预算数</w:t>
            </w: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预算执行数</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预算执行率</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权重</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得分</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原因</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45"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总额</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108.66</w:t>
            </w: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37.50</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34.51%</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1798"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1.预算执行率=预算执行数/调整后预算数，预算执行率未达到90%的需说明原因（100字以内）;2.年中发生预算调整的（追加或调减）,应单独说明理由；3.其他资金包括：社会投入资金、银行贷款</w:t>
            </w:r>
            <w:r>
              <w:rPr>
                <w:rFonts w:hint="eastAsia" w:ascii="宋体" w:hAnsi="宋体" w:cs="宋体"/>
                <w:color w:val="000000"/>
                <w:kern w:val="0"/>
                <w:sz w:val="18"/>
                <w:szCs w:val="18"/>
                <w:lang w:eastAsia="zh-CN" w:bidi="ar"/>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90"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其中：财政资金</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108.66</w:t>
            </w: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37.50</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34.51%</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798"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409"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财政专户管理资金</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798"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60"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单位资金</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798"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其他资金</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iCs/>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iCs/>
                <w:color w:val="000000"/>
                <w:sz w:val="18"/>
                <w:szCs w:val="18"/>
              </w:rPr>
            </w:pP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iCs/>
                <w:color w:val="000000"/>
                <w:sz w:val="18"/>
                <w:szCs w:val="18"/>
              </w:rPr>
            </w:pP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iCs/>
                <w:color w:val="000000"/>
                <w:sz w:val="18"/>
                <w:szCs w:val="18"/>
              </w:rPr>
            </w:pP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798"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454" w:hRule="atLeast"/>
        </w:trPr>
        <w:tc>
          <w:tcPr>
            <w:tcW w:w="801"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绩效指标（90分）</w:t>
            </w: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一级指标</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二级指标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三级指标</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指标性质</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指标值</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度量单位</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完成值</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权重</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得分</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未完成原因分析</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产出指标</w:t>
            </w:r>
          </w:p>
        </w:tc>
        <w:tc>
          <w:tcPr>
            <w:tcW w:w="170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数量指标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配置的硬件数量</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50</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34</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项目建设内容有调整</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0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配置的软件系统数量</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0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质量指标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系统正常运行率</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98</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项目还未建设完成</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0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硬件、软件验收合格率</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98</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项目还未建设完成</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0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时效指标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项目建设时间</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月</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项目还未建设完成</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0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采购完成时间</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月</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效益指标</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社会效益指标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群众办事便利度</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项目还未建设完成</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可持续影响指标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项目持续发挥作用的期限</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项目还未建设完成</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454"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满意度指标</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服务对象满意度指标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平台使用者满意度</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95</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项目还未建设完成</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454"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满意度指标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工作人员对系统使用满意度</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95</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项目还未建设完成</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成本指标</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经济成本指标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数智化系统建设成本</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108.66</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万元</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37.5</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项目还未建设完成</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285" w:hRule="atLeast"/>
        </w:trPr>
        <w:tc>
          <w:tcPr>
            <w:tcW w:w="10361" w:type="dxa"/>
            <w:gridSpan w:val="2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合计</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42</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604" w:hRule="atLeast"/>
        </w:trPr>
        <w:tc>
          <w:tcPr>
            <w:tcW w:w="801"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评价结论</w:t>
            </w:r>
          </w:p>
        </w:tc>
        <w:tc>
          <w:tcPr>
            <w:tcW w:w="13075" w:type="dxa"/>
            <w:gridSpan w:val="28"/>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经自评，该项目得分42分。截止2024年年底，市政务服务标杆大厅创建数智服务建设项目正处于硬件定制和软件开发阶段，尚未完工，大部分指标尚无法开展自评。</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574" w:hRule="atLeast"/>
        </w:trPr>
        <w:tc>
          <w:tcPr>
            <w:tcW w:w="801"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存在问题</w:t>
            </w:r>
          </w:p>
        </w:tc>
        <w:tc>
          <w:tcPr>
            <w:tcW w:w="13075" w:type="dxa"/>
            <w:gridSpan w:val="28"/>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项目于2024年12月23日签订合同，工期90天，尚处于硬件供货和软件开发阶段，大部分指标尚无法开展自评。</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634" w:hRule="atLeast"/>
        </w:trPr>
        <w:tc>
          <w:tcPr>
            <w:tcW w:w="801"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改进措施</w:t>
            </w:r>
          </w:p>
        </w:tc>
        <w:tc>
          <w:tcPr>
            <w:tcW w:w="13075" w:type="dxa"/>
            <w:gridSpan w:val="28"/>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加快硬件供货和软件开发进度，待项目结束后再次开展项目绩效评价。</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285" w:hRule="atLeast"/>
        </w:trPr>
        <w:tc>
          <w:tcPr>
            <w:tcW w:w="7362" w:type="dxa"/>
            <w:gridSpan w:val="1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项目负责人：杨勇</w:t>
            </w:r>
          </w:p>
        </w:tc>
        <w:tc>
          <w:tcPr>
            <w:tcW w:w="6514" w:type="dxa"/>
            <w:gridSpan w:val="1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财务负责人：袁玲</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640" w:hRule="atLeast"/>
        </w:trPr>
        <w:tc>
          <w:tcPr>
            <w:tcW w:w="801"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2025"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1702"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2224" w:type="dxa"/>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610" w:type="dxa"/>
            <w:gridSpan w:val="5"/>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1207" w:type="dxa"/>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520"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1272"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820" w:type="dxa"/>
            <w:gridSpan w:val="5"/>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897"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1798" w:type="dxa"/>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904" w:hRule="atLeast"/>
        </w:trPr>
        <w:tc>
          <w:tcPr>
            <w:tcW w:w="13876" w:type="dxa"/>
            <w:gridSpan w:val="31"/>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黑体" w:hAnsi="宋体" w:eastAsia="黑体" w:cs="黑体"/>
                <w:b/>
                <w:bCs/>
                <w:color w:val="000000"/>
                <w:sz w:val="30"/>
                <w:szCs w:val="30"/>
              </w:rPr>
            </w:pPr>
            <w:r>
              <w:rPr>
                <w:rFonts w:hint="eastAsia" w:ascii="黑体" w:hAnsi="宋体" w:eastAsia="黑体" w:cs="黑体"/>
                <w:b/>
                <w:bCs/>
                <w:color w:val="000000"/>
                <w:kern w:val="0"/>
                <w:sz w:val="30"/>
                <w:szCs w:val="30"/>
                <w:lang w:bidi="ar"/>
              </w:rPr>
              <w:t>部门预算项目支出绩效自评表（2024年度）</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108" w:type="dxa"/>
            <w:bottom w:w="0" w:type="dxa"/>
            <w:right w:w="108" w:type="dxa"/>
          </w:tblCellMar>
        </w:tblPrEx>
        <w:trPr>
          <w:gridBefore w:val="1"/>
          <w:gridAfter w:val="1"/>
          <w:wBefore w:w="3" w:type="dxa"/>
          <w:wAfter w:w="721" w:type="dxa"/>
          <w:trHeight w:val="400" w:hRule="atLeast"/>
        </w:trPr>
        <w:tc>
          <w:tcPr>
            <w:tcW w:w="2826"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项目名称</w:t>
            </w:r>
          </w:p>
        </w:tc>
        <w:tc>
          <w:tcPr>
            <w:tcW w:w="11050" w:type="dxa"/>
            <w:gridSpan w:val="2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51080025T000012970520-广元“十五五”时期推动数字经济发展路径举措研究课题经费</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514" w:hRule="atLeast"/>
        </w:trPr>
        <w:tc>
          <w:tcPr>
            <w:tcW w:w="2826"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主管部门</w:t>
            </w:r>
          </w:p>
        </w:tc>
        <w:tc>
          <w:tcPr>
            <w:tcW w:w="6263" w:type="dxa"/>
            <w:gridSpan w:val="1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广元市政务服务和数据局部门</w:t>
            </w:r>
          </w:p>
        </w:tc>
        <w:tc>
          <w:tcPr>
            <w:tcW w:w="1272" w:type="dxa"/>
            <w:gridSpan w:val="3"/>
            <w:tcBorders>
              <w:top w:val="nil"/>
              <w:left w:val="nil"/>
              <w:bottom w:val="nil"/>
              <w:right w:val="nil"/>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实施单位 （盖章）</w:t>
            </w:r>
          </w:p>
        </w:tc>
        <w:tc>
          <w:tcPr>
            <w:tcW w:w="3515"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广元市政务服务和数据局</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80" w:hRule="atLeast"/>
        </w:trPr>
        <w:tc>
          <w:tcPr>
            <w:tcW w:w="801"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项目基本情况</w:t>
            </w:r>
          </w:p>
        </w:tc>
        <w:tc>
          <w:tcPr>
            <w:tcW w:w="202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1.项目年度目标完成情况</w:t>
            </w:r>
          </w:p>
        </w:tc>
        <w:tc>
          <w:tcPr>
            <w:tcW w:w="6263" w:type="dxa"/>
            <w:gridSpan w:val="1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项目年度目标</w:t>
            </w:r>
          </w:p>
        </w:tc>
        <w:tc>
          <w:tcPr>
            <w:tcW w:w="4787" w:type="dxa"/>
            <w:gridSpan w:val="1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年度目标完成情况</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709"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c>
          <w:tcPr>
            <w:tcW w:w="6263" w:type="dxa"/>
            <w:gridSpan w:val="1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通过聘用专业的技术力量，认真分析数字经济发展面临的新形势、新机遇、新挑战，形成高质量的《广元“十五五”时期推动数字经济发展路径举措研究》课题研究报告。</w:t>
            </w:r>
          </w:p>
        </w:tc>
        <w:tc>
          <w:tcPr>
            <w:tcW w:w="4787" w:type="dxa"/>
            <w:gridSpan w:val="1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该项目指标于2024年12月下达，课题研究报告尚未形成，资金尚未支付。</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694"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2.项目实施内容及过程概述</w:t>
            </w:r>
          </w:p>
        </w:tc>
        <w:tc>
          <w:tcPr>
            <w:tcW w:w="11050" w:type="dxa"/>
            <w:gridSpan w:val="2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通过聘用专业的技术力量，认真分析数字经济发展面临的新形势、新机遇、新挑战，形成高质量的《广元“十五五”时期推动数字经济发展路径举措研究》课题研究报告，目前报告尚未形成。</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60" w:hRule="atLeast"/>
        </w:trPr>
        <w:tc>
          <w:tcPr>
            <w:tcW w:w="801"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预算执行情况（10分）</w:t>
            </w: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年度预算数（万元）</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年初预算</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调整后预算数</w:t>
            </w: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预算执行数</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预算执行率</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权重</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得分</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原因</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45"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总额</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3.00</w:t>
            </w: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1798"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该项目指标于2024年12月下达，课题研究报告尚未形成，资金尚未支付。</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90"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其中：财政资金</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3.00</w:t>
            </w: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798"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409"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财政专户管理资金</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798"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60"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单位资金</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798"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其他资金</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iCs/>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iCs/>
                <w:color w:val="000000"/>
                <w:sz w:val="18"/>
                <w:szCs w:val="18"/>
              </w:rPr>
            </w:pP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iCs/>
                <w:color w:val="000000"/>
                <w:sz w:val="18"/>
                <w:szCs w:val="18"/>
              </w:rPr>
            </w:pP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iCs/>
                <w:color w:val="000000"/>
                <w:sz w:val="18"/>
                <w:szCs w:val="18"/>
              </w:rPr>
            </w:pP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798"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454" w:hRule="atLeast"/>
        </w:trPr>
        <w:tc>
          <w:tcPr>
            <w:tcW w:w="801"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绩效指标（90分）</w:t>
            </w: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一级指标</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二级指标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三级指标</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指标性质</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指标值</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度量单位</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完成值</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权重</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得分</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未完成原因分析</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产出指标</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数量指标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完成课题个数</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15</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15</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iCs/>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质量指标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课题完成通过率</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课题研究报告尚未形成</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时效指标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课题提交及时性</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98</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15</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课题研究报告尚未形成</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454"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效益指标</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经济效益指标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推动地方数字经济发展潜能</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定性</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优</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级</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课题研究报告尚未形成</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454"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可持续影响指标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数字经济发展可持续性影响期间</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课题研究报告尚未形成</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满意度指标</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满意度指标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使用单位满意度</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课题研究报告尚未形成</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成本指标</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经济成本指标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课题研究总成本</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万</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课题研究报告尚未形成</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285" w:hRule="atLeast"/>
        </w:trPr>
        <w:tc>
          <w:tcPr>
            <w:tcW w:w="10361" w:type="dxa"/>
            <w:gridSpan w:val="2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合计</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35</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604" w:hRule="atLeast"/>
        </w:trPr>
        <w:tc>
          <w:tcPr>
            <w:tcW w:w="801"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评价结论</w:t>
            </w:r>
          </w:p>
        </w:tc>
        <w:tc>
          <w:tcPr>
            <w:tcW w:w="13075" w:type="dxa"/>
            <w:gridSpan w:val="28"/>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经自评，该项目得分35分。截止2024年年底，《广元“十五五”时期推动数字经济发展路径举措研究》课题研究报告尚未形成，大部分指标尚无法开展自评。</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574" w:hRule="atLeast"/>
        </w:trPr>
        <w:tc>
          <w:tcPr>
            <w:tcW w:w="801"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存在问题</w:t>
            </w:r>
          </w:p>
        </w:tc>
        <w:tc>
          <w:tcPr>
            <w:tcW w:w="13075" w:type="dxa"/>
            <w:gridSpan w:val="28"/>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截止2024年年底，《广元“十五五”时期推动数字经济发展路径举措研究》课题研究报告尚未形成，大部分指标尚无法开展自评。</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634" w:hRule="atLeast"/>
        </w:trPr>
        <w:tc>
          <w:tcPr>
            <w:tcW w:w="801"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改进措施</w:t>
            </w:r>
          </w:p>
        </w:tc>
        <w:tc>
          <w:tcPr>
            <w:tcW w:w="13075" w:type="dxa"/>
            <w:gridSpan w:val="28"/>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加快项目实施进度，待项目结束后再次开展项目绩效评价。</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440" w:hRule="atLeast"/>
        </w:trPr>
        <w:tc>
          <w:tcPr>
            <w:tcW w:w="7362" w:type="dxa"/>
            <w:gridSpan w:val="1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项目负责人：李涛</w:t>
            </w:r>
          </w:p>
        </w:tc>
        <w:tc>
          <w:tcPr>
            <w:tcW w:w="6514" w:type="dxa"/>
            <w:gridSpan w:val="1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财务负责人：袁玲</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960" w:hRule="atLeast"/>
        </w:trPr>
        <w:tc>
          <w:tcPr>
            <w:tcW w:w="801"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2025"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1702"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2224" w:type="dxa"/>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610" w:type="dxa"/>
            <w:gridSpan w:val="5"/>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1207" w:type="dxa"/>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520"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1272"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820" w:type="dxa"/>
            <w:gridSpan w:val="5"/>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897"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1798" w:type="dxa"/>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904" w:hRule="atLeast"/>
        </w:trPr>
        <w:tc>
          <w:tcPr>
            <w:tcW w:w="13876" w:type="dxa"/>
            <w:gridSpan w:val="31"/>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黑体" w:hAnsi="宋体" w:eastAsia="黑体" w:cs="黑体"/>
                <w:b/>
                <w:bCs/>
                <w:color w:val="000000"/>
                <w:sz w:val="30"/>
                <w:szCs w:val="30"/>
              </w:rPr>
            </w:pPr>
            <w:r>
              <w:rPr>
                <w:rFonts w:hint="eastAsia" w:ascii="黑体" w:hAnsi="宋体" w:eastAsia="黑体" w:cs="黑体"/>
                <w:b/>
                <w:bCs/>
                <w:color w:val="000000"/>
                <w:kern w:val="0"/>
                <w:sz w:val="30"/>
                <w:szCs w:val="30"/>
                <w:lang w:bidi="ar"/>
              </w:rPr>
              <w:t>部门预算项目支出绩效自评表（2024年度）</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108" w:type="dxa"/>
            <w:bottom w:w="0" w:type="dxa"/>
            <w:right w:w="108" w:type="dxa"/>
          </w:tblCellMar>
        </w:tblPrEx>
        <w:trPr>
          <w:gridBefore w:val="1"/>
          <w:gridAfter w:val="1"/>
          <w:wBefore w:w="3" w:type="dxa"/>
          <w:wAfter w:w="721" w:type="dxa"/>
          <w:trHeight w:val="380" w:hRule="atLeast"/>
        </w:trPr>
        <w:tc>
          <w:tcPr>
            <w:tcW w:w="2826"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项目名称</w:t>
            </w:r>
          </w:p>
        </w:tc>
        <w:tc>
          <w:tcPr>
            <w:tcW w:w="11050" w:type="dxa"/>
            <w:gridSpan w:val="2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51080025T000013261469-数字广元建设专题研讨班培训费</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514" w:hRule="atLeast"/>
        </w:trPr>
        <w:tc>
          <w:tcPr>
            <w:tcW w:w="2826"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主管部门</w:t>
            </w:r>
          </w:p>
        </w:tc>
        <w:tc>
          <w:tcPr>
            <w:tcW w:w="6263" w:type="dxa"/>
            <w:gridSpan w:val="1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广元市政务服务和数据局部门</w:t>
            </w:r>
          </w:p>
        </w:tc>
        <w:tc>
          <w:tcPr>
            <w:tcW w:w="1272" w:type="dxa"/>
            <w:gridSpan w:val="3"/>
            <w:tcBorders>
              <w:top w:val="nil"/>
              <w:left w:val="nil"/>
              <w:bottom w:val="nil"/>
              <w:right w:val="nil"/>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实施单位 （盖章）</w:t>
            </w:r>
          </w:p>
        </w:tc>
        <w:tc>
          <w:tcPr>
            <w:tcW w:w="3515"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广元市政务服务和数据局</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285" w:hRule="atLeast"/>
        </w:trPr>
        <w:tc>
          <w:tcPr>
            <w:tcW w:w="801"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项目基本情况</w:t>
            </w:r>
          </w:p>
        </w:tc>
        <w:tc>
          <w:tcPr>
            <w:tcW w:w="202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1.项目年度目标完成情况</w:t>
            </w:r>
          </w:p>
        </w:tc>
        <w:tc>
          <w:tcPr>
            <w:tcW w:w="6263" w:type="dxa"/>
            <w:gridSpan w:val="1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项目年度目标</w:t>
            </w:r>
          </w:p>
        </w:tc>
        <w:tc>
          <w:tcPr>
            <w:tcW w:w="4787" w:type="dxa"/>
            <w:gridSpan w:val="1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年度目标完成情况</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90"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c>
          <w:tcPr>
            <w:tcW w:w="6263" w:type="dxa"/>
            <w:gridSpan w:val="1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组织全市数据系统（县区分管领导、数据局主要负责人，市级部门业务科室骨干）58人，于2024年10月28日至11月3日到广州中山大学开展为期7天的专题研讨，就数字广元建设开阔眼界、了解前沿、学习知识，开展专题研讨。通过本次培训，实现三个目标：建设数字广元的思路更清晰、抓数字经济的方法更多样、推智慧城市的措施更具体。</w:t>
            </w:r>
          </w:p>
        </w:tc>
        <w:tc>
          <w:tcPr>
            <w:tcW w:w="4787" w:type="dxa"/>
            <w:gridSpan w:val="1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已组织全市数据系统58余人于2024年10月28日至11月3日到广州中山大学开展为期7天的专题培训，培训合格率达100%，项目资金14.8万元已全额支付。</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694"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2.项目实施内容及过程概述</w:t>
            </w:r>
          </w:p>
        </w:tc>
        <w:tc>
          <w:tcPr>
            <w:tcW w:w="11050" w:type="dxa"/>
            <w:gridSpan w:val="2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组织全市数据系统（县区分管领导、数据局主要负责人，市级部门业务科室骨干）58人，于2024年10月28日至11月3日到广州中山大学开展为期7天的专题研讨，就数字广元建设开阔眼界、了解前沿、学习知识，开展专题研讨。通过本次培训，实现三个目标：建设数字广元的思路更清晰、抓数字经济的方法更多样、推智慧城市的措施更具体。</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60" w:hRule="atLeast"/>
        </w:trPr>
        <w:tc>
          <w:tcPr>
            <w:tcW w:w="801"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预算执行情况（10分）</w:t>
            </w: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年度预算数（万元）</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年初预算</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调整后预算数</w:t>
            </w: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预算执行数</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预算执行率</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权重</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得分</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原因</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45"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总额</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14.80</w:t>
            </w: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14.80</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1798"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1.预算执行率=预算执行数/调整后预算数，预算执行率未达到90%的需说明原因（100字以内）;2.年中发生预算调整的（追加或调减）,应单独说明理由；3.其他资金包括：社会投入资金、银行贷款</w:t>
            </w:r>
            <w:r>
              <w:rPr>
                <w:rFonts w:hint="eastAsia" w:ascii="宋体" w:hAnsi="宋体" w:cs="宋体"/>
                <w:color w:val="000000"/>
                <w:kern w:val="0"/>
                <w:sz w:val="18"/>
                <w:szCs w:val="18"/>
                <w:lang w:eastAsia="zh-CN" w:bidi="ar"/>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90"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其中：财政资金</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14.80</w:t>
            </w: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14.80</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798"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409"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财政专户管理资金</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798"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60"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单位资金</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798"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其他资金</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iCs/>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iCs/>
                <w:color w:val="000000"/>
                <w:sz w:val="18"/>
                <w:szCs w:val="18"/>
              </w:rPr>
            </w:pPr>
          </w:p>
        </w:tc>
        <w:tc>
          <w:tcPr>
            <w:tcW w:w="2337"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iCs/>
                <w:color w:val="000000"/>
                <w:sz w:val="18"/>
                <w:szCs w:val="18"/>
              </w:rPr>
            </w:pP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iCs/>
                <w:color w:val="000000"/>
                <w:sz w:val="18"/>
                <w:szCs w:val="18"/>
              </w:rPr>
            </w:pP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798"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454" w:hRule="atLeast"/>
        </w:trPr>
        <w:tc>
          <w:tcPr>
            <w:tcW w:w="801"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绩效指标（90分）</w:t>
            </w: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一级指标</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二级指标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三级指标</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指标性质</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指标值</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度量单位</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完成值</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权重</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得分</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未完成原因分析</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产出指标</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数量指标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培训人数</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58</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人</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58</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15</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15</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iCs/>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质量指标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培训合格率</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13</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13</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iCs/>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时效指标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培训天数</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天</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iCs/>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效益指标</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社会效益指标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提升数字广元建设质效</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定性</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提升</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提升</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iCs/>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454"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满意度指标</w:t>
            </w:r>
          </w:p>
        </w:tc>
        <w:tc>
          <w:tcPr>
            <w:tcW w:w="170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满意度指标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上级部门对培训工作的满意度</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99</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99</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iCs/>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170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学员对培训的满意度</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99</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95.67</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学员打分平均为95.67分</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338" w:hRule="atLeast"/>
        </w:trPr>
        <w:tc>
          <w:tcPr>
            <w:tcW w:w="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color w:val="000000"/>
                <w:sz w:val="18"/>
                <w:szCs w:val="18"/>
              </w:rPr>
            </w:pP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成本指标</w:t>
            </w:r>
          </w:p>
        </w:tc>
        <w:tc>
          <w:tcPr>
            <w:tcW w:w="170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经济成本指标</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培训费用</w:t>
            </w:r>
          </w:p>
        </w:tc>
        <w:tc>
          <w:tcPr>
            <w:tcW w:w="61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14.8</w:t>
            </w:r>
          </w:p>
        </w:tc>
        <w:tc>
          <w:tcPr>
            <w:tcW w:w="5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万元</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14.8</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iCs/>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285" w:hRule="atLeast"/>
        </w:trPr>
        <w:tc>
          <w:tcPr>
            <w:tcW w:w="10361" w:type="dxa"/>
            <w:gridSpan w:val="2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合计</w:t>
            </w:r>
          </w:p>
        </w:tc>
        <w:tc>
          <w:tcPr>
            <w:tcW w:w="82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w:t>
            </w:r>
          </w:p>
        </w:tc>
        <w:tc>
          <w:tcPr>
            <w:tcW w:w="89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99</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color w:val="00000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604" w:hRule="atLeast"/>
        </w:trPr>
        <w:tc>
          <w:tcPr>
            <w:tcW w:w="801"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评价结论</w:t>
            </w:r>
          </w:p>
        </w:tc>
        <w:tc>
          <w:tcPr>
            <w:tcW w:w="13075" w:type="dxa"/>
            <w:gridSpan w:val="28"/>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经自评，该项目得分99分。本次专题研讨班顺利举办，通过本次培训，实现了三个目标：建设数字广元的思路更清晰、抓数字经济的方法更多样、推智慧城市的措施更具体。</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574" w:hRule="atLeast"/>
        </w:trPr>
        <w:tc>
          <w:tcPr>
            <w:tcW w:w="801"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存在问题</w:t>
            </w:r>
          </w:p>
        </w:tc>
        <w:tc>
          <w:tcPr>
            <w:tcW w:w="13075" w:type="dxa"/>
            <w:gridSpan w:val="28"/>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无。</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634" w:hRule="atLeast"/>
        </w:trPr>
        <w:tc>
          <w:tcPr>
            <w:tcW w:w="801"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改进措施</w:t>
            </w:r>
          </w:p>
        </w:tc>
        <w:tc>
          <w:tcPr>
            <w:tcW w:w="13075" w:type="dxa"/>
            <w:gridSpan w:val="28"/>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无。</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410" w:hRule="atLeast"/>
        </w:trPr>
        <w:tc>
          <w:tcPr>
            <w:tcW w:w="7362" w:type="dxa"/>
            <w:gridSpan w:val="1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项目负责人：李涛</w:t>
            </w:r>
          </w:p>
        </w:tc>
        <w:tc>
          <w:tcPr>
            <w:tcW w:w="6514" w:type="dxa"/>
            <w:gridSpan w:val="1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财务负责人：袁玲</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3" w:type="dxa"/>
          <w:wAfter w:w="721" w:type="dxa"/>
          <w:trHeight w:val="820" w:hRule="atLeast"/>
        </w:trPr>
        <w:tc>
          <w:tcPr>
            <w:tcW w:w="801"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2025"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1702"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2224" w:type="dxa"/>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610" w:type="dxa"/>
            <w:gridSpan w:val="5"/>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1207" w:type="dxa"/>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520"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1272"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820" w:type="dxa"/>
            <w:gridSpan w:val="5"/>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897" w:type="dxa"/>
            <w:gridSpan w:val="3"/>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c>
          <w:tcPr>
            <w:tcW w:w="1798" w:type="dxa"/>
            <w:tcBorders>
              <w:top w:val="nil"/>
              <w:left w:val="nil"/>
              <w:bottom w:val="nil"/>
              <w:right w:val="nil"/>
            </w:tcBorders>
            <w:shd w:val="clear" w:color="auto" w:fill="auto"/>
            <w:noWrap w:val="0"/>
            <w:vAlign w:val="center"/>
          </w:tcPr>
          <w:p>
            <w:pPr>
              <w:rPr>
                <w:rFonts w:hint="eastAsia" w:ascii="宋体" w:hAnsi="宋体" w:eastAsia="宋体" w:cs="宋体"/>
                <w:color w:val="000000"/>
                <w:sz w:val="18"/>
                <w:szCs w:val="18"/>
              </w:rPr>
            </w:pPr>
          </w:p>
        </w:tc>
      </w:tr>
    </w:tbl>
    <w:p>
      <w:pPr>
        <w:pStyle w:val="2"/>
        <w:rPr>
          <w:rFonts w:hint="eastAsia" w:ascii="Times New Roman" w:hAnsi="Times New Roman" w:eastAsia="黑体"/>
          <w:color w:val="auto"/>
          <w:sz w:val="44"/>
          <w:szCs w:val="44"/>
          <w:highlight w:val="none"/>
        </w:rPr>
        <w:sectPr>
          <w:pgSz w:w="16838" w:h="11906" w:orient="landscape"/>
          <w:pgMar w:top="1800" w:right="1440" w:bottom="1800" w:left="1440" w:header="851" w:footer="992" w:gutter="0"/>
          <w:pgNumType w:fmt="numberInDash"/>
          <w:cols w:space="425" w:num="1"/>
          <w:titlePg/>
          <w:docGrid w:type="lines" w:linePitch="312" w:charSpace="0"/>
        </w:sectPr>
      </w:pPr>
      <w:bookmarkStart w:id="80" w:name="_Toc15396618"/>
    </w:p>
    <w:p>
      <w:pPr>
        <w:rPr>
          <w:rFonts w:hint="eastAsia"/>
        </w:rPr>
      </w:pPr>
    </w:p>
    <w:p>
      <w:pPr>
        <w:pStyle w:val="3"/>
        <w:bidi w:val="0"/>
        <w:jc w:val="center"/>
        <w:rPr>
          <w:rFonts w:hint="eastAsia" w:ascii="Times New Roman" w:hAnsi="Times New Roman" w:eastAsia="仿宋_GB2312" w:cs="仿宋_GB2312"/>
          <w:color w:val="auto"/>
          <w:sz w:val="32"/>
          <w:szCs w:val="32"/>
          <w:highlight w:val="none"/>
        </w:rPr>
      </w:pPr>
      <w:bookmarkStart w:id="81" w:name="_Toc19627"/>
      <w:r>
        <w:rPr>
          <w:rFonts w:hint="eastAsia" w:ascii="Times New Roman" w:hAnsi="Times New Roman" w:eastAsia="黑体"/>
          <w:color w:val="auto"/>
          <w:sz w:val="44"/>
          <w:szCs w:val="44"/>
          <w:highlight w:val="none"/>
        </w:rPr>
        <w:t>第</w:t>
      </w:r>
      <w:r>
        <w:rPr>
          <w:rStyle w:val="21"/>
          <w:rFonts w:hint="eastAsia" w:ascii="Times New Roman" w:hAnsi="Times New Roman" w:eastAsia="黑体"/>
          <w:b w:val="0"/>
          <w:bCs/>
          <w:color w:val="auto"/>
          <w:highlight w:val="none"/>
        </w:rPr>
        <w:t>五部分 附表</w:t>
      </w:r>
      <w:bookmarkEnd w:id="74"/>
      <w:bookmarkEnd w:id="80"/>
      <w:bookmarkEnd w:id="81"/>
      <w:bookmarkStart w:id="82" w:name="_Toc15396619"/>
    </w:p>
    <w:p>
      <w:pPr>
        <w:pStyle w:val="4"/>
        <w:bidi w:val="0"/>
        <w:jc w:val="left"/>
        <w:rPr>
          <w:rFonts w:hint="eastAsia"/>
          <w:b w:val="0"/>
          <w:bCs w:val="0"/>
        </w:rPr>
      </w:pPr>
      <w:bookmarkStart w:id="83" w:name="_Toc30433"/>
      <w:r>
        <w:rPr>
          <w:rFonts w:hint="eastAsia"/>
          <w:b w:val="0"/>
          <w:bCs w:val="0"/>
        </w:rPr>
        <w:t>一、收入支出决算总表</w:t>
      </w:r>
      <w:bookmarkEnd w:id="82"/>
      <w:bookmarkEnd w:id="83"/>
    </w:p>
    <w:p>
      <w:pPr>
        <w:pStyle w:val="4"/>
        <w:bidi w:val="0"/>
        <w:jc w:val="left"/>
        <w:rPr>
          <w:rFonts w:hint="eastAsia"/>
          <w:b w:val="0"/>
          <w:bCs w:val="0"/>
        </w:rPr>
      </w:pPr>
      <w:bookmarkStart w:id="84" w:name="_Toc15396620"/>
      <w:bookmarkStart w:id="85" w:name="_Toc3757"/>
      <w:r>
        <w:rPr>
          <w:rFonts w:hint="eastAsia"/>
          <w:b w:val="0"/>
          <w:bCs w:val="0"/>
        </w:rPr>
        <w:t>二、收入决算表</w:t>
      </w:r>
      <w:bookmarkEnd w:id="84"/>
      <w:bookmarkEnd w:id="85"/>
    </w:p>
    <w:p>
      <w:pPr>
        <w:pStyle w:val="4"/>
        <w:bidi w:val="0"/>
        <w:jc w:val="left"/>
        <w:rPr>
          <w:rFonts w:hint="eastAsia"/>
          <w:b w:val="0"/>
          <w:bCs w:val="0"/>
        </w:rPr>
      </w:pPr>
      <w:bookmarkStart w:id="86" w:name="_Toc626"/>
      <w:bookmarkStart w:id="87" w:name="_Toc15396621"/>
      <w:r>
        <w:rPr>
          <w:rFonts w:hint="eastAsia"/>
          <w:b w:val="0"/>
          <w:bCs w:val="0"/>
        </w:rPr>
        <w:t>三、支出决算表</w:t>
      </w:r>
      <w:bookmarkEnd w:id="86"/>
      <w:bookmarkEnd w:id="87"/>
    </w:p>
    <w:p>
      <w:pPr>
        <w:pStyle w:val="4"/>
        <w:bidi w:val="0"/>
        <w:jc w:val="left"/>
        <w:rPr>
          <w:rFonts w:hint="eastAsia"/>
          <w:b w:val="0"/>
          <w:bCs w:val="0"/>
        </w:rPr>
      </w:pPr>
      <w:bookmarkStart w:id="88" w:name="_Toc14934"/>
      <w:bookmarkStart w:id="89" w:name="_Toc15396622"/>
      <w:r>
        <w:rPr>
          <w:rFonts w:hint="eastAsia"/>
          <w:b w:val="0"/>
          <w:bCs w:val="0"/>
        </w:rPr>
        <w:t>四、财政拨款收入支出决算总表</w:t>
      </w:r>
      <w:bookmarkEnd w:id="88"/>
      <w:bookmarkEnd w:id="89"/>
    </w:p>
    <w:p>
      <w:pPr>
        <w:pStyle w:val="4"/>
        <w:bidi w:val="0"/>
        <w:jc w:val="left"/>
        <w:rPr>
          <w:rFonts w:hint="eastAsia"/>
          <w:b w:val="0"/>
          <w:bCs w:val="0"/>
        </w:rPr>
      </w:pPr>
      <w:bookmarkStart w:id="90" w:name="_Toc15396623"/>
      <w:bookmarkStart w:id="91" w:name="_Toc19200"/>
      <w:r>
        <w:rPr>
          <w:rFonts w:hint="eastAsia"/>
          <w:b w:val="0"/>
          <w:bCs w:val="0"/>
        </w:rPr>
        <w:t>五、财政拨款支出决算明细表</w:t>
      </w:r>
      <w:bookmarkEnd w:id="90"/>
      <w:bookmarkEnd w:id="91"/>
      <w:bookmarkStart w:id="92" w:name="_Toc15396624"/>
    </w:p>
    <w:p>
      <w:pPr>
        <w:pStyle w:val="4"/>
        <w:bidi w:val="0"/>
        <w:jc w:val="left"/>
        <w:rPr>
          <w:rFonts w:hint="eastAsia"/>
          <w:b w:val="0"/>
          <w:bCs w:val="0"/>
        </w:rPr>
      </w:pPr>
      <w:bookmarkStart w:id="93" w:name="_Toc23091"/>
      <w:r>
        <w:rPr>
          <w:rFonts w:hint="eastAsia"/>
          <w:b w:val="0"/>
          <w:bCs w:val="0"/>
        </w:rPr>
        <w:t>六、一般公共预算财政拨款支出决算表</w:t>
      </w:r>
      <w:bookmarkEnd w:id="92"/>
      <w:bookmarkEnd w:id="93"/>
    </w:p>
    <w:p>
      <w:pPr>
        <w:pStyle w:val="4"/>
        <w:bidi w:val="0"/>
        <w:jc w:val="left"/>
        <w:rPr>
          <w:rFonts w:hint="eastAsia"/>
          <w:b w:val="0"/>
          <w:bCs w:val="0"/>
        </w:rPr>
      </w:pPr>
      <w:bookmarkStart w:id="94" w:name="_Toc15396625"/>
      <w:bookmarkStart w:id="95" w:name="_Toc27252"/>
      <w:r>
        <w:rPr>
          <w:rFonts w:hint="eastAsia"/>
          <w:b w:val="0"/>
          <w:bCs w:val="0"/>
        </w:rPr>
        <w:t>七、一般公共预算财政拨款支出决算明细表</w:t>
      </w:r>
      <w:bookmarkEnd w:id="94"/>
      <w:bookmarkEnd w:id="95"/>
    </w:p>
    <w:p>
      <w:pPr>
        <w:pStyle w:val="4"/>
        <w:bidi w:val="0"/>
        <w:jc w:val="left"/>
        <w:rPr>
          <w:rFonts w:hint="eastAsia"/>
          <w:b w:val="0"/>
          <w:bCs w:val="0"/>
        </w:rPr>
      </w:pPr>
      <w:bookmarkStart w:id="96" w:name="_Toc15396626"/>
      <w:bookmarkStart w:id="97" w:name="_Toc15313"/>
      <w:r>
        <w:rPr>
          <w:rFonts w:hint="eastAsia"/>
          <w:b w:val="0"/>
          <w:bCs w:val="0"/>
        </w:rPr>
        <w:t>八、一般公共预算财政拨款基本支出决算表</w:t>
      </w:r>
      <w:bookmarkEnd w:id="96"/>
      <w:bookmarkEnd w:id="97"/>
    </w:p>
    <w:p>
      <w:pPr>
        <w:pStyle w:val="4"/>
        <w:bidi w:val="0"/>
        <w:jc w:val="left"/>
        <w:rPr>
          <w:rFonts w:hint="eastAsia"/>
          <w:b w:val="0"/>
          <w:bCs w:val="0"/>
        </w:rPr>
      </w:pPr>
      <w:bookmarkStart w:id="98" w:name="_Toc15396627"/>
      <w:bookmarkStart w:id="99" w:name="_Toc20047"/>
      <w:r>
        <w:rPr>
          <w:rFonts w:hint="eastAsia"/>
          <w:b w:val="0"/>
          <w:bCs w:val="0"/>
        </w:rPr>
        <w:t>九、一般公共预算财政拨款项目支出决算表</w:t>
      </w:r>
      <w:bookmarkEnd w:id="98"/>
      <w:bookmarkEnd w:id="99"/>
    </w:p>
    <w:p>
      <w:pPr>
        <w:pStyle w:val="4"/>
        <w:bidi w:val="0"/>
        <w:jc w:val="left"/>
        <w:rPr>
          <w:rFonts w:hint="eastAsia"/>
          <w:b w:val="0"/>
          <w:bCs w:val="0"/>
        </w:rPr>
      </w:pPr>
      <w:bookmarkStart w:id="100" w:name="_Toc15396628"/>
      <w:bookmarkStart w:id="101" w:name="_Toc7238"/>
      <w:r>
        <w:rPr>
          <w:rFonts w:hint="eastAsia"/>
          <w:b w:val="0"/>
          <w:bCs w:val="0"/>
        </w:rPr>
        <w:t>十、</w:t>
      </w:r>
      <w:bookmarkEnd w:id="100"/>
      <w:r>
        <w:rPr>
          <w:rFonts w:hint="eastAsia"/>
          <w:b w:val="0"/>
          <w:bCs w:val="0"/>
        </w:rPr>
        <w:t>政府性基金预算财政拨款收入支出决算表</w:t>
      </w:r>
      <w:bookmarkEnd w:id="101"/>
    </w:p>
    <w:p>
      <w:pPr>
        <w:pStyle w:val="4"/>
        <w:bidi w:val="0"/>
        <w:jc w:val="left"/>
        <w:rPr>
          <w:rFonts w:hint="eastAsia"/>
          <w:b w:val="0"/>
          <w:bCs w:val="0"/>
        </w:rPr>
      </w:pPr>
      <w:bookmarkStart w:id="102" w:name="_Toc15396629"/>
      <w:bookmarkStart w:id="103" w:name="_Toc5755"/>
      <w:r>
        <w:rPr>
          <w:rFonts w:hint="eastAsia"/>
          <w:b w:val="0"/>
          <w:bCs w:val="0"/>
        </w:rPr>
        <w:t>十一、</w:t>
      </w:r>
      <w:bookmarkEnd w:id="102"/>
      <w:r>
        <w:rPr>
          <w:rFonts w:hint="eastAsia"/>
          <w:b w:val="0"/>
          <w:bCs w:val="0"/>
        </w:rPr>
        <w:t>国有资本经营预算</w:t>
      </w:r>
      <w:r>
        <w:rPr>
          <w:rFonts w:hint="eastAsia"/>
          <w:b w:val="0"/>
          <w:bCs w:val="0"/>
          <w:lang w:eastAsia="zh-CN"/>
        </w:rPr>
        <w:t>财政拨款收入</w:t>
      </w:r>
      <w:r>
        <w:rPr>
          <w:rFonts w:hint="eastAsia"/>
          <w:b w:val="0"/>
          <w:bCs w:val="0"/>
        </w:rPr>
        <w:t>支出决算表</w:t>
      </w:r>
      <w:bookmarkEnd w:id="103"/>
    </w:p>
    <w:p>
      <w:pPr>
        <w:pStyle w:val="4"/>
        <w:bidi w:val="0"/>
        <w:jc w:val="left"/>
        <w:rPr>
          <w:rFonts w:hint="eastAsia"/>
          <w:b w:val="0"/>
          <w:bCs w:val="0"/>
        </w:rPr>
      </w:pPr>
      <w:bookmarkStart w:id="104" w:name="_Toc15396630"/>
      <w:bookmarkStart w:id="105" w:name="_Toc24128"/>
      <w:r>
        <w:rPr>
          <w:rFonts w:hint="eastAsia"/>
          <w:b w:val="0"/>
          <w:bCs w:val="0"/>
        </w:rPr>
        <w:t>十二、</w:t>
      </w:r>
      <w:bookmarkEnd w:id="104"/>
      <w:r>
        <w:rPr>
          <w:rFonts w:hint="eastAsia"/>
          <w:b w:val="0"/>
          <w:bCs w:val="0"/>
          <w:lang w:eastAsia="zh-CN"/>
        </w:rPr>
        <w:t>国有资本经营预算财政拨款支出决算表</w:t>
      </w:r>
      <w:bookmarkEnd w:id="105"/>
    </w:p>
    <w:p>
      <w:pPr>
        <w:pStyle w:val="4"/>
        <w:bidi w:val="0"/>
        <w:jc w:val="left"/>
        <w:rPr>
          <w:rFonts w:hint="eastAsia"/>
          <w:b w:val="0"/>
          <w:bCs w:val="0"/>
          <w:lang w:eastAsia="zh-CN"/>
        </w:rPr>
      </w:pPr>
      <w:bookmarkStart w:id="106" w:name="_Toc15396631"/>
      <w:bookmarkStart w:id="107" w:name="_Toc31666"/>
      <w:r>
        <w:rPr>
          <w:rFonts w:hint="eastAsia"/>
          <w:b w:val="0"/>
          <w:bCs w:val="0"/>
        </w:rPr>
        <w:t>十三、</w:t>
      </w:r>
      <w:bookmarkEnd w:id="106"/>
      <w:r>
        <w:rPr>
          <w:rFonts w:hint="eastAsia"/>
          <w:b w:val="0"/>
          <w:bCs w:val="0"/>
          <w:lang w:eastAsia="zh-CN"/>
        </w:rPr>
        <w:t>财政拨款“三公”经费支出决算表</w:t>
      </w:r>
      <w:bookmarkEnd w:id="107"/>
    </w:p>
    <w:p>
      <w:pPr>
        <w:keepNext w:val="0"/>
        <w:keepLines w:val="0"/>
        <w:pageBreakBefore w:val="0"/>
        <w:widowControl w:val="0"/>
        <w:kinsoku/>
        <w:wordWrap/>
        <w:overflowPunct/>
        <w:topLinePunct w:val="0"/>
        <w:autoSpaceDE/>
        <w:autoSpaceDN/>
        <w:bidi w:val="0"/>
        <w:spacing w:line="480" w:lineRule="auto"/>
        <w:textAlignment w:val="auto"/>
        <w:rPr>
          <w:rFonts w:hint="eastAsia" w:ascii="Times New Roman" w:hAnsi="Times New Roman"/>
          <w:lang w:eastAsia="zh-CN"/>
        </w:rPr>
      </w:pPr>
    </w:p>
    <w:sectPr>
      <w:pgSz w:w="11906" w:h="16838"/>
      <w:pgMar w:top="1440" w:right="1800" w:bottom="1440" w:left="1800" w:header="851" w:footer="992" w:gutter="0"/>
      <w:pgNumType w:fmt="numberInDash"/>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cript"/>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
    <w:altName w:val="Mangal"/>
    <w:panose1 w:val="00000000000000000000"/>
    <w:charset w:val="00"/>
    <w:family w:val="roman"/>
    <w:pitch w:val="default"/>
    <w:sig w:usb0="00000000" w:usb1="00000000" w:usb2="00000000" w:usb3="00000000" w:csb0="00000000"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微软雅黑">
    <w:altName w:val="黑体"/>
    <w:panose1 w:val="020B0503020204020204"/>
    <w:charset w:val="86"/>
    <w:family w:val="swiss"/>
    <w:pitch w:val="default"/>
    <w:sig w:usb0="00000000" w:usb1="00000000" w:usb2="00000016" w:usb3="00000000" w:csb0="0004001F" w:csb1="00000000"/>
  </w:font>
  <w:font w:name="Lucida Sans">
    <w:panose1 w:val="020B0602030504020204"/>
    <w:charset w:val="00"/>
    <w:family w:val="auto"/>
    <w:pitch w:val="default"/>
    <w:sig w:usb0="00000000" w:usb1="00000000" w:usb2="00000000" w:usb3="00000000" w:csb0="00000000" w:csb1="00000000"/>
  </w:font>
  <w:font w:name="Comic Sans MS">
    <w:panose1 w:val="030F0702030302020204"/>
    <w:charset w:val="00"/>
    <w:family w:val="auto"/>
    <w:pitch w:val="default"/>
    <w:sig w:usb0="00000287" w:usb1="00000000" w:usb2="00000000" w:usb3="00000000" w:csb0="2000009F" w:csb1="00000000"/>
  </w:font>
  <w:font w:name="Noto Sans Syriac Eastern">
    <w:panose1 w:val="02040503050306020203"/>
    <w:charset w:val="86"/>
    <w:family w:val="auto"/>
    <w:pitch w:val="default"/>
    <w:sig w:usb0="00000000" w:usb1="00000000" w:usb2="00000080" w:usb3="00000000" w:csb0="203E0161" w:csb1="D7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p>
  <w:p>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both"/>
    </w:pPr>
  </w:p>
  <w:p>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MqBTIMdAgAAKwQAAA4AAAAAAAAAAQAgAAAANQEAAGRycy9lMm9Eb2MueG1sUEsF&#10;BgAAAAAGAAYAWQEAAMQFA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both"/>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QcJ/5BwCAAArBAAADgAAAAAAAAABACAAAAA1AQAAZHJzL2Uyb0RvYy54bWxQSwUG&#10;AAAAAAYABgBZAQAAwwU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- 2 -</w:t>
                    </w:r>
                    <w:r>
                      <w:fldChar w:fldCharType="end"/>
                    </w:r>
                  </w:p>
                </w:txbxContent>
              </v:textbox>
            </v:shape>
          </w:pict>
        </mc:Fallback>
      </mc:AlternateContent>
    </w:r>
  </w:p>
  <w:p>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3D77A7"/>
    <w:multiLevelType w:val="singleLevel"/>
    <w:tmpl w:val="373D77A7"/>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4633"/>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2A5EC2"/>
    <w:rsid w:val="015975B8"/>
    <w:rsid w:val="02FEBE30"/>
    <w:rsid w:val="04916F1E"/>
    <w:rsid w:val="061E35DE"/>
    <w:rsid w:val="066E0107"/>
    <w:rsid w:val="07996F6E"/>
    <w:rsid w:val="07DFD8BA"/>
    <w:rsid w:val="09867E8F"/>
    <w:rsid w:val="0A2032A3"/>
    <w:rsid w:val="0CA8290A"/>
    <w:rsid w:val="0D35B1ED"/>
    <w:rsid w:val="0E254B6B"/>
    <w:rsid w:val="0F98263C"/>
    <w:rsid w:val="101860EC"/>
    <w:rsid w:val="101F47CC"/>
    <w:rsid w:val="10C055FF"/>
    <w:rsid w:val="11694EBD"/>
    <w:rsid w:val="11772AA4"/>
    <w:rsid w:val="118107EC"/>
    <w:rsid w:val="12E24EE2"/>
    <w:rsid w:val="13D50BC4"/>
    <w:rsid w:val="14B17F78"/>
    <w:rsid w:val="165E0673"/>
    <w:rsid w:val="16B831D5"/>
    <w:rsid w:val="16BB723D"/>
    <w:rsid w:val="17E50567"/>
    <w:rsid w:val="17EE47E1"/>
    <w:rsid w:val="186504BB"/>
    <w:rsid w:val="19A445FC"/>
    <w:rsid w:val="1BE8440E"/>
    <w:rsid w:val="1D155CEE"/>
    <w:rsid w:val="1D1638FE"/>
    <w:rsid w:val="1E312DEB"/>
    <w:rsid w:val="1E740ACF"/>
    <w:rsid w:val="1F2993DE"/>
    <w:rsid w:val="1FF35744"/>
    <w:rsid w:val="1FF6BC77"/>
    <w:rsid w:val="2186353C"/>
    <w:rsid w:val="23860B96"/>
    <w:rsid w:val="240371BF"/>
    <w:rsid w:val="244F3473"/>
    <w:rsid w:val="24C97D99"/>
    <w:rsid w:val="25A718F0"/>
    <w:rsid w:val="25BB59F6"/>
    <w:rsid w:val="260F557C"/>
    <w:rsid w:val="26970054"/>
    <w:rsid w:val="281408E2"/>
    <w:rsid w:val="29FD04D3"/>
    <w:rsid w:val="2BFF7BC6"/>
    <w:rsid w:val="2C8A61B5"/>
    <w:rsid w:val="2DB9F0C3"/>
    <w:rsid w:val="2DF04E50"/>
    <w:rsid w:val="2E586DFA"/>
    <w:rsid w:val="2F040D46"/>
    <w:rsid w:val="2F6B035B"/>
    <w:rsid w:val="2F7DC9E8"/>
    <w:rsid w:val="2FAE5751"/>
    <w:rsid w:val="2FB1A395"/>
    <w:rsid w:val="2FD9A7D8"/>
    <w:rsid w:val="2FDBF714"/>
    <w:rsid w:val="30AB6865"/>
    <w:rsid w:val="319F7F4E"/>
    <w:rsid w:val="32BD1EF1"/>
    <w:rsid w:val="3304709D"/>
    <w:rsid w:val="33A773CB"/>
    <w:rsid w:val="349D6851"/>
    <w:rsid w:val="36AA5135"/>
    <w:rsid w:val="36BE0DA7"/>
    <w:rsid w:val="376B6AA6"/>
    <w:rsid w:val="376D39B2"/>
    <w:rsid w:val="37DE835A"/>
    <w:rsid w:val="37E16F03"/>
    <w:rsid w:val="37F53A3B"/>
    <w:rsid w:val="389B6C89"/>
    <w:rsid w:val="38D469F0"/>
    <w:rsid w:val="39627CCD"/>
    <w:rsid w:val="397BAF1F"/>
    <w:rsid w:val="3AB79AF3"/>
    <w:rsid w:val="3AE834C0"/>
    <w:rsid w:val="3B7EF35A"/>
    <w:rsid w:val="3B9FDB6C"/>
    <w:rsid w:val="3BF5BC2F"/>
    <w:rsid w:val="3CC7D9A2"/>
    <w:rsid w:val="3CEBA265"/>
    <w:rsid w:val="3D5FAB8B"/>
    <w:rsid w:val="3D98207C"/>
    <w:rsid w:val="3DBF7698"/>
    <w:rsid w:val="3DEE7CF3"/>
    <w:rsid w:val="3DFB98D6"/>
    <w:rsid w:val="3E740A63"/>
    <w:rsid w:val="3E78745D"/>
    <w:rsid w:val="3E7F4CA3"/>
    <w:rsid w:val="3EE17838"/>
    <w:rsid w:val="3F55381A"/>
    <w:rsid w:val="3F7F7599"/>
    <w:rsid w:val="3FB73E27"/>
    <w:rsid w:val="3FF4CAE0"/>
    <w:rsid w:val="3FF7B227"/>
    <w:rsid w:val="3FFD3555"/>
    <w:rsid w:val="3FFF2EDB"/>
    <w:rsid w:val="3FFFC3BF"/>
    <w:rsid w:val="44E268DA"/>
    <w:rsid w:val="450D13D7"/>
    <w:rsid w:val="45506656"/>
    <w:rsid w:val="47F77AA2"/>
    <w:rsid w:val="486A6C7A"/>
    <w:rsid w:val="4A627F82"/>
    <w:rsid w:val="4B0E749A"/>
    <w:rsid w:val="4B2477C4"/>
    <w:rsid w:val="4B4F25DA"/>
    <w:rsid w:val="4BE068DB"/>
    <w:rsid w:val="4D577224"/>
    <w:rsid w:val="4DBF1CEB"/>
    <w:rsid w:val="4DF0007C"/>
    <w:rsid w:val="4E379F22"/>
    <w:rsid w:val="4EAB630A"/>
    <w:rsid w:val="4ECE2238"/>
    <w:rsid w:val="4F833267"/>
    <w:rsid w:val="4FE9BD67"/>
    <w:rsid w:val="4FFB052F"/>
    <w:rsid w:val="537E6D0A"/>
    <w:rsid w:val="53F74C96"/>
    <w:rsid w:val="55170BA8"/>
    <w:rsid w:val="553218C9"/>
    <w:rsid w:val="567E1AA5"/>
    <w:rsid w:val="569B56DB"/>
    <w:rsid w:val="56E47B74"/>
    <w:rsid w:val="57175D52"/>
    <w:rsid w:val="5755E126"/>
    <w:rsid w:val="577F10FD"/>
    <w:rsid w:val="57BD3DD4"/>
    <w:rsid w:val="5AF92295"/>
    <w:rsid w:val="5B250254"/>
    <w:rsid w:val="5BDD79E6"/>
    <w:rsid w:val="5BF561CA"/>
    <w:rsid w:val="5BFF5DFC"/>
    <w:rsid w:val="5CD71FC4"/>
    <w:rsid w:val="5D1F11B5"/>
    <w:rsid w:val="5D695134"/>
    <w:rsid w:val="5D6F6423"/>
    <w:rsid w:val="5DAE1B18"/>
    <w:rsid w:val="5DDBF804"/>
    <w:rsid w:val="5DE7D9E5"/>
    <w:rsid w:val="5ECEC941"/>
    <w:rsid w:val="5FABEFBC"/>
    <w:rsid w:val="5FBF9FF3"/>
    <w:rsid w:val="5FCD4E2C"/>
    <w:rsid w:val="5FDF65BD"/>
    <w:rsid w:val="5FE73D1A"/>
    <w:rsid w:val="5FEF394A"/>
    <w:rsid w:val="5FF67715"/>
    <w:rsid w:val="5FF7FE3A"/>
    <w:rsid w:val="62BF3928"/>
    <w:rsid w:val="63B3701E"/>
    <w:rsid w:val="647F5392"/>
    <w:rsid w:val="65E66580"/>
    <w:rsid w:val="65F103A3"/>
    <w:rsid w:val="664B1D71"/>
    <w:rsid w:val="664B4E8E"/>
    <w:rsid w:val="66ADD20E"/>
    <w:rsid w:val="67277B67"/>
    <w:rsid w:val="67AA3209"/>
    <w:rsid w:val="67ECF53D"/>
    <w:rsid w:val="698D0931"/>
    <w:rsid w:val="69FFBFA3"/>
    <w:rsid w:val="6A7FE5F3"/>
    <w:rsid w:val="6B053271"/>
    <w:rsid w:val="6B7528A4"/>
    <w:rsid w:val="6BDD78B3"/>
    <w:rsid w:val="6C4A05C8"/>
    <w:rsid w:val="6C8742B8"/>
    <w:rsid w:val="6D4FA70F"/>
    <w:rsid w:val="6DBF5E93"/>
    <w:rsid w:val="6DC9F21A"/>
    <w:rsid w:val="6DFAF9B9"/>
    <w:rsid w:val="6DFF077E"/>
    <w:rsid w:val="6E714EF0"/>
    <w:rsid w:val="6E7E3605"/>
    <w:rsid w:val="6E7FDCC7"/>
    <w:rsid w:val="6ED6A62E"/>
    <w:rsid w:val="6EE00B15"/>
    <w:rsid w:val="6F6FB3EB"/>
    <w:rsid w:val="6F8731EA"/>
    <w:rsid w:val="6FCE6052"/>
    <w:rsid w:val="6FD57C00"/>
    <w:rsid w:val="6FD7F2BB"/>
    <w:rsid w:val="6FEFFFD8"/>
    <w:rsid w:val="6FF5CC65"/>
    <w:rsid w:val="6FFB47EC"/>
    <w:rsid w:val="6FFF034A"/>
    <w:rsid w:val="70484440"/>
    <w:rsid w:val="712A28F1"/>
    <w:rsid w:val="715C0E4B"/>
    <w:rsid w:val="71992E7C"/>
    <w:rsid w:val="72233669"/>
    <w:rsid w:val="72734D90"/>
    <w:rsid w:val="73160E6D"/>
    <w:rsid w:val="7332FE48"/>
    <w:rsid w:val="73AB61DA"/>
    <w:rsid w:val="73AD73D5"/>
    <w:rsid w:val="73B6EB34"/>
    <w:rsid w:val="73DF5D86"/>
    <w:rsid w:val="73FA497D"/>
    <w:rsid w:val="73FD1817"/>
    <w:rsid w:val="744731E5"/>
    <w:rsid w:val="74BBD01D"/>
    <w:rsid w:val="74ED5379"/>
    <w:rsid w:val="75611FA9"/>
    <w:rsid w:val="75BF87FB"/>
    <w:rsid w:val="75DEEEC2"/>
    <w:rsid w:val="75E32345"/>
    <w:rsid w:val="767FA7E9"/>
    <w:rsid w:val="76E3355F"/>
    <w:rsid w:val="76FF5125"/>
    <w:rsid w:val="773FD207"/>
    <w:rsid w:val="776F6FFA"/>
    <w:rsid w:val="778769C8"/>
    <w:rsid w:val="77A75DCA"/>
    <w:rsid w:val="77DC22F5"/>
    <w:rsid w:val="77F2E919"/>
    <w:rsid w:val="783E271A"/>
    <w:rsid w:val="78616DE9"/>
    <w:rsid w:val="78E875D7"/>
    <w:rsid w:val="79086DAD"/>
    <w:rsid w:val="795F3EFF"/>
    <w:rsid w:val="79D7FD79"/>
    <w:rsid w:val="79EE5BA4"/>
    <w:rsid w:val="79F98754"/>
    <w:rsid w:val="7A894339"/>
    <w:rsid w:val="7AB7DECD"/>
    <w:rsid w:val="7AD284E8"/>
    <w:rsid w:val="7AFF7572"/>
    <w:rsid w:val="7B6C7DFB"/>
    <w:rsid w:val="7BBFBED0"/>
    <w:rsid w:val="7BC3E394"/>
    <w:rsid w:val="7BFE712B"/>
    <w:rsid w:val="7BFFB816"/>
    <w:rsid w:val="7C1F3737"/>
    <w:rsid w:val="7CBFC87B"/>
    <w:rsid w:val="7CED5947"/>
    <w:rsid w:val="7CFE0F48"/>
    <w:rsid w:val="7D272ABC"/>
    <w:rsid w:val="7D741EA7"/>
    <w:rsid w:val="7D7EC23E"/>
    <w:rsid w:val="7E3F6F05"/>
    <w:rsid w:val="7E8ADEBF"/>
    <w:rsid w:val="7EDB57D5"/>
    <w:rsid w:val="7EDD2447"/>
    <w:rsid w:val="7EEF11D3"/>
    <w:rsid w:val="7EFE4840"/>
    <w:rsid w:val="7F0971A6"/>
    <w:rsid w:val="7F1D62E7"/>
    <w:rsid w:val="7F3F679B"/>
    <w:rsid w:val="7F4FC4EF"/>
    <w:rsid w:val="7F5E4D54"/>
    <w:rsid w:val="7F6E0135"/>
    <w:rsid w:val="7F79F205"/>
    <w:rsid w:val="7F7A8645"/>
    <w:rsid w:val="7FA30C79"/>
    <w:rsid w:val="7FA5FB2E"/>
    <w:rsid w:val="7FA79C44"/>
    <w:rsid w:val="7FAF8ABF"/>
    <w:rsid w:val="7FB7269E"/>
    <w:rsid w:val="7FBC0614"/>
    <w:rsid w:val="7FBC8692"/>
    <w:rsid w:val="7FC96657"/>
    <w:rsid w:val="7FDA9588"/>
    <w:rsid w:val="7FDF220F"/>
    <w:rsid w:val="7FEDC5F7"/>
    <w:rsid w:val="7FEDD9DE"/>
    <w:rsid w:val="7FF5890D"/>
    <w:rsid w:val="7FF93490"/>
    <w:rsid w:val="7FFC7CB0"/>
    <w:rsid w:val="7FFDF7CA"/>
    <w:rsid w:val="99FF2014"/>
    <w:rsid w:val="9B3CAC0B"/>
    <w:rsid w:val="A6DD0D7F"/>
    <w:rsid w:val="ABBFBC3C"/>
    <w:rsid w:val="ACFF4FBB"/>
    <w:rsid w:val="ADC6F725"/>
    <w:rsid w:val="B377CF0D"/>
    <w:rsid w:val="B757AECF"/>
    <w:rsid w:val="B7CF06AB"/>
    <w:rsid w:val="B7CFA926"/>
    <w:rsid w:val="B7E993A1"/>
    <w:rsid w:val="B7F8786B"/>
    <w:rsid w:val="BABB6AA1"/>
    <w:rsid w:val="BAFD0891"/>
    <w:rsid w:val="BB2F4199"/>
    <w:rsid w:val="BB2F9258"/>
    <w:rsid w:val="BCFF495C"/>
    <w:rsid w:val="BCFFB442"/>
    <w:rsid w:val="BD079C78"/>
    <w:rsid w:val="BD733540"/>
    <w:rsid w:val="BDFC2100"/>
    <w:rsid w:val="BF3735D5"/>
    <w:rsid w:val="BF3931F0"/>
    <w:rsid w:val="BF3FC9C5"/>
    <w:rsid w:val="BF7F09AC"/>
    <w:rsid w:val="BF9ED6F9"/>
    <w:rsid w:val="BFD475C3"/>
    <w:rsid w:val="BFDE5EA6"/>
    <w:rsid w:val="BFFA97C8"/>
    <w:rsid w:val="BFFFB5B5"/>
    <w:rsid w:val="C2F619C0"/>
    <w:rsid w:val="C2FC431D"/>
    <w:rsid w:val="C3DC86F1"/>
    <w:rsid w:val="C96FE212"/>
    <w:rsid w:val="CDFF15C3"/>
    <w:rsid w:val="CF6FC6F3"/>
    <w:rsid w:val="CF75F920"/>
    <w:rsid w:val="CFD3D3D7"/>
    <w:rsid w:val="CFDF1009"/>
    <w:rsid w:val="D771E970"/>
    <w:rsid w:val="D77EDA03"/>
    <w:rsid w:val="D7D7B16A"/>
    <w:rsid w:val="D8D6DB89"/>
    <w:rsid w:val="DB6F4CAB"/>
    <w:rsid w:val="DB777682"/>
    <w:rsid w:val="DD1FB521"/>
    <w:rsid w:val="DEFBFEAE"/>
    <w:rsid w:val="DEFF8CA4"/>
    <w:rsid w:val="DF1F3B80"/>
    <w:rsid w:val="DF6A14BB"/>
    <w:rsid w:val="DF6F9789"/>
    <w:rsid w:val="DF7F0002"/>
    <w:rsid w:val="DFAFCF04"/>
    <w:rsid w:val="DFB2C07E"/>
    <w:rsid w:val="DFC75643"/>
    <w:rsid w:val="DFE9BE81"/>
    <w:rsid w:val="DFFE52B7"/>
    <w:rsid w:val="DFFFA9E8"/>
    <w:rsid w:val="E5AA2370"/>
    <w:rsid w:val="E5F4E9DC"/>
    <w:rsid w:val="E6DE302E"/>
    <w:rsid w:val="E70FE695"/>
    <w:rsid w:val="E9FFEF1F"/>
    <w:rsid w:val="EAFDA15A"/>
    <w:rsid w:val="EB2E368B"/>
    <w:rsid w:val="ECFED1BC"/>
    <w:rsid w:val="ED1D69BB"/>
    <w:rsid w:val="ED7FD312"/>
    <w:rsid w:val="EF2E1AC6"/>
    <w:rsid w:val="EF53993F"/>
    <w:rsid w:val="EF6FD633"/>
    <w:rsid w:val="EFBFB2F4"/>
    <w:rsid w:val="EFBFFA21"/>
    <w:rsid w:val="F2BEBCB8"/>
    <w:rsid w:val="F36FB518"/>
    <w:rsid w:val="F3DE1A04"/>
    <w:rsid w:val="F3F722E5"/>
    <w:rsid w:val="F3F7EA71"/>
    <w:rsid w:val="F4FBCD07"/>
    <w:rsid w:val="F7DF5C78"/>
    <w:rsid w:val="FA370FBD"/>
    <w:rsid w:val="FA5F1E70"/>
    <w:rsid w:val="FA5FDB97"/>
    <w:rsid w:val="FA7CAF10"/>
    <w:rsid w:val="FB2093F8"/>
    <w:rsid w:val="FB7F486A"/>
    <w:rsid w:val="FBDE454B"/>
    <w:rsid w:val="FBFF5B2E"/>
    <w:rsid w:val="FD7FFE2B"/>
    <w:rsid w:val="FDDEB4F2"/>
    <w:rsid w:val="FDEE196B"/>
    <w:rsid w:val="FDF65C8B"/>
    <w:rsid w:val="FDFE6575"/>
    <w:rsid w:val="FEBF2DD1"/>
    <w:rsid w:val="FED9C219"/>
    <w:rsid w:val="FEDFCEE2"/>
    <w:rsid w:val="FEDFDDC2"/>
    <w:rsid w:val="FEED32F6"/>
    <w:rsid w:val="FEF58AFE"/>
    <w:rsid w:val="FEF781DD"/>
    <w:rsid w:val="FEFFC064"/>
    <w:rsid w:val="FF3F7E3F"/>
    <w:rsid w:val="FF7BDDF2"/>
    <w:rsid w:val="FFBA12D7"/>
    <w:rsid w:val="FFCBD314"/>
    <w:rsid w:val="FFD3A9EB"/>
    <w:rsid w:val="FFDD2FDF"/>
    <w:rsid w:val="FFDFF91C"/>
    <w:rsid w:val="FFDFFAEE"/>
    <w:rsid w:val="FFEF6777"/>
    <w:rsid w:val="FFF917C9"/>
    <w:rsid w:val="FFF9B57B"/>
    <w:rsid w:val="FFFB31E1"/>
    <w:rsid w:val="FFFD61D9"/>
    <w:rsid w:val="FFFD8F59"/>
    <w:rsid w:val="FFFF2BB1"/>
    <w:rsid w:val="FFFFA49F"/>
    <w:rsid w:val="FFFFB04D"/>
    <w:rsid w:val="FFFFFEB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qFormat="1" w:unhideWhenUsed="0" w:uiPriority="0" w:semiHidden="0"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23"/>
    <w:unhideWhenUsed/>
    <w:qFormat/>
    <w:uiPriority w:val="9"/>
    <w:pPr>
      <w:keepNext/>
      <w:keepLines/>
      <w:spacing w:before="260" w:after="260" w:line="416" w:lineRule="auto"/>
      <w:outlineLvl w:val="2"/>
    </w:pPr>
    <w:rPr>
      <w:b/>
      <w:bCs/>
      <w:sz w:val="32"/>
      <w:szCs w:val="32"/>
    </w:rPr>
  </w:style>
  <w:style w:type="character" w:default="1" w:styleId="18">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32"/>
    <w:qFormat/>
    <w:uiPriority w:val="99"/>
    <w:pPr>
      <w:spacing w:beforeLines="30"/>
    </w:pPr>
    <w:rPr>
      <w:rFonts w:ascii="仿宋_GB2312" w:eastAsia="仿宋_GB2312"/>
      <w:kern w:val="0"/>
      <w:sz w:val="30"/>
    </w:rPr>
  </w:style>
  <w:style w:type="paragraph" w:styleId="6">
    <w:name w:val="index 8"/>
    <w:basedOn w:val="1"/>
    <w:next w:val="1"/>
    <w:qFormat/>
    <w:uiPriority w:val="0"/>
    <w:pPr>
      <w:ind w:left="2940"/>
    </w:pPr>
  </w:style>
  <w:style w:type="paragraph" w:styleId="7">
    <w:name w:val="Body Text Indent"/>
    <w:basedOn w:val="1"/>
    <w:next w:val="8"/>
    <w:qFormat/>
    <w:uiPriority w:val="0"/>
    <w:pPr>
      <w:spacing w:after="120"/>
      <w:ind w:leftChars="200"/>
    </w:pPr>
    <w:rPr>
      <w:rFonts w:ascii="仿宋_GB2312"/>
      <w:szCs w:val="32"/>
    </w:rPr>
  </w:style>
  <w:style w:type="paragraph" w:styleId="8">
    <w:name w:val="Body Text First Indent 2"/>
    <w:basedOn w:val="7"/>
    <w:unhideWhenUsed/>
    <w:qFormat/>
    <w:uiPriority w:val="99"/>
    <w:pPr>
      <w:ind w:firstLine="420" w:firstLineChars="200"/>
    </w:pPr>
  </w:style>
  <w:style w:type="paragraph" w:styleId="9">
    <w:name w:val="toc 3"/>
    <w:basedOn w:val="1"/>
    <w:next w:val="1"/>
    <w:unhideWhenUsed/>
    <w:qFormat/>
    <w:uiPriority w:val="39"/>
    <w:pPr>
      <w:tabs>
        <w:tab w:val="right" w:leader="dot" w:pos="8296"/>
      </w:tabs>
      <w:ind w:left="840" w:leftChars="400"/>
    </w:pPr>
  </w:style>
  <w:style w:type="paragraph" w:styleId="10">
    <w:name w:val="Balloon Text"/>
    <w:basedOn w:val="1"/>
    <w:link w:val="36"/>
    <w:semiHidden/>
    <w:unhideWhenUsed/>
    <w:qFormat/>
    <w:uiPriority w:val="99"/>
    <w:rPr>
      <w:sz w:val="18"/>
      <w:szCs w:val="18"/>
    </w:rPr>
  </w:style>
  <w:style w:type="paragraph" w:styleId="11">
    <w:name w:val="footer"/>
    <w:basedOn w:val="1"/>
    <w:link w:val="30"/>
    <w:qFormat/>
    <w:uiPriority w:val="99"/>
    <w:pPr>
      <w:tabs>
        <w:tab w:val="center" w:pos="4153"/>
        <w:tab w:val="right" w:pos="8306"/>
      </w:tabs>
      <w:snapToGrid w:val="0"/>
      <w:jc w:val="left"/>
    </w:pPr>
    <w:rPr>
      <w:rFonts w:ascii="Calibri" w:hAnsi="Calibri"/>
      <w:kern w:val="0"/>
      <w:sz w:val="18"/>
      <w:szCs w:val="18"/>
    </w:rPr>
  </w:style>
  <w:style w:type="paragraph" w:styleId="12">
    <w:name w:val="header"/>
    <w:basedOn w:val="1"/>
    <w:link w:val="28"/>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3">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4">
    <w:name w:val="footnote text"/>
    <w:basedOn w:val="1"/>
    <w:next w:val="8"/>
    <w:semiHidden/>
    <w:qFormat/>
    <w:uiPriority w:val="0"/>
    <w:pPr>
      <w:snapToGrid w:val="0"/>
      <w:jc w:val="left"/>
    </w:pPr>
    <w:rPr>
      <w:sz w:val="18"/>
      <w:szCs w:val="18"/>
    </w:rPr>
  </w:style>
  <w:style w:type="paragraph" w:styleId="15">
    <w:name w:val="toc 2"/>
    <w:basedOn w:val="1"/>
    <w:next w:val="1"/>
    <w:unhideWhenUsed/>
    <w:qFormat/>
    <w:uiPriority w:val="39"/>
    <w:pPr>
      <w:tabs>
        <w:tab w:val="right" w:leader="dot" w:pos="8296"/>
      </w:tabs>
      <w:ind w:left="420" w:leftChars="200"/>
    </w:pPr>
  </w:style>
  <w:style w:type="paragraph" w:styleId="16">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19">
    <w:name w:val="Strong"/>
    <w:basedOn w:val="18"/>
    <w:qFormat/>
    <w:uiPriority w:val="99"/>
    <w:rPr>
      <w:b/>
    </w:rPr>
  </w:style>
  <w:style w:type="character" w:styleId="20">
    <w:name w:val="Hyperlink"/>
    <w:basedOn w:val="18"/>
    <w:unhideWhenUsed/>
    <w:qFormat/>
    <w:uiPriority w:val="99"/>
    <w:rPr>
      <w:color w:val="0000FF" w:themeColor="hyperlink"/>
      <w:u w:val="single"/>
      <w14:textFill>
        <w14:solidFill>
          <w14:schemeClr w14:val="hlink"/>
        </w14:solidFill>
      </w14:textFill>
    </w:rPr>
  </w:style>
  <w:style w:type="character" w:customStyle="1" w:styleId="21">
    <w:name w:val="标题 1 Char"/>
    <w:basedOn w:val="18"/>
    <w:link w:val="3"/>
    <w:qFormat/>
    <w:uiPriority w:val="9"/>
    <w:rPr>
      <w:rFonts w:ascii="Times New Roman" w:hAnsi="Times New Roman"/>
      <w:b/>
      <w:bCs/>
      <w:kern w:val="44"/>
      <w:sz w:val="44"/>
      <w:szCs w:val="44"/>
    </w:rPr>
  </w:style>
  <w:style w:type="character" w:customStyle="1" w:styleId="22">
    <w:name w:val="标题 2 Char"/>
    <w:basedOn w:val="18"/>
    <w:link w:val="4"/>
    <w:qFormat/>
    <w:uiPriority w:val="9"/>
    <w:rPr>
      <w:rFonts w:asciiTheme="majorHAnsi" w:hAnsiTheme="majorHAnsi" w:eastAsiaTheme="majorEastAsia" w:cstheme="majorBidi"/>
      <w:b/>
      <w:bCs/>
      <w:kern w:val="2"/>
      <w:sz w:val="32"/>
      <w:szCs w:val="32"/>
    </w:rPr>
  </w:style>
  <w:style w:type="character" w:customStyle="1" w:styleId="23">
    <w:name w:val="标题 3 Char"/>
    <w:basedOn w:val="18"/>
    <w:link w:val="5"/>
    <w:qFormat/>
    <w:uiPriority w:val="9"/>
    <w:rPr>
      <w:rFonts w:ascii="Times New Roman" w:hAnsi="Times New Roman"/>
      <w:b/>
      <w:bCs/>
      <w:kern w:val="2"/>
      <w:sz w:val="32"/>
      <w:szCs w:val="32"/>
    </w:rPr>
  </w:style>
  <w:style w:type="paragraph" w:customStyle="1" w:styleId="24">
    <w:name w:val="正文-公1"/>
    <w:basedOn w:val="25"/>
    <w:next w:val="1"/>
    <w:qFormat/>
    <w:uiPriority w:val="0"/>
    <w:pPr>
      <w:ind w:firstLine="200" w:firstLineChars="200"/>
    </w:pPr>
  </w:style>
  <w:style w:type="paragraph" w:customStyle="1" w:styleId="25">
    <w:name w:val="正文 New New New New New New New New New New New New New New New New New New New New New New New New New New New New New New New New New New New New New New New New New New New New New New New New New New New New New New New New New New New New New New Ne"/>
    <w:next w:val="24"/>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6">
    <w:name w:val="标题 5（有编号）（绿盟科技）"/>
    <w:next w:val="1"/>
    <w:qFormat/>
    <w:uiPriority w:val="99"/>
    <w:pPr>
      <w:keepNext/>
      <w:keepLines/>
      <w:widowControl w:val="0"/>
      <w:spacing w:before="280" w:after="156" w:line="377" w:lineRule="auto"/>
      <w:jc w:val="left"/>
      <w:outlineLvl w:val="4"/>
    </w:pPr>
    <w:rPr>
      <w:rFonts w:ascii="Arial" w:hAnsi="Arial" w:eastAsia="黑体" w:cs="Times New Roman"/>
      <w:b/>
      <w:kern w:val="2"/>
      <w:sz w:val="24"/>
      <w:szCs w:val="28"/>
      <w:lang w:val="en-US" w:eastAsia="zh-CN" w:bidi="ar-SA"/>
    </w:rPr>
  </w:style>
  <w:style w:type="character" w:customStyle="1" w:styleId="27">
    <w:name w:val="Header Char"/>
    <w:basedOn w:val="18"/>
    <w:semiHidden/>
    <w:qFormat/>
    <w:uiPriority w:val="99"/>
    <w:rPr>
      <w:rFonts w:ascii="Times New Roman" w:hAnsi="Times New Roman"/>
      <w:sz w:val="18"/>
      <w:szCs w:val="18"/>
    </w:rPr>
  </w:style>
  <w:style w:type="character" w:customStyle="1" w:styleId="28">
    <w:name w:val="页眉 Char"/>
    <w:link w:val="12"/>
    <w:semiHidden/>
    <w:qFormat/>
    <w:locked/>
    <w:uiPriority w:val="99"/>
    <w:rPr>
      <w:sz w:val="18"/>
    </w:rPr>
  </w:style>
  <w:style w:type="character" w:customStyle="1" w:styleId="29">
    <w:name w:val="Footer Char"/>
    <w:basedOn w:val="18"/>
    <w:semiHidden/>
    <w:qFormat/>
    <w:uiPriority w:val="99"/>
    <w:rPr>
      <w:rFonts w:ascii="Times New Roman" w:hAnsi="Times New Roman"/>
      <w:sz w:val="18"/>
      <w:szCs w:val="18"/>
    </w:rPr>
  </w:style>
  <w:style w:type="character" w:customStyle="1" w:styleId="30">
    <w:name w:val="页脚 Char"/>
    <w:link w:val="11"/>
    <w:qFormat/>
    <w:locked/>
    <w:uiPriority w:val="99"/>
    <w:rPr>
      <w:sz w:val="18"/>
    </w:rPr>
  </w:style>
  <w:style w:type="character" w:customStyle="1" w:styleId="31">
    <w:name w:val="Body Text Char"/>
    <w:basedOn w:val="18"/>
    <w:semiHidden/>
    <w:qFormat/>
    <w:uiPriority w:val="99"/>
    <w:rPr>
      <w:rFonts w:ascii="Times New Roman" w:hAnsi="Times New Roman"/>
      <w:szCs w:val="24"/>
    </w:rPr>
  </w:style>
  <w:style w:type="character" w:customStyle="1" w:styleId="32">
    <w:name w:val="正文文本 Char"/>
    <w:link w:val="2"/>
    <w:qFormat/>
    <w:locked/>
    <w:uiPriority w:val="99"/>
    <w:rPr>
      <w:rFonts w:ascii="仿宋_GB2312" w:hAnsi="Times New Roman" w:eastAsia="仿宋_GB2312"/>
      <w:sz w:val="24"/>
    </w:rPr>
  </w:style>
  <w:style w:type="paragraph" w:customStyle="1" w:styleId="33">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34">
    <w:name w:val="List Paragraph"/>
    <w:basedOn w:val="1"/>
    <w:qFormat/>
    <w:uiPriority w:val="34"/>
    <w:pPr>
      <w:ind w:firstLine="420" w:firstLineChars="200"/>
    </w:pPr>
  </w:style>
  <w:style w:type="paragraph" w:customStyle="1" w:styleId="35">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6">
    <w:name w:val="批注框文本 Char"/>
    <w:basedOn w:val="18"/>
    <w:link w:val="10"/>
    <w:semiHidden/>
    <w:qFormat/>
    <w:uiPriority w:val="99"/>
    <w:rPr>
      <w:rFonts w:ascii="Times New Roman" w:hAnsi="Times New Roman"/>
      <w:kern w:val="2"/>
      <w:sz w:val="18"/>
      <w:szCs w:val="18"/>
    </w:rPr>
  </w:style>
  <w:style w:type="paragraph" w:customStyle="1" w:styleId="37">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8">
    <w:name w:val="四号正文"/>
    <w:basedOn w:val="1"/>
    <w:qFormat/>
    <w:uiPriority w:val="0"/>
    <w:pPr>
      <w:spacing w:line="360" w:lineRule="auto"/>
    </w:pPr>
    <w:rPr>
      <w:rFonts w:ascii="??" w:hAnsi="??" w:eastAsia="宋体"/>
      <w:color w:val="000000"/>
      <w:kern w:val="0"/>
      <w:sz w:val="28"/>
      <w:szCs w:val="21"/>
      <w:lang w:val="zh-CN" w:eastAsia="zh-CN"/>
    </w:rPr>
  </w:style>
  <w:style w:type="character" w:customStyle="1" w:styleId="39">
    <w:name w:val="font141"/>
    <w:basedOn w:val="18"/>
    <w:qFormat/>
    <w:uiPriority w:val="0"/>
    <w:rPr>
      <w:rFonts w:ascii="黑体" w:hAnsi="宋体" w:eastAsia="黑体" w:cs="黑体"/>
      <w:color w:val="000000"/>
      <w:sz w:val="32"/>
      <w:szCs w:val="32"/>
      <w:u w:val="none"/>
    </w:rPr>
  </w:style>
  <w:style w:type="paragraph" w:customStyle="1" w:styleId="40">
    <w:name w:val="WPSOffice手动目录 1"/>
    <w:qFormat/>
    <w:uiPriority w:val="0"/>
    <w:pPr>
      <w:ind w:leftChars="0"/>
    </w:pPr>
    <w:rPr>
      <w:rFonts w:ascii="Times New Roman" w:hAnsi="Times New Roman" w:eastAsia="宋体" w:cs="Times New Roman"/>
      <w:sz w:val="20"/>
      <w:szCs w:val="20"/>
    </w:rPr>
  </w:style>
  <w:style w:type="paragraph" w:customStyle="1" w:styleId="41">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hart" Target="charts/chart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chart" Target="charts/chart7.xml"/><Relationship Id="rId14" Type="http://schemas.openxmlformats.org/officeDocument/2006/relationships/chart" Target="charts/chart6.xml"/><Relationship Id="rId13" Type="http://schemas.openxmlformats.org/officeDocument/2006/relationships/chart" Target="charts/chart5.xml"/><Relationship Id="rId12" Type="http://schemas.openxmlformats.org/officeDocument/2006/relationships/chart" Target="charts/chart4.xml"/><Relationship Id="rId11" Type="http://schemas.openxmlformats.org/officeDocument/2006/relationships/chart" Target="charts/chart3.xml"/><Relationship Id="rId10" Type="http://schemas.openxmlformats.org/officeDocument/2006/relationships/chart" Target="charts/chart2.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2.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3.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4.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5.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6.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7.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manualLayout>
          <c:layoutTarget val="inner"/>
          <c:xMode val="edge"/>
          <c:yMode val="edge"/>
          <c:x val="0.105515695577974"/>
          <c:y val="0.0296248508895818"/>
          <c:w val="0.861220130823655"/>
          <c:h val="0.891456606327186"/>
        </c:manualLayout>
      </c:layout>
      <c:barChart>
        <c:barDir val="col"/>
        <c:grouping val="stacked"/>
        <c:varyColors val="false"/>
        <c:ser>
          <c:idx val="0"/>
          <c:order val="0"/>
          <c:tx>
            <c:strRef>
              <c:f>Sheet1!$B$1</c:f>
              <c:strCache>
                <c:ptCount val="1"/>
                <c:pt idx="0">
                  <c:v>系列 1</c:v>
                </c:pt>
              </c:strCache>
            </c:strRef>
          </c:tx>
          <c:spPr>
            <a:solidFill>
              <a:schemeClr val="accent1"/>
            </a:solidFill>
            <a:ln>
              <a:noFill/>
            </a:ln>
            <a:effectLst/>
          </c:spPr>
          <c:invertIfNegative val="false"/>
          <c:dLbls>
            <c:dLbl>
              <c:idx val="0"/>
              <c:layout>
                <c:manualLayout>
                  <c:x val="-0.00194779898714453"/>
                  <c:y val="-0.378387591614113"/>
                </c:manualLayout>
              </c:layout>
              <c:dLblPos val="ctr"/>
              <c:showLegendKey val="false"/>
              <c:showVal val="true"/>
              <c:showCatName val="false"/>
              <c:showSerName val="false"/>
              <c:showPercent val="false"/>
              <c:showBubbleSize val="false"/>
              <c:extLst>
                <c:ext xmlns:c15="http://schemas.microsoft.com/office/drawing/2012/chart" uri="{CE6537A1-D6FC-4f65-9D91-7224C49458BB}">
                  <c15:layout/>
                </c:ext>
              </c:extLst>
            </c:dLbl>
            <c:dLbl>
              <c:idx val="1"/>
              <c:layout>
                <c:manualLayout>
                  <c:x val="-0.00194779898714453"/>
                  <c:y val="-0.442304414521902"/>
                </c:manualLayout>
              </c:layout>
              <c:dLblPos val="ctr"/>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false"/>
                <c15:leaderLines>
                  <c:spPr>
                    <a:ln w="9525" cap="flat" cmpd="sng" algn="ctr">
                      <a:solidFill>
                        <a:schemeClr val="tx1">
                          <a:lumMod val="35000"/>
                          <a:lumOff val="65000"/>
                        </a:schemeClr>
                      </a:solidFill>
                      <a:round/>
                    </a:ln>
                    <a:effectLst/>
                  </c:spPr>
                </c15:leaderLines>
              </c:ext>
            </c:extLst>
          </c:dLbls>
          <c:cat>
            <c:strRef>
              <c:f>Sheet1!$A$2:$A$3</c:f>
              <c:strCache>
                <c:ptCount val="2"/>
                <c:pt idx="0">
                  <c:v>  2023年度收、支决算总计</c:v>
                </c:pt>
                <c:pt idx="1">
                  <c:v>  2024年度收、支决算总计</c:v>
                </c:pt>
              </c:strCache>
            </c:strRef>
          </c:cat>
          <c:val>
            <c:numRef>
              <c:f>Sheet1!$B$2:$B$3</c:f>
              <c:numCache>
                <c:formatCode>General</c:formatCode>
                <c:ptCount val="2"/>
                <c:pt idx="0">
                  <c:v>1484.77</c:v>
                </c:pt>
                <c:pt idx="1">
                  <c:v>1849.78</c:v>
                </c:pt>
              </c:numCache>
            </c:numRef>
          </c:val>
        </c:ser>
        <c:dLbls>
          <c:showLegendKey val="false"/>
          <c:showVal val="true"/>
          <c:showCatName val="false"/>
          <c:showSerName val="false"/>
          <c:showPercent val="false"/>
          <c:showBubbleSize val="false"/>
        </c:dLbls>
        <c:gapWidth val="150"/>
        <c:overlap val="100"/>
        <c:axId val="946362237"/>
        <c:axId val="409956856"/>
      </c:barChart>
      <c:catAx>
        <c:axId val="946362237"/>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1" i="0" u="none" strike="noStrike" kern="1200" baseline="0">
                <a:solidFill>
                  <a:schemeClr val="tx1">
                    <a:lumMod val="65000"/>
                    <a:lumOff val="35000"/>
                  </a:schemeClr>
                </a:solidFill>
                <a:latin typeface="+mn-lt"/>
                <a:ea typeface="+mn-ea"/>
                <a:cs typeface="+mn-cs"/>
              </a:defRPr>
            </a:pPr>
          </a:p>
        </c:txPr>
        <c:crossAx val="409956856"/>
        <c:crosses val="autoZero"/>
        <c:auto val="true"/>
        <c:lblAlgn val="ctr"/>
        <c:lblOffset val="100"/>
        <c:noMultiLvlLbl val="false"/>
      </c:catAx>
      <c:valAx>
        <c:axId val="409956856"/>
        <c:scaling>
          <c:orientation val="minMax"/>
        </c:scaling>
        <c:delete val="false"/>
        <c:axPos val="l"/>
        <c:majorGridlines>
          <c:spPr>
            <a:ln w="9525" cap="flat" cmpd="sng" algn="ctr">
              <a:solidFill>
                <a:schemeClr val="tx1">
                  <a:lumMod val="15000"/>
                  <a:lumOff val="850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946362237"/>
        <c:crosses val="autoZero"/>
        <c:crossBetween val="between"/>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spPr>
        <a:noFill/>
        <a:ln>
          <a:noFill/>
        </a:ln>
        <a:effectLst/>
      </c:spPr>
      <c:txPr>
        <a:bodyPr rot="0" spcFirstLastPara="0" vertOverflow="ellipsis" vert="horz" wrap="square" anchor="ctr" anchorCtr="true"/>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false"/>
    <c:plotArea>
      <c:layout/>
      <c:pieChart>
        <c:varyColors val="true"/>
        <c:ser>
          <c:idx val="0"/>
          <c:order val="0"/>
          <c:tx>
            <c:strRef>
              <c:f>Sheet1!$B$1</c:f>
              <c:strCache>
                <c:ptCount val="1"/>
                <c:pt idx="0">
                  <c:v>2024年度收入</c:v>
                </c:pt>
              </c:strCache>
            </c:strRef>
          </c:tx>
          <c:spPr/>
          <c:explosion val="0"/>
          <c:dPt>
            <c:idx val="0"/>
            <c:bubble3D val="false"/>
            <c:spPr>
              <a:solidFill>
                <a:schemeClr val="accent1"/>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一般公共预算财政拨款收入</c:v>
                </c:pt>
              </c:strCache>
            </c:strRef>
          </c:cat>
          <c:val>
            <c:numRef>
              <c:f>Sheet1!$B$2</c:f>
              <c:numCache>
                <c:formatCode>General</c:formatCode>
                <c:ptCount val="1"/>
                <c:pt idx="0">
                  <c:v>1848.54</c:v>
                </c:pt>
              </c:numCache>
            </c:numRef>
          </c:val>
        </c:ser>
        <c:ser>
          <c:idx val="1"/>
          <c:order val="1"/>
          <c:tx>
            <c:strRef>
              <c:f>Sheet1!$C$1</c:f>
              <c:strCache>
                <c:ptCount val="1"/>
                <c:pt idx="0">
                  <c:v/>
                </c:pt>
              </c:strCache>
            </c:strRef>
          </c:tx>
          <c:spPr/>
          <c:explosion val="0"/>
          <c:dPt>
            <c:idx val="0"/>
            <c:bubble3D val="false"/>
            <c:spPr>
              <a:solidFill>
                <a:schemeClr val="accent1"/>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一般公共预算财政拨款收入</c:v>
                </c:pt>
              </c:strCache>
            </c:strRef>
          </c:cat>
          <c:val>
            <c:numRef>
              <c:f>Sheet1!$C$2</c:f>
              <c:numCache>
                <c:formatCode>General</c:formatCode>
                <c:ptCount val="1"/>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b"/>
      <c:legendEntry>
        <c:idx val="0"/>
        <c:txPr>
          <a:bodyPr rot="0" spcFirstLastPara="0" vertOverflow="ellipsis" vert="horz" wrap="square" anchor="ctr" anchorCtr="true"/>
          <a:lstStyle/>
          <a:p>
            <a:pPr>
              <a:defRPr lang="zh-CN" sz="900" b="1" i="0" u="none" strike="noStrike" kern="1200" baseline="0">
                <a:solidFill>
                  <a:schemeClr val="tx1">
                    <a:lumMod val="65000"/>
                    <a:lumOff val="35000"/>
                  </a:schemeClr>
                </a:solidFill>
                <a:latin typeface="+mn-lt"/>
                <a:ea typeface="+mn-ea"/>
                <a:cs typeface="+mn-cs"/>
              </a:defRPr>
            </a:pPr>
          </a:p>
        </c:txPr>
      </c:legendEntry>
      <c:layout>
        <c:manualLayout>
          <c:xMode val="edge"/>
          <c:yMode val="edge"/>
          <c:x val="0.301543332014246"/>
          <c:y val="0.918157181571816"/>
          <c:w val="0.431341511673922"/>
          <c:h val="0.0764227642276423"/>
        </c:manualLayout>
      </c:layout>
      <c:overlay val="false"/>
      <c:spPr>
        <a:noFill/>
        <a:ln>
          <a:noFill/>
        </a:ln>
        <a:effectLst/>
      </c:spPr>
      <c:txPr>
        <a:bodyPr rot="0" spcFirstLastPara="0" vertOverflow="ellipsis" vert="horz" wrap="square" anchor="ctr" anchorCtr="true"/>
        <a:lstStyle/>
        <a:p>
          <a:pPr>
            <a:defRPr lang="zh-CN" sz="900" b="1"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spPr>
        <a:noFill/>
        <a:ln>
          <a:noFill/>
        </a:ln>
        <a:effectLst/>
      </c:spPr>
      <c:txPr>
        <a:bodyPr rot="0" spcFirstLastPara="0" vertOverflow="ellipsis" vert="horz" wrap="square" anchor="ctr" anchorCtr="true"/>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false"/>
    <c:plotArea>
      <c:layout/>
      <c:pieChart>
        <c:varyColors val="true"/>
        <c:ser>
          <c:idx val="0"/>
          <c:order val="0"/>
          <c:tx>
            <c:strRef>
              <c:f>Sheet1!$B$1</c:f>
              <c:strCache>
                <c:ptCount val="1"/>
                <c:pt idx="0">
                  <c:v>2024年度支出</c:v>
                </c:pt>
              </c:strCache>
            </c:strRef>
          </c:tx>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408.89</c:v>
                </c:pt>
                <c:pt idx="1">
                  <c:v>1440.64</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b"/>
      <c:legendEntry>
        <c:idx val="0"/>
        <c:txPr>
          <a:bodyPr rot="0" spcFirstLastPara="0" vertOverflow="ellipsis" vert="horz" wrap="square" anchor="ctr" anchorCtr="true"/>
          <a:lstStyle/>
          <a:p>
            <a:pPr>
              <a:defRPr lang="zh-CN" sz="900" b="1" i="0" u="none" strike="noStrike" kern="1200" baseline="0">
                <a:solidFill>
                  <a:schemeClr val="tx1">
                    <a:lumMod val="65000"/>
                    <a:lumOff val="35000"/>
                  </a:schemeClr>
                </a:solidFill>
                <a:latin typeface="+mn-lt"/>
                <a:ea typeface="+mn-ea"/>
                <a:cs typeface="+mn-cs"/>
              </a:defRPr>
            </a:pPr>
          </a:p>
        </c:txPr>
      </c:legendEntry>
      <c:legendEntry>
        <c:idx val="1"/>
        <c:txPr>
          <a:bodyPr rot="0" spcFirstLastPara="0" vertOverflow="ellipsis" vert="horz" wrap="square" anchor="ctr" anchorCtr="true"/>
          <a:lstStyle/>
          <a:p>
            <a:pPr>
              <a:defRPr lang="zh-CN" sz="900" b="1" i="0" u="none" strike="noStrike" kern="1200" baseline="0">
                <a:solidFill>
                  <a:schemeClr val="tx1">
                    <a:lumMod val="65000"/>
                    <a:lumOff val="35000"/>
                  </a:schemeClr>
                </a:solidFill>
                <a:latin typeface="+mn-lt"/>
                <a:ea typeface="+mn-ea"/>
                <a:cs typeface="+mn-cs"/>
              </a:defRPr>
            </a:pPr>
          </a:p>
        </c:txPr>
      </c:legendEntry>
      <c:layout>
        <c:manualLayout>
          <c:xMode val="edge"/>
          <c:yMode val="edge"/>
          <c:x val="0.31575"/>
          <c:y val="0.9245"/>
          <c:w val="0.371375"/>
          <c:h val="0.0555"/>
        </c:manualLayout>
      </c:layout>
      <c:overlay val="false"/>
      <c:spPr>
        <a:noFill/>
        <a:ln>
          <a:noFill/>
        </a:ln>
        <a:effectLst/>
      </c:spPr>
      <c:txPr>
        <a:bodyPr rot="0" spcFirstLastPara="0" vertOverflow="ellipsis" vert="horz" wrap="square" anchor="ctr" anchorCtr="true"/>
        <a:lstStyle/>
        <a:p>
          <a:pPr>
            <a:defRPr lang="zh-CN" sz="900" b="1"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manualLayout>
          <c:layoutTarget val="inner"/>
          <c:xMode val="edge"/>
          <c:yMode val="edge"/>
          <c:x val="0.08195"/>
          <c:y val="0.0483333333333333"/>
          <c:w val="0.8818"/>
          <c:h val="0.883066666666667"/>
        </c:manualLayout>
      </c:layout>
      <c:barChart>
        <c:barDir val="col"/>
        <c:grouping val="stacked"/>
        <c:varyColors val="false"/>
        <c:ser>
          <c:idx val="0"/>
          <c:order val="0"/>
          <c:tx>
            <c:strRef>
              <c:f>Sheet1!$B$1</c:f>
              <c:strCache>
                <c:ptCount val="1"/>
                <c:pt idx="0">
                  <c:v/>
                </c:pt>
              </c:strCache>
            </c:strRef>
          </c:tx>
          <c:spPr>
            <a:solidFill>
              <a:schemeClr val="accent1"/>
            </a:solidFill>
            <a:ln>
              <a:noFill/>
            </a:ln>
            <a:effectLst/>
          </c:spPr>
          <c:invertIfNegative val="false"/>
          <c:dLbls>
            <c:dLbl>
              <c:idx val="0"/>
              <c:layout>
                <c:manualLayout>
                  <c:x val="-0.015"/>
                  <c:y val="-0.3725"/>
                </c:manualLayout>
              </c:layout>
              <c:dLblPos val="ctr"/>
              <c:showLegendKey val="false"/>
              <c:showVal val="true"/>
              <c:showCatName val="false"/>
              <c:showSerName val="false"/>
              <c:showPercent val="false"/>
              <c:showBubbleSize val="false"/>
              <c:extLst>
                <c:ext xmlns:c15="http://schemas.microsoft.com/office/drawing/2012/chart" uri="{CE6537A1-D6FC-4f65-9D91-7224C49458BB}">
                  <c15:layout/>
                </c:ext>
              </c:extLst>
            </c:dLbl>
            <c:dLbl>
              <c:idx val="1"/>
              <c:layout>
                <c:manualLayout>
                  <c:x val="-0.0075"/>
                  <c:y val="-0.4425"/>
                </c:manualLayout>
              </c:layout>
              <c:dLblPos val="ctr"/>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false"/>
                <c15:leaderLines>
                  <c:spPr>
                    <a:ln w="9525" cap="flat" cmpd="sng" algn="ctr">
                      <a:solidFill>
                        <a:schemeClr val="tx1">
                          <a:lumMod val="35000"/>
                          <a:lumOff val="65000"/>
                        </a:schemeClr>
                      </a:solidFill>
                      <a:round/>
                    </a:ln>
                    <a:effectLst/>
                  </c:spPr>
                </c15:leaderLines>
              </c:ext>
            </c:extLst>
          </c:dLbls>
          <c:cat>
            <c:strRef>
              <c:f>Sheet1!$A$2:$A$3</c:f>
              <c:strCache>
                <c:ptCount val="2"/>
                <c:pt idx="0">
                  <c:v>2023年度财政拨款收、支总计</c:v>
                </c:pt>
                <c:pt idx="1">
                  <c:v>2024年度财政拨款收、支总计</c:v>
                </c:pt>
              </c:strCache>
            </c:strRef>
          </c:cat>
          <c:val>
            <c:numRef>
              <c:f>Sheet1!$B$2:$B$3</c:f>
              <c:numCache>
                <c:formatCode>General</c:formatCode>
                <c:ptCount val="2"/>
                <c:pt idx="0">
                  <c:v>1484.77</c:v>
                </c:pt>
                <c:pt idx="1">
                  <c:v>1849.78</c:v>
                </c:pt>
              </c:numCache>
            </c:numRef>
          </c:val>
        </c:ser>
        <c:ser>
          <c:idx val="1"/>
          <c:order val="1"/>
          <c:tx>
            <c:strRef>
              <c:f>Sheet1!$C$1</c:f>
              <c:strCache>
                <c:ptCount val="1"/>
                <c:pt idx="0">
                  <c:v/>
                </c:pt>
              </c:strCache>
            </c:strRef>
          </c:tx>
          <c:spPr>
            <a:solidFill>
              <a:schemeClr val="accent2"/>
            </a:solidFill>
            <a:ln>
              <a:noFill/>
            </a:ln>
            <a:effectLst/>
          </c:spPr>
          <c:invertIfNegative val="false"/>
          <c:dLbls>
            <c:delete val="true"/>
          </c:dLbls>
          <c:cat>
            <c:strRef>
              <c:f>Sheet1!$A$2:$A$3</c:f>
              <c:strCache>
                <c:ptCount val="2"/>
                <c:pt idx="0">
                  <c:v>2023年度财政拨款收、支总计</c:v>
                </c:pt>
                <c:pt idx="1">
                  <c:v>2024年度财政拨款收、支总计</c:v>
                </c:pt>
              </c:strCache>
            </c:strRef>
          </c:cat>
          <c:val>
            <c:numRef>
              <c:f>Sheet1!$C$2:$C$3</c:f>
              <c:numCache>
                <c:formatCode>General</c:formatCode>
                <c:ptCount val="2"/>
              </c:numCache>
            </c:numRef>
          </c:val>
        </c:ser>
        <c:dLbls>
          <c:showLegendKey val="false"/>
          <c:showVal val="false"/>
          <c:showCatName val="false"/>
          <c:showSerName val="false"/>
          <c:showPercent val="false"/>
          <c:showBubbleSize val="false"/>
        </c:dLbls>
        <c:gapWidth val="150"/>
        <c:overlap val="100"/>
        <c:axId val="487666254"/>
        <c:axId val="594749386"/>
      </c:barChart>
      <c:catAx>
        <c:axId val="487666254"/>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1" i="0" u="none" strike="noStrike" kern="1200" baseline="0">
                <a:solidFill>
                  <a:schemeClr val="tx1">
                    <a:lumMod val="65000"/>
                    <a:lumOff val="35000"/>
                  </a:schemeClr>
                </a:solidFill>
                <a:latin typeface="+mn-lt"/>
                <a:ea typeface="+mn-ea"/>
                <a:cs typeface="+mn-cs"/>
              </a:defRPr>
            </a:pPr>
          </a:p>
        </c:txPr>
        <c:crossAx val="594749386"/>
        <c:crosses val="autoZero"/>
        <c:auto val="true"/>
        <c:lblAlgn val="ctr"/>
        <c:lblOffset val="100"/>
        <c:noMultiLvlLbl val="false"/>
      </c:catAx>
      <c:valAx>
        <c:axId val="594749386"/>
        <c:scaling>
          <c:orientation val="minMax"/>
        </c:scaling>
        <c:delete val="false"/>
        <c:axPos val="l"/>
        <c:majorGridlines>
          <c:spPr>
            <a:ln w="9525" cap="flat" cmpd="sng" algn="ctr">
              <a:solidFill>
                <a:schemeClr val="tx1">
                  <a:lumMod val="15000"/>
                  <a:lumOff val="850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487666254"/>
        <c:crosses val="autoZero"/>
        <c:crossBetween val="between"/>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barChart>
        <c:barDir val="col"/>
        <c:grouping val="stacked"/>
        <c:varyColors val="false"/>
        <c:ser>
          <c:idx val="0"/>
          <c:order val="0"/>
          <c:tx>
            <c:strRef>
              <c:f>Sheet1!$B$1</c:f>
              <c:strCache>
                <c:ptCount val="1"/>
                <c:pt idx="0">
                  <c:v/>
                </c:pt>
              </c:strCache>
            </c:strRef>
          </c:tx>
          <c:spPr>
            <a:solidFill>
              <a:schemeClr val="accent1"/>
            </a:solidFill>
            <a:ln>
              <a:noFill/>
            </a:ln>
            <a:effectLst/>
          </c:spPr>
          <c:invertIfNegative val="false"/>
          <c:dLbls>
            <c:dLbl>
              <c:idx val="0"/>
              <c:layout>
                <c:manualLayout>
                  <c:x val="0.0059721300597213"/>
                  <c:y val="-0.386211545765287"/>
                </c:manualLayout>
              </c:layout>
              <c:dLblPos val="ctr"/>
              <c:showLegendKey val="false"/>
              <c:showVal val="true"/>
              <c:showCatName val="false"/>
              <c:showSerName val="false"/>
              <c:showPercent val="false"/>
              <c:showBubbleSize val="false"/>
              <c:extLst>
                <c:ext xmlns:c15="http://schemas.microsoft.com/office/drawing/2012/chart" uri="{CE6537A1-D6FC-4f65-9D91-7224C49458BB}">
                  <c15:layout/>
                </c:ext>
              </c:extLst>
            </c:dLbl>
            <c:dLbl>
              <c:idx val="1"/>
              <c:layout>
                <c:manualLayout>
                  <c:x val="-0.00375000000000005"/>
                  <c:y val="-0.442256931257121"/>
                </c:manualLayout>
              </c:layout>
              <c:dLblPos val="ctr"/>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false"/>
                <c15:leaderLines>
                  <c:spPr>
                    <a:ln w="9525" cap="flat" cmpd="sng" algn="ctr">
                      <a:solidFill>
                        <a:schemeClr val="tx1">
                          <a:lumMod val="35000"/>
                          <a:lumOff val="65000"/>
                        </a:schemeClr>
                      </a:solidFill>
                      <a:round/>
                    </a:ln>
                    <a:effectLst/>
                  </c:spPr>
                </c15:leaderLines>
              </c:ext>
            </c:extLst>
          </c:dLbls>
          <c:cat>
            <c:strRef>
              <c:f>Sheet1!$A$2:$A$3</c:f>
              <c:strCache>
                <c:ptCount val="2"/>
                <c:pt idx="0">
                  <c:v>2023年度一般公共预算财政拨款支出</c:v>
                </c:pt>
                <c:pt idx="1">
                  <c:v>2024年度一般公共预算财政拨款支出</c:v>
                </c:pt>
              </c:strCache>
            </c:strRef>
          </c:cat>
          <c:val>
            <c:numRef>
              <c:f>Sheet1!$B$2:$B$3</c:f>
              <c:numCache>
                <c:formatCode>General</c:formatCode>
                <c:ptCount val="2"/>
                <c:pt idx="0">
                  <c:v>1483.53</c:v>
                </c:pt>
                <c:pt idx="1">
                  <c:v>1849.53</c:v>
                </c:pt>
              </c:numCache>
            </c:numRef>
          </c:val>
        </c:ser>
        <c:ser>
          <c:idx val="1"/>
          <c:order val="1"/>
          <c:tx>
            <c:strRef>
              <c:f>Sheet1!$C$1</c:f>
              <c:strCache>
                <c:ptCount val="1"/>
                <c:pt idx="0">
                  <c:v/>
                </c:pt>
              </c:strCache>
            </c:strRef>
          </c:tx>
          <c:spPr>
            <a:solidFill>
              <a:schemeClr val="accent2"/>
            </a:solidFill>
            <a:ln>
              <a:noFill/>
            </a:ln>
            <a:effectLst/>
          </c:spPr>
          <c:invertIfNegative val="false"/>
          <c:dLbls>
            <c:delete val="true"/>
          </c:dLbls>
          <c:cat>
            <c:strRef>
              <c:f>Sheet1!$A$2:$A$3</c:f>
              <c:strCache>
                <c:ptCount val="2"/>
                <c:pt idx="0">
                  <c:v>2023年度一般公共预算财政拨款支出</c:v>
                </c:pt>
                <c:pt idx="1">
                  <c:v>2024年度一般公共预算财政拨款支出</c:v>
                </c:pt>
              </c:strCache>
            </c:strRef>
          </c:cat>
          <c:val>
            <c:numRef>
              <c:f>Sheet1!$C$2:$C$3</c:f>
              <c:numCache>
                <c:formatCode>General</c:formatCode>
                <c:ptCount val="2"/>
              </c:numCache>
            </c:numRef>
          </c:val>
        </c:ser>
        <c:ser>
          <c:idx val="2"/>
          <c:order val="2"/>
          <c:tx>
            <c:strRef>
              <c:f>Sheet1!#REF!</c:f>
              <c:strCache>
                <c:ptCount val="1"/>
                <c:pt idx="0">
                  <c:v/>
                </c:pt>
              </c:strCache>
            </c:strRef>
          </c:tx>
          <c:spPr>
            <a:solidFill>
              <a:schemeClr val="accent3"/>
            </a:solidFill>
            <a:ln>
              <a:noFill/>
            </a:ln>
            <a:effectLst/>
          </c:spPr>
          <c:invertIfNegative val="false"/>
          <c:dLbls>
            <c:delete val="true"/>
          </c:dLbls>
          <c:cat>
            <c:strRef>
              <c:f>Sheet1!$A$2:$A$3</c:f>
              <c:strCache>
                <c:ptCount val="2"/>
                <c:pt idx="0">
                  <c:v>2023年度一般公共预算财政拨款支出</c:v>
                </c:pt>
                <c:pt idx="1">
                  <c:v>2024年度一般公共预算财政拨款支出</c:v>
                </c:pt>
              </c:strCache>
            </c:strRef>
          </c:cat>
          <c:val>
            <c:numRef>
              <c:f>Sheet1!#REF!</c:f>
              <c:numCache>
                <c:formatCode>General</c:formatCode>
                <c:ptCount val="1"/>
                <c:pt idx="0">
                  <c:v>1</c:v>
                </c:pt>
              </c:numCache>
            </c:numRef>
          </c:val>
        </c:ser>
        <c:dLbls>
          <c:showLegendKey val="false"/>
          <c:showVal val="false"/>
          <c:showCatName val="false"/>
          <c:showSerName val="false"/>
          <c:showPercent val="false"/>
          <c:showBubbleSize val="false"/>
        </c:dLbls>
        <c:gapWidth val="150"/>
        <c:overlap val="100"/>
        <c:axId val="451781960"/>
        <c:axId val="355772721"/>
      </c:barChart>
      <c:catAx>
        <c:axId val="451781960"/>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1" i="0" u="none" strike="noStrike" kern="1200" baseline="0">
                <a:solidFill>
                  <a:schemeClr val="tx1">
                    <a:lumMod val="65000"/>
                    <a:lumOff val="35000"/>
                  </a:schemeClr>
                </a:solidFill>
                <a:latin typeface="+mn-lt"/>
                <a:ea typeface="+mn-ea"/>
                <a:cs typeface="+mn-cs"/>
              </a:defRPr>
            </a:pPr>
          </a:p>
        </c:txPr>
        <c:crossAx val="355772721"/>
        <c:crosses val="autoZero"/>
        <c:auto val="true"/>
        <c:lblAlgn val="ctr"/>
        <c:lblOffset val="100"/>
        <c:noMultiLvlLbl val="false"/>
      </c:catAx>
      <c:valAx>
        <c:axId val="355772721"/>
        <c:scaling>
          <c:orientation val="minMax"/>
        </c:scaling>
        <c:delete val="false"/>
        <c:axPos val="l"/>
        <c:majorGridlines>
          <c:spPr>
            <a:ln w="9525" cap="flat" cmpd="sng" algn="ctr">
              <a:solidFill>
                <a:schemeClr val="tx1">
                  <a:lumMod val="15000"/>
                  <a:lumOff val="850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451781960"/>
        <c:crosses val="autoZero"/>
        <c:crossBetween val="between"/>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manualLayout>
          <c:xMode val="edge"/>
          <c:yMode val="edge"/>
          <c:x val="0.206375"/>
          <c:y val="0.005"/>
        </c:manualLayout>
      </c:layout>
      <c:overlay val="false"/>
      <c:spPr>
        <a:noFill/>
        <a:ln>
          <a:noFill/>
        </a:ln>
        <a:effectLst/>
      </c:spPr>
      <c:txPr>
        <a:bodyPr rot="0" spcFirstLastPara="0" vertOverflow="ellipsis" vert="horz" wrap="square" anchor="ctr" anchorCtr="true"/>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false"/>
    <c:plotArea>
      <c:layout/>
      <c:pieChart>
        <c:varyColors val="true"/>
        <c:ser>
          <c:idx val="0"/>
          <c:order val="0"/>
          <c:tx>
            <c:strRef>
              <c:f>Sheet1!$B$1</c:f>
              <c:strCache>
                <c:ptCount val="1"/>
                <c:pt idx="0">
                  <c:v>2024年度一般公共预算财政拨款支出
</c:v>
                </c:pt>
              </c:strCache>
            </c:strRef>
          </c:tx>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Pt>
            <c:idx val="2"/>
            <c:bubble3D val="false"/>
            <c:spPr>
              <a:solidFill>
                <a:schemeClr val="accent3"/>
              </a:solidFill>
              <a:ln w="19050">
                <a:solidFill>
                  <a:schemeClr val="lt1"/>
                </a:solidFill>
              </a:ln>
              <a:effectLst/>
            </c:spPr>
          </c:dPt>
          <c:dPt>
            <c:idx val="3"/>
            <c:bubble3D val="false"/>
            <c:spPr>
              <a:solidFill>
                <a:schemeClr val="accent4"/>
              </a:solidFill>
              <a:ln w="19050">
                <a:solidFill>
                  <a:schemeClr val="lt1"/>
                </a:solidFill>
              </a:ln>
              <a:effectLst/>
            </c:spPr>
          </c:dPt>
          <c:dPt>
            <c:idx val="4"/>
            <c:bubble3D val="false"/>
            <c:spPr>
              <a:solidFill>
                <a:schemeClr val="accent5"/>
              </a:solidFill>
              <a:ln w="19050">
                <a:solidFill>
                  <a:schemeClr val="lt1"/>
                </a:solidFill>
              </a:ln>
              <a:effectLst/>
            </c:spPr>
          </c:dPt>
          <c:dLbls>
            <c:dLbl>
              <c:idx val="1"/>
              <c:layout>
                <c:manualLayout>
                  <c:x val="-0.105043679431958"/>
                  <c:y val="-0.0290113967805663"/>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dLbl>
              <c:idx val="2"/>
              <c:layout>
                <c:manualLayout>
                  <c:x val="-0.0179852901672546"/>
                  <c:y val="-0.0816485711494031"/>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dLbl>
              <c:idx val="3"/>
              <c:layout>
                <c:manualLayout>
                  <c:x val="0.0289588995505104"/>
                  <c:y val="-0.0764723984500432"/>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dLbl>
              <c:idx val="4"/>
              <c:layout>
                <c:manualLayout>
                  <c:x val="0.128550208152505"/>
                  <c:y val="-0.0335680141938832"/>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Sheet1!$A$2:$A$6</c:f>
              <c:strCache>
                <c:ptCount val="5"/>
                <c:pt idx="0">
                  <c:v>一般公共服务支出</c:v>
                </c:pt>
                <c:pt idx="1">
                  <c:v>社会保障和就业支出</c:v>
                </c:pt>
                <c:pt idx="2">
                  <c:v>卫生健康支出</c:v>
                </c:pt>
                <c:pt idx="3">
                  <c:v>农林水支出</c:v>
                </c:pt>
                <c:pt idx="4">
                  <c:v>住房保障中指出</c:v>
                </c:pt>
              </c:strCache>
            </c:strRef>
          </c:cat>
          <c:val>
            <c:numRef>
              <c:f>Sheet1!$B$2:$B$6</c:f>
              <c:numCache>
                <c:formatCode>General</c:formatCode>
                <c:ptCount val="5"/>
                <c:pt idx="0">
                  <c:v>1755.85</c:v>
                </c:pt>
                <c:pt idx="1">
                  <c:v>50.93</c:v>
                </c:pt>
                <c:pt idx="2">
                  <c:v>10.87</c:v>
                </c:pt>
                <c:pt idx="3">
                  <c:v>3.64</c:v>
                </c:pt>
                <c:pt idx="4">
                  <c:v>28.24</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spPr>
        <a:noFill/>
        <a:ln>
          <a:noFill/>
        </a:ln>
        <a:effectLst/>
      </c:spPr>
      <c:txPr>
        <a:bodyPr rot="0" spcFirstLastPara="0" vertOverflow="ellipsis" vert="horz" wrap="square" anchor="ctr" anchorCtr="true"/>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false"/>
    <c:plotArea>
      <c:layout/>
      <c:pieChart>
        <c:varyColors val="true"/>
        <c:ser>
          <c:idx val="0"/>
          <c:order val="0"/>
          <c:tx>
            <c:strRef>
              <c:f>Sheet1!$B$1</c:f>
              <c:strCache>
                <c:ptCount val="1"/>
                <c:pt idx="0">
                  <c:v>2024年度“三公”经费财政拨款支出</c:v>
                </c:pt>
              </c:strCache>
            </c:strRef>
          </c:tx>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Pt>
            <c:idx val="2"/>
            <c:bubble3D val="false"/>
            <c:spPr>
              <a:solidFill>
                <a:schemeClr val="accent3"/>
              </a:solidFill>
              <a:ln w="19050">
                <a:solidFill>
                  <a:schemeClr val="lt1"/>
                </a:solidFill>
              </a:ln>
              <a:effectLst/>
            </c:spPr>
          </c:dPt>
          <c:dLbls>
            <c:dLbl>
              <c:idx val="0"/>
              <c:delete val="true"/>
            </c:dLbl>
            <c:dLbl>
              <c:idx val="1"/>
              <c:delete val="true"/>
            </c:dLbl>
            <c:dLbl>
              <c:idx val="2"/>
              <c:layout>
                <c:manualLayout>
                  <c:x val="-0.0039274513845166"/>
                  <c:y val="-0.206416834680435"/>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fals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Sheet1!$A$2:$A$4</c:f>
              <c:strCache>
                <c:ptCount val="3"/>
                <c:pt idx="0">
                  <c:v>因公出国（境）经费支出</c:v>
                </c:pt>
                <c:pt idx="1">
                  <c:v>公务用车购置及运行维护费支出</c:v>
                </c:pt>
                <c:pt idx="2">
                  <c:v>公务接待费支出</c:v>
                </c:pt>
              </c:strCache>
            </c:strRef>
          </c:cat>
          <c:val>
            <c:numRef>
              <c:f>Sheet1!$B$2:$B$4</c:f>
              <c:numCache>
                <c:formatCode>General</c:formatCode>
                <c:ptCount val="3"/>
                <c:pt idx="2">
                  <c:v>0.75</c:v>
                </c:pt>
              </c:numCache>
            </c:numRef>
          </c:val>
        </c:ser>
        <c:dLbls>
          <c:showLegendKey val="false"/>
          <c:showVal val="false"/>
          <c:showCatName val="false"/>
          <c:showSerName val="false"/>
          <c:showPercent val="false"/>
          <c:showBubbleSize val="false"/>
          <c:showLeaderLines val="true"/>
        </c:dLbls>
        <c:firstSliceAng val="0"/>
      </c:pieChart>
      <c:spPr>
        <a:noFill/>
        <a:ln>
          <a:noFill/>
        </a:ln>
        <a:effectLst/>
      </c:spPr>
    </c:plotArea>
    <c:legend>
      <c:legendPos val="b"/>
      <c:legendEntry>
        <c:idx val="0"/>
        <c:txPr>
          <a:bodyPr rot="0" spcFirstLastPara="0" vertOverflow="ellipsis" vert="horz" wrap="square" anchor="ctr" anchorCtr="true"/>
          <a:lstStyle/>
          <a:p>
            <a:pPr>
              <a:defRPr lang="zh-CN" sz="900" b="1" i="0" u="none" strike="noStrike" kern="1200" baseline="0">
                <a:solidFill>
                  <a:schemeClr val="tx1">
                    <a:lumMod val="65000"/>
                    <a:lumOff val="35000"/>
                  </a:schemeClr>
                </a:solidFill>
                <a:latin typeface="+mn-lt"/>
                <a:ea typeface="+mn-ea"/>
                <a:cs typeface="+mn-cs"/>
              </a:defRPr>
            </a:pPr>
          </a:p>
        </c:txPr>
      </c:legendEntry>
      <c:legendEntry>
        <c:idx val="1"/>
        <c:txPr>
          <a:bodyPr rot="0" spcFirstLastPara="0" vertOverflow="ellipsis" vert="horz" wrap="square" anchor="ctr" anchorCtr="true"/>
          <a:lstStyle/>
          <a:p>
            <a:pPr>
              <a:defRPr lang="zh-CN" sz="900" b="1" i="0" u="none" strike="noStrike" kern="1200" baseline="0">
                <a:solidFill>
                  <a:schemeClr val="tx1">
                    <a:lumMod val="65000"/>
                    <a:lumOff val="35000"/>
                  </a:schemeClr>
                </a:solidFill>
                <a:latin typeface="+mn-lt"/>
                <a:ea typeface="+mn-ea"/>
                <a:cs typeface="+mn-cs"/>
              </a:defRPr>
            </a:pPr>
          </a:p>
        </c:txPr>
      </c:legendEntry>
      <c:legendEntry>
        <c:idx val="2"/>
        <c:txPr>
          <a:bodyPr rot="0" spcFirstLastPara="0" vertOverflow="ellipsis" vert="horz" wrap="square" anchor="ctr" anchorCtr="true"/>
          <a:lstStyle/>
          <a:p>
            <a:pPr>
              <a:defRPr lang="zh-CN" sz="900" b="1" i="0" u="none" strike="noStrike" kern="1200" baseline="0">
                <a:solidFill>
                  <a:schemeClr val="tx1">
                    <a:lumMod val="65000"/>
                    <a:lumOff val="35000"/>
                  </a:schemeClr>
                </a:solidFill>
                <a:latin typeface="+mn-lt"/>
                <a:ea typeface="+mn-ea"/>
                <a:cs typeface="+mn-cs"/>
              </a:defRPr>
            </a:pPr>
          </a:p>
        </c:txPr>
      </c:legendEntry>
      <c:layout/>
      <c:overlay val="false"/>
      <c:spPr>
        <a:noFill/>
        <a:ln>
          <a:noFill/>
        </a:ln>
        <a:effectLst/>
      </c:spPr>
      <c:txPr>
        <a:bodyPr rot="0" spcFirstLastPara="0" vertOverflow="ellipsis" vert="horz" wrap="square" anchor="ctr" anchorCtr="true"/>
        <a:lstStyle/>
        <a:p>
          <a:pPr>
            <a:defRPr lang="zh-CN" sz="900" b="1"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85</Pages>
  <Words>9392</Words>
  <Characters>10636</Characters>
  <Lines>61</Lines>
  <Paragraphs>17</Paragraphs>
  <TotalTime>4</TotalTime>
  <ScaleCrop>false</ScaleCrop>
  <LinksUpToDate>false</LinksUpToDate>
  <CharactersWithSpaces>10717</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2020-08-12T09:49:00Z</dcterms:created>
  <dc:creator>曹颖</dc:creator>
  <cp:lastModifiedBy> </cp:lastModifiedBy>
  <cp:lastPrinted>2025-08-09T17:34:00Z</cp:lastPrinted>
  <dcterms:modified xsi:type="dcterms:W3CDTF">2025-10-11T17:09:34Z</dcterms:modified>
  <dc:title>四川省***</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04787F2533EB45DC91BCDE4AB213247F</vt:lpwstr>
  </property>
  <property fmtid="{D5CDD505-2E9C-101B-9397-08002B2CF9AE}" pid="4" name="KSOTemplateDocerSaveRecord">
    <vt:lpwstr>eyJoZGlkIjoiYTc2ZGZiNzZiNDVlOGViOWVmM2JhOTY0NGJkNjUyYzgiLCJ1c2VySWQiOiIyMjA2OTAwNTAifQ==</vt:lpwstr>
  </property>
</Properties>
</file>