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auto"/>
          <w:sz w:val="21"/>
          <w:szCs w:val="21"/>
          <w:highlight w:val="none"/>
        </w:rPr>
      </w:pPr>
      <w:bookmarkStart w:id="104" w:name="_GoBack"/>
      <w:bookmarkEnd w:id="104"/>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8441"/>
      <w:bookmarkStart w:id="3" w:name="_Toc15377425"/>
      <w:bookmarkStart w:id="4" w:name="_Toc15377193"/>
      <w:bookmarkStart w:id="5" w:name="_Toc15396597"/>
    </w:p>
    <w:p>
      <w:pPr>
        <w:keepNext w:val="0"/>
        <w:keepLines w:val="0"/>
        <w:pageBreakBefore w:val="0"/>
        <w:widowControl w:val="0"/>
        <w:kinsoku/>
        <w:wordWrap/>
        <w:overflowPunct/>
        <w:topLinePunct w:val="0"/>
        <w:autoSpaceDE/>
        <w:autoSpaceDN/>
        <w:bidi w:val="0"/>
        <w:adjustRightInd w:val="0"/>
        <w:snapToGrid w:val="0"/>
        <w:spacing w:line="1200" w:lineRule="exact"/>
        <w:ind w:firstLine="0" w:firstLineChars="0"/>
        <w:jc w:val="center"/>
        <w:textAlignment w:val="auto"/>
        <w:outlineLvl w:val="0"/>
        <w:rPr>
          <w:rFonts w:hint="eastAsia" w:ascii="方正小标宋简体" w:hAnsi="方正小标宋简体" w:eastAsia="方正小标宋简体" w:cs="方正小标宋简体"/>
          <w:color w:val="auto"/>
          <w:sz w:val="72"/>
          <w:szCs w:val="72"/>
          <w:highlight w:val="none"/>
        </w:rPr>
      </w:pPr>
      <w:bookmarkStart w:id="6" w:name="_Toc16264"/>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24</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keepNext w:val="0"/>
        <w:keepLines w:val="0"/>
        <w:pageBreakBefore w:val="0"/>
        <w:widowControl w:val="0"/>
        <w:kinsoku/>
        <w:wordWrap/>
        <w:overflowPunct/>
        <w:topLinePunct w:val="0"/>
        <w:autoSpaceDE/>
        <w:autoSpaceDN/>
        <w:bidi w:val="0"/>
        <w:adjustRightInd w:val="0"/>
        <w:snapToGrid w:val="0"/>
        <w:spacing w:line="1200" w:lineRule="exact"/>
        <w:ind w:firstLine="0" w:firstLineChars="0"/>
        <w:jc w:val="center"/>
        <w:textAlignment w:val="auto"/>
        <w:outlineLvl w:val="0"/>
        <w:rPr>
          <w:rFonts w:hint="eastAsia" w:ascii="方正小标宋简体" w:hAnsi="方正小标宋简体" w:eastAsia="方正小标宋简体" w:cs="方正小标宋简体"/>
          <w:color w:val="auto"/>
          <w:sz w:val="72"/>
          <w:szCs w:val="72"/>
          <w:highlight w:val="none"/>
          <w:lang w:eastAsia="zh-CN"/>
        </w:rPr>
      </w:pPr>
      <w:bookmarkStart w:id="7" w:name="_Toc15396598"/>
      <w:bookmarkStart w:id="8" w:name="_Toc15377194"/>
      <w:bookmarkStart w:id="9" w:name="_Toc15377426"/>
      <w:bookmarkStart w:id="10" w:name="_Toc15378442"/>
      <w:bookmarkStart w:id="11" w:name="_Toc15396476"/>
      <w:bookmarkStart w:id="12" w:name="_Toc10160"/>
      <w:r>
        <w:rPr>
          <w:rFonts w:hint="eastAsia" w:ascii="方正小标宋简体" w:hAnsi="方正小标宋简体" w:eastAsia="方正小标宋简体" w:cs="方正小标宋简体"/>
          <w:color w:val="auto"/>
          <w:sz w:val="72"/>
          <w:szCs w:val="72"/>
          <w:highlight w:val="none"/>
          <w:lang w:eastAsia="zh-CN"/>
        </w:rPr>
        <w:t>广元市</w:t>
      </w:r>
      <w:bookmarkEnd w:id="0"/>
      <w:bookmarkEnd w:id="7"/>
      <w:bookmarkEnd w:id="8"/>
      <w:bookmarkEnd w:id="9"/>
      <w:bookmarkEnd w:id="10"/>
      <w:bookmarkEnd w:id="11"/>
      <w:r>
        <w:rPr>
          <w:rFonts w:hint="eastAsia" w:ascii="方正小标宋简体" w:hAnsi="方正小标宋简体" w:eastAsia="方正小标宋简体" w:cs="方正小标宋简体"/>
          <w:color w:val="auto"/>
          <w:sz w:val="72"/>
          <w:szCs w:val="72"/>
          <w:highlight w:val="none"/>
          <w:lang w:eastAsia="zh-CN"/>
        </w:rPr>
        <w:t>退役军人服务中心</w:t>
      </w:r>
      <w:bookmarkEnd w:id="12"/>
    </w:p>
    <w:p>
      <w:pPr>
        <w:pStyle w:val="6"/>
        <w:keepNext w:val="0"/>
        <w:keepLines w:val="0"/>
        <w:pageBreakBefore w:val="0"/>
        <w:widowControl w:val="0"/>
        <w:kinsoku/>
        <w:wordWrap/>
        <w:overflowPunct/>
        <w:topLinePunct w:val="0"/>
        <w:autoSpaceDE/>
        <w:autoSpaceDN/>
        <w:bidi w:val="0"/>
        <w:spacing w:beforeLines="0" w:line="1200" w:lineRule="exact"/>
        <w:ind w:firstLine="0" w:firstLineChars="0"/>
        <w:jc w:val="center"/>
        <w:textAlignment w:val="auto"/>
      </w:pPr>
      <w:r>
        <w:rPr>
          <w:rFonts w:hint="eastAsia" w:ascii="方正小标宋简体" w:hAnsi="方正小标宋简体" w:eastAsia="方正小标宋简体" w:cs="方正小标宋简体"/>
          <w:color w:val="auto"/>
          <w:sz w:val="72"/>
          <w:szCs w:val="72"/>
          <w:highlight w:val="none"/>
          <w:lang w:eastAsia="zh-CN"/>
        </w:rPr>
        <w:t>决</w:t>
      </w:r>
      <w:r>
        <w:rPr>
          <w:rFonts w:hint="eastAsia" w:ascii="方正小标宋简体" w:hAnsi="方正小标宋简体" w:eastAsia="方正小标宋简体" w:cs="方正小标宋简体"/>
          <w:color w:val="auto"/>
          <w:sz w:val="72"/>
          <w:szCs w:val="72"/>
          <w:highlight w:val="none"/>
          <w:lang w:val="en-US" w:eastAsia="zh-CN"/>
        </w:rPr>
        <w:t xml:space="preserve">  </w:t>
      </w:r>
      <w:r>
        <w:rPr>
          <w:rFonts w:hint="eastAsia" w:ascii="方正小标宋简体" w:hAnsi="方正小标宋简体" w:eastAsia="方正小标宋简体" w:cs="方正小标宋简体"/>
          <w:color w:val="auto"/>
          <w:sz w:val="72"/>
          <w:szCs w:val="72"/>
          <w:highlight w:val="none"/>
          <w:lang w:eastAsia="zh-CN"/>
        </w:rPr>
        <w:t>算</w:t>
      </w:r>
    </w:p>
    <w:p>
      <w:pPr>
        <w:widowControl/>
        <w:jc w:val="center"/>
        <w:rPr>
          <w:rFonts w:hint="eastAsia" w:ascii="黑体" w:hAnsi="黑体" w:eastAsia="黑体"/>
          <w:color w:val="auto"/>
          <w:sz w:val="32"/>
          <w:szCs w:val="32"/>
          <w:highlight w:val="none"/>
        </w:rPr>
        <w:sectPr>
          <w:headerReference r:id="rId3" w:type="default"/>
          <w:pgSz w:w="11906" w:h="16838"/>
          <w:pgMar w:top="1701" w:right="1474" w:bottom="1701" w:left="1587" w:header="851" w:footer="1559" w:gutter="0"/>
          <w:pgNumType w:fmt="numberInDash" w:start="1"/>
          <w:cols w:space="0" w:num="1"/>
          <w:titlePg/>
          <w:rtlGutter w:val="0"/>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32"/>
          <w:szCs w:val="32"/>
          <w:highlight w:val="none"/>
        </w:rPr>
        <w:t>目</w:t>
      </w: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录</w:t>
      </w:r>
    </w:p>
    <w:p>
      <w:pPr>
        <w:ind w:firstLine="1920" w:firstLineChars="600"/>
        <w:jc w:val="both"/>
        <w:rPr>
          <w:rFonts w:hint="eastAsia" w:ascii="仿宋_GB2312" w:hAnsi="仿宋_GB2312" w:eastAsia="仿宋_GB2312" w:cs="仿宋_GB2312"/>
          <w:color w:val="auto"/>
          <w:sz w:val="32"/>
          <w:szCs w:val="32"/>
          <w:highlight w:val="none"/>
        </w:rPr>
      </w:pPr>
      <w:r>
        <w:rPr>
          <w:rFonts w:hint="eastAsia" w:ascii="楷体_GB2312" w:hAnsi="楷体_GB2312" w:eastAsia="楷体_GB2312" w:cs="楷体_GB2312"/>
          <w:color w:val="auto"/>
          <w:sz w:val="32"/>
          <w:szCs w:val="32"/>
          <w:highlight w:val="none"/>
        </w:rPr>
        <w:t>公开时间：20</w:t>
      </w:r>
      <w:r>
        <w:rPr>
          <w:rFonts w:hint="eastAsia" w:ascii="楷体_GB2312" w:hAnsi="楷体_GB2312" w:eastAsia="楷体_GB2312" w:cs="楷体_GB2312"/>
          <w:color w:val="auto"/>
          <w:sz w:val="32"/>
          <w:szCs w:val="32"/>
          <w:highlight w:val="none"/>
          <w:lang w:val="en-US" w:eastAsia="zh-CN"/>
        </w:rPr>
        <w:t>25</w:t>
      </w:r>
      <w:r>
        <w:rPr>
          <w:rFonts w:hint="eastAsia" w:ascii="楷体_GB2312" w:hAnsi="楷体_GB2312" w:eastAsia="楷体_GB2312" w:cs="楷体_GB2312"/>
          <w:color w:val="auto"/>
          <w:sz w:val="32"/>
          <w:szCs w:val="32"/>
          <w:highlight w:val="none"/>
        </w:rPr>
        <w:t>年</w:t>
      </w:r>
      <w:r>
        <w:rPr>
          <w:rFonts w:hint="eastAsia" w:ascii="楷体_GB2312" w:hAnsi="楷体_GB2312" w:eastAsia="楷体_GB2312" w:cs="楷体_GB2312"/>
          <w:color w:val="auto"/>
          <w:sz w:val="32"/>
          <w:szCs w:val="32"/>
          <w:highlight w:val="none"/>
          <w:lang w:val="en-US" w:eastAsia="zh-CN"/>
        </w:rPr>
        <w:t xml:space="preserve">10 </w:t>
      </w:r>
      <w:r>
        <w:rPr>
          <w:rFonts w:hint="eastAsia" w:ascii="楷体_GB2312" w:hAnsi="楷体_GB2312" w:eastAsia="楷体_GB2312" w:cs="楷体_GB2312"/>
          <w:color w:val="auto"/>
          <w:sz w:val="32"/>
          <w:szCs w:val="32"/>
          <w:highlight w:val="none"/>
        </w:rPr>
        <w:t>月</w:t>
      </w:r>
      <w:r>
        <w:rPr>
          <w:rFonts w:hint="eastAsia" w:ascii="楷体_GB2312" w:hAnsi="楷体_GB2312" w:eastAsia="楷体_GB2312" w:cs="楷体_GB2312"/>
          <w:color w:val="auto"/>
          <w:sz w:val="32"/>
          <w:szCs w:val="32"/>
          <w:highlight w:val="none"/>
          <w:lang w:val="en-US" w:eastAsia="zh-CN"/>
        </w:rPr>
        <w:t>14</w:t>
      </w:r>
      <w:r>
        <w:rPr>
          <w:rFonts w:hint="eastAsia" w:ascii="楷体_GB2312" w:hAnsi="楷体_GB2312" w:eastAsia="楷体_GB2312" w:cs="楷体_GB2312"/>
          <w:color w:val="auto"/>
          <w:sz w:val="32"/>
          <w:szCs w:val="32"/>
          <w:highlight w:val="none"/>
        </w:rPr>
        <w:t>日</w:t>
      </w:r>
    </w:p>
    <w:sdt>
      <w:sdtPr>
        <w:rPr>
          <w:rFonts w:ascii="宋体" w:hAnsi="宋体" w:eastAsia="宋体" w:cs="Times New Roman"/>
          <w:kern w:val="2"/>
          <w:sz w:val="21"/>
          <w:szCs w:val="24"/>
          <w:lang w:val="en-US" w:eastAsia="zh-CN" w:bidi="ar-SA"/>
        </w:rPr>
        <w:id w:val="147466760"/>
        <w15:color w:val="DBDBDB"/>
        <w:docPartObj>
          <w:docPartGallery w:val="Table of Contents"/>
          <w:docPartUnique/>
        </w:docPartObj>
      </w:sdtPr>
      <w:sdtEndPr>
        <w:rPr>
          <w:rFonts w:hint="eastAsia" w:ascii="方正小标宋简体" w:hAnsi="方正小标宋简体" w:eastAsia="方正小标宋简体" w:cs="方正小标宋简体"/>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pPr>
          <w:bookmarkStart w:id="13" w:name="_Toc15377196"/>
          <w:bookmarkStart w:id="14" w:name="_Toc15396599"/>
          <w:r>
            <w:rPr>
              <w:rFonts w:hint="eastAsia" w:ascii="方正小标宋简体" w:hAnsi="方正小标宋简体" w:eastAsia="方正小标宋简体" w:cs="方正小标宋简体"/>
              <w:b w:val="0"/>
              <w:color w:val="auto"/>
              <w:sz w:val="44"/>
              <w:szCs w:val="44"/>
              <w:highlight w:val="none"/>
            </w:rPr>
            <w:fldChar w:fldCharType="begin"/>
          </w:r>
          <w:r>
            <w:rPr>
              <w:rFonts w:hint="eastAsia" w:ascii="方正小标宋简体" w:hAnsi="方正小标宋简体" w:eastAsia="方正小标宋简体" w:cs="方正小标宋简体"/>
              <w:b w:val="0"/>
              <w:color w:val="auto"/>
              <w:sz w:val="44"/>
              <w:szCs w:val="44"/>
              <w:highlight w:val="none"/>
            </w:rPr>
            <w:instrText xml:space="preserve">TOC \o "1-2" \h \u </w:instrText>
          </w:r>
          <w:r>
            <w:rPr>
              <w:rFonts w:hint="eastAsia" w:ascii="方正小标宋简体" w:hAnsi="方正小标宋简体" w:eastAsia="方正小标宋简体" w:cs="方正小标宋简体"/>
              <w:b w:val="0"/>
              <w:color w:val="auto"/>
              <w:sz w:val="44"/>
              <w:szCs w:val="44"/>
              <w:highlight w:val="none"/>
            </w:rPr>
            <w:fldChar w:fldCharType="separate"/>
          </w:r>
        </w:p>
        <w:p>
          <w:pPr>
            <w:pStyle w:val="11"/>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_Toc28719 </w:instrText>
          </w:r>
          <w:r>
            <w:rPr>
              <w:rFonts w:hint="eastAsia" w:ascii="方正小标宋简体" w:hAnsi="方正小标宋简体" w:eastAsia="方正小标宋简体" w:cs="方正小标宋简体"/>
              <w:szCs w:val="44"/>
              <w:highlight w:val="none"/>
            </w:rPr>
            <w:fldChar w:fldCharType="separate"/>
          </w:r>
          <w:r>
            <w:rPr>
              <w:rFonts w:hint="eastAsia" w:ascii="方正小标宋简体" w:hAnsi="方正小标宋简体" w:eastAsia="方正小标宋简体" w:cs="方正小标宋简体"/>
              <w:szCs w:val="44"/>
              <w:highlight w:val="none"/>
            </w:rPr>
            <w:t xml:space="preserve">第一部分 </w:t>
          </w:r>
          <w:r>
            <w:rPr>
              <w:rFonts w:hint="eastAsia" w:ascii="方正小标宋简体" w:hAnsi="方正小标宋简体" w:eastAsia="方正小标宋简体" w:cs="方正小标宋简体"/>
              <w:szCs w:val="44"/>
              <w:highlight w:val="none"/>
              <w:lang w:eastAsia="zh-CN"/>
            </w:rPr>
            <w:t>单位</w:t>
          </w:r>
          <w:r>
            <w:rPr>
              <w:rFonts w:hint="eastAsia" w:ascii="方正小标宋简体" w:hAnsi="方正小标宋简体" w:eastAsia="方正小标宋简体" w:cs="方正小标宋简体"/>
              <w:bCs w:val="0"/>
              <w:szCs w:val="44"/>
              <w:highlight w:val="none"/>
            </w:rPr>
            <w:t>概况</w:t>
          </w:r>
          <w:r>
            <w:tab/>
          </w:r>
          <w:r>
            <w:fldChar w:fldCharType="begin"/>
          </w:r>
          <w:r>
            <w:instrText xml:space="preserve"> PAGEREF _Toc28719 \h </w:instrText>
          </w:r>
          <w:r>
            <w:fldChar w:fldCharType="separate"/>
          </w:r>
          <w:r>
            <w:t>1</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_Toc20926 </w:instrText>
          </w:r>
          <w:r>
            <w:rPr>
              <w:rFonts w:hint="eastAsia" w:ascii="方正小标宋简体" w:hAnsi="方正小标宋简体" w:eastAsia="方正小标宋简体" w:cs="方正小标宋简体"/>
              <w:szCs w:val="44"/>
              <w:highlight w:val="none"/>
            </w:rPr>
            <w:fldChar w:fldCharType="separate"/>
          </w:r>
          <w:r>
            <w:rPr>
              <w:rFonts w:hint="eastAsia" w:ascii="黑体" w:hAnsi="黑体" w:eastAsia="黑体" w:cs="黑体"/>
              <w:bCs w:val="0"/>
              <w:highlight w:val="none"/>
              <w:lang w:eastAsia="zh-CN"/>
            </w:rPr>
            <w:t>一、主要职责</w:t>
          </w:r>
          <w:r>
            <w:tab/>
          </w:r>
          <w:r>
            <w:fldChar w:fldCharType="begin"/>
          </w:r>
          <w:r>
            <w:instrText xml:space="preserve"> PAGEREF _Toc20926 \h </w:instrText>
          </w:r>
          <w:r>
            <w:fldChar w:fldCharType="separate"/>
          </w:r>
          <w:r>
            <w:t>1</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_Toc8011 </w:instrText>
          </w:r>
          <w:r>
            <w:rPr>
              <w:rFonts w:hint="eastAsia" w:ascii="方正小标宋简体" w:hAnsi="方正小标宋简体" w:eastAsia="方正小标宋简体" w:cs="方正小标宋简体"/>
              <w:szCs w:val="44"/>
              <w:highlight w:val="none"/>
            </w:rPr>
            <w:fldChar w:fldCharType="separate"/>
          </w:r>
          <w:r>
            <w:rPr>
              <w:rFonts w:hint="eastAsia" w:ascii="黑体" w:hAnsi="黑体" w:eastAsia="黑体" w:cs="黑体"/>
              <w:bCs w:val="0"/>
              <w:highlight w:val="none"/>
              <w:lang w:val="en-US" w:eastAsia="zh-CN"/>
            </w:rPr>
            <w:t>二、机构设置</w:t>
          </w:r>
          <w:r>
            <w:tab/>
          </w:r>
          <w:r>
            <w:fldChar w:fldCharType="begin"/>
          </w:r>
          <w:r>
            <w:instrText xml:space="preserve"> PAGEREF _Toc8011 \h </w:instrText>
          </w:r>
          <w:r>
            <w:fldChar w:fldCharType="separate"/>
          </w:r>
          <w:r>
            <w:t>1</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1"/>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_Toc29843 </w:instrText>
          </w:r>
          <w:r>
            <w:rPr>
              <w:rFonts w:hint="eastAsia" w:ascii="方正小标宋简体" w:hAnsi="方正小标宋简体" w:eastAsia="方正小标宋简体" w:cs="方正小标宋简体"/>
              <w:szCs w:val="44"/>
              <w:highlight w:val="none"/>
            </w:rPr>
            <w:fldChar w:fldCharType="separate"/>
          </w:r>
          <w:r>
            <w:rPr>
              <w:rFonts w:hint="eastAsia" w:ascii="方正小标宋简体" w:hAnsi="方正小标宋简体" w:eastAsia="方正小标宋简体" w:cs="方正小标宋简体"/>
              <w:bCs/>
            </w:rPr>
            <w:t xml:space="preserve">第二部分 </w:t>
          </w:r>
          <w:r>
            <w:rPr>
              <w:rFonts w:hint="eastAsia" w:ascii="方正小标宋简体" w:hAnsi="方正小标宋简体" w:eastAsia="方正小标宋简体" w:cs="方正小标宋简体"/>
              <w:bCs/>
              <w:highlight w:val="none"/>
              <w:lang w:val="en-US" w:eastAsia="zh-CN"/>
            </w:rPr>
            <w:t>2024年度</w:t>
          </w:r>
          <w:r>
            <w:rPr>
              <w:rFonts w:hint="eastAsia" w:ascii="方正小标宋简体" w:hAnsi="方正小标宋简体" w:eastAsia="方正小标宋简体" w:cs="方正小标宋简体"/>
              <w:bCs/>
              <w:highlight w:val="none"/>
              <w:lang w:eastAsia="zh-CN"/>
            </w:rPr>
            <w:t>单位</w:t>
          </w:r>
          <w:r>
            <w:rPr>
              <w:rFonts w:hint="eastAsia" w:ascii="方正小标宋简体" w:hAnsi="方正小标宋简体" w:eastAsia="方正小标宋简体" w:cs="方正小标宋简体"/>
              <w:bCs/>
              <w:highlight w:val="none"/>
            </w:rPr>
            <w:t>决算情况说明</w:t>
          </w:r>
          <w:r>
            <w:tab/>
          </w:r>
          <w:r>
            <w:fldChar w:fldCharType="begin"/>
          </w:r>
          <w:r>
            <w:instrText xml:space="preserve"> PAGEREF _Toc29843 \h </w:instrText>
          </w:r>
          <w:r>
            <w:fldChar w:fldCharType="separate"/>
          </w:r>
          <w:r>
            <w:t>1</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_Toc1845 </w:instrText>
          </w:r>
          <w:r>
            <w:rPr>
              <w:rFonts w:hint="eastAsia" w:ascii="方正小标宋简体" w:hAnsi="方正小标宋简体" w:eastAsia="方正小标宋简体" w:cs="方正小标宋简体"/>
              <w:szCs w:val="44"/>
              <w:highlight w:val="none"/>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_Toc1845 \h </w:instrText>
          </w:r>
          <w:r>
            <w:fldChar w:fldCharType="separate"/>
          </w:r>
          <w:r>
            <w:t>1</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_Toc3340 </w:instrText>
          </w:r>
          <w:r>
            <w:rPr>
              <w:rFonts w:hint="eastAsia" w:ascii="方正小标宋简体" w:hAnsi="方正小标宋简体" w:eastAsia="方正小标宋简体" w:cs="方正小标宋简体"/>
              <w:szCs w:val="44"/>
              <w:highlight w:val="none"/>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_Toc3340 \h </w:instrText>
          </w:r>
          <w:r>
            <w:fldChar w:fldCharType="separate"/>
          </w:r>
          <w:r>
            <w:t>2</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_Toc8896 </w:instrText>
          </w:r>
          <w:r>
            <w:rPr>
              <w:rFonts w:hint="eastAsia" w:ascii="方正小标宋简体" w:hAnsi="方正小标宋简体" w:eastAsia="方正小标宋简体" w:cs="方正小标宋简体"/>
              <w:szCs w:val="44"/>
              <w:highlight w:val="none"/>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_Toc8896 \h </w:instrText>
          </w:r>
          <w:r>
            <w:fldChar w:fldCharType="separate"/>
          </w:r>
          <w:r>
            <w:t>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_Toc2733 </w:instrText>
          </w:r>
          <w:r>
            <w:rPr>
              <w:rFonts w:hint="eastAsia" w:ascii="方正小标宋简体" w:hAnsi="方正小标宋简体" w:eastAsia="方正小标宋简体" w:cs="方正小标宋简体"/>
              <w:szCs w:val="44"/>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_Toc2733 \h </w:instrText>
          </w:r>
          <w:r>
            <w:fldChar w:fldCharType="separate"/>
          </w:r>
          <w:r>
            <w:t>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_Toc15293 </w:instrText>
          </w:r>
          <w:r>
            <w:rPr>
              <w:rFonts w:hint="eastAsia" w:ascii="方正小标宋简体" w:hAnsi="方正小标宋简体" w:eastAsia="方正小标宋简体" w:cs="方正小标宋简体"/>
              <w:szCs w:val="44"/>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_Toc15293 \h </w:instrText>
          </w:r>
          <w:r>
            <w:fldChar w:fldCharType="separate"/>
          </w:r>
          <w:r>
            <w:t>4</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_Toc565 </w:instrText>
          </w:r>
          <w:r>
            <w:rPr>
              <w:rFonts w:hint="eastAsia" w:ascii="方正小标宋简体" w:hAnsi="方正小标宋简体" w:eastAsia="方正小标宋简体" w:cs="方正小标宋简体"/>
              <w:szCs w:val="44"/>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_Toc565 \h </w:instrText>
          </w:r>
          <w:r>
            <w:fldChar w:fldCharType="separate"/>
          </w:r>
          <w:r>
            <w:t>6</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_Toc9536 </w:instrText>
          </w:r>
          <w:r>
            <w:rPr>
              <w:rFonts w:hint="eastAsia" w:ascii="方正小标宋简体" w:hAnsi="方正小标宋简体" w:eastAsia="方正小标宋简体" w:cs="方正小标宋简体"/>
              <w:szCs w:val="44"/>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_Toc9536 \h </w:instrText>
          </w:r>
          <w:r>
            <w:fldChar w:fldCharType="separate"/>
          </w:r>
          <w:r>
            <w:t>7</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_Toc3707 </w:instrText>
          </w:r>
          <w:r>
            <w:rPr>
              <w:rFonts w:hint="eastAsia" w:ascii="方正小标宋简体" w:hAnsi="方正小标宋简体" w:eastAsia="方正小标宋简体" w:cs="方正小标宋简体"/>
              <w:szCs w:val="44"/>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_Toc3707 \h </w:instrText>
          </w:r>
          <w:r>
            <w:fldChar w:fldCharType="separate"/>
          </w:r>
          <w:r>
            <w:t>8</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_Toc31400 </w:instrText>
          </w:r>
          <w:r>
            <w:rPr>
              <w:rFonts w:hint="eastAsia" w:ascii="方正小标宋简体" w:hAnsi="方正小标宋简体" w:eastAsia="方正小标宋简体" w:cs="方正小标宋简体"/>
              <w:szCs w:val="44"/>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_Toc31400 \h </w:instrText>
          </w:r>
          <w:r>
            <w:fldChar w:fldCharType="separate"/>
          </w:r>
          <w:r>
            <w:t>8</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_Toc8629 </w:instrText>
          </w:r>
          <w:r>
            <w:rPr>
              <w:rFonts w:hint="eastAsia" w:ascii="方正小标宋简体" w:hAnsi="方正小标宋简体" w:eastAsia="方正小标宋简体" w:cs="方正小标宋简体"/>
              <w:szCs w:val="44"/>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_Toc8629 \h </w:instrText>
          </w:r>
          <w:r>
            <w:fldChar w:fldCharType="separate"/>
          </w:r>
          <w:r>
            <w:t>8</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1"/>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_Toc70 </w:instrText>
          </w:r>
          <w:r>
            <w:rPr>
              <w:rFonts w:hint="eastAsia" w:ascii="方正小标宋简体" w:hAnsi="方正小标宋简体" w:eastAsia="方正小标宋简体" w:cs="方正小标宋简体"/>
              <w:szCs w:val="44"/>
              <w:highlight w:val="none"/>
            </w:rPr>
            <w:fldChar w:fldCharType="separate"/>
          </w:r>
          <w:r>
            <w:rPr>
              <w:rFonts w:hint="eastAsia" w:ascii="方正小标宋简体" w:hAnsi="方正小标宋简体" w:eastAsia="方正小标宋简体" w:cs="方正小标宋简体"/>
            </w:rPr>
            <w:t xml:space="preserve">第三部分 </w:t>
          </w:r>
          <w:r>
            <w:rPr>
              <w:rFonts w:hint="eastAsia" w:ascii="方正小标宋简体" w:hAnsi="方正小标宋简体" w:eastAsia="方正小标宋简体" w:cs="方正小标宋简体"/>
              <w:szCs w:val="44"/>
              <w:highlight w:val="none"/>
            </w:rPr>
            <w:t>名</w:t>
          </w:r>
          <w:r>
            <w:rPr>
              <w:rFonts w:hint="eastAsia" w:ascii="方正小标宋简体" w:hAnsi="方正小标宋简体" w:eastAsia="方正小标宋简体" w:cs="方正小标宋简体"/>
              <w:highlight w:val="none"/>
            </w:rPr>
            <w:t>词解释</w:t>
          </w:r>
          <w:r>
            <w:tab/>
          </w:r>
          <w:r>
            <w:fldChar w:fldCharType="begin"/>
          </w:r>
          <w:r>
            <w:instrText xml:space="preserve"> PAGEREF _Toc70 \h </w:instrText>
          </w:r>
          <w:r>
            <w:fldChar w:fldCharType="separate"/>
          </w:r>
          <w:r>
            <w:t>9</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1"/>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_Toc20663 </w:instrText>
          </w:r>
          <w:r>
            <w:rPr>
              <w:rFonts w:hint="eastAsia" w:ascii="方正小标宋简体" w:hAnsi="方正小标宋简体" w:eastAsia="方正小标宋简体" w:cs="方正小标宋简体"/>
              <w:szCs w:val="44"/>
              <w:highlight w:val="none"/>
            </w:rPr>
            <w:fldChar w:fldCharType="separate"/>
          </w:r>
          <w:r>
            <w:rPr>
              <w:rFonts w:hint="eastAsia" w:ascii="方正小标宋简体" w:hAnsi="方正小标宋简体" w:eastAsia="方正小标宋简体" w:cs="方正小标宋简体"/>
              <w:bCs/>
              <w:strike w:val="0"/>
              <w:dstrike w:val="0"/>
              <w:highlight w:val="none"/>
              <w:lang w:eastAsia="zh-CN"/>
            </w:rPr>
            <w:t>第四部分</w:t>
          </w:r>
          <w:r>
            <w:rPr>
              <w:rFonts w:hint="eastAsia" w:ascii="方正小标宋简体" w:hAnsi="方正小标宋简体" w:eastAsia="方正小标宋简体" w:cs="方正小标宋简体"/>
              <w:bCs/>
              <w:strike w:val="0"/>
              <w:dstrike w:val="0"/>
              <w:highlight w:val="none"/>
              <w:lang w:val="en-US" w:eastAsia="zh-CN"/>
            </w:rPr>
            <w:t xml:space="preserve">  </w:t>
          </w:r>
          <w:r>
            <w:rPr>
              <w:rFonts w:hint="eastAsia" w:ascii="方正小标宋简体" w:hAnsi="方正小标宋简体" w:eastAsia="方正小标宋简体" w:cs="方正小标宋简体"/>
              <w:bCs/>
              <w:strike w:val="0"/>
              <w:dstrike w:val="0"/>
              <w:highlight w:val="none"/>
            </w:rPr>
            <w:t>附</w:t>
          </w:r>
          <w:r>
            <w:rPr>
              <w:rFonts w:hint="eastAsia" w:ascii="方正小标宋简体" w:hAnsi="方正小标宋简体" w:eastAsia="方正小标宋简体" w:cs="方正小标宋简体"/>
              <w:bCs/>
              <w:strike w:val="0"/>
              <w:dstrike w:val="0"/>
              <w:highlight w:val="none"/>
              <w:lang w:val="en-US" w:eastAsia="zh-CN"/>
            </w:rPr>
            <w:t xml:space="preserve">  </w:t>
          </w:r>
          <w:r>
            <w:rPr>
              <w:rFonts w:hint="eastAsia" w:ascii="方正小标宋简体" w:hAnsi="方正小标宋简体" w:eastAsia="方正小标宋简体" w:cs="方正小标宋简体"/>
              <w:bCs/>
              <w:strike w:val="0"/>
              <w:dstrike w:val="0"/>
              <w:highlight w:val="none"/>
            </w:rPr>
            <w:t>件</w:t>
          </w:r>
          <w:r>
            <w:tab/>
          </w:r>
          <w:r>
            <w:fldChar w:fldCharType="begin"/>
          </w:r>
          <w:r>
            <w:instrText xml:space="preserve"> PAGEREF _Toc20663 \h </w:instrText>
          </w:r>
          <w:r>
            <w:fldChar w:fldCharType="separate"/>
          </w:r>
          <w:r>
            <w:t>12</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1"/>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_Toc24384 </w:instrText>
          </w:r>
          <w:r>
            <w:rPr>
              <w:rFonts w:hint="eastAsia" w:ascii="方正小标宋简体" w:hAnsi="方正小标宋简体" w:eastAsia="方正小标宋简体" w:cs="方正小标宋简体"/>
              <w:szCs w:val="44"/>
              <w:highlight w:val="none"/>
            </w:rPr>
            <w:fldChar w:fldCharType="separate"/>
          </w:r>
          <w:r>
            <w:rPr>
              <w:rFonts w:hint="eastAsia" w:ascii="方正小标宋简体" w:hAnsi="方正小标宋简体" w:eastAsia="方正小标宋简体" w:cs="方正小标宋简体"/>
              <w:szCs w:val="44"/>
              <w:highlight w:val="none"/>
            </w:rPr>
            <w:t>第五部分 附</w:t>
          </w:r>
          <w:r>
            <w:rPr>
              <w:rFonts w:hint="eastAsia" w:ascii="方正小标宋简体" w:hAnsi="方正小标宋简体" w:eastAsia="方正小标宋简体" w:cs="方正小标宋简体"/>
              <w:szCs w:val="44"/>
              <w:highlight w:val="none"/>
              <w:lang w:val="en-US" w:eastAsia="zh-CN"/>
            </w:rPr>
            <w:t xml:space="preserve">  </w:t>
          </w:r>
          <w:r>
            <w:rPr>
              <w:rFonts w:hint="eastAsia" w:ascii="方正小标宋简体" w:hAnsi="方正小标宋简体" w:eastAsia="方正小标宋简体" w:cs="方正小标宋简体"/>
              <w:szCs w:val="44"/>
              <w:highlight w:val="none"/>
            </w:rPr>
            <w:t>表</w:t>
          </w:r>
          <w:r>
            <w:tab/>
          </w:r>
          <w:r>
            <w:fldChar w:fldCharType="begin"/>
          </w:r>
          <w:r>
            <w:instrText xml:space="preserve"> PAGEREF _Toc24384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_Toc20935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highlight w:val="none"/>
            </w:rPr>
            <w:t>一、收</w:t>
          </w:r>
          <w:r>
            <w:rPr>
              <w:rFonts w:hint="eastAsia" w:ascii="仿宋_GB2312" w:hAnsi="仿宋_GB2312" w:eastAsia="仿宋_GB2312" w:cs="仿宋_GB2312"/>
              <w:bCs w:val="0"/>
              <w:highlight w:val="none"/>
            </w:rPr>
            <w:t>入支出决算总表</w:t>
          </w:r>
          <w:r>
            <w:tab/>
          </w:r>
          <w:r>
            <w:fldChar w:fldCharType="begin"/>
          </w:r>
          <w:r>
            <w:instrText xml:space="preserve"> PAGEREF _Toc20935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_Toc652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highlight w:val="none"/>
            </w:rPr>
            <w:t>二、收</w:t>
          </w:r>
          <w:r>
            <w:rPr>
              <w:rFonts w:hint="eastAsia" w:ascii="仿宋_GB2312" w:hAnsi="仿宋_GB2312" w:eastAsia="仿宋_GB2312" w:cs="仿宋_GB2312"/>
              <w:bCs w:val="0"/>
              <w:highlight w:val="none"/>
            </w:rPr>
            <w:t>入决算表</w:t>
          </w:r>
          <w:r>
            <w:tab/>
          </w:r>
          <w:r>
            <w:fldChar w:fldCharType="begin"/>
          </w:r>
          <w:r>
            <w:instrText xml:space="preserve"> PAGEREF _Toc652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_Toc25506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三、</w:t>
          </w:r>
          <w:r>
            <w:rPr>
              <w:rFonts w:hint="eastAsia" w:ascii="仿宋_GB2312" w:hAnsi="仿宋_GB2312" w:eastAsia="仿宋_GB2312" w:cs="仿宋_GB2312"/>
              <w:highlight w:val="none"/>
            </w:rPr>
            <w:t>支</w:t>
          </w:r>
          <w:r>
            <w:rPr>
              <w:rFonts w:hint="eastAsia" w:ascii="仿宋_GB2312" w:hAnsi="仿宋_GB2312" w:eastAsia="仿宋_GB2312" w:cs="仿宋_GB2312"/>
              <w:bCs w:val="0"/>
              <w:highlight w:val="none"/>
            </w:rPr>
            <w:t>出决算表</w:t>
          </w:r>
          <w:r>
            <w:tab/>
          </w:r>
          <w:r>
            <w:fldChar w:fldCharType="begin"/>
          </w:r>
          <w:r>
            <w:instrText xml:space="preserve"> PAGEREF _Toc25506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_Toc222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四、</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政拨款收入支出决算总表</w:t>
          </w:r>
          <w:r>
            <w:tab/>
          </w:r>
          <w:r>
            <w:fldChar w:fldCharType="begin"/>
          </w:r>
          <w:r>
            <w:instrText xml:space="preserve"> PAGEREF _Toc222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_Toc22440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五、</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政拨款支出决算明细表</w:t>
          </w:r>
          <w:r>
            <w:tab/>
          </w:r>
          <w:r>
            <w:fldChar w:fldCharType="begin"/>
          </w:r>
          <w:r>
            <w:instrText xml:space="preserve"> PAGEREF _Toc22440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_Toc14335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六、</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般公共预算财政拨款支出决算表</w:t>
          </w:r>
          <w:r>
            <w:tab/>
          </w:r>
          <w:r>
            <w:fldChar w:fldCharType="begin"/>
          </w:r>
          <w:r>
            <w:instrText xml:space="preserve"> PAGEREF _Toc14335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_Toc22603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七、</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般公共预算财政拨款支出决算明细表</w:t>
          </w:r>
          <w:r>
            <w:tab/>
          </w:r>
          <w:r>
            <w:fldChar w:fldCharType="begin"/>
          </w:r>
          <w:r>
            <w:instrText xml:space="preserve"> PAGEREF _Toc22603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_Toc9509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八、</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般公共预算财政拨款基本支出决算表</w:t>
          </w:r>
          <w:r>
            <w:tab/>
          </w:r>
          <w:r>
            <w:fldChar w:fldCharType="begin"/>
          </w:r>
          <w:r>
            <w:instrText xml:space="preserve"> PAGEREF _Toc9509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_Toc8269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九、</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般公共预算财政拨款项目支出决算表</w:t>
          </w:r>
          <w:r>
            <w:tab/>
          </w:r>
          <w:r>
            <w:fldChar w:fldCharType="begin"/>
          </w:r>
          <w:r>
            <w:instrText xml:space="preserve"> PAGEREF _Toc8269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_Toc2274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十、</w:t>
          </w:r>
          <w:r>
            <w:rPr>
              <w:rFonts w:hint="eastAsia" w:ascii="仿宋_GB2312" w:hAnsi="仿宋_GB2312" w:eastAsia="仿宋_GB2312" w:cs="仿宋_GB2312"/>
              <w:highlight w:val="none"/>
            </w:rPr>
            <w:t>政</w:t>
          </w:r>
          <w:r>
            <w:rPr>
              <w:rFonts w:hint="eastAsia" w:ascii="仿宋_GB2312" w:hAnsi="仿宋_GB2312" w:eastAsia="仿宋_GB2312" w:cs="仿宋_GB2312"/>
              <w:bCs w:val="0"/>
              <w:highlight w:val="none"/>
            </w:rPr>
            <w:t>府性基金预算财政拨款收入支出决算表</w:t>
          </w:r>
          <w:r>
            <w:tab/>
          </w:r>
          <w:r>
            <w:fldChar w:fldCharType="begin"/>
          </w:r>
          <w:r>
            <w:instrText xml:space="preserve"> PAGEREF _Toc2274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_Toc872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十一、</w:t>
          </w:r>
          <w:r>
            <w:rPr>
              <w:rFonts w:hint="eastAsia" w:ascii="仿宋_GB2312" w:hAnsi="仿宋_GB2312" w:eastAsia="仿宋_GB2312" w:cs="仿宋_GB2312"/>
              <w:highlight w:val="none"/>
            </w:rPr>
            <w:t>国</w:t>
          </w:r>
          <w:r>
            <w:rPr>
              <w:rFonts w:hint="eastAsia" w:ascii="仿宋_GB2312" w:hAnsi="仿宋_GB2312" w:eastAsia="仿宋_GB2312" w:cs="仿宋_GB2312"/>
              <w:bCs w:val="0"/>
              <w:highlight w:val="none"/>
            </w:rPr>
            <w:t>有资本经营预算</w:t>
          </w:r>
          <w:r>
            <w:rPr>
              <w:rFonts w:hint="eastAsia" w:ascii="仿宋_GB2312" w:hAnsi="仿宋_GB2312" w:eastAsia="仿宋_GB2312" w:cs="仿宋_GB2312"/>
              <w:bCs w:val="0"/>
              <w:highlight w:val="none"/>
              <w:lang w:eastAsia="zh-CN"/>
            </w:rPr>
            <w:t>财政拨款收入</w:t>
          </w:r>
          <w:r>
            <w:rPr>
              <w:rFonts w:hint="eastAsia" w:ascii="仿宋_GB2312" w:hAnsi="仿宋_GB2312" w:eastAsia="仿宋_GB2312" w:cs="仿宋_GB2312"/>
              <w:bCs w:val="0"/>
              <w:highlight w:val="none"/>
            </w:rPr>
            <w:t>支出决算表</w:t>
          </w:r>
          <w:r>
            <w:tab/>
          </w:r>
          <w:r>
            <w:fldChar w:fldCharType="begin"/>
          </w:r>
          <w:r>
            <w:instrText xml:space="preserve"> PAGEREF _Toc872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_Toc28596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十二、</w:t>
          </w:r>
          <w:r>
            <w:rPr>
              <w:rFonts w:hint="eastAsia" w:ascii="仿宋_GB2312" w:hAnsi="仿宋_GB2312" w:eastAsia="仿宋_GB2312" w:cs="仿宋_GB2312"/>
              <w:bCs w:val="0"/>
              <w:highlight w:val="none"/>
              <w:lang w:eastAsia="zh-CN"/>
            </w:rPr>
            <w:t>国有资本经营预算财政拨款支出决算表</w:t>
          </w:r>
          <w:r>
            <w:tab/>
          </w:r>
          <w:r>
            <w:fldChar w:fldCharType="begin"/>
          </w:r>
          <w:r>
            <w:instrText xml:space="preserve"> PAGEREF _Toc28596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12"/>
            <w:tabs>
              <w:tab w:val="right" w:leader="dot" w:pos="8845"/>
              <w:tab w:val="clear" w:pos="8296"/>
            </w:tabs>
            <w:spacing w:line="360" w:lineRule="auto"/>
          </w:pPr>
          <w:r>
            <w:rPr>
              <w:rFonts w:hint="eastAsia" w:ascii="方正小标宋简体" w:hAnsi="方正小标宋简体" w:eastAsia="方正小标宋简体" w:cs="方正小标宋简体"/>
              <w:color w:val="auto"/>
              <w:szCs w:val="44"/>
              <w:highlight w:val="none"/>
            </w:rPr>
            <w:fldChar w:fldCharType="begin"/>
          </w:r>
          <w:r>
            <w:rPr>
              <w:rFonts w:hint="eastAsia" w:ascii="方正小标宋简体" w:hAnsi="方正小标宋简体" w:eastAsia="方正小标宋简体" w:cs="方正小标宋简体"/>
              <w:szCs w:val="44"/>
              <w:highlight w:val="none"/>
            </w:rPr>
            <w:instrText xml:space="preserve"> HYPERLINK \l _Toc27945 </w:instrText>
          </w:r>
          <w:r>
            <w:rPr>
              <w:rFonts w:hint="eastAsia" w:ascii="方正小标宋简体" w:hAnsi="方正小标宋简体" w:eastAsia="方正小标宋简体" w:cs="方正小标宋简体"/>
              <w:szCs w:val="44"/>
              <w:highlight w:val="none"/>
            </w:rPr>
            <w:fldChar w:fldCharType="separate"/>
          </w:r>
          <w:r>
            <w:rPr>
              <w:rFonts w:hint="eastAsia" w:ascii="仿宋_GB2312" w:hAnsi="仿宋_GB2312" w:eastAsia="仿宋_GB2312" w:cs="仿宋_GB2312"/>
              <w:bCs w:val="0"/>
              <w:highlight w:val="none"/>
            </w:rPr>
            <w:t>十三、</w:t>
          </w:r>
          <w:r>
            <w:rPr>
              <w:rFonts w:hint="eastAsia" w:ascii="仿宋_GB2312" w:hAnsi="仿宋_GB2312" w:eastAsia="仿宋_GB2312" w:cs="仿宋_GB2312"/>
              <w:bCs w:val="0"/>
              <w:highlight w:val="none"/>
              <w:lang w:eastAsia="zh-CN"/>
            </w:rPr>
            <w:t>财政拨款“三公”经费支出决算表</w:t>
          </w:r>
          <w:r>
            <w:tab/>
          </w:r>
          <w:r>
            <w:fldChar w:fldCharType="begin"/>
          </w:r>
          <w:r>
            <w:instrText xml:space="preserve"> PAGEREF _Toc27945 \h </w:instrText>
          </w:r>
          <w:r>
            <w:fldChar w:fldCharType="separate"/>
          </w:r>
          <w:r>
            <w:t>13</w:t>
          </w:r>
          <w:r>
            <w:fldChar w:fldCharType="end"/>
          </w:r>
          <w:r>
            <w:rPr>
              <w:rFonts w:hint="eastAsia" w:ascii="方正小标宋简体" w:hAnsi="方正小标宋简体" w:eastAsia="方正小标宋简体" w:cs="方正小标宋简体"/>
              <w:color w:val="auto"/>
              <w:szCs w:val="44"/>
              <w:highlight w:val="none"/>
            </w:rPr>
            <w:fldChar w:fldCharType="end"/>
          </w:r>
        </w:p>
        <w:p>
          <w:pPr>
            <w:pStyle w:val="3"/>
            <w:keepNext/>
            <w:keepLines/>
            <w:pageBreakBefore w:val="0"/>
            <w:widowControl w:val="0"/>
            <w:kinsoku/>
            <w:wordWrap/>
            <w:overflowPunct/>
            <w:topLinePunct w:val="0"/>
            <w:autoSpaceDE/>
            <w:autoSpaceDN/>
            <w:bidi w:val="0"/>
            <w:adjustRightInd/>
            <w:snapToGrid/>
            <w:spacing w:before="0" w:after="0" w:line="600" w:lineRule="exact"/>
            <w:ind w:firstLine="0" w:firstLineChars="0"/>
            <w:jc w:val="center"/>
            <w:textAlignment w:val="auto"/>
            <w:rPr>
              <w:rFonts w:hint="eastAsia" w:ascii="方正小标宋简体" w:hAnsi="方正小标宋简体" w:eastAsia="方正小标宋简体" w:cs="方正小标宋简体"/>
              <w:b/>
              <w:bCs/>
              <w:color w:val="auto"/>
              <w:kern w:val="44"/>
              <w:sz w:val="44"/>
              <w:szCs w:val="44"/>
              <w:highlight w:val="none"/>
              <w:lang w:val="en-US" w:eastAsia="zh-CN" w:bidi="ar-SA"/>
            </w:rPr>
          </w:pPr>
          <w:r>
            <w:rPr>
              <w:rFonts w:hint="eastAsia" w:ascii="方正小标宋简体" w:hAnsi="方正小标宋简体" w:eastAsia="方正小标宋简体" w:cs="方正小标宋简体"/>
              <w:color w:val="auto"/>
              <w:szCs w:val="44"/>
              <w:highlight w:val="none"/>
            </w:rPr>
            <w:fldChar w:fldCharType="end"/>
          </w:r>
        </w:p>
      </w:sdtContent>
    </w:sdt>
    <w:p>
      <w:pPr>
        <w:rPr>
          <w:rFonts w:hint="eastAsia"/>
        </w:rPr>
        <w:sectPr>
          <w:footerReference r:id="rId4" w:type="default"/>
          <w:pgSz w:w="11906" w:h="16838"/>
          <w:pgMar w:top="1701" w:right="1474" w:bottom="1701" w:left="1587" w:header="851" w:footer="1559" w:gutter="0"/>
          <w:pgNumType w:fmt="numberInDash" w:start="1"/>
          <w:cols w:space="0" w:num="1"/>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0" w:after="0" w:line="600" w:lineRule="exact"/>
        <w:ind w:firstLine="0" w:firstLineChars="0"/>
        <w:jc w:val="center"/>
        <w:textAlignment w:val="auto"/>
        <w:rPr>
          <w:rStyle w:val="18"/>
          <w:rFonts w:hint="eastAsia" w:ascii="仿宋_GB2312" w:hAnsi="仿宋_GB2312" w:eastAsia="仿宋_GB2312" w:cs="仿宋_GB2312"/>
          <w:b w:val="0"/>
          <w:bCs w:val="0"/>
          <w:color w:val="auto"/>
          <w:highlight w:val="none"/>
          <w:lang w:eastAsia="zh-CN"/>
        </w:rPr>
      </w:pPr>
      <w:bookmarkStart w:id="15" w:name="_Toc28719"/>
      <w:r>
        <w:rPr>
          <w:rFonts w:hint="eastAsia" w:ascii="方正小标宋简体" w:hAnsi="方正小标宋简体" w:eastAsia="方正小标宋简体" w:cs="方正小标宋简体"/>
          <w:b w:val="0"/>
          <w:color w:val="auto"/>
          <w:sz w:val="44"/>
          <w:szCs w:val="44"/>
          <w:highlight w:val="none"/>
        </w:rPr>
        <w:t xml:space="preserve">第一部分 </w:t>
      </w:r>
      <w:r>
        <w:rPr>
          <w:rFonts w:hint="eastAsia" w:ascii="方正小标宋简体" w:hAnsi="方正小标宋简体" w:eastAsia="方正小标宋简体" w:cs="方正小标宋简体"/>
          <w:b w:val="0"/>
          <w:color w:val="auto"/>
          <w:sz w:val="44"/>
          <w:szCs w:val="44"/>
          <w:highlight w:val="none"/>
          <w:lang w:eastAsia="zh-CN"/>
        </w:rPr>
        <w:t>单位</w:t>
      </w:r>
      <w:r>
        <w:rPr>
          <w:rStyle w:val="17"/>
          <w:rFonts w:hint="eastAsia" w:ascii="方正小标宋简体" w:hAnsi="方正小标宋简体" w:eastAsia="方正小标宋简体" w:cs="方正小标宋简体"/>
          <w:b w:val="0"/>
          <w:bCs w:val="0"/>
          <w:color w:val="auto"/>
          <w:sz w:val="44"/>
          <w:szCs w:val="44"/>
          <w:highlight w:val="none"/>
        </w:rPr>
        <w:t>概况</w:t>
      </w:r>
      <w:bookmarkEnd w:id="13"/>
      <w:bookmarkEnd w:id="14"/>
      <w:bookmarkEnd w:id="15"/>
      <w:bookmarkStart w:id="16" w:name="_Toc15377197"/>
      <w:bookmarkStart w:id="17" w:name="_Toc15396600"/>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Fonts w:hint="eastAsia" w:ascii="黑体" w:hAnsi="黑体" w:eastAsia="黑体" w:cs="黑体"/>
          <w:b w:val="0"/>
          <w:bCs w:val="0"/>
          <w:color w:val="auto"/>
          <w:highlight w:val="none"/>
          <w:lang w:eastAsia="zh-CN"/>
        </w:rPr>
      </w:pPr>
      <w:bookmarkStart w:id="18" w:name="_Toc20926"/>
      <w:r>
        <w:rPr>
          <w:rStyle w:val="18"/>
          <w:rFonts w:hint="eastAsia" w:ascii="黑体" w:hAnsi="黑体" w:eastAsia="黑体" w:cs="黑体"/>
          <w:b w:val="0"/>
          <w:bCs w:val="0"/>
          <w:color w:val="auto"/>
          <w:highlight w:val="none"/>
          <w:lang w:eastAsia="zh-CN"/>
        </w:rPr>
        <w:t>一、主要职责</w:t>
      </w:r>
      <w:bookmarkEnd w:id="18"/>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Fonts w:hint="eastAsia" w:ascii="仿宋_GB2312" w:hAnsi="仿宋_GB2312" w:eastAsia="仿宋_GB2312" w:cs="仿宋_GB2312"/>
          <w:b w:val="0"/>
          <w:bCs w:val="0"/>
          <w:color w:val="auto"/>
          <w:highlight w:val="none"/>
          <w:lang w:eastAsia="zh-CN"/>
        </w:rPr>
      </w:pPr>
      <w:bookmarkStart w:id="19" w:name="_Toc541"/>
      <w:r>
        <w:rPr>
          <w:rFonts w:hint="eastAsia" w:ascii="仿宋_GB2312" w:hAnsi="仿宋_GB2312" w:eastAsia="仿宋_GB2312" w:cs="仿宋_GB2312"/>
          <w:b w:val="0"/>
          <w:bCs w:val="0"/>
          <w:color w:val="auto"/>
          <w:sz w:val="32"/>
          <w:szCs w:val="32"/>
          <w:highlight w:val="none"/>
        </w:rPr>
        <w:t>广元市退役军人服务中心承担退役军人和其他优抚对象来访接待、政策咨询、权益咨询、法律援助、帮扶慰问、舆情收集等工作。负责提供就业创业服务和政策咨询，协助开展职业教育和技能培训，负责退役军人相关数据管理系统建设、安全管理、运行维护及信息数据采集、数据管理分析等。</w:t>
      </w:r>
      <w:bookmarkEnd w:id="19"/>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Style w:val="18"/>
          <w:rFonts w:hint="eastAsia" w:ascii="黑体" w:hAnsi="黑体" w:eastAsia="黑体" w:cs="黑体"/>
          <w:b w:val="0"/>
          <w:bCs w:val="0"/>
          <w:color w:val="auto"/>
          <w:highlight w:val="none"/>
          <w:lang w:val="en-US" w:eastAsia="zh-CN"/>
        </w:rPr>
      </w:pPr>
      <w:bookmarkStart w:id="20" w:name="_Toc8011"/>
      <w:r>
        <w:rPr>
          <w:rStyle w:val="18"/>
          <w:rFonts w:hint="eastAsia" w:ascii="黑体" w:hAnsi="黑体" w:eastAsia="黑体" w:cs="黑体"/>
          <w:b w:val="0"/>
          <w:bCs w:val="0"/>
          <w:color w:val="auto"/>
          <w:highlight w:val="none"/>
          <w:lang w:val="en-US" w:eastAsia="zh-CN"/>
        </w:rPr>
        <w:t>二、机构设置</w:t>
      </w:r>
      <w:bookmarkEnd w:id="16"/>
      <w:bookmarkEnd w:id="17"/>
      <w:bookmarkEnd w:id="20"/>
    </w:p>
    <w:p>
      <w:pPr>
        <w:ind w:firstLine="640" w:firstLineChars="200"/>
        <w:rPr>
          <w:rFonts w:hint="eastAsia" w:ascii="仿宋_GB2312" w:hAnsi="宋体" w:eastAsia="仿宋_GB2312" w:cs="仿宋_GB2312"/>
          <w:i w:val="0"/>
          <w:iCs w:val="0"/>
          <w:caps w:val="0"/>
          <w:color w:val="000000"/>
          <w:spacing w:val="0"/>
          <w:sz w:val="31"/>
          <w:szCs w:val="31"/>
          <w:shd w:val="clear" w:color="auto" w:fill="FFFFFF"/>
          <w:lang w:val="en-US" w:eastAsia="zh-CN"/>
        </w:rPr>
      </w:pPr>
      <w:r>
        <w:rPr>
          <w:rFonts w:hint="eastAsia" w:ascii="仿宋_GB2312" w:hAnsi="仿宋_GB2312" w:eastAsia="仿宋_GB2312" w:cs="仿宋_GB2312"/>
          <w:b w:val="0"/>
          <w:bCs w:val="0"/>
          <w:color w:val="auto"/>
          <w:sz w:val="32"/>
          <w:szCs w:val="32"/>
          <w:highlight w:val="none"/>
        </w:rPr>
        <w:t>市退役军人</w:t>
      </w:r>
      <w:r>
        <w:rPr>
          <w:rFonts w:hint="eastAsia" w:ascii="仿宋_GB2312" w:hAnsi="仿宋_GB2312" w:eastAsia="仿宋_GB2312" w:cs="仿宋_GB2312"/>
          <w:b w:val="0"/>
          <w:bCs w:val="0"/>
          <w:color w:val="auto"/>
          <w:sz w:val="32"/>
          <w:szCs w:val="32"/>
          <w:highlight w:val="none"/>
          <w:lang w:val="en-US" w:eastAsia="zh-CN"/>
        </w:rPr>
        <w:t>服务中心（广元市退役军人数据管理中心）成立于2019年3月，是广元市退役军人事务局管理的公益一类副处级事业单位，实行“一套人马、两块牌子”管理模式，</w:t>
      </w:r>
      <w:r>
        <w:rPr>
          <w:rFonts w:hint="eastAsia" w:ascii="仿宋_GB2312" w:hAnsi="宋体" w:eastAsia="仿宋_GB2312" w:cs="仿宋_GB2312"/>
          <w:i w:val="0"/>
          <w:iCs w:val="0"/>
          <w:caps w:val="0"/>
          <w:color w:val="auto"/>
          <w:spacing w:val="0"/>
          <w:sz w:val="31"/>
          <w:szCs w:val="31"/>
          <w:highlight w:val="none"/>
          <w:shd w:val="clear" w:color="auto" w:fill="FFFFFF"/>
          <w:lang w:val="en-US" w:eastAsia="zh-CN"/>
        </w:rPr>
        <w:t>根据《中</w:t>
      </w:r>
      <w:r>
        <w:rPr>
          <w:rFonts w:hint="eastAsia" w:ascii="仿宋_GB2312" w:hAnsi="宋体" w:eastAsia="仿宋_GB2312" w:cs="仿宋_GB2312"/>
          <w:i w:val="0"/>
          <w:iCs w:val="0"/>
          <w:caps w:val="0"/>
          <w:color w:val="000000"/>
          <w:spacing w:val="0"/>
          <w:sz w:val="31"/>
          <w:szCs w:val="31"/>
          <w:shd w:val="clear" w:color="auto" w:fill="FFFFFF"/>
          <w:lang w:val="en-US" w:eastAsia="zh-CN"/>
        </w:rPr>
        <w:t>共广元市委机构编制委员会关于调整市退役军人事务局所属事业单位机构编制事项的通知》（广编发〔2024〕75号）精神，核定事业编制23名，其中领导职数4名（副县级1名，正科级3名），中层领导职数7名（副科级），内设综合科、权益维护科、信息技术科、服务体系建设科、就业创业服务科、优抚帮扶科和党群服务科。财务机构设综合科，实行独立核算，单独设置会计、出纳岗。</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640" w:firstLineChars="200"/>
        <w:textAlignment w:val="auto"/>
        <w:rPr>
          <w:rFonts w:hint="eastAsia" w:ascii="仿宋" w:eastAsia="仿宋" w:hAnsiTheme="majorHAnsi" w:cstheme="majorBidi"/>
          <w:b w:val="0"/>
          <w:bCs w:val="0"/>
          <w:color w:val="000000"/>
          <w:kern w:val="2"/>
          <w:sz w:val="32"/>
          <w:szCs w:val="32"/>
          <w:lang w:val="en-US" w:eastAsia="zh-CN" w:bidi="ar-SA"/>
        </w:rPr>
      </w:pPr>
    </w:p>
    <w:p>
      <w:pPr>
        <w:pStyle w:val="3"/>
        <w:keepNext/>
        <w:keepLines/>
        <w:pageBreakBefore w:val="0"/>
        <w:widowControl w:val="0"/>
        <w:numPr>
          <w:ilvl w:val="0"/>
          <w:numId w:val="1"/>
        </w:numPr>
        <w:kinsoku/>
        <w:wordWrap/>
        <w:overflowPunct/>
        <w:topLinePunct w:val="0"/>
        <w:autoSpaceDE/>
        <w:autoSpaceDN/>
        <w:bidi w:val="0"/>
        <w:adjustRightInd/>
        <w:snapToGrid/>
        <w:spacing w:before="0" w:after="0" w:line="600" w:lineRule="exact"/>
        <w:ind w:right="0"/>
        <w:jc w:val="center"/>
        <w:textAlignment w:val="auto"/>
        <w:rPr>
          <w:rStyle w:val="17"/>
          <w:rFonts w:hint="eastAsia" w:ascii="方正小标宋简体" w:hAnsi="方正小标宋简体" w:eastAsia="方正小标宋简体" w:cs="方正小标宋简体"/>
          <w:b w:val="0"/>
          <w:bCs/>
          <w:color w:val="auto"/>
          <w:highlight w:val="none"/>
        </w:rPr>
      </w:pPr>
      <w:bookmarkStart w:id="21" w:name="_Toc15377204"/>
      <w:bookmarkStart w:id="22" w:name="_Toc29843"/>
      <w:bookmarkStart w:id="23" w:name="_Toc15396602"/>
      <w:r>
        <w:rPr>
          <w:rFonts w:hint="eastAsia" w:ascii="方正小标宋简体" w:hAnsi="方正小标宋简体" w:eastAsia="方正小标宋简体" w:cs="方正小标宋简体"/>
          <w:b w:val="0"/>
          <w:bCs/>
          <w:color w:val="auto"/>
          <w:highlight w:val="none"/>
          <w:lang w:val="en-US" w:eastAsia="zh-CN"/>
        </w:rPr>
        <w:t>2024年度</w:t>
      </w:r>
      <w:r>
        <w:rPr>
          <w:rStyle w:val="17"/>
          <w:rFonts w:hint="eastAsia" w:ascii="方正小标宋简体" w:hAnsi="方正小标宋简体" w:eastAsia="方正小标宋简体" w:cs="方正小标宋简体"/>
          <w:b w:val="0"/>
          <w:bCs/>
          <w:color w:val="auto"/>
          <w:highlight w:val="none"/>
          <w:lang w:eastAsia="zh-CN"/>
        </w:rPr>
        <w:t>单位</w:t>
      </w:r>
      <w:r>
        <w:rPr>
          <w:rStyle w:val="17"/>
          <w:rFonts w:hint="eastAsia" w:ascii="方正小标宋简体" w:hAnsi="方正小标宋简体" w:eastAsia="方正小标宋简体" w:cs="方正小标宋简体"/>
          <w:b w:val="0"/>
          <w:bCs/>
          <w:color w:val="auto"/>
          <w:highlight w:val="none"/>
        </w:rPr>
        <w:t>决算情况说明</w:t>
      </w:r>
      <w:bookmarkEnd w:id="21"/>
      <w:bookmarkEnd w:id="22"/>
      <w:bookmarkEnd w:id="23"/>
    </w:p>
    <w:p>
      <w:pPr>
        <w:numPr>
          <w:ilvl w:val="0"/>
          <w:numId w:val="0"/>
        </w:numPr>
        <w:rPr>
          <w:rFonts w:hint="eastAsia"/>
          <w:color w:val="auto"/>
        </w:rPr>
      </w:pP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4" w:name="_Toc15396603"/>
      <w:bookmarkStart w:id="25" w:name="_Toc1845"/>
      <w:bookmarkStart w:id="26" w:name="_Toc1537720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4"/>
      <w:bookmarkEnd w:id="25"/>
      <w:bookmarkEnd w:id="26"/>
    </w:p>
    <w:p>
      <w:pPr>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rPr>
        <w:t>年度收、支总计</w:t>
      </w:r>
      <w:r>
        <w:rPr>
          <w:rFonts w:hint="eastAsia" w:ascii="仿宋_GB2312" w:hAnsi="仿宋_GB2312" w:eastAsia="仿宋_GB2312" w:cs="仿宋_GB2312"/>
          <w:color w:val="auto"/>
          <w:sz w:val="32"/>
          <w:szCs w:val="32"/>
          <w:lang w:val="en-US" w:eastAsia="zh-CN"/>
        </w:rPr>
        <w:t>405.4</w:t>
      </w:r>
      <w:r>
        <w:rPr>
          <w:rFonts w:hint="eastAsia" w:ascii="仿宋_GB2312" w:hAnsi="仿宋_GB2312" w:eastAsia="仿宋_GB2312" w:cs="仿宋_GB2312"/>
          <w:color w:val="auto"/>
          <w:sz w:val="32"/>
          <w:szCs w:val="32"/>
        </w:rPr>
        <w:t>万元。与20</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年相比，收、支总计各</w:t>
      </w:r>
      <w:r>
        <w:rPr>
          <w:rFonts w:hint="eastAsia" w:ascii="仿宋_GB2312" w:hAnsi="仿宋_GB2312" w:eastAsia="仿宋_GB2312" w:cs="仿宋_GB2312"/>
          <w:color w:val="auto"/>
          <w:sz w:val="32"/>
          <w:szCs w:val="32"/>
          <w:lang w:eastAsia="zh-CN"/>
        </w:rPr>
        <w:t>减少</w:t>
      </w:r>
      <w:r>
        <w:rPr>
          <w:rFonts w:hint="eastAsia" w:ascii="仿宋_GB2312" w:hAnsi="仿宋_GB2312" w:eastAsia="仿宋_GB2312" w:cs="仿宋_GB2312"/>
          <w:color w:val="auto"/>
          <w:sz w:val="32"/>
          <w:szCs w:val="32"/>
          <w:lang w:val="en-US" w:eastAsia="zh-CN"/>
        </w:rPr>
        <w:t>3.15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下降</w:t>
      </w:r>
      <w:r>
        <w:rPr>
          <w:rFonts w:hint="eastAsia" w:ascii="仿宋_GB2312" w:hAnsi="仿宋_GB2312" w:eastAsia="仿宋_GB2312" w:cs="仿宋_GB2312"/>
          <w:color w:val="auto"/>
          <w:sz w:val="32"/>
          <w:szCs w:val="32"/>
          <w:lang w:val="en-US" w:eastAsia="zh-CN"/>
        </w:rPr>
        <w:t>0.77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eastAsia="zh-CN"/>
        </w:rPr>
        <w:t>是单位厉行节约减少了</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lang w:eastAsia="zh-CN"/>
        </w:rPr>
        <w:t>。</w:t>
      </w:r>
    </w:p>
    <w:p>
      <w:pPr>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drawing>
          <wp:inline distT="0" distB="0" distL="114300" distR="114300">
            <wp:extent cx="5080000" cy="3810000"/>
            <wp:effectExtent l="6350" t="635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ind w:firstLine="640" w:firstLineChars="200"/>
        <w:jc w:val="center"/>
        <w:rPr>
          <w:rFonts w:ascii="仿宋_GB2312" w:eastAsia="仿宋_GB2312"/>
          <w:color w:val="auto"/>
          <w:sz w:val="32"/>
          <w:szCs w:val="32"/>
          <w:highlight w:val="none"/>
        </w:rPr>
      </w:pPr>
      <w:r>
        <w:rPr>
          <w:rFonts w:hint="eastAsia" w:ascii="仿宋_GB2312" w:hAnsi="仿宋_GB2312" w:eastAsia="仿宋_GB2312" w:cs="仿宋_GB2312"/>
          <w:color w:val="auto"/>
          <w:sz w:val="32"/>
          <w:szCs w:val="32"/>
        </w:rPr>
        <w:t>（图1：收、支决算总计变动情况图）</w:t>
      </w: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7" w:name="_Toc15396604"/>
      <w:bookmarkStart w:id="28" w:name="_Toc15377206"/>
      <w:bookmarkStart w:id="29" w:name="_Toc3340"/>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27"/>
      <w:bookmarkEnd w:id="28"/>
      <w:bookmarkEnd w:id="29"/>
    </w:p>
    <w:p>
      <w:p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2024年度本年收入合计403.1万元，其中：一般公共预算财政拨款收入397.19万元，占98.53%；其他收入5.91万元，占1.47%。</w:t>
      </w:r>
    </w:p>
    <w:p>
      <w:pPr>
        <w:spacing w:line="600" w:lineRule="exact"/>
        <w:ind w:firstLine="640" w:firstLineChars="200"/>
        <w:rPr>
          <w:rFonts w:hint="eastAsia" w:ascii="仿宋" w:hAnsi="仿宋" w:eastAsia="仿宋"/>
          <w:color w:val="auto"/>
          <w:sz w:val="32"/>
          <w:szCs w:val="32"/>
          <w:highlight w:val="none"/>
        </w:rPr>
      </w:pPr>
    </w:p>
    <w:p>
      <w:pPr>
        <w:pStyle w:val="6"/>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080000" cy="3077210"/>
            <wp:effectExtent l="4445" t="4445" r="20955" b="2349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30" w:name="_Toc15377207"/>
      <w:bookmarkStart w:id="31" w:name="_Toc15396605"/>
      <w:bookmarkStart w:id="32" w:name="_Toc8896"/>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0"/>
      <w:bookmarkEnd w:id="31"/>
      <w:bookmarkEnd w:id="32"/>
    </w:p>
    <w:p>
      <w:pPr>
        <w:ind w:firstLine="640" w:firstLineChars="200"/>
        <w:jc w:val="both"/>
        <w:rPr>
          <w:rFonts w:ascii="仿宋" w:hAnsi="仿宋" w:eastAsia="仿宋"/>
          <w:color w:val="auto"/>
          <w:sz w:val="32"/>
          <w:szCs w:val="32"/>
          <w:highlight w:val="none"/>
          <w:shd w:val="pct10" w:color="auto" w:fill="FFFFFF"/>
        </w:rPr>
      </w:pPr>
      <w:r>
        <w:rPr>
          <w:rFonts w:hint="eastAsia" w:ascii="仿宋_GB2312" w:hAnsi="仿宋_GB2312" w:eastAsia="仿宋_GB2312" w:cs="仿宋_GB2312"/>
          <w:color w:val="auto"/>
          <w:sz w:val="32"/>
          <w:szCs w:val="32"/>
          <w:lang w:val="en-US" w:eastAsia="zh-CN"/>
        </w:rPr>
        <w:t>2024年度本年支出合计405.4万元，其中：基本支出324.02万元，占79.93%；项目支出81.38万元，占20.07%。</w:t>
      </w:r>
    </w:p>
    <w:p>
      <w:pPr>
        <w:pStyle w:val="6"/>
        <w:rPr>
          <w:rFonts w:hint="eastAsia" w:eastAsia="仿宋_GB2312"/>
          <w:color w:val="auto"/>
          <w:lang w:eastAsia="zh-CN"/>
        </w:rPr>
      </w:pPr>
      <w:r>
        <w:rPr>
          <w:rFonts w:hint="eastAsia" w:eastAsia="仿宋_GB2312"/>
          <w:color w:val="auto"/>
          <w:lang w:eastAsia="zh-CN"/>
        </w:rPr>
        <w:drawing>
          <wp:inline distT="0" distB="0" distL="114300" distR="114300">
            <wp:extent cx="5080000" cy="2470785"/>
            <wp:effectExtent l="4445" t="4445" r="20955"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Style w:val="18"/>
          <w:rFonts w:ascii="黑体" w:hAnsi="黑体" w:eastAsia="黑体"/>
          <w:b w:val="0"/>
          <w:color w:val="auto"/>
          <w:highlight w:val="none"/>
        </w:rPr>
      </w:pPr>
      <w:bookmarkStart w:id="33" w:name="_Toc15377208"/>
      <w:bookmarkStart w:id="34" w:name="_Toc15396606"/>
      <w:bookmarkStart w:id="35" w:name="_Toc2733"/>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33"/>
      <w:bookmarkEnd w:id="34"/>
      <w:bookmarkEnd w:id="35"/>
    </w:p>
    <w:p>
      <w:pPr>
        <w:ind w:firstLine="640" w:firstLineChars="200"/>
        <w:jc w:val="both"/>
        <w:rPr>
          <w:color w:val="auto"/>
        </w:rPr>
      </w:pPr>
      <w:r>
        <w:rPr>
          <w:rFonts w:hint="eastAsia" w:ascii="仿宋_GB2312" w:hAnsi="仿宋_GB2312" w:eastAsia="仿宋_GB2312" w:cs="仿宋_GB2312"/>
          <w:color w:val="auto"/>
          <w:sz w:val="32"/>
          <w:szCs w:val="32"/>
          <w:lang w:val="en-US" w:eastAsia="zh-CN"/>
        </w:rPr>
        <w:t>2024年财政拨款收、支总计399.49万元。与2023年相比，财政拨款收、支总计各减少7.08万元，下降1.74%。</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eastAsia="zh-CN"/>
        </w:rPr>
        <w:t>是单位厉行节约减少了</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lang w:eastAsia="zh-CN"/>
        </w:rPr>
        <w:t>。</w:t>
      </w:r>
    </w:p>
    <w:p>
      <w:pPr>
        <w:pStyle w:val="6"/>
        <w:rPr>
          <w:rFonts w:hint="eastAsia" w:eastAsia="仿宋_GB2312"/>
          <w:color w:val="auto"/>
          <w:lang w:eastAsia="zh-CN"/>
        </w:rPr>
      </w:pPr>
      <w:r>
        <w:rPr>
          <w:rFonts w:hint="eastAsia" w:eastAsia="仿宋_GB2312"/>
          <w:color w:val="auto"/>
          <w:lang w:eastAsia="zh-CN"/>
        </w:rPr>
        <w:drawing>
          <wp:inline distT="0" distB="0" distL="114300" distR="114300">
            <wp:extent cx="5165725" cy="2127885"/>
            <wp:effectExtent l="4445" t="4445" r="1143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Style w:val="18"/>
          <w:rFonts w:ascii="黑体" w:hAnsi="黑体" w:eastAsia="黑体"/>
          <w:b w:val="0"/>
          <w:color w:val="auto"/>
          <w:highlight w:val="none"/>
        </w:rPr>
      </w:pPr>
      <w:bookmarkStart w:id="36" w:name="_Toc15396607"/>
      <w:bookmarkStart w:id="37" w:name="_Toc15293"/>
      <w:bookmarkStart w:id="38"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36"/>
      <w:bookmarkEnd w:id="37"/>
      <w:bookmarkEnd w:id="38"/>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ascii="仿宋" w:hAnsi="仿宋" w:eastAsia="仿宋"/>
          <w:b/>
          <w:color w:val="auto"/>
          <w:sz w:val="32"/>
          <w:szCs w:val="32"/>
          <w:highlight w:val="none"/>
        </w:rPr>
      </w:pPr>
      <w:bookmarkStart w:id="39" w:name="_Toc15377210"/>
      <w:r>
        <w:rPr>
          <w:rFonts w:hint="eastAsia" w:ascii="仿宋" w:hAnsi="仿宋" w:eastAsia="仿宋"/>
          <w:b/>
          <w:color w:val="auto"/>
          <w:sz w:val="32"/>
          <w:szCs w:val="32"/>
          <w:highlight w:val="none"/>
        </w:rPr>
        <w:t>（一）一般公共预算财政拨款支出决算总体情况</w:t>
      </w:r>
      <w:bookmarkEnd w:id="39"/>
    </w:p>
    <w:p>
      <w:pPr>
        <w:ind w:firstLine="640" w:firstLineChars="200"/>
        <w:jc w:val="both"/>
        <w:rPr>
          <w:rFonts w:hint="eastAsia" w:ascii="仿宋" w:hAnsi="仿宋" w:eastAsia="仿宋"/>
          <w:color w:val="auto"/>
          <w:sz w:val="32"/>
          <w:szCs w:val="32"/>
          <w:highlight w:val="none"/>
        </w:rPr>
      </w:pPr>
      <w:r>
        <w:rPr>
          <w:rFonts w:hint="eastAsia" w:ascii="仿宋_GB2312" w:hAnsi="仿宋_GB2312" w:eastAsia="仿宋_GB2312" w:cs="仿宋_GB2312"/>
          <w:color w:val="auto"/>
          <w:sz w:val="32"/>
          <w:szCs w:val="32"/>
          <w:lang w:val="en-US" w:eastAsia="zh-CN"/>
        </w:rPr>
        <w:t>2024年一般公共预算财政拨款支出399.49万元，占本年支出合计的98.54%。与2023年相比，一般公共预算财政拨款支出减少4.77万元，下降1.18%。</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eastAsia="zh-CN"/>
        </w:rPr>
        <w:t>是单位厉行节约减少了</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lang w:eastAsia="zh-CN"/>
        </w:rPr>
        <w:t>。</w:t>
      </w:r>
    </w:p>
    <w:p>
      <w:pPr>
        <w:pStyle w:val="6"/>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80000" cy="2133600"/>
            <wp:effectExtent l="4445" t="4445" r="20955" b="1460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spacing w:line="600" w:lineRule="exact"/>
        <w:ind w:firstLine="642" w:firstLineChars="200"/>
        <w:outlineLvl w:val="2"/>
        <w:rPr>
          <w:rFonts w:hint="eastAsia" w:ascii="仿宋_GB2312" w:hAnsi="仿宋_GB2312" w:eastAsia="仿宋_GB2312" w:cs="仿宋_GB2312"/>
          <w:b/>
          <w:color w:val="auto"/>
          <w:sz w:val="32"/>
          <w:szCs w:val="32"/>
          <w:highlight w:val="none"/>
        </w:rPr>
      </w:pPr>
      <w:bookmarkStart w:id="40" w:name="_Toc15377211"/>
      <w:r>
        <w:rPr>
          <w:rFonts w:hint="eastAsia" w:ascii="仿宋_GB2312" w:hAnsi="仿宋_GB2312" w:eastAsia="仿宋_GB2312" w:cs="仿宋_GB2312"/>
          <w:b/>
          <w:color w:val="auto"/>
          <w:sz w:val="32"/>
          <w:szCs w:val="32"/>
          <w:highlight w:val="none"/>
        </w:rPr>
        <w:t>（二）一般公共预算财政拨款支出决算结构情况</w:t>
      </w:r>
      <w:bookmarkEnd w:id="40"/>
    </w:p>
    <w:p>
      <w:pPr>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lang w:val="en-US" w:eastAsia="zh-CN"/>
        </w:rPr>
        <w:t>2024年度一般公共预算财政拨款支出399.49万元，主要用于以下方面：社会保障和就业支出362.84万元，占90.83%；卫生健康支出12.34万元，占3.09%；住房保障支出24.31万元，占6.08%。</w:t>
      </w:r>
    </w:p>
    <w:p>
      <w:pPr>
        <w:pStyle w:val="6"/>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80000" cy="2940050"/>
            <wp:effectExtent l="4445" t="4445" r="20955" b="825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spacing w:line="600" w:lineRule="exact"/>
        <w:ind w:firstLine="642" w:firstLineChars="200"/>
        <w:outlineLvl w:val="2"/>
        <w:rPr>
          <w:rFonts w:hint="eastAsia" w:ascii="仿宋_GB2312" w:hAnsi="仿宋_GB2312" w:eastAsia="仿宋_GB2312" w:cs="仿宋_GB2312"/>
          <w:b/>
          <w:bCs w:val="0"/>
          <w:color w:val="auto"/>
          <w:sz w:val="32"/>
          <w:szCs w:val="32"/>
          <w:highlight w:val="none"/>
        </w:rPr>
      </w:pPr>
      <w:bookmarkStart w:id="41" w:name="_Toc15377212"/>
      <w:r>
        <w:rPr>
          <w:rFonts w:hint="eastAsia" w:ascii="仿宋_GB2312" w:hAnsi="仿宋_GB2312" w:eastAsia="仿宋_GB2312" w:cs="仿宋_GB2312"/>
          <w:b/>
          <w:bCs w:val="0"/>
          <w:color w:val="auto"/>
          <w:sz w:val="32"/>
          <w:szCs w:val="32"/>
          <w:highlight w:val="none"/>
        </w:rPr>
        <w:t>（三）一般公共预算财政拨款支出决算具体情况</w:t>
      </w:r>
      <w:bookmarkEnd w:id="41"/>
    </w:p>
    <w:p>
      <w:pPr>
        <w:spacing w:line="600" w:lineRule="exact"/>
        <w:ind w:firstLine="640" w:firstLineChars="200"/>
        <w:outlineLvl w:val="2"/>
        <w:rPr>
          <w:rFonts w:hint="eastAsia" w:ascii="仿宋_GB2312" w:hAnsi="仿宋_GB2312" w:eastAsia="仿宋_GB2312" w:cs="仿宋_GB2312"/>
          <w:b w:val="0"/>
          <w:bCs/>
          <w:color w:val="auto"/>
          <w:sz w:val="32"/>
          <w:szCs w:val="32"/>
          <w:highlight w:val="none"/>
        </w:rPr>
      </w:pPr>
      <w:bookmarkStart w:id="42" w:name="_Toc15378460"/>
      <w:bookmarkStart w:id="43" w:name="_Toc15377444"/>
      <w:bookmarkStart w:id="44" w:name="_Toc15377213"/>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24</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度一</w:t>
      </w:r>
      <w:r>
        <w:rPr>
          <w:rFonts w:hint="eastAsia" w:ascii="仿宋_GB2312" w:hAnsi="仿宋_GB2312" w:eastAsia="仿宋_GB2312" w:cs="仿宋_GB2312"/>
          <w:b w:val="0"/>
          <w:bCs/>
          <w:color w:val="auto"/>
          <w:sz w:val="32"/>
          <w:szCs w:val="32"/>
          <w:highlight w:val="none"/>
        </w:rPr>
        <w:t>般公共预算支出决算数为</w:t>
      </w:r>
      <w:r>
        <w:rPr>
          <w:rFonts w:hint="eastAsia" w:ascii="仿宋_GB2312" w:hAnsi="仿宋_GB2312" w:eastAsia="仿宋_GB2312" w:cs="仿宋_GB2312"/>
          <w:color w:val="auto"/>
          <w:sz w:val="32"/>
          <w:szCs w:val="32"/>
          <w:lang w:val="en-US" w:eastAsia="zh-CN"/>
        </w:rPr>
        <w:t>399.49万元</w:t>
      </w:r>
      <w:r>
        <w:rPr>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rPr>
        <w:t>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%。其中：</w:t>
      </w:r>
      <w:bookmarkEnd w:id="42"/>
      <w:bookmarkEnd w:id="43"/>
      <w:bookmarkEnd w:id="4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lang w:val="en-US" w:eastAsia="zh-CN"/>
        </w:rPr>
        <w:t>1.</w:t>
      </w:r>
      <w:r>
        <w:rPr>
          <w:rStyle w:val="15"/>
          <w:rFonts w:hint="eastAsia" w:ascii="仿宋_GB2312" w:hAnsi="仿宋_GB2312" w:eastAsia="仿宋_GB2312" w:cs="仿宋_GB2312"/>
          <w:b w:val="0"/>
          <w:bCs/>
          <w:color w:val="auto"/>
          <w:sz w:val="32"/>
          <w:szCs w:val="32"/>
          <w:highlight w:val="none"/>
        </w:rPr>
        <w:t>社会保障和就业（类）行政事业单位养老支出（款）机关事业单位基本养老保险缴费支出（项）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27.94</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Style w:val="15"/>
          <w:rFonts w:hint="eastAsia" w:ascii="仿宋_GB2312" w:hAnsi="仿宋_GB2312" w:eastAsia="仿宋_GB2312" w:cs="仿宋_GB2312"/>
          <w:b w:val="0"/>
          <w:bCs/>
          <w:color w:val="auto"/>
          <w:sz w:val="32"/>
          <w:szCs w:val="32"/>
          <w:highlight w:val="none"/>
          <w:lang w:val="en-US" w:eastAsia="zh-CN"/>
        </w:rPr>
      </w:pPr>
      <w:r>
        <w:rPr>
          <w:rStyle w:val="15"/>
          <w:rFonts w:hint="eastAsia" w:ascii="仿宋_GB2312" w:hAnsi="仿宋_GB2312" w:eastAsia="仿宋_GB2312" w:cs="仿宋_GB2312"/>
          <w:b w:val="0"/>
          <w:bCs/>
          <w:color w:val="auto"/>
          <w:sz w:val="32"/>
          <w:szCs w:val="32"/>
          <w:highlight w:val="none"/>
          <w:lang w:val="en-US" w:eastAsia="zh-CN"/>
        </w:rPr>
        <w:t>2.</w:t>
      </w:r>
      <w:r>
        <w:rPr>
          <w:rStyle w:val="15"/>
          <w:rFonts w:hint="eastAsia" w:ascii="仿宋_GB2312" w:hAnsi="仿宋_GB2312" w:eastAsia="仿宋_GB2312" w:cs="仿宋_GB2312"/>
          <w:b w:val="0"/>
          <w:bCs/>
          <w:color w:val="auto"/>
          <w:sz w:val="32"/>
          <w:szCs w:val="32"/>
          <w:highlight w:val="none"/>
        </w:rPr>
        <w:t>社会保障和就业（类）退役安置（款）其他退役安置支出（项）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27.92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eastAsia="仿宋_GB2312"/>
          <w:color w:val="auto"/>
          <w:lang w:eastAsia="zh-CN"/>
        </w:rPr>
      </w:pPr>
      <w:r>
        <w:rPr>
          <w:rStyle w:val="15"/>
          <w:rFonts w:hint="eastAsia" w:ascii="仿宋_GB2312" w:hAnsi="仿宋_GB2312" w:eastAsia="仿宋_GB2312" w:cs="仿宋_GB2312"/>
          <w:b w:val="0"/>
          <w:bCs/>
          <w:color w:val="auto"/>
          <w:sz w:val="32"/>
          <w:szCs w:val="32"/>
          <w:highlight w:val="none"/>
          <w:lang w:val="en-US" w:eastAsia="zh-CN"/>
        </w:rPr>
        <w:t>3.</w:t>
      </w:r>
      <w:r>
        <w:rPr>
          <w:rStyle w:val="15"/>
          <w:rFonts w:hint="eastAsia" w:ascii="仿宋_GB2312" w:hAnsi="仿宋_GB2312" w:eastAsia="仿宋_GB2312" w:cs="仿宋_GB2312"/>
          <w:b w:val="0"/>
          <w:bCs/>
          <w:color w:val="auto"/>
          <w:sz w:val="32"/>
          <w:szCs w:val="32"/>
          <w:highlight w:val="none"/>
        </w:rPr>
        <w:t>社会保障和就业（类）退役军人管理事务（款）事业运行（项）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253.52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pStyle w:val="6"/>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color w:val="auto"/>
          <w:sz w:val="32"/>
          <w:szCs w:val="32"/>
        </w:rPr>
      </w:pPr>
      <w:r>
        <w:rPr>
          <w:rStyle w:val="15"/>
          <w:rFonts w:hint="eastAsia" w:hAnsi="仿宋_GB2312" w:cs="仿宋_GB2312"/>
          <w:b w:val="0"/>
          <w:bCs/>
          <w:color w:val="auto"/>
          <w:sz w:val="32"/>
          <w:szCs w:val="32"/>
          <w:highlight w:val="none"/>
          <w:lang w:val="en-US" w:eastAsia="zh-CN"/>
        </w:rPr>
        <w:t>4</w:t>
      </w:r>
      <w:r>
        <w:rPr>
          <w:rStyle w:val="15"/>
          <w:rFonts w:hint="eastAsia" w:ascii="仿宋_GB2312" w:hAnsi="仿宋_GB2312" w:eastAsia="仿宋_GB2312" w:cs="仿宋_GB2312"/>
          <w:b w:val="0"/>
          <w:bCs/>
          <w:color w:val="auto"/>
          <w:sz w:val="32"/>
          <w:szCs w:val="32"/>
          <w:highlight w:val="none"/>
        </w:rPr>
        <w:t>.社会保障和就业（类）退役军人管理事务（款）其他退役军人事务管理支出（项）</w:t>
      </w:r>
      <w:r>
        <w:rPr>
          <w:rStyle w:val="15"/>
          <w:rFonts w:hint="eastAsia" w:hAnsi="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hAnsi="仿宋_GB2312" w:cs="仿宋_GB2312"/>
          <w:b w:val="0"/>
          <w:bCs/>
          <w:color w:val="auto"/>
          <w:sz w:val="32"/>
          <w:szCs w:val="32"/>
          <w:highlight w:val="none"/>
          <w:lang w:val="en-US" w:eastAsia="zh-CN"/>
        </w:rPr>
        <w:t>53.46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spacing w:line="600" w:lineRule="exact"/>
        <w:ind w:firstLine="640" w:firstLineChars="200"/>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lang w:val="en-US" w:eastAsia="zh-CN"/>
        </w:rPr>
        <w:t>5</w:t>
      </w:r>
      <w:r>
        <w:rPr>
          <w:rStyle w:val="15"/>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卫生健康</w:t>
      </w:r>
      <w:r>
        <w:rPr>
          <w:rStyle w:val="15"/>
          <w:rFonts w:hint="eastAsia" w:ascii="仿宋_GB2312" w:hAnsi="仿宋_GB2312" w:eastAsia="仿宋_GB2312" w:cs="仿宋_GB2312"/>
          <w:b w:val="0"/>
          <w:bCs/>
          <w:color w:val="auto"/>
          <w:sz w:val="32"/>
          <w:szCs w:val="32"/>
          <w:highlight w:val="none"/>
        </w:rPr>
        <w:t>（类）行政事业单位医疗（款）事业单位医疗（项）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12.34</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spacing w:line="600" w:lineRule="exact"/>
        <w:ind w:firstLine="640" w:firstLineChars="200"/>
        <w:rPr>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 w:val="0"/>
          <w:bCs/>
          <w:color w:val="auto"/>
          <w:sz w:val="32"/>
          <w:szCs w:val="32"/>
          <w:highlight w:val="none"/>
          <w:lang w:val="en-US" w:eastAsia="zh-CN"/>
        </w:rPr>
        <w:t>6</w:t>
      </w:r>
      <w:r>
        <w:rPr>
          <w:rStyle w:val="15"/>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住房保障支出</w:t>
      </w:r>
      <w:r>
        <w:rPr>
          <w:rStyle w:val="15"/>
          <w:rFonts w:hint="eastAsia" w:ascii="仿宋_GB2312" w:hAnsi="仿宋_GB2312" w:eastAsia="仿宋_GB2312" w:cs="仿宋_GB2312"/>
          <w:b w:val="0"/>
          <w:bCs/>
          <w:color w:val="auto"/>
          <w:sz w:val="32"/>
          <w:szCs w:val="32"/>
          <w:highlight w:val="none"/>
        </w:rPr>
        <w:t>（类）住房改革支出（款）住房公积金（项）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24.31</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p>
    <w:p>
      <w:pPr>
        <w:tabs>
          <w:tab w:val="right" w:pos="8306"/>
        </w:tabs>
        <w:spacing w:line="600" w:lineRule="exact"/>
        <w:ind w:firstLine="640"/>
        <w:outlineLvl w:val="1"/>
        <w:rPr>
          <w:rStyle w:val="18"/>
          <w:color w:val="auto"/>
          <w:highlight w:val="none"/>
        </w:rPr>
      </w:pPr>
      <w:bookmarkStart w:id="45" w:name="_Toc15377214"/>
      <w:bookmarkStart w:id="46" w:name="_Toc15396608"/>
      <w:bookmarkStart w:id="47" w:name="_Toc56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5"/>
      <w:bookmarkEnd w:id="46"/>
      <w:bookmarkEnd w:id="47"/>
      <w:r>
        <w:rPr>
          <w:rStyle w:val="18"/>
          <w:rFonts w:ascii="黑体" w:hAnsi="黑体" w:eastAsia="黑体"/>
          <w:b w:val="0"/>
          <w:color w:val="auto"/>
          <w:highlight w:val="none"/>
        </w:rPr>
        <w:tab/>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一般公共预算财政拨款基本支出</w:t>
      </w:r>
      <w:r>
        <w:rPr>
          <w:rFonts w:hint="eastAsia" w:ascii="仿宋_GB2312" w:hAnsi="仿宋_GB2312" w:eastAsia="仿宋_GB2312" w:cs="仿宋_GB2312"/>
          <w:color w:val="auto"/>
          <w:sz w:val="32"/>
          <w:szCs w:val="32"/>
          <w:lang w:val="en-US" w:eastAsia="zh-CN"/>
        </w:rPr>
        <w:t>318.12</w:t>
      </w:r>
      <w:r>
        <w:rPr>
          <w:rFonts w:hint="eastAsia" w:ascii="仿宋_GB2312" w:hAnsi="仿宋_GB2312" w:eastAsia="仿宋_GB2312" w:cs="仿宋_GB2312"/>
          <w:color w:val="auto"/>
          <w:sz w:val="32"/>
          <w:szCs w:val="32"/>
          <w:highlight w:val="none"/>
        </w:rPr>
        <w:t>万元，其中：</w:t>
      </w:r>
    </w:p>
    <w:p>
      <w:pP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290.5</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w:t>
      </w:r>
      <w:r>
        <w:rPr>
          <w:rFonts w:hint="eastAsia" w:ascii="仿宋_GB2312" w:hAnsi="仿宋_GB2312" w:eastAsia="仿宋_GB2312" w:cs="仿宋_GB2312"/>
          <w:color w:val="auto"/>
          <w:sz w:val="32"/>
          <w:szCs w:val="32"/>
          <w:highlight w:val="none"/>
          <w:lang w:val="en-US" w:eastAsia="zh-CN"/>
        </w:rPr>
        <w:t>职工基本医疗保险缴费、</w:t>
      </w:r>
      <w:r>
        <w:rPr>
          <w:rFonts w:hint="eastAsia" w:ascii="仿宋_GB2312" w:hAnsi="仿宋_GB2312" w:eastAsia="仿宋_GB2312" w:cs="仿宋_GB2312"/>
          <w:color w:val="auto"/>
          <w:sz w:val="32"/>
          <w:szCs w:val="32"/>
          <w:highlight w:val="none"/>
        </w:rPr>
        <w:t>其他社会保障缴费、住房公积金、其他工资福利支出、生活补助。</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27.62</w:t>
      </w:r>
      <w:r>
        <w:rPr>
          <w:rFonts w:hint="eastAsia" w:ascii="仿宋_GB2312" w:hAnsi="仿宋_GB2312" w:eastAsia="仿宋_GB2312" w:cs="仿宋_GB2312"/>
          <w:color w:val="auto"/>
          <w:sz w:val="32"/>
          <w:szCs w:val="32"/>
          <w:highlight w:val="none"/>
        </w:rPr>
        <w:t>万元，主要包括：办公费、印刷费、水费、电费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邮电费、差旅费、维修（护）费、租赁费</w:t>
      </w:r>
      <w:r>
        <w:rPr>
          <w:rFonts w:hint="eastAsia" w:ascii="仿宋_GB2312" w:hAnsi="仿宋_GB2312" w:eastAsia="仿宋_GB2312" w:cs="仿宋_GB2312"/>
          <w:color w:val="auto"/>
          <w:sz w:val="32"/>
          <w:szCs w:val="32"/>
          <w:highlight w:val="none"/>
          <w:lang w:eastAsia="zh-CN"/>
        </w:rPr>
        <w:t>、会议费、</w:t>
      </w:r>
      <w:r>
        <w:rPr>
          <w:rFonts w:hint="eastAsia" w:ascii="仿宋_GB2312" w:hAnsi="仿宋_GB2312" w:eastAsia="仿宋_GB2312" w:cs="仿宋_GB2312"/>
          <w:color w:val="auto"/>
          <w:sz w:val="32"/>
          <w:szCs w:val="32"/>
          <w:highlight w:val="none"/>
        </w:rPr>
        <w:t>公务接待费、劳务费、工会经费、福利费、其他交通费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p>
    <w:p>
      <w:pPr>
        <w:spacing w:line="600" w:lineRule="exact"/>
        <w:ind w:firstLine="640"/>
        <w:outlineLvl w:val="1"/>
        <w:rPr>
          <w:rStyle w:val="18"/>
          <w:rFonts w:ascii="黑体" w:hAnsi="黑体" w:eastAsia="黑体"/>
          <w:b w:val="0"/>
          <w:color w:val="auto"/>
          <w:highlight w:val="none"/>
        </w:rPr>
      </w:pPr>
      <w:bookmarkStart w:id="48" w:name="_Toc9536"/>
      <w:bookmarkStart w:id="49" w:name="_Toc15377215"/>
      <w:bookmarkStart w:id="50" w:name="_Toc15396609"/>
      <w:bookmarkStart w:id="51" w:name="OLE_LINK1"/>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48"/>
      <w:bookmarkEnd w:id="49"/>
      <w:bookmarkEnd w:id="50"/>
    </w:p>
    <w:bookmarkEnd w:id="51"/>
    <w:p>
      <w:pPr>
        <w:spacing w:line="600" w:lineRule="exact"/>
        <w:ind w:firstLine="640"/>
        <w:outlineLvl w:val="2"/>
        <w:rPr>
          <w:rFonts w:hint="eastAsia" w:ascii="仿宋_GB2312" w:hAnsi="仿宋_GB2312" w:eastAsia="仿宋_GB2312" w:cs="仿宋_GB2312"/>
          <w:b/>
          <w:color w:val="auto"/>
          <w:sz w:val="32"/>
          <w:szCs w:val="32"/>
          <w:highlight w:val="none"/>
        </w:rPr>
      </w:pPr>
      <w:bookmarkStart w:id="52" w:name="_Toc15377216"/>
      <w:r>
        <w:rPr>
          <w:rFonts w:hint="eastAsia" w:ascii="仿宋_GB2312" w:hAnsi="仿宋_GB2312" w:eastAsia="仿宋_GB2312" w:cs="仿宋_GB2312"/>
          <w:b/>
          <w:color w:val="auto"/>
          <w:sz w:val="32"/>
          <w:szCs w:val="32"/>
          <w:highlight w:val="none"/>
        </w:rPr>
        <w:t>（一）“三公”经费财政拨款支出决算总体情况说明</w:t>
      </w:r>
      <w:bookmarkEnd w:id="52"/>
    </w:p>
    <w:p>
      <w:pPr>
        <w:spacing w:line="600" w:lineRule="exact"/>
        <w:ind w:firstLine="64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“三公”经费财政拨款支出决算为</w:t>
      </w:r>
      <w:r>
        <w:rPr>
          <w:rFonts w:hint="eastAsia" w:ascii="仿宋_GB2312" w:hAnsi="仿宋_GB2312" w:eastAsia="仿宋_GB2312" w:cs="仿宋_GB2312"/>
          <w:color w:val="auto"/>
          <w:sz w:val="32"/>
          <w:szCs w:val="32"/>
          <w:highlight w:val="none"/>
          <w:lang w:val="en-US" w:eastAsia="zh-CN"/>
        </w:rPr>
        <w:t>24.89</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w:t>
      </w:r>
      <w:r>
        <w:rPr>
          <w:rFonts w:hint="eastAsia" w:ascii="仿宋_GB2312" w:hAnsi="仿宋_GB2312" w:eastAsia="仿宋_GB2312" w:cs="仿宋_GB2312"/>
          <w:color w:val="auto"/>
          <w:sz w:val="32"/>
          <w:szCs w:val="32"/>
          <w:highlight w:val="none"/>
          <w:lang w:val="en-US" w:eastAsia="zh-CN"/>
        </w:rPr>
        <w:t>增加24.69万元，增长12251.36%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决算数与预算数持平。</w:t>
      </w:r>
    </w:p>
    <w:p>
      <w:pPr>
        <w:spacing w:line="600" w:lineRule="exact"/>
        <w:ind w:firstLine="640"/>
        <w:outlineLvl w:val="2"/>
        <w:rPr>
          <w:rFonts w:hint="eastAsia" w:ascii="仿宋_GB2312" w:hAnsi="仿宋_GB2312" w:eastAsia="仿宋_GB2312" w:cs="仿宋_GB2312"/>
          <w:b/>
          <w:color w:val="auto"/>
          <w:sz w:val="32"/>
          <w:szCs w:val="32"/>
          <w:highlight w:val="none"/>
        </w:rPr>
      </w:pPr>
      <w:bookmarkStart w:id="53" w:name="_Toc15377217"/>
      <w:r>
        <w:rPr>
          <w:rFonts w:hint="eastAsia" w:ascii="仿宋_GB2312" w:hAnsi="仿宋_GB2312" w:eastAsia="仿宋_GB2312" w:cs="仿宋_GB2312"/>
          <w:b/>
          <w:color w:val="auto"/>
          <w:sz w:val="32"/>
          <w:szCs w:val="32"/>
          <w:highlight w:val="none"/>
        </w:rPr>
        <w:t>（二）“三公”经费财政拨款支出决算具体情况说明</w:t>
      </w:r>
      <w:bookmarkEnd w:id="53"/>
    </w:p>
    <w:p>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24.69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99.2</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0.2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0.8</w:t>
      </w:r>
      <w:r>
        <w:rPr>
          <w:rFonts w:hint="eastAsia" w:ascii="仿宋_GB2312" w:hAnsi="仿宋_GB2312" w:eastAsia="仿宋_GB2312" w:cs="仿宋_GB2312"/>
          <w:color w:val="auto"/>
          <w:sz w:val="32"/>
          <w:szCs w:val="32"/>
          <w:highlight w:val="none"/>
        </w:rPr>
        <w:t>%。具体情况如下：</w:t>
      </w:r>
    </w:p>
    <w:p>
      <w:pPr>
        <w:pStyle w:val="6"/>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80000" cy="2940050"/>
            <wp:effectExtent l="4445" t="4445" r="20955" b="825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w:t>
      </w:r>
    </w:p>
    <w:p>
      <w:pPr>
        <w:keepNext w:val="0"/>
        <w:keepLines w:val="0"/>
        <w:pageBreakBefore w:val="0"/>
        <w:widowControl w:val="0"/>
        <w:kinsoku/>
        <w:wordWrap/>
        <w:overflowPunct/>
        <w:topLinePunct w:val="0"/>
        <w:bidi w:val="0"/>
        <w:snapToGrid/>
        <w:spacing w:line="600" w:lineRule="exact"/>
        <w:ind w:firstLine="645"/>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1.因公出国（境）经费支出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b w:val="0"/>
          <w:bCs/>
          <w:color w:val="auto"/>
          <w:sz w:val="32"/>
          <w:szCs w:val="32"/>
          <w:highlight w:val="none"/>
          <w:lang w:val="en-US" w:eastAsia="zh-CN"/>
        </w:rPr>
        <w:t>年初未安排预算，较上年无变化</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2.公务用车购置及运行维护费支出</w:t>
      </w:r>
      <w:r>
        <w:rPr>
          <w:rFonts w:hint="eastAsia" w:ascii="仿宋_GB2312" w:hAnsi="仿宋_GB2312" w:eastAsia="仿宋_GB2312" w:cs="仿宋_GB2312"/>
          <w:color w:val="auto"/>
          <w:sz w:val="32"/>
          <w:szCs w:val="32"/>
          <w:highlight w:val="none"/>
          <w:lang w:val="en-US" w:eastAsia="zh-CN"/>
        </w:rPr>
        <w:t>24.69</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color w:val="auto"/>
          <w:sz w:val="32"/>
          <w:szCs w:val="32"/>
          <w:highlight w:val="none"/>
        </w:rPr>
        <w:t>公务用车购置及运行维护费支出决算比</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24.69</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val="en-US" w:eastAsia="zh-CN"/>
        </w:rPr>
        <w:t>2024年购置公务车1辆，金额24.69万元</w:t>
      </w:r>
      <w:r>
        <w:rPr>
          <w:rFonts w:hint="eastAsia" w:ascii="仿宋_GB2312" w:hAnsi="仿宋_GB2312" w:eastAsia="仿宋_GB2312" w:cs="仿宋_GB2312"/>
          <w:b w:val="0"/>
          <w:bCs/>
          <w:color w:val="auto"/>
          <w:sz w:val="32"/>
          <w:szCs w:val="32"/>
          <w:highlight w:val="none"/>
        </w:rPr>
        <w:t>。</w:t>
      </w:r>
    </w:p>
    <w:p>
      <w:pPr>
        <w:pStyle w:val="2"/>
        <w:ind w:left="0" w:leftChars="0" w:firstLine="640" w:firstLineChars="200"/>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其中：公务用车购置支出24.69万元。全年按规定更新购置公务用车1辆，其中越野车1辆，主要用于开展指导全市基层服务站建设，信访稳定，走访慰问等工作。截至2024年12月31日，单位共有公务用车1辆，其中：越野车1辆。</w:t>
      </w:r>
    </w:p>
    <w:p>
      <w:pPr>
        <w:pStyle w:val="2"/>
        <w:ind w:left="0" w:leftChars="0" w:firstLine="642" w:firstLineChars="200"/>
        <w:rPr>
          <w:rFonts w:hint="eastAsia" w:ascii="仿宋_GB2312" w:hAnsi="仿宋_GB2312" w:eastAsia="仿宋_GB2312" w:cs="仿宋_GB2312"/>
          <w:b w:val="0"/>
          <w:bCs/>
          <w:color w:val="auto"/>
          <w:kern w:val="2"/>
          <w:sz w:val="32"/>
          <w:szCs w:val="32"/>
          <w:highlight w:val="yellow"/>
          <w:lang w:val="en-US" w:eastAsia="zh-CN" w:bidi="ar-SA"/>
        </w:rPr>
      </w:pPr>
      <w:r>
        <w:rPr>
          <w:rFonts w:hint="eastAsia" w:ascii="仿宋_GB2312" w:hAnsi="仿宋_GB2312" w:eastAsia="仿宋_GB2312" w:cs="仿宋_GB2312"/>
          <w:b/>
          <w:bCs/>
          <w:color w:val="auto"/>
          <w:sz w:val="32"/>
          <w:szCs w:val="32"/>
          <w:highlight w:val="none"/>
        </w:rPr>
        <w:t>公务用车运行维护费支出</w:t>
      </w:r>
      <w:r>
        <w:rPr>
          <w:rFonts w:hint="eastAsia" w:ascii="仿宋_GB2312" w:hAnsi="仿宋_GB2312" w:eastAsia="仿宋_GB2312" w:cs="仿宋_GB2312"/>
          <w:b/>
          <w:bCs/>
          <w:color w:val="auto"/>
          <w:sz w:val="32"/>
          <w:szCs w:val="32"/>
          <w:highlight w:val="none"/>
          <w:lang w:val="en-US" w:eastAsia="zh-CN"/>
        </w:rPr>
        <w:t>0</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3.公务接待费支出</w:t>
      </w:r>
      <w:r>
        <w:rPr>
          <w:rFonts w:hint="eastAsia" w:ascii="仿宋_GB2312" w:hAnsi="仿宋_GB2312" w:eastAsia="仿宋_GB2312" w:cs="仿宋_GB2312"/>
          <w:b w:val="0"/>
          <w:bCs/>
          <w:color w:val="auto"/>
          <w:sz w:val="32"/>
          <w:szCs w:val="32"/>
          <w:highlight w:val="none"/>
          <w:lang w:val="en-US" w:eastAsia="zh-CN"/>
        </w:rPr>
        <w:t>0.2</w:t>
      </w:r>
      <w:r>
        <w:rPr>
          <w:rFonts w:hint="eastAsia" w:ascii="仿宋_GB2312" w:hAnsi="仿宋_GB2312" w:eastAsia="仿宋_GB2312" w:cs="仿宋_GB2312"/>
          <w:b w:val="0"/>
          <w:bCs/>
          <w:color w:val="auto"/>
          <w:sz w:val="32"/>
          <w:szCs w:val="32"/>
          <w:highlight w:val="none"/>
        </w:rPr>
        <w:t>万元，</w:t>
      </w:r>
      <w:r>
        <w:rPr>
          <w:rStyle w:val="15"/>
          <w:rFonts w:hint="eastAsia" w:ascii="仿宋_GB2312" w:hAnsi="仿宋_GB2312" w:eastAsia="仿宋_GB2312" w:cs="仿宋_GB2312"/>
          <w:b w:val="0"/>
          <w:bCs/>
          <w:color w:val="auto"/>
          <w:sz w:val="32"/>
          <w:szCs w:val="32"/>
          <w:highlight w:val="none"/>
        </w:rPr>
        <w:t>完成预算</w:t>
      </w:r>
      <w:r>
        <w:rPr>
          <w:rStyle w:val="15"/>
          <w:rFonts w:hint="eastAsia" w:ascii="仿宋_GB2312" w:hAnsi="仿宋_GB2312" w:eastAsia="仿宋_GB2312" w:cs="仿宋_GB2312"/>
          <w:b w:val="0"/>
          <w:bCs/>
          <w:color w:val="auto"/>
          <w:sz w:val="32"/>
          <w:szCs w:val="32"/>
          <w:highlight w:val="none"/>
          <w:lang w:val="en-US" w:eastAsia="zh-CN"/>
        </w:rPr>
        <w:t>100</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公务接待费支出决算比与</w:t>
      </w:r>
      <w:r>
        <w:rPr>
          <w:rFonts w:hint="eastAsia" w:ascii="仿宋_GB2312" w:hAnsi="仿宋_GB2312" w:eastAsia="仿宋_GB2312" w:cs="仿宋_GB2312"/>
          <w:b w:val="0"/>
          <w:bCs/>
          <w:color w:val="auto"/>
          <w:sz w:val="32"/>
          <w:szCs w:val="32"/>
          <w:highlight w:val="none"/>
          <w:lang w:val="en-US" w:eastAsia="zh-CN"/>
        </w:rPr>
        <w:t>2023年减少0.003万元，下降1.74%</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主要原因是厉行节约，压减公务接待费。</w:t>
      </w:r>
      <w:r>
        <w:rPr>
          <w:rFonts w:hint="eastAsia" w:ascii="仿宋_GB2312" w:hAnsi="仿宋_GB2312" w:eastAsia="仿宋_GB2312" w:cs="仿宋_GB2312"/>
          <w:b w:val="0"/>
          <w:bCs/>
          <w:color w:val="auto"/>
          <w:sz w:val="32"/>
          <w:szCs w:val="32"/>
          <w:highlight w:val="none"/>
        </w:rPr>
        <w:t>其中：</w:t>
      </w:r>
    </w:p>
    <w:p>
      <w:pPr>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国内公务接待支出</w:t>
      </w:r>
      <w:r>
        <w:rPr>
          <w:rFonts w:hint="eastAsia" w:ascii="仿宋_GB2312" w:hAnsi="仿宋_GB2312" w:eastAsia="仿宋_GB2312" w:cs="仿宋_GB2312"/>
          <w:b w:val="0"/>
          <w:bCs/>
          <w:color w:val="auto"/>
          <w:sz w:val="32"/>
          <w:szCs w:val="32"/>
          <w:highlight w:val="none"/>
          <w:lang w:val="en-US" w:eastAsia="zh-CN"/>
        </w:rPr>
        <w:t>0.2</w:t>
      </w:r>
      <w:r>
        <w:rPr>
          <w:rFonts w:hint="eastAsia" w:ascii="仿宋_GB2312" w:hAnsi="仿宋_GB2312" w:eastAsia="仿宋_GB2312" w:cs="仿宋_GB2312"/>
          <w:b w:val="0"/>
          <w:bCs/>
          <w:color w:val="auto"/>
          <w:sz w:val="32"/>
          <w:szCs w:val="32"/>
          <w:highlight w:val="none"/>
        </w:rPr>
        <w:t>万元，主要用于执行公务活动开支的用餐费。国内公务接待</w:t>
      </w:r>
      <w:r>
        <w:rPr>
          <w:rFonts w:hint="eastAsia" w:ascii="仿宋_GB2312" w:hAnsi="仿宋_GB2312" w:eastAsia="仿宋_GB2312" w:cs="仿宋_GB2312"/>
          <w:b w:val="0"/>
          <w:bCs/>
          <w:color w:val="auto"/>
          <w:sz w:val="32"/>
          <w:szCs w:val="32"/>
          <w:highlight w:val="none"/>
          <w:lang w:val="en-US" w:eastAsia="zh-CN"/>
        </w:rPr>
        <w:t>3</w:t>
      </w:r>
      <w:r>
        <w:rPr>
          <w:rFonts w:hint="eastAsia" w:ascii="仿宋_GB2312" w:hAnsi="仿宋_GB2312" w:eastAsia="仿宋_GB2312" w:cs="仿宋_GB2312"/>
          <w:b w:val="0"/>
          <w:bCs/>
          <w:color w:val="auto"/>
          <w:sz w:val="32"/>
          <w:szCs w:val="32"/>
          <w:highlight w:val="none"/>
        </w:rPr>
        <w:t>批次，</w:t>
      </w:r>
      <w:r>
        <w:rPr>
          <w:rFonts w:hint="eastAsia" w:ascii="仿宋_GB2312" w:hAnsi="仿宋_GB2312" w:eastAsia="仿宋_GB2312" w:cs="仿宋_GB2312"/>
          <w:b w:val="0"/>
          <w:bCs/>
          <w:color w:val="auto"/>
          <w:sz w:val="32"/>
          <w:szCs w:val="32"/>
          <w:highlight w:val="none"/>
          <w:lang w:val="en-US" w:eastAsia="zh-CN"/>
        </w:rPr>
        <w:t>20</w:t>
      </w:r>
      <w:r>
        <w:rPr>
          <w:rFonts w:hint="eastAsia" w:ascii="仿宋_GB2312" w:hAnsi="仿宋_GB2312" w:eastAsia="仿宋_GB2312" w:cs="仿宋_GB2312"/>
          <w:b w:val="0"/>
          <w:bCs/>
          <w:color w:val="auto"/>
          <w:sz w:val="32"/>
          <w:szCs w:val="32"/>
          <w:highlight w:val="none"/>
        </w:rPr>
        <w:t>人次（包括陪同人员），共计支出</w:t>
      </w:r>
      <w:r>
        <w:rPr>
          <w:rFonts w:hint="eastAsia" w:ascii="仿宋_GB2312" w:hAnsi="仿宋_GB2312" w:eastAsia="仿宋_GB2312" w:cs="仿宋_GB2312"/>
          <w:b w:val="0"/>
          <w:bCs/>
          <w:color w:val="auto"/>
          <w:sz w:val="32"/>
          <w:szCs w:val="32"/>
          <w:highlight w:val="none"/>
          <w:lang w:val="en-US" w:eastAsia="zh-CN"/>
        </w:rPr>
        <w:t>0.2</w:t>
      </w:r>
      <w:r>
        <w:rPr>
          <w:rFonts w:hint="eastAsia" w:ascii="仿宋_GB2312" w:hAnsi="仿宋_GB2312" w:eastAsia="仿宋_GB2312" w:cs="仿宋_GB2312"/>
          <w:b w:val="0"/>
          <w:bCs/>
          <w:color w:val="auto"/>
          <w:sz w:val="32"/>
          <w:szCs w:val="32"/>
          <w:highlight w:val="none"/>
        </w:rPr>
        <w:t>万元，具体内容包括：</w:t>
      </w:r>
      <w:r>
        <w:rPr>
          <w:rFonts w:hint="eastAsia" w:ascii="仿宋_GB2312" w:hAnsi="仿宋_GB2312" w:eastAsia="仿宋_GB2312" w:cs="仿宋_GB2312"/>
          <w:b w:val="0"/>
          <w:bCs/>
          <w:color w:val="auto"/>
          <w:sz w:val="32"/>
          <w:szCs w:val="32"/>
          <w:highlight w:val="none"/>
          <w:lang w:eastAsia="zh-CN"/>
        </w:rPr>
        <w:t>接待来广调研交流公务</w:t>
      </w:r>
      <w:r>
        <w:rPr>
          <w:rFonts w:hint="eastAsia" w:ascii="仿宋_GB2312" w:hAnsi="仿宋_GB2312" w:eastAsia="仿宋_GB2312" w:cs="仿宋_GB2312"/>
          <w:b w:val="0"/>
          <w:bCs/>
          <w:color w:val="auto"/>
          <w:sz w:val="32"/>
          <w:szCs w:val="32"/>
          <w:highlight w:val="none"/>
          <w:lang w:val="en-US" w:eastAsia="zh-CN"/>
        </w:rPr>
        <w:t>用餐费用0.2万元</w:t>
      </w:r>
      <w:r>
        <w:rPr>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外事接待支出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b w:val="0"/>
          <w:bCs/>
          <w:color w:val="auto"/>
          <w:sz w:val="32"/>
          <w:szCs w:val="32"/>
          <w:highlight w:val="none"/>
          <w:lang w:eastAsia="zh-CN"/>
        </w:rPr>
        <w:t>。</w:t>
      </w:r>
      <w:bookmarkStart w:id="54" w:name="_Toc15396610"/>
      <w:bookmarkStart w:id="55" w:name="_Toc15377218"/>
    </w:p>
    <w:p>
      <w:pPr>
        <w:keepNext w:val="0"/>
        <w:keepLines w:val="0"/>
        <w:pageBreakBefore w:val="0"/>
        <w:widowControl w:val="0"/>
        <w:kinsoku/>
        <w:wordWrap/>
        <w:overflowPunct/>
        <w:topLinePunct w:val="0"/>
        <w:bidi w:val="0"/>
        <w:snapToGrid/>
        <w:spacing w:line="600" w:lineRule="exact"/>
        <w:ind w:firstLine="640"/>
        <w:textAlignment w:val="auto"/>
        <w:outlineLvl w:val="1"/>
        <w:rPr>
          <w:rStyle w:val="18"/>
          <w:rFonts w:ascii="黑体" w:hAnsi="黑体" w:eastAsia="黑体"/>
          <w:color w:val="auto"/>
          <w:highlight w:val="none"/>
        </w:rPr>
      </w:pPr>
      <w:bookmarkStart w:id="56" w:name="_Toc3707"/>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4"/>
      <w:bookmarkEnd w:id="55"/>
      <w:bookmarkEnd w:id="56"/>
    </w:p>
    <w:p>
      <w:pPr>
        <w:keepNext w:val="0"/>
        <w:keepLines w:val="0"/>
        <w:pageBreakBefore w:val="0"/>
        <w:widowControl w:val="0"/>
        <w:kinsoku/>
        <w:wordWrap/>
        <w:overflowPunct/>
        <w:topLinePunct w:val="0"/>
        <w:bidi w:val="0"/>
        <w:snapToGrid/>
        <w:spacing w:line="600"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3"/>
        </w:numPr>
        <w:kinsoku/>
        <w:wordWrap/>
        <w:overflowPunct/>
        <w:topLinePunct w:val="0"/>
        <w:bidi w:val="0"/>
        <w:snapToGrid/>
        <w:spacing w:line="600" w:lineRule="exact"/>
        <w:ind w:firstLine="640"/>
        <w:textAlignment w:val="auto"/>
        <w:outlineLvl w:val="1"/>
        <w:rPr>
          <w:rStyle w:val="18"/>
          <w:rFonts w:ascii="黑体" w:hAnsi="黑体" w:eastAsia="黑体"/>
          <w:b w:val="0"/>
          <w:color w:val="auto"/>
          <w:highlight w:val="none"/>
        </w:rPr>
      </w:pPr>
      <w:bookmarkStart w:id="57" w:name="_Toc15396611"/>
      <w:bookmarkStart w:id="58" w:name="_Toc15377219"/>
      <w:bookmarkStart w:id="59" w:name="_Toc31400"/>
      <w:r>
        <w:rPr>
          <w:rStyle w:val="18"/>
          <w:rFonts w:hint="eastAsia" w:ascii="黑体" w:hAnsi="黑体" w:eastAsia="黑体"/>
          <w:b w:val="0"/>
          <w:color w:val="auto"/>
          <w:highlight w:val="none"/>
        </w:rPr>
        <w:t>国有资本经营预算支出决算情况说明</w:t>
      </w:r>
      <w:bookmarkEnd w:id="57"/>
      <w:bookmarkEnd w:id="58"/>
      <w:bookmarkEnd w:id="59"/>
    </w:p>
    <w:p>
      <w:pPr>
        <w:keepNext w:val="0"/>
        <w:keepLines w:val="0"/>
        <w:pageBreakBefore w:val="0"/>
        <w:widowControl w:val="0"/>
        <w:kinsoku/>
        <w:wordWrap/>
        <w:overflowPunct/>
        <w:topLinePunct w:val="0"/>
        <w:bidi w:val="0"/>
        <w:snapToGrid/>
        <w:spacing w:line="600" w:lineRule="exact"/>
        <w:ind w:firstLine="640"/>
        <w:textAlignment w:val="auto"/>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3"/>
        </w:numPr>
        <w:kinsoku/>
        <w:wordWrap/>
        <w:overflowPunct/>
        <w:topLinePunct w:val="0"/>
        <w:bidi w:val="0"/>
        <w:snapToGrid/>
        <w:spacing w:line="600" w:lineRule="exact"/>
        <w:ind w:firstLine="640"/>
        <w:textAlignment w:val="auto"/>
        <w:outlineLvl w:val="1"/>
        <w:rPr>
          <w:rStyle w:val="18"/>
          <w:rFonts w:hint="eastAsia" w:ascii="黑体" w:hAnsi="黑体" w:eastAsia="黑体"/>
          <w:b w:val="0"/>
          <w:color w:val="auto"/>
          <w:highlight w:val="none"/>
        </w:rPr>
      </w:pPr>
      <w:bookmarkStart w:id="60" w:name="_Toc15396612"/>
      <w:bookmarkStart w:id="61" w:name="_Toc8629"/>
      <w:bookmarkStart w:id="62" w:name="_Toc15377221"/>
      <w:r>
        <w:rPr>
          <w:rStyle w:val="18"/>
          <w:rFonts w:hint="eastAsia" w:ascii="黑体" w:hAnsi="黑体" w:eastAsia="黑体"/>
          <w:b w:val="0"/>
          <w:color w:val="auto"/>
          <w:highlight w:val="none"/>
        </w:rPr>
        <w:t>其他重要事项的情况说明</w:t>
      </w:r>
      <w:bookmarkEnd w:id="60"/>
      <w:bookmarkEnd w:id="61"/>
      <w:bookmarkEnd w:id="62"/>
    </w:p>
    <w:p>
      <w:pPr>
        <w:keepNext w:val="0"/>
        <w:keepLines w:val="0"/>
        <w:pageBreakBefore w:val="0"/>
        <w:widowControl w:val="0"/>
        <w:kinsoku/>
        <w:wordWrap/>
        <w:overflowPunct/>
        <w:topLinePunct w:val="0"/>
        <w:bidi w:val="0"/>
        <w:snapToGrid/>
        <w:spacing w:line="600" w:lineRule="exact"/>
        <w:ind w:firstLine="642" w:firstLineChars="200"/>
        <w:textAlignment w:val="auto"/>
        <w:outlineLvl w:val="2"/>
        <w:rPr>
          <w:rFonts w:ascii="仿宋" w:hAnsi="仿宋" w:eastAsia="仿宋"/>
          <w:color w:val="auto"/>
          <w:sz w:val="32"/>
          <w:szCs w:val="32"/>
          <w:highlight w:val="none"/>
        </w:rPr>
      </w:pPr>
      <w:bookmarkStart w:id="63" w:name="_Toc15377222"/>
      <w:r>
        <w:rPr>
          <w:rFonts w:hint="eastAsia" w:ascii="仿宋" w:hAnsi="仿宋" w:eastAsia="仿宋"/>
          <w:b/>
          <w:color w:val="auto"/>
          <w:sz w:val="32"/>
          <w:szCs w:val="32"/>
          <w:highlight w:val="none"/>
        </w:rPr>
        <w:t>（一）机关运行经费支出情况</w:t>
      </w:r>
      <w:bookmarkEnd w:id="63"/>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 w:hAnsi="仿宋" w:eastAsia="仿宋"/>
          <w:b/>
          <w:color w:val="auto"/>
          <w:sz w:val="32"/>
          <w:szCs w:val="32"/>
          <w:highlight w:val="none"/>
        </w:rPr>
      </w:pPr>
      <w:r>
        <w:rPr>
          <w:rFonts w:hint="eastAsia" w:ascii="仿宋_GB2312" w:eastAsia="仿宋_GB2312"/>
          <w:color w:val="auto"/>
          <w:sz w:val="32"/>
          <w:szCs w:val="32"/>
          <w:highlight w:val="none"/>
          <w:lang w:eastAsia="zh-CN"/>
        </w:rPr>
        <w:t>我单位为事业单位，</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未发生</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决算数持平</w:t>
      </w:r>
      <w:r>
        <w:rPr>
          <w:rFonts w:hint="eastAsia" w:ascii="仿宋_GB2312" w:eastAsia="仿宋_GB2312"/>
          <w:color w:val="auto"/>
          <w:sz w:val="32"/>
          <w:szCs w:val="32"/>
          <w:highlight w:val="none"/>
        </w:rPr>
        <w:t>。</w:t>
      </w:r>
      <w:bookmarkStart w:id="64" w:name="_Toc15377223"/>
    </w:p>
    <w:p>
      <w:pPr>
        <w:keepNext w:val="0"/>
        <w:keepLines w:val="0"/>
        <w:pageBreakBefore w:val="0"/>
        <w:widowControl w:val="0"/>
        <w:kinsoku/>
        <w:wordWrap/>
        <w:overflowPunct/>
        <w:topLinePunct w:val="0"/>
        <w:autoSpaceDE w:val="0"/>
        <w:autoSpaceDN w:val="0"/>
        <w:bidi w:val="0"/>
        <w:adjustRightInd w:val="0"/>
        <w:snapToGrid/>
        <w:spacing w:line="600" w:lineRule="exact"/>
        <w:ind w:firstLine="642" w:firstLineChars="200"/>
        <w:jc w:val="left"/>
        <w:textAlignment w:val="auto"/>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4"/>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广元市退役军人服务中心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30.16</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30.16</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both"/>
        <w:outlineLvl w:val="2"/>
        <w:rPr>
          <w:rFonts w:hint="eastAsia" w:ascii="仿宋_GB2312" w:hAnsi="仿宋_GB2312" w:eastAsia="仿宋_GB2312" w:cs="仿宋_GB2312"/>
          <w:b/>
          <w:color w:val="auto"/>
          <w:sz w:val="32"/>
          <w:szCs w:val="32"/>
          <w:highlight w:val="none"/>
        </w:rPr>
      </w:pPr>
      <w:bookmarkStart w:id="65" w:name="_Toc15377224"/>
      <w:r>
        <w:rPr>
          <w:rFonts w:hint="eastAsia" w:ascii="仿宋_GB2312" w:hAnsi="仿宋_GB2312" w:eastAsia="仿宋_GB2312" w:cs="仿宋_GB2312"/>
          <w:b/>
          <w:color w:val="auto"/>
          <w:sz w:val="32"/>
          <w:szCs w:val="32"/>
          <w:highlight w:val="none"/>
        </w:rPr>
        <w:t>（三）国有资产占有使用情况</w:t>
      </w:r>
      <w:bookmarkEnd w:id="65"/>
    </w:p>
    <w:p>
      <w:pPr>
        <w:autoSpaceDE w:val="0"/>
        <w:autoSpaceDN w:val="0"/>
        <w:adjustRightInd w:val="0"/>
        <w:spacing w:line="600" w:lineRule="exact"/>
        <w:ind w:firstLine="640" w:firstLineChars="200"/>
        <w:jc w:val="both"/>
        <w:rPr>
          <w:rFonts w:hint="eastAsia" w:ascii="仿宋_GB2312" w:hAnsi="仿宋_GB2312" w:eastAsia="仿宋_GB2312" w:cs="仿宋_GB2312"/>
          <w:strike w:val="0"/>
          <w:dstrike w:val="0"/>
          <w:color w:val="auto"/>
          <w:sz w:val="32"/>
          <w:szCs w:val="32"/>
          <w:highlight w:val="none"/>
        </w:rPr>
      </w:pP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年12月31日，</w:t>
      </w:r>
      <w:r>
        <w:rPr>
          <w:rFonts w:hint="eastAsia" w:ascii="仿宋_GB2312" w:hAnsi="仿宋_GB2312" w:eastAsia="仿宋_GB2312" w:cs="仿宋_GB2312"/>
          <w:color w:val="auto"/>
          <w:sz w:val="32"/>
          <w:szCs w:val="32"/>
          <w:highlight w:val="none"/>
          <w:lang w:eastAsia="zh-CN"/>
        </w:rPr>
        <w:t>广元市退役军人服务中心</w:t>
      </w:r>
      <w:r>
        <w:rPr>
          <w:rFonts w:hint="eastAsia" w:ascii="仿宋_GB2312" w:hAnsi="仿宋_GB2312" w:eastAsia="仿宋_GB2312" w:cs="仿宋_GB2312"/>
          <w:color w:val="auto"/>
          <w:sz w:val="32"/>
          <w:szCs w:val="32"/>
          <w:highlight w:val="none"/>
        </w:rPr>
        <w:t>共有车辆</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辆，其中：</w:t>
      </w:r>
      <w:r>
        <w:rPr>
          <w:rFonts w:hint="eastAsia" w:ascii="仿宋_GB2312" w:hAnsi="仿宋_GB2312" w:eastAsia="仿宋_GB2312" w:cs="仿宋_GB2312"/>
          <w:strike w:val="0"/>
          <w:dstrike w:val="0"/>
          <w:color w:val="auto"/>
          <w:sz w:val="32"/>
          <w:szCs w:val="32"/>
          <w:highlight w:val="none"/>
        </w:rPr>
        <w:t>其他用车</w:t>
      </w:r>
      <w:r>
        <w:rPr>
          <w:rFonts w:hint="eastAsia" w:ascii="仿宋_GB2312" w:hAnsi="仿宋_GB2312" w:eastAsia="仿宋_GB2312" w:cs="仿宋_GB2312"/>
          <w:strike w:val="0"/>
          <w:dstrike w:val="0"/>
          <w:color w:val="auto"/>
          <w:sz w:val="32"/>
          <w:szCs w:val="32"/>
          <w:highlight w:val="none"/>
          <w:lang w:val="en-US" w:eastAsia="zh-CN"/>
        </w:rPr>
        <w:t>1</w:t>
      </w:r>
      <w:r>
        <w:rPr>
          <w:rFonts w:hint="eastAsia" w:ascii="仿宋_GB2312" w:hAnsi="仿宋_GB2312" w:eastAsia="仿宋_GB2312" w:cs="仿宋_GB2312"/>
          <w:strike w:val="0"/>
          <w:dstrike w:val="0"/>
          <w:color w:val="auto"/>
          <w:sz w:val="32"/>
          <w:szCs w:val="32"/>
          <w:highlight w:val="none"/>
        </w:rPr>
        <w:t>辆</w:t>
      </w:r>
      <w:r>
        <w:rPr>
          <w:rFonts w:hint="eastAsia" w:ascii="仿宋_GB2312" w:hAnsi="仿宋_GB2312" w:eastAsia="仿宋_GB2312" w:cs="仿宋_GB2312"/>
          <w:strike w:val="0"/>
          <w:dstrike w:val="0"/>
          <w:color w:val="auto"/>
          <w:sz w:val="32"/>
          <w:szCs w:val="32"/>
          <w:highlight w:val="none"/>
          <w:lang w:eastAsia="zh-CN"/>
        </w:rPr>
        <w:t>。</w:t>
      </w:r>
      <w:r>
        <w:rPr>
          <w:rFonts w:hint="eastAsia" w:ascii="仿宋_GB2312" w:hAnsi="仿宋_GB2312" w:eastAsia="仿宋_GB2312" w:cs="仿宋_GB2312"/>
          <w:b w:val="0"/>
          <w:bCs/>
          <w:color w:val="auto"/>
          <w:kern w:val="2"/>
          <w:sz w:val="32"/>
          <w:szCs w:val="32"/>
          <w:highlight w:val="none"/>
          <w:lang w:val="en-US" w:eastAsia="zh-CN" w:bidi="ar-SA"/>
        </w:rPr>
        <w:t>主要用于开展指导全市基层服务站建设，信访稳定，走访慰问等工作。</w:t>
      </w:r>
      <w:r>
        <w:rPr>
          <w:rFonts w:hint="eastAsia" w:ascii="仿宋_GB2312" w:hAnsi="仿宋_GB2312" w:eastAsia="仿宋_GB2312" w:cs="仿宋_GB2312"/>
          <w:strike w:val="0"/>
          <w:dstrike w:val="0"/>
          <w:color w:val="auto"/>
          <w:sz w:val="32"/>
          <w:szCs w:val="32"/>
          <w:highlight w:val="none"/>
        </w:rPr>
        <w:t>单价100万元以上专用设备</w:t>
      </w:r>
      <w:r>
        <w:rPr>
          <w:rFonts w:hint="eastAsia" w:ascii="仿宋_GB2312" w:hAnsi="仿宋_GB2312" w:eastAsia="仿宋_GB2312" w:cs="仿宋_GB2312"/>
          <w:strike w:val="0"/>
          <w:dstrike w:val="0"/>
          <w:color w:val="auto"/>
          <w:sz w:val="32"/>
          <w:szCs w:val="32"/>
          <w:highlight w:val="none"/>
          <w:lang w:val="en-US" w:eastAsia="zh-CN"/>
        </w:rPr>
        <w:t>0</w:t>
      </w:r>
      <w:r>
        <w:rPr>
          <w:rFonts w:hint="eastAsia" w:ascii="仿宋_GB2312" w:hAnsi="仿宋_GB2312" w:eastAsia="仿宋_GB2312" w:cs="仿宋_GB2312"/>
          <w:strike w:val="0"/>
          <w:dstrike w:val="0"/>
          <w:color w:val="auto"/>
          <w:sz w:val="32"/>
          <w:szCs w:val="32"/>
          <w:highlight w:val="none"/>
        </w:rPr>
        <w:t>台（套）。</w:t>
      </w:r>
    </w:p>
    <w:p>
      <w:pPr>
        <w:autoSpaceDE w:val="0"/>
        <w:autoSpaceDN w:val="0"/>
        <w:adjustRightInd w:val="0"/>
        <w:spacing w:line="600" w:lineRule="exact"/>
        <w:ind w:firstLine="642" w:firstLineChars="200"/>
        <w:jc w:val="both"/>
        <w:outlineLvl w:val="2"/>
        <w:rPr>
          <w:rFonts w:hint="eastAsia" w:ascii="仿宋_GB2312" w:hAnsi="仿宋_GB2312" w:eastAsia="仿宋_GB2312" w:cs="仿宋_GB2312"/>
          <w:b/>
          <w:strike w:val="0"/>
          <w:dstrike w:val="0"/>
          <w:color w:val="auto"/>
          <w:sz w:val="32"/>
          <w:szCs w:val="32"/>
          <w:highlight w:val="none"/>
          <w:lang w:eastAsia="zh-CN"/>
        </w:rPr>
      </w:pPr>
      <w:r>
        <w:rPr>
          <w:rFonts w:hint="eastAsia" w:ascii="仿宋_GB2312" w:hAnsi="仿宋_GB2312" w:eastAsia="仿宋_GB2312" w:cs="仿宋_GB2312"/>
          <w:b/>
          <w:strike w:val="0"/>
          <w:dstrike w:val="0"/>
          <w:color w:val="auto"/>
          <w:sz w:val="32"/>
          <w:szCs w:val="32"/>
          <w:highlight w:val="none"/>
        </w:rPr>
        <w:t>（四）预算绩效管理情况</w:t>
      </w:r>
    </w:p>
    <w:p>
      <w:pPr>
        <w:pStyle w:val="6"/>
        <w:ind w:firstLine="640" w:firstLineChars="200"/>
        <w:jc w:val="both"/>
        <w:rPr>
          <w:rFonts w:hint="eastAsia" w:ascii="仿宋_GB2312" w:eastAsia="仿宋_GB2312"/>
          <w:color w:val="auto"/>
          <w:sz w:val="32"/>
          <w:szCs w:val="32"/>
        </w:rPr>
      </w:pPr>
      <w:bookmarkStart w:id="66" w:name="_Toc15396613"/>
      <w:bookmarkStart w:id="67" w:name="_Toc15377225"/>
      <w:r>
        <w:rPr>
          <w:rFonts w:hint="eastAsia" w:ascii="仿宋_GB2312" w:eastAsia="仿宋_GB2312"/>
          <w:color w:val="auto"/>
          <w:sz w:val="32"/>
          <w:szCs w:val="32"/>
        </w:rPr>
        <w:t>根据预算绩效管理要求，本单位在202</w:t>
      </w:r>
      <w:r>
        <w:rPr>
          <w:rFonts w:hint="default"/>
          <w:color w:val="auto"/>
          <w:sz w:val="32"/>
          <w:szCs w:val="32"/>
          <w:lang w:val="en-US"/>
        </w:rPr>
        <w:t>4</w:t>
      </w:r>
      <w:r>
        <w:rPr>
          <w:rFonts w:hint="eastAsia" w:ascii="仿宋_GB2312" w:eastAsia="仿宋_GB2312"/>
          <w:color w:val="auto"/>
          <w:sz w:val="32"/>
          <w:szCs w:val="32"/>
        </w:rPr>
        <w:t>年度预算编制阶段，组织对0个项目开展了预算事前绩效评估，对</w:t>
      </w:r>
      <w:r>
        <w:rPr>
          <w:rFonts w:hint="eastAsia"/>
          <w:color w:val="auto"/>
          <w:sz w:val="32"/>
          <w:szCs w:val="32"/>
          <w:lang w:val="en-US" w:eastAsia="zh-CN"/>
        </w:rPr>
        <w:t>1</w:t>
      </w:r>
      <w:r>
        <w:rPr>
          <w:rFonts w:hint="default"/>
          <w:color w:val="auto"/>
          <w:sz w:val="32"/>
          <w:szCs w:val="32"/>
          <w:lang w:val="en-US" w:eastAsia="zh-CN"/>
        </w:rPr>
        <w:t>5</w:t>
      </w:r>
      <w:r>
        <w:rPr>
          <w:rFonts w:hint="eastAsia" w:ascii="仿宋_GB2312" w:eastAsia="仿宋_GB2312"/>
          <w:color w:val="auto"/>
          <w:sz w:val="32"/>
          <w:szCs w:val="32"/>
        </w:rPr>
        <w:t>个项目编制了绩效目标，预算执行过程中，选取</w:t>
      </w:r>
      <w:r>
        <w:rPr>
          <w:rFonts w:hint="eastAsia"/>
          <w:color w:val="auto"/>
          <w:sz w:val="32"/>
          <w:szCs w:val="32"/>
          <w:lang w:val="en-US" w:eastAsia="zh-CN"/>
        </w:rPr>
        <w:t>1</w:t>
      </w:r>
      <w:r>
        <w:rPr>
          <w:rFonts w:hint="default"/>
          <w:color w:val="auto"/>
          <w:sz w:val="32"/>
          <w:szCs w:val="32"/>
          <w:lang w:val="en-US" w:eastAsia="zh-CN"/>
        </w:rPr>
        <w:t>5</w:t>
      </w:r>
      <w:r>
        <w:rPr>
          <w:rFonts w:hint="eastAsia" w:ascii="仿宋_GB2312" w:eastAsia="仿宋_GB2312"/>
          <w:color w:val="auto"/>
          <w:sz w:val="32"/>
          <w:szCs w:val="32"/>
        </w:rPr>
        <w:t>个项目开展绩效监控，组织对</w:t>
      </w:r>
      <w:r>
        <w:rPr>
          <w:rFonts w:hint="eastAsia"/>
          <w:color w:val="auto"/>
          <w:sz w:val="32"/>
          <w:szCs w:val="32"/>
          <w:lang w:val="en-US" w:eastAsia="zh-CN"/>
        </w:rPr>
        <w:t>1</w:t>
      </w:r>
      <w:r>
        <w:rPr>
          <w:rFonts w:hint="default"/>
          <w:color w:val="auto"/>
          <w:sz w:val="32"/>
          <w:szCs w:val="32"/>
          <w:lang w:val="en-US" w:eastAsia="zh-CN"/>
        </w:rPr>
        <w:t>5</w:t>
      </w:r>
      <w:r>
        <w:rPr>
          <w:rFonts w:hint="eastAsia" w:ascii="仿宋_GB2312" w:eastAsia="仿宋_GB2312"/>
          <w:color w:val="auto"/>
          <w:sz w:val="32"/>
          <w:szCs w:val="32"/>
        </w:rPr>
        <w:t>个项目开展绩效自评，绩效自评表详见第四部分附件。</w:t>
      </w:r>
    </w:p>
    <w:p>
      <w:pPr>
        <w:pStyle w:val="6"/>
        <w:ind w:firstLine="640" w:firstLineChars="200"/>
        <w:jc w:val="both"/>
        <w:rPr>
          <w:rFonts w:hint="eastAsia" w:ascii="仿宋_GB2312" w:eastAsia="仿宋_GB2312"/>
          <w:color w:val="auto"/>
          <w:sz w:val="32"/>
          <w:szCs w:val="32"/>
          <w:lang w:eastAsia="zh-CN"/>
        </w:rPr>
      </w:pPr>
    </w:p>
    <w:p>
      <w:pPr>
        <w:numPr>
          <w:ilvl w:val="0"/>
          <w:numId w:val="1"/>
        </w:numPr>
        <w:spacing w:line="600" w:lineRule="exact"/>
        <w:ind w:left="0" w:leftChars="0" w:firstLine="0" w:firstLineChars="0"/>
        <w:jc w:val="center"/>
        <w:outlineLvl w:val="0"/>
        <w:rPr>
          <w:rStyle w:val="17"/>
          <w:rFonts w:hint="eastAsia" w:ascii="方正小标宋简体" w:hAnsi="方正小标宋简体" w:eastAsia="方正小标宋简体" w:cs="方正小标宋简体"/>
          <w:b w:val="0"/>
          <w:color w:val="auto"/>
          <w:highlight w:val="none"/>
        </w:rPr>
      </w:pPr>
      <w:r>
        <w:rPr>
          <w:rFonts w:hint="eastAsia" w:ascii="方正小标宋简体" w:hAnsi="方正小标宋简体" w:eastAsia="方正小标宋简体" w:cs="方正小标宋简体"/>
          <w:color w:val="FF0000"/>
          <w:sz w:val="44"/>
          <w:szCs w:val="44"/>
          <w:highlight w:val="none"/>
          <w:lang w:val="en-US" w:eastAsia="zh-CN"/>
        </w:rPr>
        <w:t xml:space="preserve"> </w:t>
      </w:r>
      <w:bookmarkStart w:id="68" w:name="_Toc70"/>
      <w:r>
        <w:rPr>
          <w:rFonts w:hint="eastAsia" w:ascii="方正小标宋简体" w:hAnsi="方正小标宋简体" w:eastAsia="方正小标宋简体" w:cs="方正小标宋简体"/>
          <w:color w:val="auto"/>
          <w:sz w:val="44"/>
          <w:szCs w:val="44"/>
          <w:highlight w:val="none"/>
        </w:rPr>
        <w:t>名</w:t>
      </w:r>
      <w:r>
        <w:rPr>
          <w:rStyle w:val="17"/>
          <w:rFonts w:hint="eastAsia" w:ascii="方正小标宋简体" w:hAnsi="方正小标宋简体" w:eastAsia="方正小标宋简体" w:cs="方正小标宋简体"/>
          <w:b w:val="0"/>
          <w:color w:val="auto"/>
          <w:highlight w:val="none"/>
        </w:rPr>
        <w:t>词解释</w:t>
      </w:r>
      <w:bookmarkEnd w:id="66"/>
      <w:bookmarkEnd w:id="67"/>
      <w:bookmarkEnd w:id="68"/>
    </w:p>
    <w:p>
      <w:pPr>
        <w:pStyle w:val="6"/>
        <w:numPr>
          <w:ilvl w:val="0"/>
          <w:numId w:val="0"/>
        </w:numPr>
        <w:ind w:leftChars="0"/>
        <w:rPr>
          <w:rFonts w:hint="eastAsia"/>
          <w:color w:val="auto"/>
        </w:rPr>
      </w:pPr>
    </w:p>
    <w:p>
      <w:pPr>
        <w:pStyle w:val="26"/>
        <w:keepNext w:val="0"/>
        <w:keepLines w:val="0"/>
        <w:pageBreakBefore w:val="0"/>
        <w:widowControl w:val="0"/>
        <w:numPr>
          <w:ilvl w:val="0"/>
          <w:numId w:val="0"/>
        </w:numPr>
        <w:kinsoku/>
        <w:wordWrap/>
        <w:overflowPunct/>
        <w:topLinePunct w:val="0"/>
        <w:bidi w:val="0"/>
        <w:snapToGrid/>
        <w:spacing w:line="640" w:lineRule="exact"/>
        <w:ind w:firstLine="640" w:firstLineChars="200"/>
        <w:jc w:val="both"/>
        <w:textAlignment w:val="auto"/>
        <w:outlineLvl w:val="1"/>
        <w:rPr>
          <w:rFonts w:hint="eastAsia" w:ascii="仿宋_GB2312" w:hAnsi="仿宋_GB2312" w:eastAsia="仿宋_GB2312" w:cs="仿宋_GB2312"/>
          <w:color w:val="auto"/>
          <w:sz w:val="32"/>
          <w:szCs w:val="32"/>
          <w:highlight w:val="none"/>
        </w:rPr>
      </w:pPr>
      <w:bookmarkStart w:id="69" w:name="_Toc26140"/>
      <w:bookmarkStart w:id="70" w:name="_Toc31191"/>
      <w:r>
        <w:rPr>
          <w:rFonts w:hint="eastAsia" w:ascii="仿宋_GB2312" w:hAnsi="仿宋_GB2312" w:eastAsia="仿宋_GB2312" w:cs="仿宋_GB2312"/>
          <w:color w:val="auto"/>
          <w:sz w:val="32"/>
          <w:szCs w:val="32"/>
          <w:lang w:val="en-US" w:eastAsia="zh-CN" w:bidi="ar-SA"/>
        </w:rPr>
        <w:t>1.财</w:t>
      </w:r>
      <w:r>
        <w:rPr>
          <w:rFonts w:hint="eastAsia" w:ascii="仿宋_GB2312" w:hAnsi="仿宋_GB2312" w:eastAsia="仿宋_GB2312" w:cs="仿宋_GB2312"/>
          <w:color w:val="auto"/>
          <w:sz w:val="32"/>
          <w:szCs w:val="32"/>
          <w:highlight w:val="none"/>
        </w:rPr>
        <w:t>政拨款收入：指单位从同级财政部门取得的财政预算资金。</w:t>
      </w:r>
      <w:bookmarkEnd w:id="69"/>
      <w:bookmarkEnd w:id="70"/>
    </w:p>
    <w:p>
      <w:pPr>
        <w:pStyle w:val="26"/>
        <w:keepNext w:val="0"/>
        <w:keepLines w:val="0"/>
        <w:pageBreakBefore w:val="0"/>
        <w:widowControl w:val="0"/>
        <w:numPr>
          <w:ilvl w:val="0"/>
          <w:numId w:val="0"/>
        </w:numPr>
        <w:kinsoku/>
        <w:wordWrap/>
        <w:overflowPunct/>
        <w:topLinePunct w:val="0"/>
        <w:bidi w:val="0"/>
        <w:snapToGrid/>
        <w:spacing w:line="640" w:lineRule="exact"/>
        <w:ind w:firstLine="640" w:firstLineChars="200"/>
        <w:jc w:val="both"/>
        <w:textAlignment w:val="auto"/>
        <w:outlineLvl w:val="1"/>
        <w:rPr>
          <w:rFonts w:hint="eastAsia" w:ascii="仿宋_GB2312" w:hAnsi="仿宋_GB2312" w:eastAsia="仿宋_GB2312" w:cs="仿宋_GB2312"/>
          <w:color w:val="auto"/>
          <w:sz w:val="32"/>
          <w:szCs w:val="32"/>
          <w:highlight w:val="none"/>
        </w:rPr>
      </w:pPr>
      <w:bookmarkStart w:id="71" w:name="_Toc31211"/>
      <w:r>
        <w:rPr>
          <w:rFonts w:hint="eastAsia" w:ascii="仿宋_GB2312" w:hAnsi="仿宋_GB2312" w:eastAsia="仿宋_GB2312" w:cs="仿宋_GB2312"/>
          <w:color w:val="auto"/>
          <w:sz w:val="32"/>
          <w:szCs w:val="32"/>
          <w:lang w:val="en-US" w:eastAsia="zh-CN" w:bidi="ar-SA"/>
        </w:rPr>
        <w:t>2.</w:t>
      </w:r>
      <w:r>
        <w:rPr>
          <w:rFonts w:hint="eastAsia" w:ascii="仿宋_GB2312" w:hAnsi="仿宋_GB2312" w:eastAsia="仿宋_GB2312" w:cs="仿宋_GB2312"/>
          <w:color w:val="auto"/>
          <w:sz w:val="32"/>
          <w:szCs w:val="32"/>
          <w:highlight w:val="none"/>
          <w:lang w:val="en-US" w:eastAsia="zh-CN"/>
        </w:rPr>
        <w:t>其他收入：</w:t>
      </w:r>
      <w:r>
        <w:rPr>
          <w:rFonts w:hint="eastAsia" w:ascii="仿宋_GB2312" w:hAnsi="仿宋_GB2312" w:eastAsia="仿宋_GB2312" w:cs="仿宋_GB2312"/>
          <w:color w:val="auto"/>
          <w:sz w:val="32"/>
          <w:szCs w:val="32"/>
          <w:highlight w:val="none"/>
        </w:rPr>
        <w:t>指单位</w:t>
      </w:r>
      <w:r>
        <w:rPr>
          <w:rFonts w:hint="eastAsia" w:ascii="仿宋_GB2312" w:hAnsi="仿宋_GB2312" w:eastAsia="仿宋_GB2312" w:cs="仿宋_GB2312"/>
          <w:color w:val="auto"/>
          <w:sz w:val="32"/>
          <w:szCs w:val="32"/>
          <w:highlight w:val="none"/>
          <w:lang w:val="en-US" w:eastAsia="zh-CN"/>
        </w:rPr>
        <w:t>收到利州区就业局转来的公益性岗位补贴</w:t>
      </w:r>
      <w:r>
        <w:rPr>
          <w:rFonts w:hint="eastAsia" w:ascii="仿宋_GB2312" w:hAnsi="仿宋_GB2312" w:eastAsia="仿宋_GB2312" w:cs="仿宋_GB2312"/>
          <w:color w:val="auto"/>
          <w:sz w:val="32"/>
          <w:szCs w:val="32"/>
          <w:highlight w:val="none"/>
        </w:rPr>
        <w:t>资金。</w:t>
      </w:r>
      <w:bookmarkEnd w:id="71"/>
    </w:p>
    <w:p>
      <w:pPr>
        <w:pStyle w:val="26"/>
        <w:keepNext w:val="0"/>
        <w:keepLines w:val="0"/>
        <w:pageBreakBefore w:val="0"/>
        <w:widowControl w:val="0"/>
        <w:kinsoku/>
        <w:wordWrap/>
        <w:overflowPunct/>
        <w:topLinePunct w:val="0"/>
        <w:bidi w:val="0"/>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.年初结转和结余：指以前年度尚未完成、结转到本年按有关规定继续使用的资金。</w:t>
      </w:r>
    </w:p>
    <w:p>
      <w:pPr>
        <w:keepNext w:val="0"/>
        <w:keepLines w:val="0"/>
        <w:pageBreakBefore w:val="0"/>
        <w:widowControl w:val="0"/>
        <w:kinsoku/>
        <w:wordWrap/>
        <w:overflowPunct/>
        <w:topLinePunct w:val="0"/>
        <w:bidi w:val="0"/>
        <w:snapToGrid/>
        <w:spacing w:line="64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 社会保障和就业支出（类）行政事业单位养老支出（款）机关事业单位基本养老保险缴费支出（项）：反映机关事业单位实施养老保险制度由单位缴纳的基本养老保险费支出。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color w:val="auto"/>
        </w:rPr>
      </w:pPr>
      <w:r>
        <w:rPr>
          <w:rStyle w:val="15"/>
          <w:rFonts w:hint="eastAsia" w:ascii="仿宋_GB2312" w:hAnsi="仿宋_GB2312" w:eastAsia="仿宋_GB2312" w:cs="仿宋_GB2312"/>
          <w:b w:val="0"/>
          <w:bCs/>
          <w:color w:val="auto"/>
          <w:sz w:val="32"/>
          <w:szCs w:val="32"/>
          <w:highlight w:val="none"/>
          <w:lang w:val="en-US" w:eastAsia="zh-CN"/>
        </w:rPr>
        <w:t>6.</w:t>
      </w:r>
      <w:r>
        <w:rPr>
          <w:rStyle w:val="15"/>
          <w:rFonts w:hint="eastAsia" w:ascii="仿宋_GB2312" w:hAnsi="仿宋_GB2312" w:eastAsia="仿宋_GB2312" w:cs="仿宋_GB2312"/>
          <w:b w:val="0"/>
          <w:bCs/>
          <w:color w:val="auto"/>
          <w:sz w:val="32"/>
          <w:szCs w:val="32"/>
          <w:highlight w:val="none"/>
        </w:rPr>
        <w:t>社会保障和就业（类）退役安置（款）其他退役安置支出（项）</w:t>
      </w:r>
      <w:r>
        <w:rPr>
          <w:rStyle w:val="15"/>
          <w:rFonts w:hint="eastAsia" w:ascii="仿宋_GB2312" w:hAnsi="仿宋_GB2312" w:eastAsia="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w:t>
      </w:r>
      <w:r>
        <w:rPr>
          <w:rStyle w:val="15"/>
          <w:rFonts w:hint="eastAsia" w:ascii="仿宋_GB2312" w:hAnsi="仿宋_GB2312" w:eastAsia="仿宋_GB2312" w:cs="仿宋_GB2312"/>
          <w:b w:val="0"/>
          <w:bCs/>
          <w:color w:val="auto"/>
          <w:sz w:val="32"/>
          <w:szCs w:val="32"/>
          <w:highlight w:val="none"/>
          <w:lang w:eastAsia="zh-CN"/>
        </w:rPr>
        <w:t>反映除上述项目以外其他用于退役安置方面的支出。</w:t>
      </w:r>
    </w:p>
    <w:p>
      <w:pPr>
        <w:pStyle w:val="6"/>
        <w:keepNext w:val="0"/>
        <w:keepLines w:val="0"/>
        <w:pageBreakBefore w:val="0"/>
        <w:widowControl w:val="0"/>
        <w:kinsoku/>
        <w:wordWrap/>
        <w:overflowPunct/>
        <w:topLinePunct w:val="0"/>
        <w:autoSpaceDE/>
        <w:autoSpaceDN/>
        <w:bidi w:val="0"/>
        <w:adjustRightInd/>
        <w:snapToGrid/>
        <w:spacing w:beforeLines="0" w:line="640" w:lineRule="exact"/>
        <w:ind w:left="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hAnsi="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 社会保障和就业支出（类）退役军人管理事务（款）事业运行（项）：反映开展</w:t>
      </w:r>
      <w:r>
        <w:rPr>
          <w:rFonts w:hint="eastAsia" w:ascii="仿宋_GB2312" w:hAnsi="仿宋_GB2312" w:eastAsia="仿宋_GB2312" w:cs="仿宋_GB2312"/>
          <w:color w:val="auto"/>
          <w:kern w:val="0"/>
          <w:sz w:val="32"/>
          <w:szCs w:val="32"/>
          <w:highlight w:val="none"/>
          <w:lang w:val="en-US" w:eastAsia="zh-CN"/>
        </w:rPr>
        <w:t>承接退役军人接访</w:t>
      </w:r>
      <w:r>
        <w:rPr>
          <w:rFonts w:hint="eastAsia" w:ascii="仿宋_GB2312" w:hAnsi="仿宋_GB2312" w:eastAsia="仿宋_GB2312" w:cs="仿宋_GB2312"/>
          <w:color w:val="auto"/>
          <w:kern w:val="0"/>
          <w:sz w:val="32"/>
          <w:szCs w:val="32"/>
          <w:highlight w:val="none"/>
        </w:rPr>
        <w:t>工作的支出。</w:t>
      </w:r>
    </w:p>
    <w:p>
      <w:pPr>
        <w:pStyle w:val="6"/>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color w:val="auto"/>
          <w:sz w:val="32"/>
          <w:szCs w:val="32"/>
        </w:rPr>
      </w:pPr>
      <w:r>
        <w:rPr>
          <w:rStyle w:val="15"/>
          <w:rFonts w:hint="eastAsia" w:hAnsi="仿宋_GB2312" w:cs="仿宋_GB2312"/>
          <w:b w:val="0"/>
          <w:bCs/>
          <w:color w:val="auto"/>
          <w:sz w:val="32"/>
          <w:szCs w:val="32"/>
          <w:highlight w:val="none"/>
          <w:lang w:val="en-US" w:eastAsia="zh-CN"/>
        </w:rPr>
        <w:t>8</w:t>
      </w:r>
      <w:r>
        <w:rPr>
          <w:rStyle w:val="15"/>
          <w:rFonts w:hint="eastAsia" w:ascii="仿宋_GB2312" w:hAnsi="仿宋_GB2312" w:eastAsia="仿宋_GB2312" w:cs="仿宋_GB2312"/>
          <w:b w:val="0"/>
          <w:bCs/>
          <w:color w:val="auto"/>
          <w:sz w:val="32"/>
          <w:szCs w:val="32"/>
          <w:highlight w:val="none"/>
        </w:rPr>
        <w:t>.社会保障和就业（类）退役军人管理事务（款）其他退役军人事务管理支出（项）</w:t>
      </w:r>
      <w:r>
        <w:rPr>
          <w:rStyle w:val="15"/>
          <w:rFonts w:hint="eastAsia" w:hAnsi="仿宋_GB2312" w:cs="仿宋_GB2312"/>
          <w:b w:val="0"/>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 xml:space="preserve"> </w:t>
      </w:r>
      <w:r>
        <w:rPr>
          <w:rStyle w:val="15"/>
          <w:rFonts w:hint="eastAsia" w:ascii="仿宋_GB2312" w:hAnsi="仿宋_GB2312" w:eastAsia="仿宋_GB2312" w:cs="仿宋_GB2312"/>
          <w:b w:val="0"/>
          <w:bCs/>
          <w:color w:val="auto"/>
          <w:sz w:val="32"/>
          <w:szCs w:val="32"/>
          <w:highlight w:val="none"/>
          <w:lang w:eastAsia="zh-CN"/>
        </w:rPr>
        <w:t>反映除上述项目以外其他用于</w:t>
      </w:r>
      <w:r>
        <w:rPr>
          <w:rStyle w:val="15"/>
          <w:rFonts w:hint="eastAsia" w:hAnsi="仿宋_GB2312" w:cs="仿宋_GB2312"/>
          <w:b w:val="0"/>
          <w:bCs/>
          <w:color w:val="auto"/>
          <w:sz w:val="32"/>
          <w:szCs w:val="32"/>
          <w:highlight w:val="none"/>
          <w:lang w:eastAsia="zh-CN"/>
        </w:rPr>
        <w:t>退役军人事务管理</w:t>
      </w:r>
      <w:r>
        <w:rPr>
          <w:rStyle w:val="15"/>
          <w:rFonts w:hint="eastAsia" w:ascii="仿宋_GB2312" w:hAnsi="仿宋_GB2312" w:eastAsia="仿宋_GB2312" w:cs="仿宋_GB2312"/>
          <w:b w:val="0"/>
          <w:bCs/>
          <w:color w:val="auto"/>
          <w:sz w:val="32"/>
          <w:szCs w:val="32"/>
          <w:highlight w:val="none"/>
          <w:lang w:eastAsia="zh-CN"/>
        </w:rPr>
        <w:t>方面的支出。</w:t>
      </w:r>
    </w:p>
    <w:p>
      <w:pPr>
        <w:keepNext w:val="0"/>
        <w:keepLines w:val="0"/>
        <w:pageBreakBefore w:val="0"/>
        <w:widowControl w:val="0"/>
        <w:kinsoku/>
        <w:wordWrap/>
        <w:overflowPunct/>
        <w:topLinePunct w:val="0"/>
        <w:bidi w:val="0"/>
        <w:snapToGrid/>
        <w:spacing w:line="64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 卫生健康支出（类）行政事业单位医疗（款）事业单位医疗（项）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反映财政部门集中安排的事业单位基本医疗保险缴费经费，未参加医疗保险的事业单位公费医疗经费，按国家规定享受离退休人员待遇的医疗经费。</w:t>
      </w:r>
    </w:p>
    <w:p>
      <w:pPr>
        <w:keepNext w:val="0"/>
        <w:keepLines w:val="0"/>
        <w:pageBreakBefore w:val="0"/>
        <w:widowControl w:val="0"/>
        <w:kinsoku/>
        <w:wordWrap/>
        <w:overflowPunct/>
        <w:topLinePunct w:val="0"/>
        <w:bidi w:val="0"/>
        <w:snapToGrid/>
        <w:spacing w:line="64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 住房保障支出（类）住房改革支出（款）住房公积金（项）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bidi w:val="0"/>
        <w:snapToGrid/>
        <w:spacing w:line="64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bidi w:val="0"/>
        <w:snapToGrid/>
        <w:spacing w:line="64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 xml:space="preserve">.项目支出：指在基本支出之外为完成特定行政任务和事业发展目标所发生的支出。 </w:t>
      </w:r>
    </w:p>
    <w:p>
      <w:pPr>
        <w:keepNext w:val="0"/>
        <w:keepLines w:val="0"/>
        <w:pageBreakBefore w:val="0"/>
        <w:widowControl w:val="0"/>
        <w:kinsoku/>
        <w:wordWrap/>
        <w:overflowPunct/>
        <w:topLinePunct w:val="0"/>
        <w:bidi w:val="0"/>
        <w:snapToGrid/>
        <w:spacing w:line="64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
        <w:rPr>
          <w:rFonts w:hint="eastAsia"/>
        </w:rPr>
      </w:pPr>
      <w:bookmarkStart w:id="72" w:name="_Toc15396614"/>
      <w:bookmarkStart w:id="73" w:name="_Toc15377226"/>
    </w:p>
    <w:p>
      <w:pPr>
        <w:numPr>
          <w:ilvl w:val="0"/>
          <w:numId w:val="0"/>
        </w:numPr>
        <w:jc w:val="center"/>
        <w:rPr>
          <w:rStyle w:val="17"/>
          <w:rFonts w:hint="eastAsia" w:ascii="方正小标宋简体" w:hAnsi="方正小标宋简体" w:eastAsia="方正小标宋简体" w:cs="方正小标宋简体"/>
          <w:b w:val="0"/>
          <w:bCs/>
          <w:strike w:val="0"/>
          <w:dstrike w:val="0"/>
          <w:color w:val="auto"/>
          <w:highlight w:val="none"/>
          <w:lang w:eastAsia="zh-CN"/>
        </w:rPr>
      </w:pPr>
    </w:p>
    <w:p>
      <w:pPr>
        <w:numPr>
          <w:ilvl w:val="0"/>
          <w:numId w:val="0"/>
        </w:numPr>
        <w:jc w:val="center"/>
        <w:rPr>
          <w:rStyle w:val="17"/>
          <w:rFonts w:hint="eastAsia" w:ascii="方正小标宋简体" w:hAnsi="方正小标宋简体" w:eastAsia="方正小标宋简体" w:cs="方正小标宋简体"/>
          <w:b w:val="0"/>
          <w:bCs/>
          <w:strike w:val="0"/>
          <w:dstrike w:val="0"/>
          <w:color w:val="auto"/>
          <w:highlight w:val="none"/>
          <w:lang w:eastAsia="zh-CN"/>
        </w:rPr>
        <w:sectPr>
          <w:footerReference r:id="rId5" w:type="default"/>
          <w:pgSz w:w="11906" w:h="16838"/>
          <w:pgMar w:top="1701" w:right="1474" w:bottom="1701" w:left="1587" w:header="851" w:footer="1559" w:gutter="0"/>
          <w:pgNumType w:fmt="decimal" w:start="1"/>
          <w:cols w:space="0" w:num="1"/>
          <w:rtlGutter w:val="0"/>
          <w:docGrid w:type="lines" w:linePitch="312" w:charSpace="0"/>
        </w:sectPr>
      </w:pPr>
    </w:p>
    <w:p>
      <w:pPr>
        <w:numPr>
          <w:ilvl w:val="0"/>
          <w:numId w:val="0"/>
        </w:numPr>
        <w:jc w:val="center"/>
        <w:rPr>
          <w:rFonts w:hint="eastAsia" w:ascii="宋体" w:hAnsi="宋体" w:cs="宋体"/>
          <w:strike w:val="0"/>
          <w:dstrike w:val="0"/>
          <w:color w:val="auto"/>
          <w:kern w:val="0"/>
          <w:sz w:val="32"/>
          <w:szCs w:val="32"/>
          <w:highlight w:val="none"/>
          <w:lang w:val="en-US" w:eastAsia="zh-CN" w:bidi="ar-SA"/>
        </w:rPr>
      </w:pPr>
      <w:bookmarkStart w:id="74" w:name="_Toc20663"/>
      <w:r>
        <w:rPr>
          <w:rStyle w:val="17"/>
          <w:rFonts w:hint="eastAsia" w:ascii="方正小标宋简体" w:hAnsi="方正小标宋简体" w:eastAsia="方正小标宋简体" w:cs="方正小标宋简体"/>
          <w:b w:val="0"/>
          <w:bCs/>
          <w:strike w:val="0"/>
          <w:dstrike w:val="0"/>
          <w:color w:val="auto"/>
          <w:highlight w:val="none"/>
          <w:lang w:eastAsia="zh-CN"/>
        </w:rPr>
        <w:t>第四部分</w:t>
      </w:r>
      <w:r>
        <w:rPr>
          <w:rStyle w:val="17"/>
          <w:rFonts w:hint="eastAsia" w:ascii="方正小标宋简体" w:hAnsi="方正小标宋简体" w:eastAsia="方正小标宋简体" w:cs="方正小标宋简体"/>
          <w:b w:val="0"/>
          <w:bCs/>
          <w:strike w:val="0"/>
          <w:dstrike w:val="0"/>
          <w:color w:val="auto"/>
          <w:highlight w:val="none"/>
          <w:lang w:val="en-US" w:eastAsia="zh-CN"/>
        </w:rPr>
        <w:t xml:space="preserve">  </w:t>
      </w:r>
      <w:r>
        <w:rPr>
          <w:rStyle w:val="17"/>
          <w:rFonts w:hint="eastAsia" w:ascii="方正小标宋简体" w:hAnsi="方正小标宋简体" w:eastAsia="方正小标宋简体" w:cs="方正小标宋简体"/>
          <w:b w:val="0"/>
          <w:bCs/>
          <w:strike w:val="0"/>
          <w:dstrike w:val="0"/>
          <w:color w:val="auto"/>
          <w:highlight w:val="none"/>
        </w:rPr>
        <w:t>附</w:t>
      </w:r>
      <w:r>
        <w:rPr>
          <w:rStyle w:val="17"/>
          <w:rFonts w:hint="eastAsia" w:ascii="方正小标宋简体" w:hAnsi="方正小标宋简体" w:eastAsia="方正小标宋简体" w:cs="方正小标宋简体"/>
          <w:b w:val="0"/>
          <w:bCs/>
          <w:strike w:val="0"/>
          <w:dstrike w:val="0"/>
          <w:color w:val="auto"/>
          <w:highlight w:val="none"/>
          <w:lang w:val="en-US" w:eastAsia="zh-CN"/>
        </w:rPr>
        <w:t xml:space="preserve">  </w:t>
      </w:r>
      <w:r>
        <w:rPr>
          <w:rStyle w:val="17"/>
          <w:rFonts w:hint="eastAsia" w:ascii="方正小标宋简体" w:hAnsi="方正小标宋简体" w:eastAsia="方正小标宋简体" w:cs="方正小标宋简体"/>
          <w:b w:val="0"/>
          <w:bCs/>
          <w:strike w:val="0"/>
          <w:dstrike w:val="0"/>
          <w:color w:val="auto"/>
          <w:highlight w:val="none"/>
        </w:rPr>
        <w:t>件</w:t>
      </w:r>
      <w:bookmarkEnd w:id="72"/>
      <w:bookmarkEnd w:id="74"/>
      <w:bookmarkStart w:id="75" w:name="_Toc15396618"/>
    </w:p>
    <w:p>
      <w:pPr>
        <w:spacing w:line="600" w:lineRule="exact"/>
        <w:ind w:firstLine="640" w:firstLineChars="200"/>
        <w:jc w:val="both"/>
        <w:outlineLvl w:val="0"/>
        <w:rPr>
          <w:rFonts w:hint="eastAsia" w:ascii="宋体" w:hAnsi="宋体" w:eastAsia="宋体" w:cs="宋体"/>
          <w:strike w:val="0"/>
          <w:dstrike w:val="0"/>
          <w:color w:val="auto"/>
          <w:kern w:val="0"/>
          <w:sz w:val="32"/>
          <w:szCs w:val="32"/>
          <w:highlight w:val="none"/>
          <w:lang w:val="en-US" w:eastAsia="zh-CN" w:bidi="ar-SA"/>
        </w:rPr>
      </w:pPr>
      <w:bookmarkStart w:id="76" w:name="_Toc12060"/>
      <w:r>
        <w:rPr>
          <w:rFonts w:hint="eastAsia" w:ascii="宋体" w:hAnsi="宋体" w:cs="宋体"/>
          <w:strike w:val="0"/>
          <w:dstrike w:val="0"/>
          <w:color w:val="auto"/>
          <w:kern w:val="0"/>
          <w:sz w:val="32"/>
          <w:szCs w:val="32"/>
          <w:highlight w:val="none"/>
          <w:lang w:val="en-US" w:eastAsia="zh-CN" w:bidi="ar-SA"/>
        </w:rPr>
        <w:t>详见附件。</w:t>
      </w:r>
      <w:bookmarkEnd w:id="76"/>
    </w:p>
    <w:p>
      <w:pPr>
        <w:spacing w:line="600" w:lineRule="exact"/>
        <w:jc w:val="center"/>
        <w:outlineLvl w:val="0"/>
        <w:rPr>
          <w:rFonts w:hint="eastAsia" w:ascii="宋体" w:hAnsi="宋体" w:eastAsia="宋体" w:cs="宋体"/>
          <w:strike w:val="0"/>
          <w:dstrike w:val="0"/>
          <w:color w:val="auto"/>
          <w:kern w:val="0"/>
          <w:sz w:val="32"/>
          <w:szCs w:val="32"/>
          <w:highlight w:val="none"/>
          <w:lang w:val="en-US" w:eastAsia="zh-CN" w:bidi="ar-SA"/>
        </w:rPr>
      </w:pPr>
    </w:p>
    <w:p>
      <w:pPr>
        <w:spacing w:line="600" w:lineRule="exact"/>
        <w:jc w:val="center"/>
        <w:outlineLvl w:val="0"/>
        <w:rPr>
          <w:rFonts w:hint="eastAsia" w:ascii="宋体" w:hAnsi="宋体" w:eastAsia="宋体" w:cs="宋体"/>
          <w:strike w:val="0"/>
          <w:dstrike w:val="0"/>
          <w:color w:val="auto"/>
          <w:kern w:val="0"/>
          <w:sz w:val="32"/>
          <w:szCs w:val="32"/>
          <w:highlight w:val="none"/>
          <w:lang w:val="en-US" w:eastAsia="zh-CN" w:bidi="ar-SA"/>
        </w:rPr>
      </w:pPr>
    </w:p>
    <w:p>
      <w:pPr>
        <w:spacing w:line="600" w:lineRule="exact"/>
        <w:jc w:val="center"/>
        <w:outlineLvl w:val="0"/>
        <w:rPr>
          <w:rFonts w:hint="eastAsia" w:ascii="宋体" w:hAnsi="宋体" w:eastAsia="宋体" w:cs="宋体"/>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方正小标宋简体" w:hAnsi="方正小标宋简体" w:eastAsia="方正小标宋简体" w:cs="方正小标宋简体"/>
          <w:color w:val="auto"/>
          <w:sz w:val="44"/>
          <w:szCs w:val="44"/>
          <w:highlight w:val="none"/>
        </w:rPr>
      </w:pPr>
    </w:p>
    <w:p>
      <w:pPr>
        <w:spacing w:line="600" w:lineRule="exact"/>
        <w:jc w:val="center"/>
        <w:outlineLvl w:val="0"/>
        <w:rPr>
          <w:rFonts w:hint="eastAsia" w:ascii="方正小标宋简体" w:hAnsi="方正小标宋简体" w:eastAsia="方正小标宋简体" w:cs="方正小标宋简体"/>
          <w:color w:val="auto"/>
          <w:sz w:val="44"/>
          <w:szCs w:val="44"/>
          <w:highlight w:val="none"/>
        </w:rPr>
        <w:sectPr>
          <w:pgSz w:w="11906" w:h="16838"/>
          <w:pgMar w:top="1701" w:right="1474" w:bottom="1701" w:left="1587" w:header="851" w:footer="1559" w:gutter="0"/>
          <w:pgNumType w:fmt="decimal"/>
          <w:cols w:space="0" w:num="1"/>
          <w:rtlGutter w:val="0"/>
          <w:docGrid w:type="lines" w:linePitch="312" w:charSpace="0"/>
        </w:sectPr>
      </w:pPr>
    </w:p>
    <w:p>
      <w:pPr>
        <w:spacing w:line="600" w:lineRule="exact"/>
        <w:jc w:val="center"/>
        <w:outlineLvl w:val="0"/>
        <w:rPr>
          <w:rFonts w:hint="eastAsia" w:ascii="方正小标宋简体" w:hAnsi="方正小标宋简体" w:eastAsia="方正小标宋简体" w:cs="方正小标宋简体"/>
          <w:b w:val="0"/>
          <w:color w:val="auto"/>
          <w:sz w:val="44"/>
          <w:szCs w:val="44"/>
          <w:highlight w:val="none"/>
        </w:rPr>
      </w:pPr>
      <w:bookmarkStart w:id="77" w:name="_Toc24384"/>
      <w:r>
        <w:rPr>
          <w:rFonts w:hint="eastAsia" w:ascii="方正小标宋简体" w:hAnsi="方正小标宋简体" w:eastAsia="方正小标宋简体" w:cs="方正小标宋简体"/>
          <w:color w:val="auto"/>
          <w:sz w:val="44"/>
          <w:szCs w:val="44"/>
          <w:highlight w:val="none"/>
        </w:rPr>
        <w:t>第</w:t>
      </w:r>
      <w:r>
        <w:rPr>
          <w:rStyle w:val="17"/>
          <w:rFonts w:hint="eastAsia" w:ascii="方正小标宋简体" w:hAnsi="方正小标宋简体" w:eastAsia="方正小标宋简体" w:cs="方正小标宋简体"/>
          <w:b w:val="0"/>
          <w:color w:val="auto"/>
          <w:sz w:val="44"/>
          <w:szCs w:val="44"/>
          <w:highlight w:val="none"/>
        </w:rPr>
        <w:t>五部分 附</w:t>
      </w:r>
      <w:r>
        <w:rPr>
          <w:rStyle w:val="17"/>
          <w:rFonts w:hint="eastAsia" w:ascii="方正小标宋简体" w:hAnsi="方正小标宋简体" w:eastAsia="方正小标宋简体" w:cs="方正小标宋简体"/>
          <w:b w:val="0"/>
          <w:color w:val="auto"/>
          <w:sz w:val="44"/>
          <w:szCs w:val="44"/>
          <w:highlight w:val="none"/>
          <w:lang w:val="en-US" w:eastAsia="zh-CN"/>
        </w:rPr>
        <w:t xml:space="preserve">  </w:t>
      </w:r>
      <w:r>
        <w:rPr>
          <w:rStyle w:val="17"/>
          <w:rFonts w:hint="eastAsia" w:ascii="方正小标宋简体" w:hAnsi="方正小标宋简体" w:eastAsia="方正小标宋简体" w:cs="方正小标宋简体"/>
          <w:b w:val="0"/>
          <w:color w:val="auto"/>
          <w:sz w:val="44"/>
          <w:szCs w:val="44"/>
          <w:highlight w:val="none"/>
        </w:rPr>
        <w:t>表</w:t>
      </w:r>
      <w:bookmarkEnd w:id="73"/>
      <w:bookmarkEnd w:id="75"/>
      <w:bookmarkEnd w:id="77"/>
      <w:bookmarkStart w:id="78" w:name="_Toc15396619"/>
    </w:p>
    <w:p>
      <w:pPr>
        <w:pStyle w:val="4"/>
        <w:keepNext/>
        <w:keepLines/>
        <w:pageBreakBefore w:val="0"/>
        <w:widowControl w:val="0"/>
        <w:kinsoku/>
        <w:wordWrap/>
        <w:overflowPunct/>
        <w:topLinePunct w:val="0"/>
        <w:autoSpaceDE/>
        <w:autoSpaceDN/>
        <w:bidi w:val="0"/>
        <w:adjustRightInd/>
        <w:snapToGrid/>
        <w:spacing w:before="0" w:after="0" w:line="600" w:lineRule="exact"/>
        <w:textAlignment w:val="auto"/>
        <w:rPr>
          <w:rFonts w:hint="eastAsia" w:ascii="仿宋" w:hAnsi="仿宋" w:eastAsia="仿宋"/>
          <w:b w:val="0"/>
          <w:color w:val="auto"/>
          <w:highlight w:val="none"/>
        </w:rPr>
      </w:pPr>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79" w:name="_Toc20935"/>
      <w:r>
        <w:rPr>
          <w:rFonts w:hint="eastAsia" w:ascii="仿宋_GB2312" w:hAnsi="仿宋_GB2312" w:eastAsia="仿宋_GB2312" w:cs="仿宋_GB2312"/>
          <w:b w:val="0"/>
          <w:color w:val="auto"/>
          <w:highlight w:val="none"/>
        </w:rPr>
        <w:t>一、收</w:t>
      </w:r>
      <w:r>
        <w:rPr>
          <w:rStyle w:val="18"/>
          <w:rFonts w:hint="eastAsia" w:ascii="仿宋_GB2312" w:hAnsi="仿宋_GB2312" w:eastAsia="仿宋_GB2312" w:cs="仿宋_GB2312"/>
          <w:b w:val="0"/>
          <w:bCs w:val="0"/>
          <w:color w:val="auto"/>
          <w:highlight w:val="none"/>
        </w:rPr>
        <w:t>入支出决算总表</w:t>
      </w:r>
      <w:bookmarkEnd w:id="78"/>
      <w:bookmarkEnd w:id="79"/>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80" w:name="_Toc15396620"/>
      <w:bookmarkStart w:id="81" w:name="_Toc652"/>
      <w:r>
        <w:rPr>
          <w:rFonts w:hint="eastAsia" w:ascii="仿宋_GB2312" w:hAnsi="仿宋_GB2312" w:eastAsia="仿宋_GB2312" w:cs="仿宋_GB2312"/>
          <w:b w:val="0"/>
          <w:color w:val="auto"/>
          <w:highlight w:val="none"/>
        </w:rPr>
        <w:t>二、收</w:t>
      </w:r>
      <w:r>
        <w:rPr>
          <w:rStyle w:val="18"/>
          <w:rFonts w:hint="eastAsia" w:ascii="仿宋_GB2312" w:hAnsi="仿宋_GB2312" w:eastAsia="仿宋_GB2312" w:cs="仿宋_GB2312"/>
          <w:b w:val="0"/>
          <w:bCs w:val="0"/>
          <w:color w:val="auto"/>
          <w:highlight w:val="none"/>
        </w:rPr>
        <w:t>入决算表</w:t>
      </w:r>
      <w:bookmarkEnd w:id="80"/>
      <w:bookmarkEnd w:id="81"/>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82" w:name="_Toc15396621"/>
      <w:bookmarkStart w:id="83" w:name="_Toc25506"/>
      <w:r>
        <w:rPr>
          <w:rStyle w:val="18"/>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18"/>
          <w:rFonts w:hint="eastAsia" w:ascii="仿宋_GB2312" w:hAnsi="仿宋_GB2312" w:eastAsia="仿宋_GB2312" w:cs="仿宋_GB2312"/>
          <w:b w:val="0"/>
          <w:bCs w:val="0"/>
          <w:color w:val="auto"/>
          <w:highlight w:val="none"/>
        </w:rPr>
        <w:t>出决算表</w:t>
      </w:r>
      <w:bookmarkEnd w:id="82"/>
      <w:bookmarkEnd w:id="83"/>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b w:val="0"/>
          <w:color w:val="auto"/>
          <w:highlight w:val="none"/>
        </w:rPr>
      </w:pPr>
      <w:bookmarkStart w:id="84" w:name="_Toc222"/>
      <w:bookmarkStart w:id="85" w:name="_Toc15396622"/>
      <w:r>
        <w:rPr>
          <w:rStyle w:val="18"/>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18"/>
          <w:rFonts w:hint="eastAsia" w:ascii="仿宋_GB2312" w:hAnsi="仿宋_GB2312" w:eastAsia="仿宋_GB2312" w:cs="仿宋_GB2312"/>
          <w:b w:val="0"/>
          <w:bCs w:val="0"/>
          <w:color w:val="auto"/>
          <w:highlight w:val="none"/>
        </w:rPr>
        <w:t>政拨款收入支出决算总表</w:t>
      </w:r>
      <w:bookmarkEnd w:id="84"/>
      <w:bookmarkEnd w:id="85"/>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Style w:val="18"/>
          <w:rFonts w:hint="eastAsia" w:ascii="仿宋_GB2312" w:hAnsi="仿宋_GB2312" w:eastAsia="仿宋_GB2312" w:cs="仿宋_GB2312"/>
          <w:b w:val="0"/>
          <w:bCs w:val="0"/>
          <w:color w:val="auto"/>
          <w:highlight w:val="none"/>
        </w:rPr>
      </w:pPr>
      <w:bookmarkStart w:id="86" w:name="_Toc22440"/>
      <w:bookmarkStart w:id="87" w:name="_Toc15396623"/>
      <w:r>
        <w:rPr>
          <w:rStyle w:val="18"/>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18"/>
          <w:rFonts w:hint="eastAsia" w:ascii="仿宋_GB2312" w:hAnsi="仿宋_GB2312" w:eastAsia="仿宋_GB2312" w:cs="仿宋_GB2312"/>
          <w:b w:val="0"/>
          <w:bCs w:val="0"/>
          <w:color w:val="auto"/>
          <w:highlight w:val="none"/>
        </w:rPr>
        <w:t>政拨款支出决算明细表</w:t>
      </w:r>
      <w:bookmarkEnd w:id="86"/>
      <w:bookmarkEnd w:id="87"/>
      <w:bookmarkStart w:id="88" w:name="_Toc15396624"/>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89" w:name="_Toc14335"/>
      <w:r>
        <w:rPr>
          <w:rStyle w:val="18"/>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18"/>
          <w:rFonts w:hint="eastAsia" w:ascii="仿宋_GB2312" w:hAnsi="仿宋_GB2312" w:eastAsia="仿宋_GB2312" w:cs="仿宋_GB2312"/>
          <w:b w:val="0"/>
          <w:bCs w:val="0"/>
          <w:color w:val="auto"/>
          <w:highlight w:val="none"/>
        </w:rPr>
        <w:t>般公共预算财政拨款支出决算表</w:t>
      </w:r>
      <w:bookmarkEnd w:id="88"/>
      <w:bookmarkEnd w:id="89"/>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90" w:name="_Toc15396625"/>
      <w:bookmarkStart w:id="91" w:name="_Toc22603"/>
      <w:r>
        <w:rPr>
          <w:rStyle w:val="18"/>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18"/>
          <w:rFonts w:hint="eastAsia" w:ascii="仿宋_GB2312" w:hAnsi="仿宋_GB2312" w:eastAsia="仿宋_GB2312" w:cs="仿宋_GB2312"/>
          <w:b w:val="0"/>
          <w:bCs w:val="0"/>
          <w:color w:val="auto"/>
          <w:highlight w:val="none"/>
        </w:rPr>
        <w:t>般公共预算财政拨款支出决算明细表</w:t>
      </w:r>
      <w:bookmarkEnd w:id="90"/>
      <w:bookmarkEnd w:id="91"/>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92" w:name="_Toc9509"/>
      <w:bookmarkStart w:id="93" w:name="_Toc15396626"/>
      <w:r>
        <w:rPr>
          <w:rStyle w:val="18"/>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18"/>
          <w:rFonts w:hint="eastAsia" w:ascii="仿宋_GB2312" w:hAnsi="仿宋_GB2312" w:eastAsia="仿宋_GB2312" w:cs="仿宋_GB2312"/>
          <w:b w:val="0"/>
          <w:bCs w:val="0"/>
          <w:color w:val="auto"/>
          <w:highlight w:val="none"/>
        </w:rPr>
        <w:t>般公共预算财政拨款基本支出决算表</w:t>
      </w:r>
      <w:bookmarkEnd w:id="92"/>
      <w:bookmarkEnd w:id="93"/>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94" w:name="_Toc8269"/>
      <w:bookmarkStart w:id="95" w:name="_Toc15396627"/>
      <w:r>
        <w:rPr>
          <w:rStyle w:val="18"/>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18"/>
          <w:rFonts w:hint="eastAsia" w:ascii="仿宋_GB2312" w:hAnsi="仿宋_GB2312" w:eastAsia="仿宋_GB2312" w:cs="仿宋_GB2312"/>
          <w:b w:val="0"/>
          <w:bCs w:val="0"/>
          <w:color w:val="auto"/>
          <w:highlight w:val="none"/>
        </w:rPr>
        <w:t>般公共预算财政拨款项目支出决算表</w:t>
      </w:r>
      <w:bookmarkEnd w:id="94"/>
      <w:bookmarkEnd w:id="95"/>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96" w:name="_Toc15396628"/>
      <w:bookmarkStart w:id="97" w:name="_Toc2274"/>
      <w:r>
        <w:rPr>
          <w:rStyle w:val="18"/>
          <w:rFonts w:hint="eastAsia" w:ascii="仿宋_GB2312" w:hAnsi="仿宋_GB2312" w:eastAsia="仿宋_GB2312" w:cs="仿宋_GB2312"/>
          <w:b w:val="0"/>
          <w:bCs w:val="0"/>
          <w:color w:val="auto"/>
          <w:highlight w:val="none"/>
        </w:rPr>
        <w:t>十、</w:t>
      </w:r>
      <w:bookmarkEnd w:id="96"/>
      <w:r>
        <w:rPr>
          <w:rFonts w:hint="eastAsia" w:ascii="仿宋_GB2312" w:hAnsi="仿宋_GB2312" w:eastAsia="仿宋_GB2312" w:cs="仿宋_GB2312"/>
          <w:b w:val="0"/>
          <w:color w:val="auto"/>
          <w:highlight w:val="none"/>
        </w:rPr>
        <w:t>政</w:t>
      </w:r>
      <w:r>
        <w:rPr>
          <w:rStyle w:val="18"/>
          <w:rFonts w:hint="eastAsia" w:ascii="仿宋_GB2312" w:hAnsi="仿宋_GB2312" w:eastAsia="仿宋_GB2312" w:cs="仿宋_GB2312"/>
          <w:b w:val="0"/>
          <w:bCs w:val="0"/>
          <w:color w:val="auto"/>
          <w:highlight w:val="none"/>
        </w:rPr>
        <w:t>府性基金预算财政拨款收入支出决算表</w:t>
      </w:r>
      <w:bookmarkEnd w:id="97"/>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98" w:name="_Toc15396629"/>
      <w:bookmarkStart w:id="99" w:name="_Toc872"/>
      <w:r>
        <w:rPr>
          <w:rStyle w:val="18"/>
          <w:rFonts w:hint="eastAsia" w:ascii="仿宋_GB2312" w:hAnsi="仿宋_GB2312" w:eastAsia="仿宋_GB2312" w:cs="仿宋_GB2312"/>
          <w:b w:val="0"/>
          <w:bCs w:val="0"/>
          <w:color w:val="auto"/>
          <w:highlight w:val="none"/>
        </w:rPr>
        <w:t>十一、</w:t>
      </w:r>
      <w:bookmarkEnd w:id="98"/>
      <w:r>
        <w:rPr>
          <w:rFonts w:hint="eastAsia" w:ascii="仿宋_GB2312" w:hAnsi="仿宋_GB2312" w:eastAsia="仿宋_GB2312" w:cs="仿宋_GB2312"/>
          <w:b w:val="0"/>
          <w:color w:val="auto"/>
          <w:highlight w:val="none"/>
        </w:rPr>
        <w:t>国</w:t>
      </w:r>
      <w:r>
        <w:rPr>
          <w:rStyle w:val="18"/>
          <w:rFonts w:hint="eastAsia" w:ascii="仿宋_GB2312" w:hAnsi="仿宋_GB2312" w:eastAsia="仿宋_GB2312" w:cs="仿宋_GB2312"/>
          <w:b w:val="0"/>
          <w:bCs w:val="0"/>
          <w:color w:val="auto"/>
          <w:highlight w:val="none"/>
        </w:rPr>
        <w:t>有资本经营预算</w:t>
      </w:r>
      <w:r>
        <w:rPr>
          <w:rStyle w:val="18"/>
          <w:rFonts w:hint="eastAsia" w:ascii="仿宋_GB2312" w:hAnsi="仿宋_GB2312" w:eastAsia="仿宋_GB2312" w:cs="仿宋_GB2312"/>
          <w:b w:val="0"/>
          <w:bCs w:val="0"/>
          <w:color w:val="auto"/>
          <w:highlight w:val="none"/>
          <w:lang w:eastAsia="zh-CN"/>
        </w:rPr>
        <w:t>财政拨款收入</w:t>
      </w:r>
      <w:r>
        <w:rPr>
          <w:rStyle w:val="18"/>
          <w:rFonts w:hint="eastAsia" w:ascii="仿宋_GB2312" w:hAnsi="仿宋_GB2312" w:eastAsia="仿宋_GB2312" w:cs="仿宋_GB2312"/>
          <w:b w:val="0"/>
          <w:bCs w:val="0"/>
          <w:color w:val="auto"/>
          <w:highlight w:val="none"/>
        </w:rPr>
        <w:t>支出决算表</w:t>
      </w:r>
      <w:bookmarkEnd w:id="99"/>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rPr>
      </w:pPr>
      <w:bookmarkStart w:id="100" w:name="_Toc15396630"/>
      <w:bookmarkStart w:id="101" w:name="_Toc28596"/>
      <w:r>
        <w:rPr>
          <w:rStyle w:val="18"/>
          <w:rFonts w:hint="eastAsia" w:ascii="仿宋_GB2312" w:hAnsi="仿宋_GB2312" w:eastAsia="仿宋_GB2312" w:cs="仿宋_GB2312"/>
          <w:b w:val="0"/>
          <w:bCs w:val="0"/>
          <w:color w:val="auto"/>
          <w:highlight w:val="none"/>
        </w:rPr>
        <w:t>十二、</w:t>
      </w:r>
      <w:bookmarkEnd w:id="100"/>
      <w:r>
        <w:rPr>
          <w:rStyle w:val="18"/>
          <w:rFonts w:hint="eastAsia" w:ascii="仿宋_GB2312" w:hAnsi="仿宋_GB2312" w:eastAsia="仿宋_GB2312" w:cs="仿宋_GB2312"/>
          <w:b w:val="0"/>
          <w:bCs w:val="0"/>
          <w:color w:val="auto"/>
          <w:highlight w:val="none"/>
          <w:lang w:eastAsia="zh-CN"/>
        </w:rPr>
        <w:t>国有资本经营预算财政拨款支出决算表</w:t>
      </w:r>
      <w:bookmarkEnd w:id="101"/>
    </w:p>
    <w:p>
      <w:pPr>
        <w:pStyle w:val="4"/>
        <w:keepNext/>
        <w:keepLines/>
        <w:pageBreakBefore w:val="0"/>
        <w:widowControl w:val="0"/>
        <w:kinsoku/>
        <w:wordWrap/>
        <w:overflowPunct/>
        <w:topLinePunct w:val="0"/>
        <w:autoSpaceDE/>
        <w:autoSpaceDN/>
        <w:bidi w:val="0"/>
        <w:adjustRightInd/>
        <w:snapToGrid/>
        <w:spacing w:before="0" w:after="0" w:line="660" w:lineRule="exact"/>
        <w:ind w:firstLine="320" w:firstLineChars="100"/>
        <w:textAlignment w:val="auto"/>
        <w:rPr>
          <w:rFonts w:hint="eastAsia" w:ascii="仿宋_GB2312" w:hAnsi="仿宋_GB2312" w:eastAsia="仿宋_GB2312" w:cs="仿宋_GB2312"/>
          <w:color w:val="auto"/>
          <w:highlight w:val="none"/>
          <w:lang w:eastAsia="zh-CN"/>
        </w:rPr>
      </w:pPr>
      <w:bookmarkStart w:id="102" w:name="_Toc15396631"/>
      <w:bookmarkStart w:id="103" w:name="_Toc27945"/>
      <w:r>
        <w:rPr>
          <w:rStyle w:val="18"/>
          <w:rFonts w:hint="eastAsia" w:ascii="仿宋_GB2312" w:hAnsi="仿宋_GB2312" w:eastAsia="仿宋_GB2312" w:cs="仿宋_GB2312"/>
          <w:b w:val="0"/>
          <w:bCs w:val="0"/>
          <w:color w:val="auto"/>
          <w:highlight w:val="none"/>
        </w:rPr>
        <w:t>十三、</w:t>
      </w:r>
      <w:bookmarkEnd w:id="102"/>
      <w:r>
        <w:rPr>
          <w:rStyle w:val="18"/>
          <w:rFonts w:hint="eastAsia" w:ascii="仿宋_GB2312" w:hAnsi="仿宋_GB2312" w:eastAsia="仿宋_GB2312" w:cs="仿宋_GB2312"/>
          <w:b w:val="0"/>
          <w:bCs w:val="0"/>
          <w:color w:val="auto"/>
          <w:highlight w:val="none"/>
          <w:lang w:eastAsia="zh-CN"/>
        </w:rPr>
        <w:t>财政拨款“三公”经费支出决算表</w:t>
      </w:r>
      <w:bookmarkEnd w:id="103"/>
    </w:p>
    <w:sectPr>
      <w:pgSz w:w="11906" w:h="16838"/>
      <w:pgMar w:top="1701" w:right="1474" w:bottom="1701" w:left="1587" w:header="851" w:footer="1559"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F2BF0DAE"/>
    <w:multiLevelType w:val="singleLevel"/>
    <w:tmpl w:val="F2BF0DAE"/>
    <w:lvl w:ilvl="0" w:tentative="0">
      <w:start w:val="2"/>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1280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WM0NDVmZWRjYWMzMTdjNWNhYzUxM2I3MmFjYj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5946661"/>
    <w:rsid w:val="095E38C5"/>
    <w:rsid w:val="09C771CC"/>
    <w:rsid w:val="0A2032A3"/>
    <w:rsid w:val="0B8A37D8"/>
    <w:rsid w:val="0ED32E68"/>
    <w:rsid w:val="0F3F28FE"/>
    <w:rsid w:val="0F525276"/>
    <w:rsid w:val="10C055FF"/>
    <w:rsid w:val="118107EC"/>
    <w:rsid w:val="11DD6519"/>
    <w:rsid w:val="12A168D1"/>
    <w:rsid w:val="13E23906"/>
    <w:rsid w:val="15F65CFA"/>
    <w:rsid w:val="16BB723D"/>
    <w:rsid w:val="17507EC4"/>
    <w:rsid w:val="18015F3F"/>
    <w:rsid w:val="19B14F6A"/>
    <w:rsid w:val="1A135280"/>
    <w:rsid w:val="1BE8440E"/>
    <w:rsid w:val="1D155CEE"/>
    <w:rsid w:val="1ED82A39"/>
    <w:rsid w:val="20131970"/>
    <w:rsid w:val="20F57F95"/>
    <w:rsid w:val="22EC3F05"/>
    <w:rsid w:val="240371BF"/>
    <w:rsid w:val="2530507E"/>
    <w:rsid w:val="25711CC6"/>
    <w:rsid w:val="25C741E6"/>
    <w:rsid w:val="27842671"/>
    <w:rsid w:val="27906EE8"/>
    <w:rsid w:val="27CB1D94"/>
    <w:rsid w:val="297464E5"/>
    <w:rsid w:val="29FD04D3"/>
    <w:rsid w:val="2ABE7A3E"/>
    <w:rsid w:val="2C2432F0"/>
    <w:rsid w:val="2CA234A8"/>
    <w:rsid w:val="2CC03D00"/>
    <w:rsid w:val="2EFA178C"/>
    <w:rsid w:val="30000983"/>
    <w:rsid w:val="30B46D73"/>
    <w:rsid w:val="3131298A"/>
    <w:rsid w:val="319F7F4E"/>
    <w:rsid w:val="32AB107A"/>
    <w:rsid w:val="33BFE821"/>
    <w:rsid w:val="370825B5"/>
    <w:rsid w:val="37776A06"/>
    <w:rsid w:val="383D272C"/>
    <w:rsid w:val="39AE70AB"/>
    <w:rsid w:val="39DA7E5D"/>
    <w:rsid w:val="3C0C0783"/>
    <w:rsid w:val="3C9B080E"/>
    <w:rsid w:val="3D3FEC68"/>
    <w:rsid w:val="3D7F237C"/>
    <w:rsid w:val="3DEB902F"/>
    <w:rsid w:val="3F9F3A96"/>
    <w:rsid w:val="41085755"/>
    <w:rsid w:val="42472441"/>
    <w:rsid w:val="42CD143D"/>
    <w:rsid w:val="431767AB"/>
    <w:rsid w:val="436F3497"/>
    <w:rsid w:val="47543636"/>
    <w:rsid w:val="48BF60AB"/>
    <w:rsid w:val="493C27E9"/>
    <w:rsid w:val="496F39ED"/>
    <w:rsid w:val="49FF41D3"/>
    <w:rsid w:val="4BE068DB"/>
    <w:rsid w:val="4BF6002B"/>
    <w:rsid w:val="4DDD2243"/>
    <w:rsid w:val="4ECE2238"/>
    <w:rsid w:val="51DB4B86"/>
    <w:rsid w:val="52262073"/>
    <w:rsid w:val="53D41EFA"/>
    <w:rsid w:val="55333C3E"/>
    <w:rsid w:val="576FD71E"/>
    <w:rsid w:val="5B745BFD"/>
    <w:rsid w:val="5B926CC3"/>
    <w:rsid w:val="5CB6709F"/>
    <w:rsid w:val="5F2F2AEC"/>
    <w:rsid w:val="5FEB6337"/>
    <w:rsid w:val="602D6CC3"/>
    <w:rsid w:val="62035F2D"/>
    <w:rsid w:val="62D91739"/>
    <w:rsid w:val="64BB8ED8"/>
    <w:rsid w:val="64CA39A1"/>
    <w:rsid w:val="69630ADE"/>
    <w:rsid w:val="6A1E7E43"/>
    <w:rsid w:val="6AB9362D"/>
    <w:rsid w:val="6BBF5645"/>
    <w:rsid w:val="6BE915C4"/>
    <w:rsid w:val="6C4A05C8"/>
    <w:rsid w:val="6CB94CDA"/>
    <w:rsid w:val="6D3B1A89"/>
    <w:rsid w:val="6D5B6E46"/>
    <w:rsid w:val="6FFE7430"/>
    <w:rsid w:val="71BF4EC2"/>
    <w:rsid w:val="71E21CEB"/>
    <w:rsid w:val="71E72511"/>
    <w:rsid w:val="72734D90"/>
    <w:rsid w:val="7412278C"/>
    <w:rsid w:val="77C96E79"/>
    <w:rsid w:val="7904082E"/>
    <w:rsid w:val="79D7D5A0"/>
    <w:rsid w:val="79E7B28D"/>
    <w:rsid w:val="7A7DA0EA"/>
    <w:rsid w:val="7B2C3E51"/>
    <w:rsid w:val="7DF7683D"/>
    <w:rsid w:val="7F9F20EE"/>
    <w:rsid w:val="7FEB6184"/>
    <w:rsid w:val="7FFF4414"/>
    <w:rsid w:val="9E3A10E2"/>
    <w:rsid w:val="AABF6A09"/>
    <w:rsid w:val="ACEDA5D3"/>
    <w:rsid w:val="AF6F7025"/>
    <w:rsid w:val="AFB7B230"/>
    <w:rsid w:val="CF3F23B3"/>
    <w:rsid w:val="DECDF724"/>
    <w:rsid w:val="DEE2FBBF"/>
    <w:rsid w:val="E7B98A3A"/>
    <w:rsid w:val="EBAFF05E"/>
    <w:rsid w:val="EE4F0596"/>
    <w:rsid w:val="EFFFA27C"/>
    <w:rsid w:val="F2E1F9D4"/>
    <w:rsid w:val="F3BB4014"/>
    <w:rsid w:val="F3BF5874"/>
    <w:rsid w:val="F4D67B7E"/>
    <w:rsid w:val="F7880819"/>
    <w:rsid w:val="F9F373B3"/>
    <w:rsid w:val="FA77DBAC"/>
    <w:rsid w:val="FB89E7F4"/>
    <w:rsid w:val="FCEF9737"/>
    <w:rsid w:val="FD5B3C9E"/>
    <w:rsid w:val="FEB7BB84"/>
    <w:rsid w:val="FEED7C0B"/>
    <w:rsid w:val="FF6AE3E7"/>
    <w:rsid w:val="FFFD07B5"/>
    <w:rsid w:val="FFFE28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left="420" w:leftChars="200"/>
    </w:p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常用样式（方正仿宋简）"/>
    <w:basedOn w:val="1"/>
    <w:qFormat/>
    <w:uiPriority w:val="0"/>
    <w:pPr>
      <w:spacing w:line="560" w:lineRule="exact"/>
      <w:ind w:firstLine="640" w:firstLineChars="200"/>
    </w:pPr>
    <w:rPr>
      <w:rFonts w:eastAsia="方正仿宋简体"/>
      <w:sz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4445"/>
          <c:y val="0.127"/>
          <c:w val="0.9268"/>
          <c:h val="0.717233333333333"/>
        </c:manualLayout>
      </c:layout>
      <c:barChart>
        <c:barDir val="col"/>
        <c:grouping val="clustered"/>
        <c:varyColors val="false"/>
        <c:ser>
          <c:idx val="0"/>
          <c:order val="0"/>
          <c:tx>
            <c:strRef>
              <c:f>Sheet1!$B$1</c:f>
              <c:strCache>
                <c:ptCount val="1"/>
                <c:pt idx="0">
                  <c:v>收、支决算总计变动情况图</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2024年度</c:v>
                </c:pt>
                <c:pt idx="1">
                  <c:v>2023年度</c:v>
                </c:pt>
              </c:strCache>
            </c:strRef>
          </c:cat>
          <c:val>
            <c:numRef>
              <c:f>Sheet1!$B$2:$B$3</c:f>
              <c:numCache>
                <c:formatCode>General</c:formatCode>
                <c:ptCount val="2"/>
                <c:pt idx="0">
                  <c:v>405.4</c:v>
                </c:pt>
                <c:pt idx="1">
                  <c:v>408.55</c:v>
                </c:pt>
              </c:numCache>
            </c:numRef>
          </c:val>
        </c:ser>
        <c:dLbls>
          <c:showLegendKey val="false"/>
          <c:showVal val="true"/>
          <c:showCatName val="false"/>
          <c:showSerName val="false"/>
          <c:showPercent val="false"/>
          <c:showBubbleSize val="false"/>
        </c:dLbls>
        <c:gapWidth val="219"/>
        <c:overlap val="-27"/>
        <c:axId val="193315824"/>
        <c:axId val="111495524"/>
      </c:barChart>
      <c:catAx>
        <c:axId val="19331582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11495524"/>
        <c:crosses val="autoZero"/>
        <c:auto val="true"/>
        <c:lblAlgn val="ctr"/>
        <c:lblOffset val="100"/>
        <c:noMultiLvlLbl val="false"/>
      </c:catAx>
      <c:valAx>
        <c:axId val="11149552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9331582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收入决算结构图</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一般公共预算财政拨款收入397.19万元</c:v>
                </c:pt>
                <c:pt idx="1">
                  <c:v>其他收入5.91万元</c:v>
                </c:pt>
              </c:strCache>
            </c:strRef>
          </c:cat>
          <c:val>
            <c:numRef>
              <c:f>Sheet1!$B$2:$B$3</c:f>
              <c:numCache>
                <c:formatCode>0.00_ </c:formatCode>
                <c:ptCount val="2"/>
                <c:pt idx="0">
                  <c:v>397.19</c:v>
                </c:pt>
                <c:pt idx="1">
                  <c:v>5.91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支出决算结构图</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基本支出324.02万元</c:v>
                </c:pt>
                <c:pt idx="1">
                  <c:v>项目支出81.38万元</c:v>
                </c:pt>
              </c:strCache>
            </c:strRef>
          </c:cat>
          <c:val>
            <c:numRef>
              <c:f>Sheet1!$B$2:$B$3</c:f>
              <c:numCache>
                <c:formatCode>0.00_ </c:formatCode>
                <c:ptCount val="2"/>
                <c:pt idx="0">
                  <c:v>324.02</c:v>
                </c:pt>
                <c:pt idx="1">
                  <c:v>81.38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238125"/>
          <c:y val="0.905913978494624"/>
          <c:w val="0.525"/>
          <c:h val="0.069272125723738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707"/>
          <c:y val="0.169166666666667"/>
          <c:w val="0.9018"/>
          <c:h val="0.675066666666667"/>
        </c:manualLayout>
      </c:layout>
      <c:barChart>
        <c:barDir val="col"/>
        <c:grouping val="clustered"/>
        <c:varyColors val="false"/>
        <c:ser>
          <c:idx val="0"/>
          <c:order val="0"/>
          <c:tx>
            <c:strRef>
              <c:f>Sheet1!$B$1</c:f>
              <c:strCache>
                <c:ptCount val="1"/>
                <c:pt idx="0">
                  <c:v>财政拨款收、支决算总计变动情况</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2024年</c:v>
                </c:pt>
                <c:pt idx="1">
                  <c:v>2023年</c:v>
                </c:pt>
              </c:strCache>
            </c:strRef>
          </c:cat>
          <c:val>
            <c:numRef>
              <c:f>Sheet1!$B$2:$B$3</c:f>
              <c:numCache>
                <c:formatCode>General</c:formatCode>
                <c:ptCount val="2"/>
                <c:pt idx="0">
                  <c:v>399.49</c:v>
                </c:pt>
                <c:pt idx="1">
                  <c:v>406.57</c:v>
                </c:pt>
              </c:numCache>
            </c:numRef>
          </c:val>
        </c:ser>
        <c:dLbls>
          <c:showLegendKey val="false"/>
          <c:showVal val="true"/>
          <c:showCatName val="false"/>
          <c:showSerName val="false"/>
          <c:showPercent val="false"/>
          <c:showBubbleSize val="false"/>
        </c:dLbls>
        <c:gapWidth val="219"/>
        <c:overlap val="-27"/>
        <c:axId val="977434012"/>
        <c:axId val="334085736"/>
      </c:barChart>
      <c:catAx>
        <c:axId val="97743401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34085736"/>
        <c:crosses val="autoZero"/>
        <c:auto val="true"/>
        <c:lblAlgn val="ctr"/>
        <c:lblOffset val="100"/>
        <c:noMultiLvlLbl val="false"/>
      </c:catAx>
      <c:valAx>
        <c:axId val="33408573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7743401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707"/>
          <c:y val="0.196630565583634"/>
          <c:w val="0.87655"/>
          <c:h val="0.667725631768953"/>
        </c:manualLayout>
      </c:layout>
      <c:barChart>
        <c:barDir val="col"/>
        <c:grouping val="clustered"/>
        <c:varyColors val="false"/>
        <c:ser>
          <c:idx val="0"/>
          <c:order val="0"/>
          <c:tx>
            <c:strRef>
              <c:f>Sheet1!$B$1</c:f>
              <c:strCache>
                <c:ptCount val="1"/>
                <c:pt idx="0">
                  <c:v>一般公共预算财政拨款支出决算变动情况</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2024年</c:v>
                </c:pt>
                <c:pt idx="1">
                  <c:v>2023年</c:v>
                </c:pt>
              </c:strCache>
            </c:strRef>
          </c:cat>
          <c:val>
            <c:numRef>
              <c:f>Sheet1!$B$2:$B$3</c:f>
              <c:numCache>
                <c:formatCode>General</c:formatCode>
                <c:ptCount val="2"/>
                <c:pt idx="0">
                  <c:v>399.49</c:v>
                </c:pt>
                <c:pt idx="1">
                  <c:v>404.26</c:v>
                </c:pt>
              </c:numCache>
            </c:numRef>
          </c:val>
        </c:ser>
        <c:dLbls>
          <c:showLegendKey val="false"/>
          <c:showVal val="true"/>
          <c:showCatName val="false"/>
          <c:showSerName val="false"/>
          <c:showPercent val="false"/>
          <c:showBubbleSize val="false"/>
        </c:dLbls>
        <c:gapWidth val="219"/>
        <c:overlap val="-27"/>
        <c:axId val="485896946"/>
        <c:axId val="878035943"/>
      </c:barChart>
      <c:catAx>
        <c:axId val="48589694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78035943"/>
        <c:crosses val="autoZero"/>
        <c:auto val="true"/>
        <c:lblAlgn val="ctr"/>
        <c:lblOffset val="100"/>
        <c:noMultiLvlLbl val="false"/>
      </c:catAx>
      <c:valAx>
        <c:axId val="878035943"/>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8589694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2"/>
              <c:layout>
                <c:manualLayout>
                  <c:x val="0.0521610824724628"/>
                  <c:y val="0.015411990449638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社会保障和就业支出362.84万元</c:v>
                </c:pt>
                <c:pt idx="1">
                  <c:v>卫生健康支出12.34万元</c:v>
                </c:pt>
                <c:pt idx="2">
                  <c:v>住房保障支出24.31万元</c:v>
                </c:pt>
              </c:strCache>
            </c:strRef>
          </c:cat>
          <c:val>
            <c:numRef>
              <c:f>Sheet1!$B$2:$B$4</c:f>
              <c:numCache>
                <c:formatCode>0.00_ </c:formatCode>
                <c:ptCount val="3"/>
                <c:pt idx="0">
                  <c:v>362.84</c:v>
                </c:pt>
                <c:pt idx="1">
                  <c:v>12.34</c:v>
                </c:pt>
                <c:pt idx="2">
                  <c:v>24.31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015375"/>
          <c:y val="0.901727861771058"/>
          <c:w val="0.969375"/>
          <c:h val="0.072354211663066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公务用车购置及运行维护费支出决算24.69万元</c:v>
                </c:pt>
                <c:pt idx="1">
                  <c:v>公务接待费支出决算0.2万元</c:v>
                </c:pt>
              </c:strCache>
            </c:strRef>
          </c:cat>
          <c:val>
            <c:numRef>
              <c:f>Sheet1!$B$2:$B$3</c:f>
              <c:numCache>
                <c:formatCode>0.00_ </c:formatCode>
                <c:ptCount val="2"/>
                <c:pt idx="0">
                  <c:v>24.69</c:v>
                </c:pt>
                <c:pt idx="1">
                  <c:v>0.2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015375"/>
          <c:y val="0.901727861771058"/>
          <c:w val="0.969375"/>
          <c:h val="0.072354211663066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16</Pages>
  <Words>2869</Words>
  <Characters>3303</Characters>
  <Lines>61</Lines>
  <Paragraphs>17</Paragraphs>
  <TotalTime>3</TotalTime>
  <ScaleCrop>false</ScaleCrop>
  <LinksUpToDate>false</LinksUpToDate>
  <CharactersWithSpaces>3356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2020-08-09T17:49:00Z</dcterms:created>
  <dc:creator>曹颖</dc:creator>
  <cp:lastModifiedBy> </cp:lastModifiedBy>
  <cp:lastPrinted>2025-09-26T01:01:00Z</cp:lastPrinted>
  <dcterms:modified xsi:type="dcterms:W3CDTF">2025-10-11T17:05:21Z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1979FAE18ED1E88460B12C6585548DDF_43</vt:lpwstr>
  </property>
  <property fmtid="{D5CDD505-2E9C-101B-9397-08002B2CF9AE}" pid="4" name="KSOTemplateDocerSaveRecord">
    <vt:lpwstr>eyJoZGlkIjoiYTc2ZGZiNzZiNDVlOGViOWVmM2JhOTY0NGJkNjUyYzgiLCJ1c2VySWQiOiIyMjA2OTAwNTAifQ==</vt:lpwstr>
  </property>
</Properties>
</file>