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hint="eastAsia" w:ascii="Times New Roman" w:hAnsi="Times New Roman" w:eastAsia="方正小标宋简体" w:cs="Times New Roman"/>
          <w:color w:val="auto"/>
          <w:kern w:val="2"/>
          <w:sz w:val="72"/>
          <w:szCs w:val="72"/>
          <w:highlight w:val="none"/>
          <w:lang w:val="en-US" w:eastAsia="zh-CN" w:bidi="ar-SA"/>
        </w:rPr>
      </w:pPr>
      <w:bookmarkStart w:id="0" w:name="_Toc15306267"/>
      <w:bookmarkStart w:id="1" w:name="_Toc15396597"/>
      <w:bookmarkStart w:id="2" w:name="_Toc15377193"/>
      <w:bookmarkStart w:id="3" w:name="_Toc15378441"/>
      <w:bookmarkStart w:id="4" w:name="_Toc15377425"/>
      <w:bookmarkStart w:id="5" w:name="_Toc15396475"/>
    </w:p>
    <w:p>
      <w:pPr>
        <w:pStyle w:val="2"/>
        <w:rPr>
          <w:rFonts w:hint="eastAsia" w:ascii="Times New Roman" w:hAnsi="Times New Roman" w:eastAsia="方正小标宋简体" w:cs="Times New Roman"/>
          <w:color w:val="auto"/>
          <w:kern w:val="2"/>
          <w:sz w:val="72"/>
          <w:szCs w:val="72"/>
          <w:highlight w:val="none"/>
          <w:lang w:val="en-US" w:eastAsia="zh-CN" w:bidi="ar-SA"/>
        </w:rPr>
      </w:pPr>
    </w:p>
    <w:p>
      <w:pPr>
        <w:pStyle w:val="2"/>
        <w:rPr>
          <w:rFonts w:hint="eastAsia" w:ascii="Times New Roman" w:hAnsi="Times New Roman" w:eastAsia="方正小标宋简体" w:cs="Times New Roman"/>
          <w:color w:val="auto"/>
          <w:kern w:val="2"/>
          <w:sz w:val="72"/>
          <w:szCs w:val="72"/>
          <w:highlight w:val="none"/>
          <w:lang w:val="en-US" w:eastAsia="zh-CN" w:bidi="ar-SA"/>
        </w:rPr>
      </w:pPr>
    </w:p>
    <w:p>
      <w:pPr>
        <w:pStyle w:val="2"/>
        <w:jc w:val="center"/>
        <w:rPr>
          <w:rFonts w:hint="default" w:ascii="Times New Roman" w:hAnsi="Times New Roman" w:eastAsia="方正小标宋简体" w:cs="Times New Roman"/>
          <w:color w:val="auto"/>
          <w:kern w:val="2"/>
          <w:sz w:val="44"/>
          <w:szCs w:val="44"/>
          <w:highlight w:val="none"/>
          <w:lang w:val="en-US" w:eastAsia="zh-CN" w:bidi="ar-SA"/>
        </w:rPr>
      </w:pPr>
      <w:r>
        <w:rPr>
          <w:rFonts w:hint="eastAsia" w:ascii="Times New Roman" w:hAnsi="Times New Roman" w:eastAsia="方正小标宋简体" w:cs="Times New Roman"/>
          <w:color w:val="auto"/>
          <w:kern w:val="2"/>
          <w:sz w:val="44"/>
          <w:szCs w:val="44"/>
          <w:highlight w:val="none"/>
          <w:lang w:val="en-US" w:eastAsia="zh-CN" w:bidi="ar-SA"/>
        </w:rPr>
        <w:t>2024年度</w:t>
      </w:r>
      <w:r>
        <w:rPr>
          <w:rFonts w:hint="eastAsia" w:ascii="Times New Roman" w:eastAsia="方正小标宋简体" w:cs="Times New Roman"/>
          <w:color w:val="auto"/>
          <w:kern w:val="2"/>
          <w:sz w:val="44"/>
          <w:szCs w:val="44"/>
          <w:highlight w:val="none"/>
          <w:lang w:val="en-US" w:eastAsia="zh-CN" w:bidi="ar-SA"/>
        </w:rPr>
        <w:t>广元市政务服务和公共资源交易中心单位</w:t>
      </w:r>
      <w:r>
        <w:rPr>
          <w:rFonts w:hint="eastAsia" w:ascii="Times New Roman" w:hAnsi="Times New Roman" w:eastAsia="方正小标宋简体" w:cs="Times New Roman"/>
          <w:color w:val="auto"/>
          <w:kern w:val="2"/>
          <w:sz w:val="44"/>
          <w:szCs w:val="44"/>
          <w:highlight w:val="none"/>
          <w:lang w:val="en-US" w:eastAsia="zh-CN" w:bidi="ar-SA"/>
        </w:rPr>
        <w:t>决算</w:t>
      </w:r>
    </w:p>
    <w:p>
      <w:pPr>
        <w:spacing w:line="600" w:lineRule="exact"/>
        <w:jc w:val="center"/>
        <w:outlineLvl w:val="0"/>
        <w:rPr>
          <w:rFonts w:ascii="Times New Roman" w:hAnsi="Times New Roman" w:eastAsia="方正小标宋简体"/>
          <w:color w:val="auto"/>
          <w:sz w:val="72"/>
          <w:szCs w:val="72"/>
          <w:highlight w:val="none"/>
        </w:rPr>
      </w:pPr>
    </w:p>
    <w:p>
      <w:pPr>
        <w:pStyle w:val="26"/>
        <w:rPr>
          <w:rFonts w:ascii="Times New Roman" w:hAnsi="Times New Roman"/>
        </w:rPr>
        <w:sectPr>
          <w:headerReference r:id="rId3" w:type="default"/>
          <w:footerReference r:id="rId4" w:type="default"/>
          <w:pgSz w:w="11906" w:h="16838"/>
          <w:pgMar w:top="1440" w:right="1800" w:bottom="1440" w:left="1800" w:header="851" w:footer="992" w:gutter="0"/>
          <w:pgNumType w:fmt="numberInDash" w:start="1"/>
          <w:cols w:space="425" w:num="1"/>
          <w:titlePg/>
          <w:docGrid w:type="lines" w:linePitch="312" w:charSpace="0"/>
        </w:sectPr>
      </w:pPr>
    </w:p>
    <w:p>
      <w:pPr>
        <w:rPr>
          <w:rFonts w:ascii="Times New Roman" w:hAnsi="Times New Roman"/>
        </w:rPr>
      </w:pPr>
    </w:p>
    <w:bookmarkEnd w:id="0"/>
    <w:bookmarkEnd w:id="1"/>
    <w:bookmarkEnd w:id="2"/>
    <w:bookmarkEnd w:id="3"/>
    <w:bookmarkEnd w:id="4"/>
    <w:bookmarkEnd w:id="5"/>
    <w:p>
      <w:pPr>
        <w:widowControl/>
        <w:jc w:val="center"/>
        <w:rPr>
          <w:rFonts w:ascii="Times New Roman" w:hAnsi="Times New Roman" w:eastAsia="黑体" w:cstheme="minorBidi"/>
          <w:color w:val="auto"/>
          <w:sz w:val="28"/>
          <w:szCs w:val="28"/>
          <w:highlight w:val="none"/>
        </w:rPr>
      </w:pPr>
      <w:r>
        <w:rPr>
          <w:rFonts w:hint="eastAsia" w:ascii="Times New Roman" w:hAnsi="Times New Roman" w:eastAsia="黑体"/>
          <w:color w:val="auto"/>
          <w:sz w:val="48"/>
          <w:szCs w:val="48"/>
          <w:highlight w:val="none"/>
        </w:rPr>
        <w:t>目录</w:t>
      </w:r>
    </w:p>
    <w:p>
      <w:pPr>
        <w:pStyle w:val="13"/>
        <w:suppressAutoHyphens/>
        <w:bidi w:val="0"/>
        <w:rPr>
          <w:rFonts w:hint="eastAsia" w:ascii="仿宋" w:hAnsi="仿宋" w:eastAsia="仿宋" w:cs="Times New Roman"/>
          <w:color w:val="auto"/>
          <w:highlight w:val="none"/>
        </w:rPr>
      </w:pPr>
      <w:r>
        <w:rPr>
          <w:rFonts w:hint="eastAsia" w:ascii="仿宋" w:hAnsi="仿宋" w:eastAsia="仿宋" w:cs="Times New Roman"/>
          <w:color w:val="auto"/>
          <w:highlight w:val="none"/>
        </w:rPr>
        <w:t>公开时间：20</w:t>
      </w:r>
      <w:r>
        <w:rPr>
          <w:rFonts w:hint="eastAsia" w:ascii="仿宋" w:hAnsi="仿宋" w:eastAsia="仿宋" w:cs="Times New Roman"/>
          <w:color w:val="auto"/>
          <w:highlight w:val="none"/>
          <w:lang w:val="en-US" w:eastAsia="zh-CN"/>
        </w:rPr>
        <w:t>2</w:t>
      </w:r>
      <w:r>
        <w:rPr>
          <w:rFonts w:hint="eastAsia" w:cs="Times New Roman"/>
          <w:color w:val="auto"/>
          <w:highlight w:val="none"/>
          <w:lang w:val="en-US" w:eastAsia="zh-CN"/>
        </w:rPr>
        <w:t>5</w:t>
      </w:r>
      <w:bookmarkStart w:id="108" w:name="_GoBack"/>
      <w:bookmarkEnd w:id="108"/>
      <w:r>
        <w:rPr>
          <w:rFonts w:hint="eastAsia" w:ascii="仿宋" w:hAnsi="仿宋" w:eastAsia="仿宋" w:cs="Times New Roman"/>
          <w:color w:val="auto"/>
          <w:highlight w:val="none"/>
        </w:rPr>
        <w:t>年</w:t>
      </w:r>
      <w:r>
        <w:rPr>
          <w:rFonts w:hint="eastAsia" w:ascii="仿宋" w:hAnsi="仿宋" w:eastAsia="仿宋" w:cs="Times New Roman"/>
          <w:color w:val="auto"/>
          <w:highlight w:val="none"/>
          <w:lang w:val="en-US" w:eastAsia="zh-CN"/>
        </w:rPr>
        <w:t xml:space="preserve"> 10 </w:t>
      </w:r>
      <w:r>
        <w:rPr>
          <w:rFonts w:hint="eastAsia" w:ascii="仿宋" w:hAnsi="仿宋" w:eastAsia="仿宋" w:cs="Times New Roman"/>
          <w:color w:val="auto"/>
          <w:highlight w:val="none"/>
        </w:rPr>
        <w:t>月</w:t>
      </w:r>
      <w:r>
        <w:rPr>
          <w:rFonts w:hint="eastAsia" w:ascii="仿宋" w:hAnsi="仿宋" w:eastAsia="仿宋" w:cs="Times New Roman"/>
          <w:color w:val="auto"/>
          <w:highlight w:val="none"/>
          <w:lang w:val="en-US" w:eastAsia="zh-CN"/>
        </w:rPr>
        <w:t xml:space="preserve"> 14 </w:t>
      </w:r>
      <w:r>
        <w:rPr>
          <w:rFonts w:hint="eastAsia" w:ascii="仿宋" w:hAnsi="仿宋" w:eastAsia="仿宋" w:cs="Times New Roman"/>
          <w:color w:val="auto"/>
          <w:highlight w:val="none"/>
        </w:rPr>
        <w:t>日</w:t>
      </w:r>
    </w:p>
    <w:sdt>
      <w:sdtPr>
        <w:rPr>
          <w:rFonts w:ascii="宋体" w:hAnsi="宋体" w:eastAsia="宋体" w:cs="Times New Roman"/>
          <w:kern w:val="2"/>
          <w:sz w:val="21"/>
          <w:szCs w:val="24"/>
          <w:lang w:val="en-US" w:eastAsia="zh-CN" w:bidi="ar-SA"/>
        </w:rPr>
        <w:id w:val="147483122"/>
        <w15:color w:val="DBDBDB"/>
        <w:docPartObj>
          <w:docPartGallery w:val="Table of Contents"/>
          <w:docPartUnique/>
        </w:docPartObj>
      </w:sdtPr>
      <w:sdtEndPr>
        <w:rPr>
          <w:rFonts w:hint="eastAsia" w:asciiTheme="majorEastAsia" w:hAnsiTheme="majorEastAsia" w:eastAsiaTheme="majorEastAsia" w:cstheme="majorEastAsia"/>
          <w:kern w:val="2"/>
          <w:sz w:val="20"/>
          <w:szCs w:val="24"/>
          <w:lang w:val="en-US" w:eastAsia="zh-CN" w:bidi="ar-SA"/>
        </w:rPr>
      </w:sdtEndPr>
      <w:sdtContent>
        <w:p>
          <w:pPr>
            <w:spacing w:before="0" w:beforeLines="0" w:after="0" w:afterLines="0" w:line="240" w:lineRule="auto"/>
            <w:ind w:left="0" w:leftChars="0" w:right="0" w:rightChars="0" w:firstLine="0" w:firstLineChars="0"/>
            <w:jc w:val="center"/>
          </w:pPr>
          <w:r>
            <w:rPr>
              <w:rFonts w:ascii="宋体" w:hAnsi="宋体" w:eastAsia="宋体"/>
              <w:sz w:val="21"/>
            </w:rPr>
            <w:t>目录</w:t>
          </w:r>
        </w:p>
        <w:p>
          <w:pPr>
            <w:pStyle w:val="13"/>
            <w:tabs>
              <w:tab w:val="right" w:leader="dot" w:pos="8306"/>
              <w:tab w:val="clear" w:pos="8296"/>
            </w:tabs>
          </w:pPr>
          <w:r>
            <w:rPr>
              <w:rFonts w:hint="eastAsia" w:asciiTheme="majorEastAsia" w:hAnsiTheme="majorEastAsia" w:eastAsiaTheme="majorEastAsia" w:cstheme="majorEastAsia"/>
              <w:sz w:val="24"/>
              <w:szCs w:val="24"/>
            </w:rPr>
            <w:fldChar w:fldCharType="begin"/>
          </w:r>
          <w:r>
            <w:rPr>
              <w:rFonts w:hint="eastAsia" w:asciiTheme="majorEastAsia" w:hAnsiTheme="majorEastAsia" w:eastAsiaTheme="majorEastAsia" w:cstheme="majorEastAsia"/>
              <w:sz w:val="24"/>
              <w:szCs w:val="24"/>
            </w:rPr>
            <w:instrText xml:space="preserve">TOC \o "1-3" \h \u </w:instrText>
          </w:r>
          <w:r>
            <w:rPr>
              <w:rFonts w:hint="eastAsia" w:asciiTheme="majorEastAsia" w:hAnsiTheme="majorEastAsia" w:eastAsiaTheme="majorEastAsia" w:cstheme="majorEastAsia"/>
              <w:sz w:val="24"/>
              <w:szCs w:val="24"/>
            </w:rPr>
            <w:fldChar w:fldCharType="separate"/>
          </w:r>
          <w:r>
            <w:rPr>
              <w:rFonts w:hint="eastAsia" w:asciiTheme="majorEastAsia" w:hAnsiTheme="majorEastAsia" w:eastAsiaTheme="majorEastAsia" w:cstheme="majorEastAsia"/>
              <w:szCs w:val="24"/>
            </w:rPr>
            <w:fldChar w:fldCharType="begin"/>
          </w:r>
          <w:r>
            <w:rPr>
              <w:rFonts w:hint="eastAsia" w:asciiTheme="majorEastAsia" w:hAnsiTheme="majorEastAsia" w:eastAsiaTheme="majorEastAsia" w:cstheme="majorEastAsia"/>
              <w:szCs w:val="24"/>
            </w:rPr>
            <w:instrText xml:space="preserve"> HYPERLINK \l _Toc28762 </w:instrText>
          </w:r>
          <w:r>
            <w:rPr>
              <w:rFonts w:hint="eastAsia" w:asciiTheme="majorEastAsia" w:hAnsiTheme="majorEastAsia" w:eastAsiaTheme="majorEastAsia" w:cstheme="majorEastAsia"/>
              <w:szCs w:val="24"/>
            </w:rPr>
            <w:fldChar w:fldCharType="separate"/>
          </w:r>
          <w:r>
            <w:rPr>
              <w:rFonts w:hint="eastAsia" w:ascii="Times New Roman" w:hAnsi="Times New Roman" w:eastAsia="方正小标宋简体" w:cs="方正小标宋简体"/>
              <w:highlight w:val="none"/>
            </w:rPr>
            <w:t>第一部分</w:t>
          </w:r>
          <w:r>
            <w:rPr>
              <w:rFonts w:hint="eastAsia" w:ascii="Times New Roman" w:hAnsi="Times New Roman" w:eastAsia="方正小标宋简体" w:cs="方正小标宋简体"/>
              <w:highlight w:val="none"/>
              <w:lang w:val="en-US" w:eastAsia="zh-CN"/>
            </w:rPr>
            <w:t xml:space="preserve"> </w:t>
          </w:r>
          <w:r>
            <w:rPr>
              <w:rFonts w:hint="eastAsia" w:ascii="Times New Roman" w:hAnsi="Times New Roman" w:eastAsia="方正小标宋简体" w:cs="方正小标宋简体"/>
              <w:highlight w:val="none"/>
            </w:rPr>
            <w:t xml:space="preserve"> </w:t>
          </w:r>
          <w:r>
            <w:rPr>
              <w:rFonts w:hint="eastAsia" w:eastAsia="方正小标宋简体" w:cs="方正小标宋简体"/>
              <w:highlight w:val="none"/>
              <w:lang w:eastAsia="zh-CN"/>
            </w:rPr>
            <w:t>单位</w:t>
          </w:r>
          <w:r>
            <w:rPr>
              <w:rFonts w:hint="eastAsia" w:ascii="Times New Roman" w:hAnsi="Times New Roman" w:eastAsia="方正小标宋简体" w:cs="方正小标宋简体"/>
              <w:bCs w:val="0"/>
              <w:highlight w:val="none"/>
            </w:rPr>
            <w:t>概况</w:t>
          </w:r>
          <w:r>
            <w:tab/>
          </w:r>
          <w:r>
            <w:fldChar w:fldCharType="begin"/>
          </w:r>
          <w:r>
            <w:instrText xml:space="preserve"> PAGEREF _Toc28762 \h </w:instrText>
          </w:r>
          <w:r>
            <w:fldChar w:fldCharType="separate"/>
          </w:r>
          <w:r>
            <w:t>- 1 -</w:t>
          </w:r>
          <w:r>
            <w:fldChar w:fldCharType="end"/>
          </w:r>
          <w:r>
            <w:rPr>
              <w:rFonts w:hint="eastAsia" w:asciiTheme="majorEastAsia" w:hAnsiTheme="majorEastAsia" w:eastAsiaTheme="majorEastAsia" w:cstheme="majorEastAsia"/>
              <w:szCs w:val="24"/>
            </w:rPr>
            <w:fldChar w:fldCharType="end"/>
          </w:r>
        </w:p>
        <w:p>
          <w:pPr>
            <w:pStyle w:val="15"/>
            <w:tabs>
              <w:tab w:val="right" w:leader="dot" w:pos="8306"/>
              <w:tab w:val="clear" w:pos="8296"/>
            </w:tabs>
          </w:pPr>
          <w:r>
            <w:rPr>
              <w:rFonts w:hint="eastAsia" w:asciiTheme="majorEastAsia" w:hAnsiTheme="majorEastAsia" w:eastAsiaTheme="majorEastAsia" w:cstheme="majorEastAsia"/>
              <w:szCs w:val="24"/>
            </w:rPr>
            <w:fldChar w:fldCharType="begin"/>
          </w:r>
          <w:r>
            <w:rPr>
              <w:rFonts w:hint="eastAsia" w:asciiTheme="majorEastAsia" w:hAnsiTheme="majorEastAsia" w:eastAsiaTheme="majorEastAsia" w:cstheme="majorEastAsia"/>
              <w:szCs w:val="24"/>
            </w:rPr>
            <w:instrText xml:space="preserve"> HYPERLINK \l _Toc8648 </w:instrText>
          </w:r>
          <w:r>
            <w:rPr>
              <w:rFonts w:hint="eastAsia" w:asciiTheme="majorEastAsia" w:hAnsiTheme="majorEastAsia" w:eastAsiaTheme="majorEastAsia" w:cstheme="majorEastAsia"/>
              <w:szCs w:val="24"/>
            </w:rPr>
            <w:fldChar w:fldCharType="separate"/>
          </w:r>
          <w:r>
            <w:rPr>
              <w:rFonts w:hint="eastAsia" w:ascii="Times New Roman" w:hAnsi="Times New Roman" w:eastAsia="黑体"/>
              <w:lang w:eastAsia="zh-CN"/>
            </w:rPr>
            <w:t xml:space="preserve">一、 </w:t>
          </w:r>
          <w:r>
            <w:rPr>
              <w:rFonts w:hint="eastAsia" w:ascii="Times New Roman" w:hAnsi="Times New Roman" w:eastAsia="黑体"/>
              <w:highlight w:val="none"/>
              <w:lang w:eastAsia="zh-CN"/>
            </w:rPr>
            <w:t>主要职责</w:t>
          </w:r>
          <w:r>
            <w:tab/>
          </w:r>
          <w:r>
            <w:fldChar w:fldCharType="begin"/>
          </w:r>
          <w:r>
            <w:instrText xml:space="preserve"> PAGEREF _Toc8648 \h </w:instrText>
          </w:r>
          <w:r>
            <w:fldChar w:fldCharType="separate"/>
          </w:r>
          <w:r>
            <w:t>- 1 -</w:t>
          </w:r>
          <w:r>
            <w:fldChar w:fldCharType="end"/>
          </w:r>
          <w:r>
            <w:rPr>
              <w:rFonts w:hint="eastAsia" w:asciiTheme="majorEastAsia" w:hAnsiTheme="majorEastAsia" w:eastAsiaTheme="majorEastAsia" w:cstheme="majorEastAsia"/>
              <w:szCs w:val="24"/>
            </w:rPr>
            <w:fldChar w:fldCharType="end"/>
          </w:r>
        </w:p>
        <w:p>
          <w:pPr>
            <w:pStyle w:val="15"/>
            <w:tabs>
              <w:tab w:val="right" w:leader="dot" w:pos="8306"/>
              <w:tab w:val="clear" w:pos="8296"/>
            </w:tabs>
          </w:pPr>
          <w:r>
            <w:rPr>
              <w:rFonts w:hint="eastAsia" w:asciiTheme="majorEastAsia" w:hAnsiTheme="majorEastAsia" w:eastAsiaTheme="majorEastAsia" w:cstheme="majorEastAsia"/>
              <w:szCs w:val="24"/>
            </w:rPr>
            <w:fldChar w:fldCharType="begin"/>
          </w:r>
          <w:r>
            <w:rPr>
              <w:rFonts w:hint="eastAsia" w:asciiTheme="majorEastAsia" w:hAnsiTheme="majorEastAsia" w:eastAsiaTheme="majorEastAsia" w:cstheme="majorEastAsia"/>
              <w:szCs w:val="24"/>
            </w:rPr>
            <w:instrText xml:space="preserve"> HYPERLINK \l _Toc20585 </w:instrText>
          </w:r>
          <w:r>
            <w:rPr>
              <w:rFonts w:hint="eastAsia" w:asciiTheme="majorEastAsia" w:hAnsiTheme="majorEastAsia" w:eastAsiaTheme="majorEastAsia" w:cstheme="majorEastAsia"/>
              <w:szCs w:val="24"/>
            </w:rPr>
            <w:fldChar w:fldCharType="separate"/>
          </w:r>
          <w:r>
            <w:rPr>
              <w:rFonts w:hint="eastAsia" w:ascii="Times New Roman" w:hAnsi="Times New Roman" w:eastAsia="黑体"/>
              <w:highlight w:val="none"/>
            </w:rPr>
            <w:t>二、机</w:t>
          </w:r>
          <w:r>
            <w:rPr>
              <w:rFonts w:hint="eastAsia" w:ascii="Times New Roman" w:hAnsi="Times New Roman" w:eastAsia="黑体"/>
              <w:bCs w:val="0"/>
              <w:highlight w:val="none"/>
            </w:rPr>
            <w:t>构设置</w:t>
          </w:r>
          <w:r>
            <w:tab/>
          </w:r>
          <w:r>
            <w:fldChar w:fldCharType="begin"/>
          </w:r>
          <w:r>
            <w:instrText xml:space="preserve"> PAGEREF _Toc20585 \h </w:instrText>
          </w:r>
          <w:r>
            <w:fldChar w:fldCharType="separate"/>
          </w:r>
          <w:r>
            <w:t>- 2 -</w:t>
          </w:r>
          <w:r>
            <w:fldChar w:fldCharType="end"/>
          </w:r>
          <w:r>
            <w:rPr>
              <w:rFonts w:hint="eastAsia" w:asciiTheme="majorEastAsia" w:hAnsiTheme="majorEastAsia" w:eastAsiaTheme="majorEastAsia" w:cstheme="majorEastAsia"/>
              <w:szCs w:val="24"/>
            </w:rPr>
            <w:fldChar w:fldCharType="end"/>
          </w:r>
        </w:p>
        <w:p>
          <w:pPr>
            <w:pStyle w:val="13"/>
            <w:tabs>
              <w:tab w:val="right" w:leader="dot" w:pos="8306"/>
              <w:tab w:val="clear" w:pos="8296"/>
            </w:tabs>
          </w:pPr>
          <w:r>
            <w:rPr>
              <w:rFonts w:hint="eastAsia" w:asciiTheme="majorEastAsia" w:hAnsiTheme="majorEastAsia" w:eastAsiaTheme="majorEastAsia" w:cstheme="majorEastAsia"/>
              <w:szCs w:val="24"/>
            </w:rPr>
            <w:fldChar w:fldCharType="begin"/>
          </w:r>
          <w:r>
            <w:rPr>
              <w:rFonts w:hint="eastAsia" w:asciiTheme="majorEastAsia" w:hAnsiTheme="majorEastAsia" w:eastAsiaTheme="majorEastAsia" w:cstheme="majorEastAsia"/>
              <w:szCs w:val="24"/>
            </w:rPr>
            <w:instrText xml:space="preserve"> HYPERLINK \l _Toc10491 </w:instrText>
          </w:r>
          <w:r>
            <w:rPr>
              <w:rFonts w:hint="eastAsia" w:asciiTheme="majorEastAsia" w:hAnsiTheme="majorEastAsia" w:eastAsiaTheme="majorEastAsia" w:cstheme="majorEastAsia"/>
              <w:szCs w:val="24"/>
            </w:rPr>
            <w:fldChar w:fldCharType="separate"/>
          </w:r>
          <w:r>
            <w:rPr>
              <w:rFonts w:hint="eastAsia" w:ascii="Times New Roman" w:hAnsi="Times New Roman" w:eastAsia="方正小标宋简体" w:cs="方正小标宋简体"/>
              <w:highlight w:val="none"/>
            </w:rPr>
            <w:t>第二部分</w:t>
          </w:r>
          <w:r>
            <w:rPr>
              <w:rFonts w:hint="eastAsia" w:ascii="Times New Roman" w:hAnsi="Times New Roman" w:eastAsia="方正小标宋简体" w:cs="方正小标宋简体"/>
              <w:highlight w:val="none"/>
              <w:lang w:val="en-US" w:eastAsia="zh-CN"/>
            </w:rPr>
            <w:t xml:space="preserve"> </w:t>
          </w:r>
          <w:r>
            <w:rPr>
              <w:rFonts w:hint="eastAsia" w:ascii="Times New Roman" w:hAnsi="Times New Roman" w:eastAsia="方正小标宋简体" w:cs="方正小标宋简体"/>
              <w:highlight w:val="none"/>
            </w:rPr>
            <w:t xml:space="preserve"> </w:t>
          </w:r>
          <w:r>
            <w:rPr>
              <w:rFonts w:hint="eastAsia" w:ascii="Times New Roman" w:hAnsi="Times New Roman" w:eastAsia="方正小标宋简体" w:cs="方正小标宋简体"/>
              <w:highlight w:val="none"/>
              <w:lang w:val="en-US" w:eastAsia="zh-CN"/>
            </w:rPr>
            <w:t>2024年度</w:t>
          </w:r>
          <w:r>
            <w:rPr>
              <w:rFonts w:hint="eastAsia" w:eastAsia="方正小标宋简体" w:cs="方正小标宋简体"/>
              <w:highlight w:val="none"/>
              <w:lang w:eastAsia="zh-CN"/>
            </w:rPr>
            <w:t>单位</w:t>
          </w:r>
          <w:r>
            <w:rPr>
              <w:rFonts w:hint="eastAsia" w:ascii="Times New Roman" w:hAnsi="Times New Roman" w:eastAsia="方正小标宋简体" w:cs="方正小标宋简体"/>
              <w:highlight w:val="none"/>
            </w:rPr>
            <w:t>决算情况说明</w:t>
          </w:r>
          <w:r>
            <w:tab/>
          </w:r>
          <w:r>
            <w:fldChar w:fldCharType="begin"/>
          </w:r>
          <w:r>
            <w:instrText xml:space="preserve"> PAGEREF _Toc10491 \h </w:instrText>
          </w:r>
          <w:r>
            <w:fldChar w:fldCharType="separate"/>
          </w:r>
          <w:r>
            <w:t>- 3 -</w:t>
          </w:r>
          <w:r>
            <w:fldChar w:fldCharType="end"/>
          </w:r>
          <w:r>
            <w:rPr>
              <w:rFonts w:hint="eastAsia" w:asciiTheme="majorEastAsia" w:hAnsiTheme="majorEastAsia" w:eastAsiaTheme="majorEastAsia" w:cstheme="majorEastAsia"/>
              <w:szCs w:val="24"/>
            </w:rPr>
            <w:fldChar w:fldCharType="end"/>
          </w:r>
        </w:p>
        <w:p>
          <w:pPr>
            <w:pStyle w:val="15"/>
            <w:tabs>
              <w:tab w:val="right" w:leader="dot" w:pos="8306"/>
              <w:tab w:val="clear" w:pos="8296"/>
            </w:tabs>
          </w:pPr>
          <w:r>
            <w:rPr>
              <w:rFonts w:hint="eastAsia" w:asciiTheme="majorEastAsia" w:hAnsiTheme="majorEastAsia" w:eastAsiaTheme="majorEastAsia" w:cstheme="majorEastAsia"/>
              <w:szCs w:val="24"/>
            </w:rPr>
            <w:fldChar w:fldCharType="begin"/>
          </w:r>
          <w:r>
            <w:rPr>
              <w:rFonts w:hint="eastAsia" w:asciiTheme="majorEastAsia" w:hAnsiTheme="majorEastAsia" w:eastAsiaTheme="majorEastAsia" w:cstheme="majorEastAsia"/>
              <w:szCs w:val="24"/>
            </w:rPr>
            <w:instrText xml:space="preserve"> HYPERLINK \l _Toc10842 </w:instrText>
          </w:r>
          <w:r>
            <w:rPr>
              <w:rFonts w:hint="eastAsia" w:asciiTheme="majorEastAsia" w:hAnsiTheme="majorEastAsia" w:eastAsiaTheme="majorEastAsia" w:cstheme="majorEastAsia"/>
              <w:szCs w:val="24"/>
            </w:rPr>
            <w:fldChar w:fldCharType="separate"/>
          </w:r>
          <w:r>
            <w:rPr>
              <w:rFonts w:hint="eastAsia" w:ascii="Times New Roman" w:hAnsi="Times New Roman" w:eastAsia="黑体"/>
              <w:szCs w:val="32"/>
              <w:highlight w:val="none"/>
              <w:lang w:eastAsia="zh-CN"/>
            </w:rPr>
            <w:t>一、</w:t>
          </w:r>
          <w:r>
            <w:rPr>
              <w:rFonts w:hint="eastAsia" w:ascii="Times New Roman" w:hAnsi="Times New Roman" w:eastAsia="黑体"/>
              <w:szCs w:val="32"/>
              <w:highlight w:val="none"/>
            </w:rPr>
            <w:t>收</w:t>
          </w:r>
          <w:r>
            <w:rPr>
              <w:rFonts w:hint="eastAsia" w:ascii="Times New Roman" w:hAnsi="Times New Roman" w:eastAsia="黑体"/>
              <w:highlight w:val="none"/>
            </w:rPr>
            <w:t>入支出决算总体情况说明</w:t>
          </w:r>
          <w:r>
            <w:tab/>
          </w:r>
          <w:r>
            <w:fldChar w:fldCharType="begin"/>
          </w:r>
          <w:r>
            <w:instrText xml:space="preserve"> PAGEREF _Toc10842 \h </w:instrText>
          </w:r>
          <w:r>
            <w:fldChar w:fldCharType="separate"/>
          </w:r>
          <w:r>
            <w:t>- 3 -</w:t>
          </w:r>
          <w:r>
            <w:fldChar w:fldCharType="end"/>
          </w:r>
          <w:r>
            <w:rPr>
              <w:rFonts w:hint="eastAsia" w:asciiTheme="majorEastAsia" w:hAnsiTheme="majorEastAsia" w:eastAsiaTheme="majorEastAsia" w:cstheme="majorEastAsia"/>
              <w:szCs w:val="24"/>
            </w:rPr>
            <w:fldChar w:fldCharType="end"/>
          </w:r>
        </w:p>
        <w:p>
          <w:pPr>
            <w:pStyle w:val="15"/>
            <w:tabs>
              <w:tab w:val="right" w:leader="dot" w:pos="8306"/>
              <w:tab w:val="clear" w:pos="8296"/>
            </w:tabs>
          </w:pPr>
          <w:r>
            <w:rPr>
              <w:rFonts w:hint="eastAsia" w:asciiTheme="majorEastAsia" w:hAnsiTheme="majorEastAsia" w:eastAsiaTheme="majorEastAsia" w:cstheme="majorEastAsia"/>
              <w:szCs w:val="24"/>
            </w:rPr>
            <w:fldChar w:fldCharType="begin"/>
          </w:r>
          <w:r>
            <w:rPr>
              <w:rFonts w:hint="eastAsia" w:asciiTheme="majorEastAsia" w:hAnsiTheme="majorEastAsia" w:eastAsiaTheme="majorEastAsia" w:cstheme="majorEastAsia"/>
              <w:szCs w:val="24"/>
            </w:rPr>
            <w:instrText xml:space="preserve"> HYPERLINK \l _Toc25441 </w:instrText>
          </w:r>
          <w:r>
            <w:rPr>
              <w:rFonts w:hint="eastAsia" w:asciiTheme="majorEastAsia" w:hAnsiTheme="majorEastAsia" w:eastAsiaTheme="majorEastAsia" w:cstheme="majorEastAsia"/>
              <w:szCs w:val="24"/>
            </w:rPr>
            <w:fldChar w:fldCharType="separate"/>
          </w:r>
          <w:r>
            <w:rPr>
              <w:rFonts w:hint="eastAsia" w:ascii="Times New Roman" w:hAnsi="Times New Roman" w:eastAsia="黑体"/>
              <w:szCs w:val="32"/>
              <w:highlight w:val="none"/>
              <w:lang w:eastAsia="zh-CN"/>
            </w:rPr>
            <w:t>二、收入决算情况说明</w:t>
          </w:r>
          <w:r>
            <w:tab/>
          </w:r>
          <w:r>
            <w:fldChar w:fldCharType="begin"/>
          </w:r>
          <w:r>
            <w:instrText xml:space="preserve"> PAGEREF _Toc25441 \h </w:instrText>
          </w:r>
          <w:r>
            <w:fldChar w:fldCharType="separate"/>
          </w:r>
          <w:r>
            <w:t>- 3 -</w:t>
          </w:r>
          <w:r>
            <w:fldChar w:fldCharType="end"/>
          </w:r>
          <w:r>
            <w:rPr>
              <w:rFonts w:hint="eastAsia" w:asciiTheme="majorEastAsia" w:hAnsiTheme="majorEastAsia" w:eastAsiaTheme="majorEastAsia" w:cstheme="majorEastAsia"/>
              <w:szCs w:val="24"/>
            </w:rPr>
            <w:fldChar w:fldCharType="end"/>
          </w:r>
        </w:p>
        <w:p>
          <w:pPr>
            <w:pStyle w:val="15"/>
            <w:tabs>
              <w:tab w:val="right" w:leader="dot" w:pos="8306"/>
              <w:tab w:val="clear" w:pos="8296"/>
            </w:tabs>
          </w:pPr>
          <w:r>
            <w:rPr>
              <w:rFonts w:hint="eastAsia" w:asciiTheme="majorEastAsia" w:hAnsiTheme="majorEastAsia" w:eastAsiaTheme="majorEastAsia" w:cstheme="majorEastAsia"/>
              <w:szCs w:val="24"/>
            </w:rPr>
            <w:fldChar w:fldCharType="begin"/>
          </w:r>
          <w:r>
            <w:rPr>
              <w:rFonts w:hint="eastAsia" w:asciiTheme="majorEastAsia" w:hAnsiTheme="majorEastAsia" w:eastAsiaTheme="majorEastAsia" w:cstheme="majorEastAsia"/>
              <w:szCs w:val="24"/>
            </w:rPr>
            <w:instrText xml:space="preserve"> HYPERLINK \l _Toc3807 </w:instrText>
          </w:r>
          <w:r>
            <w:rPr>
              <w:rFonts w:hint="eastAsia" w:asciiTheme="majorEastAsia" w:hAnsiTheme="majorEastAsia" w:eastAsiaTheme="majorEastAsia" w:cstheme="majorEastAsia"/>
              <w:szCs w:val="24"/>
            </w:rPr>
            <w:fldChar w:fldCharType="separate"/>
          </w:r>
          <w:r>
            <w:rPr>
              <w:rFonts w:hint="eastAsia" w:ascii="Times New Roman" w:hAnsi="Times New Roman" w:eastAsia="黑体"/>
              <w:szCs w:val="32"/>
              <w:highlight w:val="none"/>
              <w:lang w:eastAsia="zh-CN"/>
            </w:rPr>
            <w:t>三、</w:t>
          </w:r>
          <w:r>
            <w:rPr>
              <w:rFonts w:hint="eastAsia" w:ascii="Times New Roman" w:hAnsi="Times New Roman" w:eastAsia="黑体"/>
              <w:szCs w:val="32"/>
              <w:highlight w:val="none"/>
            </w:rPr>
            <w:t>支</w:t>
          </w:r>
          <w:r>
            <w:rPr>
              <w:rFonts w:hint="eastAsia" w:ascii="Times New Roman" w:hAnsi="Times New Roman" w:eastAsia="黑体"/>
              <w:highlight w:val="none"/>
            </w:rPr>
            <w:t>出决算情况说明</w:t>
          </w:r>
          <w:r>
            <w:tab/>
          </w:r>
          <w:r>
            <w:fldChar w:fldCharType="begin"/>
          </w:r>
          <w:r>
            <w:instrText xml:space="preserve"> PAGEREF _Toc3807 \h </w:instrText>
          </w:r>
          <w:r>
            <w:fldChar w:fldCharType="separate"/>
          </w:r>
          <w:r>
            <w:t>- 4 -</w:t>
          </w:r>
          <w:r>
            <w:fldChar w:fldCharType="end"/>
          </w:r>
          <w:r>
            <w:rPr>
              <w:rFonts w:hint="eastAsia" w:asciiTheme="majorEastAsia" w:hAnsiTheme="majorEastAsia" w:eastAsiaTheme="majorEastAsia" w:cstheme="majorEastAsia"/>
              <w:szCs w:val="24"/>
            </w:rPr>
            <w:fldChar w:fldCharType="end"/>
          </w:r>
        </w:p>
        <w:p>
          <w:pPr>
            <w:pStyle w:val="15"/>
            <w:tabs>
              <w:tab w:val="right" w:leader="dot" w:pos="8306"/>
              <w:tab w:val="clear" w:pos="8296"/>
            </w:tabs>
          </w:pPr>
          <w:r>
            <w:rPr>
              <w:rFonts w:hint="eastAsia" w:asciiTheme="majorEastAsia" w:hAnsiTheme="majorEastAsia" w:eastAsiaTheme="majorEastAsia" w:cstheme="majorEastAsia"/>
              <w:szCs w:val="24"/>
            </w:rPr>
            <w:fldChar w:fldCharType="begin"/>
          </w:r>
          <w:r>
            <w:rPr>
              <w:rFonts w:hint="eastAsia" w:asciiTheme="majorEastAsia" w:hAnsiTheme="majorEastAsia" w:eastAsiaTheme="majorEastAsia" w:cstheme="majorEastAsia"/>
              <w:szCs w:val="24"/>
            </w:rPr>
            <w:instrText xml:space="preserve"> HYPERLINK \l _Toc9479 </w:instrText>
          </w:r>
          <w:r>
            <w:rPr>
              <w:rFonts w:hint="eastAsia" w:asciiTheme="majorEastAsia" w:hAnsiTheme="majorEastAsia" w:eastAsiaTheme="majorEastAsia" w:cstheme="majorEastAsia"/>
              <w:szCs w:val="24"/>
            </w:rPr>
            <w:fldChar w:fldCharType="separate"/>
          </w:r>
          <w:r>
            <w:rPr>
              <w:rFonts w:hint="eastAsia" w:ascii="Times New Roman" w:hAnsi="Times New Roman" w:eastAsia="黑体"/>
              <w:szCs w:val="32"/>
              <w:highlight w:val="none"/>
            </w:rPr>
            <w:t>四、财</w:t>
          </w:r>
          <w:r>
            <w:rPr>
              <w:rFonts w:hint="eastAsia" w:ascii="Times New Roman" w:hAnsi="Times New Roman" w:eastAsia="黑体"/>
              <w:highlight w:val="none"/>
            </w:rPr>
            <w:t>政拨款收入支出决算总体情况说明</w:t>
          </w:r>
          <w:r>
            <w:tab/>
          </w:r>
          <w:r>
            <w:fldChar w:fldCharType="begin"/>
          </w:r>
          <w:r>
            <w:instrText xml:space="preserve"> PAGEREF _Toc9479 \h </w:instrText>
          </w:r>
          <w:r>
            <w:fldChar w:fldCharType="separate"/>
          </w:r>
          <w:r>
            <w:t>- 5 -</w:t>
          </w:r>
          <w:r>
            <w:fldChar w:fldCharType="end"/>
          </w:r>
          <w:r>
            <w:rPr>
              <w:rFonts w:hint="eastAsia" w:asciiTheme="majorEastAsia" w:hAnsiTheme="majorEastAsia" w:eastAsiaTheme="majorEastAsia" w:cstheme="majorEastAsia"/>
              <w:szCs w:val="24"/>
            </w:rPr>
            <w:fldChar w:fldCharType="end"/>
          </w:r>
        </w:p>
        <w:p>
          <w:pPr>
            <w:pStyle w:val="15"/>
            <w:tabs>
              <w:tab w:val="right" w:leader="dot" w:pos="8306"/>
              <w:tab w:val="clear" w:pos="8296"/>
            </w:tabs>
          </w:pPr>
          <w:r>
            <w:rPr>
              <w:rFonts w:hint="eastAsia" w:asciiTheme="majorEastAsia" w:hAnsiTheme="majorEastAsia" w:eastAsiaTheme="majorEastAsia" w:cstheme="majorEastAsia"/>
              <w:szCs w:val="24"/>
            </w:rPr>
            <w:fldChar w:fldCharType="begin"/>
          </w:r>
          <w:r>
            <w:rPr>
              <w:rFonts w:hint="eastAsia" w:asciiTheme="majorEastAsia" w:hAnsiTheme="majorEastAsia" w:eastAsiaTheme="majorEastAsia" w:cstheme="majorEastAsia"/>
              <w:szCs w:val="24"/>
            </w:rPr>
            <w:instrText xml:space="preserve"> HYPERLINK \l _Toc6030 </w:instrText>
          </w:r>
          <w:r>
            <w:rPr>
              <w:rFonts w:hint="eastAsia" w:asciiTheme="majorEastAsia" w:hAnsiTheme="majorEastAsia" w:eastAsiaTheme="majorEastAsia" w:cstheme="majorEastAsia"/>
              <w:szCs w:val="24"/>
            </w:rPr>
            <w:fldChar w:fldCharType="separate"/>
          </w:r>
          <w:r>
            <w:rPr>
              <w:rFonts w:hint="eastAsia" w:ascii="Times New Roman" w:hAnsi="Times New Roman" w:eastAsia="黑体"/>
              <w:szCs w:val="32"/>
              <w:highlight w:val="none"/>
            </w:rPr>
            <w:t>五、一</w:t>
          </w:r>
          <w:r>
            <w:rPr>
              <w:rFonts w:hint="eastAsia" w:ascii="Times New Roman" w:hAnsi="Times New Roman" w:eastAsia="黑体"/>
              <w:highlight w:val="none"/>
            </w:rPr>
            <w:t>般公共预算财政拨款支出决算情况说明</w:t>
          </w:r>
          <w:r>
            <w:tab/>
          </w:r>
          <w:r>
            <w:fldChar w:fldCharType="begin"/>
          </w:r>
          <w:r>
            <w:instrText xml:space="preserve"> PAGEREF _Toc6030 \h </w:instrText>
          </w:r>
          <w:r>
            <w:fldChar w:fldCharType="separate"/>
          </w:r>
          <w:r>
            <w:t>- 5 -</w:t>
          </w:r>
          <w:r>
            <w:fldChar w:fldCharType="end"/>
          </w:r>
          <w:r>
            <w:rPr>
              <w:rFonts w:hint="eastAsia" w:asciiTheme="majorEastAsia" w:hAnsiTheme="majorEastAsia" w:eastAsiaTheme="majorEastAsia" w:cstheme="majorEastAsia"/>
              <w:szCs w:val="24"/>
            </w:rPr>
            <w:fldChar w:fldCharType="end"/>
          </w:r>
        </w:p>
        <w:p>
          <w:pPr>
            <w:pStyle w:val="15"/>
            <w:tabs>
              <w:tab w:val="right" w:leader="dot" w:pos="8306"/>
              <w:tab w:val="clear" w:pos="8296"/>
            </w:tabs>
          </w:pPr>
          <w:r>
            <w:rPr>
              <w:rFonts w:hint="eastAsia" w:asciiTheme="majorEastAsia" w:hAnsiTheme="majorEastAsia" w:eastAsiaTheme="majorEastAsia" w:cstheme="majorEastAsia"/>
              <w:szCs w:val="24"/>
            </w:rPr>
            <w:fldChar w:fldCharType="begin"/>
          </w:r>
          <w:r>
            <w:rPr>
              <w:rFonts w:hint="eastAsia" w:asciiTheme="majorEastAsia" w:hAnsiTheme="majorEastAsia" w:eastAsiaTheme="majorEastAsia" w:cstheme="majorEastAsia"/>
              <w:szCs w:val="24"/>
            </w:rPr>
            <w:instrText xml:space="preserve"> HYPERLINK \l _Toc1703 </w:instrText>
          </w:r>
          <w:r>
            <w:rPr>
              <w:rFonts w:hint="eastAsia" w:asciiTheme="majorEastAsia" w:hAnsiTheme="majorEastAsia" w:eastAsiaTheme="majorEastAsia" w:cstheme="majorEastAsia"/>
              <w:szCs w:val="24"/>
            </w:rPr>
            <w:fldChar w:fldCharType="separate"/>
          </w:r>
          <w:r>
            <w:rPr>
              <w:rFonts w:hint="eastAsia" w:ascii="Times New Roman" w:hAnsi="Times New Roman" w:eastAsia="黑体"/>
              <w:szCs w:val="32"/>
              <w:highlight w:val="none"/>
            </w:rPr>
            <w:t>六、一</w:t>
          </w:r>
          <w:r>
            <w:rPr>
              <w:rFonts w:hint="eastAsia" w:ascii="Times New Roman" w:hAnsi="Times New Roman" w:eastAsia="黑体"/>
              <w:highlight w:val="none"/>
            </w:rPr>
            <w:t>般公共预算财政拨款基本支出决算情况说明</w:t>
          </w:r>
          <w:r>
            <w:tab/>
          </w:r>
          <w:r>
            <w:fldChar w:fldCharType="begin"/>
          </w:r>
          <w:r>
            <w:instrText xml:space="preserve"> PAGEREF _Toc1703 \h </w:instrText>
          </w:r>
          <w:r>
            <w:fldChar w:fldCharType="separate"/>
          </w:r>
          <w:r>
            <w:t>- 8 -</w:t>
          </w:r>
          <w:r>
            <w:fldChar w:fldCharType="end"/>
          </w:r>
          <w:r>
            <w:rPr>
              <w:rFonts w:hint="eastAsia" w:asciiTheme="majorEastAsia" w:hAnsiTheme="majorEastAsia" w:eastAsiaTheme="majorEastAsia" w:cstheme="majorEastAsia"/>
              <w:szCs w:val="24"/>
            </w:rPr>
            <w:fldChar w:fldCharType="end"/>
          </w:r>
        </w:p>
        <w:p>
          <w:pPr>
            <w:pStyle w:val="15"/>
            <w:tabs>
              <w:tab w:val="right" w:leader="dot" w:pos="8306"/>
              <w:tab w:val="clear" w:pos="8296"/>
            </w:tabs>
          </w:pPr>
          <w:r>
            <w:rPr>
              <w:rFonts w:hint="eastAsia" w:asciiTheme="majorEastAsia" w:hAnsiTheme="majorEastAsia" w:eastAsiaTheme="majorEastAsia" w:cstheme="majorEastAsia"/>
              <w:szCs w:val="24"/>
            </w:rPr>
            <w:fldChar w:fldCharType="begin"/>
          </w:r>
          <w:r>
            <w:rPr>
              <w:rFonts w:hint="eastAsia" w:asciiTheme="majorEastAsia" w:hAnsiTheme="majorEastAsia" w:eastAsiaTheme="majorEastAsia" w:cstheme="majorEastAsia"/>
              <w:szCs w:val="24"/>
            </w:rPr>
            <w:instrText xml:space="preserve"> HYPERLINK \l _Toc19079 </w:instrText>
          </w:r>
          <w:r>
            <w:rPr>
              <w:rFonts w:hint="eastAsia" w:asciiTheme="majorEastAsia" w:hAnsiTheme="majorEastAsia" w:eastAsiaTheme="majorEastAsia" w:cstheme="majorEastAsia"/>
              <w:szCs w:val="24"/>
            </w:rPr>
            <w:fldChar w:fldCharType="separate"/>
          </w:r>
          <w:r>
            <w:rPr>
              <w:rFonts w:hint="eastAsia" w:ascii="Times New Roman" w:hAnsi="Times New Roman" w:eastAsia="黑体"/>
              <w:szCs w:val="32"/>
              <w:highlight w:val="none"/>
            </w:rPr>
            <w:t>七、</w:t>
          </w:r>
          <w:r>
            <w:rPr>
              <w:rFonts w:hint="eastAsia" w:ascii="Times New Roman" w:hAnsi="Times New Roman" w:eastAsia="黑体"/>
              <w:highlight w:val="none"/>
            </w:rPr>
            <w:t>财政拨款“三公”经费支出决算情况说明</w:t>
          </w:r>
          <w:r>
            <w:tab/>
          </w:r>
          <w:r>
            <w:fldChar w:fldCharType="begin"/>
          </w:r>
          <w:r>
            <w:instrText xml:space="preserve"> PAGEREF _Toc19079 \h </w:instrText>
          </w:r>
          <w:r>
            <w:fldChar w:fldCharType="separate"/>
          </w:r>
          <w:r>
            <w:t>- 8 -</w:t>
          </w:r>
          <w:r>
            <w:fldChar w:fldCharType="end"/>
          </w:r>
          <w:r>
            <w:rPr>
              <w:rFonts w:hint="eastAsia" w:asciiTheme="majorEastAsia" w:hAnsiTheme="majorEastAsia" w:eastAsiaTheme="majorEastAsia" w:cstheme="majorEastAsia"/>
              <w:szCs w:val="24"/>
            </w:rPr>
            <w:fldChar w:fldCharType="end"/>
          </w:r>
        </w:p>
        <w:p>
          <w:pPr>
            <w:pStyle w:val="15"/>
            <w:tabs>
              <w:tab w:val="right" w:leader="dot" w:pos="8306"/>
              <w:tab w:val="clear" w:pos="8296"/>
            </w:tabs>
          </w:pPr>
          <w:r>
            <w:rPr>
              <w:rFonts w:hint="eastAsia" w:asciiTheme="majorEastAsia" w:hAnsiTheme="majorEastAsia" w:eastAsiaTheme="majorEastAsia" w:cstheme="majorEastAsia"/>
              <w:szCs w:val="24"/>
            </w:rPr>
            <w:fldChar w:fldCharType="begin"/>
          </w:r>
          <w:r>
            <w:rPr>
              <w:rFonts w:hint="eastAsia" w:asciiTheme="majorEastAsia" w:hAnsiTheme="majorEastAsia" w:eastAsiaTheme="majorEastAsia" w:cstheme="majorEastAsia"/>
              <w:szCs w:val="24"/>
            </w:rPr>
            <w:instrText xml:space="preserve"> HYPERLINK \l _Toc1502 </w:instrText>
          </w:r>
          <w:r>
            <w:rPr>
              <w:rFonts w:hint="eastAsia" w:asciiTheme="majorEastAsia" w:hAnsiTheme="majorEastAsia" w:eastAsiaTheme="majorEastAsia" w:cstheme="majorEastAsia"/>
              <w:szCs w:val="24"/>
            </w:rPr>
            <w:fldChar w:fldCharType="separate"/>
          </w:r>
          <w:r>
            <w:rPr>
              <w:rFonts w:hint="eastAsia" w:ascii="Times New Roman" w:hAnsi="Times New Roman" w:eastAsia="黑体"/>
              <w:szCs w:val="32"/>
              <w:highlight w:val="none"/>
            </w:rPr>
            <w:t>八、</w:t>
          </w:r>
          <w:r>
            <w:rPr>
              <w:rFonts w:hint="eastAsia" w:ascii="Times New Roman" w:hAnsi="Times New Roman" w:eastAsia="黑体"/>
              <w:highlight w:val="none"/>
            </w:rPr>
            <w:t>政府性基金预算支出决算情况说明</w:t>
          </w:r>
          <w:r>
            <w:tab/>
          </w:r>
          <w:r>
            <w:fldChar w:fldCharType="begin"/>
          </w:r>
          <w:r>
            <w:instrText xml:space="preserve"> PAGEREF _Toc1502 \h </w:instrText>
          </w:r>
          <w:r>
            <w:fldChar w:fldCharType="separate"/>
          </w:r>
          <w:r>
            <w:t>- 10 -</w:t>
          </w:r>
          <w:r>
            <w:fldChar w:fldCharType="end"/>
          </w:r>
          <w:r>
            <w:rPr>
              <w:rFonts w:hint="eastAsia" w:asciiTheme="majorEastAsia" w:hAnsiTheme="majorEastAsia" w:eastAsiaTheme="majorEastAsia" w:cstheme="majorEastAsia"/>
              <w:szCs w:val="24"/>
            </w:rPr>
            <w:fldChar w:fldCharType="end"/>
          </w:r>
        </w:p>
        <w:p>
          <w:pPr>
            <w:pStyle w:val="15"/>
            <w:tabs>
              <w:tab w:val="right" w:leader="dot" w:pos="8306"/>
              <w:tab w:val="clear" w:pos="8296"/>
            </w:tabs>
          </w:pPr>
          <w:r>
            <w:rPr>
              <w:rFonts w:hint="eastAsia" w:asciiTheme="majorEastAsia" w:hAnsiTheme="majorEastAsia" w:eastAsiaTheme="majorEastAsia" w:cstheme="majorEastAsia"/>
              <w:szCs w:val="24"/>
            </w:rPr>
            <w:fldChar w:fldCharType="begin"/>
          </w:r>
          <w:r>
            <w:rPr>
              <w:rFonts w:hint="eastAsia" w:asciiTheme="majorEastAsia" w:hAnsiTheme="majorEastAsia" w:eastAsiaTheme="majorEastAsia" w:cstheme="majorEastAsia"/>
              <w:szCs w:val="24"/>
            </w:rPr>
            <w:instrText xml:space="preserve"> HYPERLINK \l _Toc11105 </w:instrText>
          </w:r>
          <w:r>
            <w:rPr>
              <w:rFonts w:hint="eastAsia" w:asciiTheme="majorEastAsia" w:hAnsiTheme="majorEastAsia" w:eastAsiaTheme="majorEastAsia" w:cstheme="majorEastAsia"/>
              <w:szCs w:val="24"/>
            </w:rPr>
            <w:fldChar w:fldCharType="separate"/>
          </w:r>
          <w:r>
            <w:rPr>
              <w:rFonts w:hint="eastAsia" w:ascii="Times New Roman" w:hAnsi="Times New Roman" w:eastAsia="黑体"/>
              <w:highlight w:val="none"/>
              <w:lang w:eastAsia="zh-CN"/>
            </w:rPr>
            <w:t>九、</w:t>
          </w:r>
          <w:r>
            <w:rPr>
              <w:rFonts w:hint="eastAsia" w:ascii="Times New Roman" w:hAnsi="Times New Roman" w:eastAsia="黑体"/>
              <w:highlight w:val="none"/>
            </w:rPr>
            <w:t>国有资本经营预算支出决算情况说明</w:t>
          </w:r>
          <w:r>
            <w:tab/>
          </w:r>
          <w:r>
            <w:fldChar w:fldCharType="begin"/>
          </w:r>
          <w:r>
            <w:instrText xml:space="preserve"> PAGEREF _Toc11105 \h </w:instrText>
          </w:r>
          <w:r>
            <w:fldChar w:fldCharType="separate"/>
          </w:r>
          <w:r>
            <w:t>- 10 -</w:t>
          </w:r>
          <w:r>
            <w:fldChar w:fldCharType="end"/>
          </w:r>
          <w:r>
            <w:rPr>
              <w:rFonts w:hint="eastAsia" w:asciiTheme="majorEastAsia" w:hAnsiTheme="majorEastAsia" w:eastAsiaTheme="majorEastAsia" w:cstheme="majorEastAsia"/>
              <w:szCs w:val="24"/>
            </w:rPr>
            <w:fldChar w:fldCharType="end"/>
          </w:r>
        </w:p>
        <w:p>
          <w:pPr>
            <w:pStyle w:val="15"/>
            <w:tabs>
              <w:tab w:val="right" w:leader="dot" w:pos="8306"/>
              <w:tab w:val="clear" w:pos="8296"/>
            </w:tabs>
          </w:pPr>
          <w:r>
            <w:rPr>
              <w:rFonts w:hint="eastAsia" w:asciiTheme="majorEastAsia" w:hAnsiTheme="majorEastAsia" w:eastAsiaTheme="majorEastAsia" w:cstheme="majorEastAsia"/>
              <w:szCs w:val="24"/>
            </w:rPr>
            <w:fldChar w:fldCharType="begin"/>
          </w:r>
          <w:r>
            <w:rPr>
              <w:rFonts w:hint="eastAsia" w:asciiTheme="majorEastAsia" w:hAnsiTheme="majorEastAsia" w:eastAsiaTheme="majorEastAsia" w:cstheme="majorEastAsia"/>
              <w:szCs w:val="24"/>
            </w:rPr>
            <w:instrText xml:space="preserve"> HYPERLINK \l _Toc7843 </w:instrText>
          </w:r>
          <w:r>
            <w:rPr>
              <w:rFonts w:hint="eastAsia" w:asciiTheme="majorEastAsia" w:hAnsiTheme="majorEastAsia" w:eastAsiaTheme="majorEastAsia" w:cstheme="majorEastAsia"/>
              <w:szCs w:val="24"/>
            </w:rPr>
            <w:fldChar w:fldCharType="separate"/>
          </w:r>
          <w:r>
            <w:rPr>
              <w:rFonts w:hint="eastAsia" w:ascii="Times New Roman" w:hAnsi="Times New Roman" w:eastAsia="黑体"/>
              <w:highlight w:val="none"/>
              <w:lang w:eastAsia="zh-CN"/>
            </w:rPr>
            <w:t>十、</w:t>
          </w:r>
          <w:r>
            <w:rPr>
              <w:rFonts w:hint="eastAsia" w:ascii="Times New Roman" w:hAnsi="Times New Roman" w:eastAsia="黑体"/>
              <w:highlight w:val="none"/>
            </w:rPr>
            <w:t>其他重要事项的情况说明</w:t>
          </w:r>
          <w:r>
            <w:tab/>
          </w:r>
          <w:r>
            <w:fldChar w:fldCharType="begin"/>
          </w:r>
          <w:r>
            <w:instrText xml:space="preserve"> PAGEREF _Toc7843 \h </w:instrText>
          </w:r>
          <w:r>
            <w:fldChar w:fldCharType="separate"/>
          </w:r>
          <w:r>
            <w:t>- 10 -</w:t>
          </w:r>
          <w:r>
            <w:fldChar w:fldCharType="end"/>
          </w:r>
          <w:r>
            <w:rPr>
              <w:rFonts w:hint="eastAsia" w:asciiTheme="majorEastAsia" w:hAnsiTheme="majorEastAsia" w:eastAsiaTheme="majorEastAsia" w:cstheme="majorEastAsia"/>
              <w:szCs w:val="24"/>
            </w:rPr>
            <w:fldChar w:fldCharType="end"/>
          </w:r>
        </w:p>
        <w:p>
          <w:pPr>
            <w:pStyle w:val="13"/>
            <w:tabs>
              <w:tab w:val="right" w:leader="dot" w:pos="8306"/>
              <w:tab w:val="clear" w:pos="8296"/>
            </w:tabs>
          </w:pPr>
          <w:r>
            <w:rPr>
              <w:rFonts w:hint="eastAsia" w:asciiTheme="majorEastAsia" w:hAnsiTheme="majorEastAsia" w:eastAsiaTheme="majorEastAsia" w:cstheme="majorEastAsia"/>
              <w:szCs w:val="24"/>
            </w:rPr>
            <w:fldChar w:fldCharType="begin"/>
          </w:r>
          <w:r>
            <w:rPr>
              <w:rFonts w:hint="eastAsia" w:asciiTheme="majorEastAsia" w:hAnsiTheme="majorEastAsia" w:eastAsiaTheme="majorEastAsia" w:cstheme="majorEastAsia"/>
              <w:szCs w:val="24"/>
            </w:rPr>
            <w:instrText xml:space="preserve"> HYPERLINK \l _Toc30309 </w:instrText>
          </w:r>
          <w:r>
            <w:rPr>
              <w:rFonts w:hint="eastAsia" w:asciiTheme="majorEastAsia" w:hAnsiTheme="majorEastAsia" w:eastAsiaTheme="majorEastAsia" w:cstheme="majorEastAsia"/>
              <w:szCs w:val="24"/>
            </w:rPr>
            <w:fldChar w:fldCharType="separate"/>
          </w:r>
          <w:r>
            <w:rPr>
              <w:rFonts w:hint="eastAsia" w:ascii="Times New Roman" w:hAnsi="Times New Roman" w:eastAsia="黑体"/>
              <w:szCs w:val="44"/>
              <w:highlight w:val="none"/>
            </w:rPr>
            <w:t>第</w:t>
          </w:r>
          <w:r>
            <w:rPr>
              <w:rFonts w:hint="eastAsia" w:eastAsia="黑体"/>
              <w:szCs w:val="44"/>
              <w:highlight w:val="none"/>
              <w:lang w:eastAsia="zh-CN"/>
            </w:rPr>
            <w:t>三</w:t>
          </w:r>
          <w:r>
            <w:rPr>
              <w:rFonts w:hint="eastAsia" w:ascii="Times New Roman" w:hAnsi="Times New Roman" w:eastAsia="黑体"/>
              <w:szCs w:val="44"/>
              <w:highlight w:val="none"/>
            </w:rPr>
            <w:t>部分</w:t>
          </w:r>
          <w:r>
            <w:rPr>
              <w:rFonts w:hint="eastAsia" w:ascii="Times New Roman" w:hAnsi="Times New Roman" w:eastAsia="黑体"/>
              <w:szCs w:val="44"/>
              <w:highlight w:val="none"/>
              <w:lang w:val="en-US" w:eastAsia="zh-CN"/>
            </w:rPr>
            <w:t xml:space="preserve"> </w:t>
          </w:r>
          <w:r>
            <w:rPr>
              <w:rFonts w:hint="eastAsia" w:eastAsia="黑体"/>
              <w:szCs w:val="44"/>
              <w:highlight w:val="none"/>
              <w:lang w:val="en-US" w:eastAsia="zh-CN"/>
            </w:rPr>
            <w:t xml:space="preserve"> </w:t>
          </w:r>
          <w:r>
            <w:rPr>
              <w:rFonts w:hint="eastAsia" w:ascii="Times New Roman" w:hAnsi="Times New Roman" w:eastAsia="黑体"/>
              <w:szCs w:val="44"/>
              <w:highlight w:val="none"/>
            </w:rPr>
            <w:t>名词解释</w:t>
          </w:r>
          <w:r>
            <w:tab/>
          </w:r>
          <w:r>
            <w:fldChar w:fldCharType="begin"/>
          </w:r>
          <w:r>
            <w:instrText xml:space="preserve"> PAGEREF _Toc30309 \h </w:instrText>
          </w:r>
          <w:r>
            <w:fldChar w:fldCharType="separate"/>
          </w:r>
          <w:r>
            <w:t>- 12 -</w:t>
          </w:r>
          <w:r>
            <w:fldChar w:fldCharType="end"/>
          </w:r>
          <w:r>
            <w:rPr>
              <w:rFonts w:hint="eastAsia" w:asciiTheme="majorEastAsia" w:hAnsiTheme="majorEastAsia" w:eastAsiaTheme="majorEastAsia" w:cstheme="majorEastAsia"/>
              <w:szCs w:val="24"/>
            </w:rPr>
            <w:fldChar w:fldCharType="end"/>
          </w:r>
        </w:p>
        <w:p>
          <w:pPr>
            <w:pStyle w:val="13"/>
            <w:tabs>
              <w:tab w:val="right" w:leader="dot" w:pos="8306"/>
              <w:tab w:val="clear" w:pos="8296"/>
            </w:tabs>
          </w:pPr>
          <w:r>
            <w:rPr>
              <w:rFonts w:hint="eastAsia" w:asciiTheme="majorEastAsia" w:hAnsiTheme="majorEastAsia" w:eastAsiaTheme="majorEastAsia" w:cstheme="majorEastAsia"/>
              <w:szCs w:val="24"/>
            </w:rPr>
            <w:fldChar w:fldCharType="begin"/>
          </w:r>
          <w:r>
            <w:rPr>
              <w:rFonts w:hint="eastAsia" w:asciiTheme="majorEastAsia" w:hAnsiTheme="majorEastAsia" w:eastAsiaTheme="majorEastAsia" w:cstheme="majorEastAsia"/>
              <w:szCs w:val="24"/>
            </w:rPr>
            <w:instrText xml:space="preserve"> HYPERLINK \l _Toc32120 </w:instrText>
          </w:r>
          <w:r>
            <w:rPr>
              <w:rFonts w:hint="eastAsia" w:asciiTheme="majorEastAsia" w:hAnsiTheme="majorEastAsia" w:eastAsiaTheme="majorEastAsia" w:cstheme="majorEastAsia"/>
              <w:szCs w:val="24"/>
            </w:rPr>
            <w:fldChar w:fldCharType="separate"/>
          </w:r>
          <w:r>
            <w:rPr>
              <w:rFonts w:hint="eastAsia" w:ascii="Times New Roman" w:hAnsi="Times New Roman" w:eastAsia="黑体"/>
              <w:szCs w:val="44"/>
              <w:highlight w:val="none"/>
            </w:rPr>
            <w:t>第四部分</w:t>
          </w:r>
          <w:r>
            <w:rPr>
              <w:rFonts w:hint="eastAsia" w:ascii="Times New Roman" w:hAnsi="Times New Roman" w:eastAsia="黑体"/>
              <w:szCs w:val="44"/>
              <w:highlight w:val="none"/>
              <w:lang w:val="en-US" w:eastAsia="zh-CN"/>
            </w:rPr>
            <w:t xml:space="preserve"> </w:t>
          </w:r>
          <w:r>
            <w:rPr>
              <w:rFonts w:hint="eastAsia" w:ascii="Times New Roman" w:hAnsi="Times New Roman" w:eastAsia="黑体"/>
              <w:szCs w:val="44"/>
              <w:highlight w:val="none"/>
            </w:rPr>
            <w:t xml:space="preserve"> 附件</w:t>
          </w:r>
          <w:r>
            <w:tab/>
          </w:r>
          <w:r>
            <w:fldChar w:fldCharType="begin"/>
          </w:r>
          <w:r>
            <w:instrText xml:space="preserve"> PAGEREF _Toc32120 \h </w:instrText>
          </w:r>
          <w:r>
            <w:fldChar w:fldCharType="separate"/>
          </w:r>
          <w:r>
            <w:t>- 15 -</w:t>
          </w:r>
          <w:r>
            <w:fldChar w:fldCharType="end"/>
          </w:r>
          <w:r>
            <w:rPr>
              <w:rFonts w:hint="eastAsia" w:asciiTheme="majorEastAsia" w:hAnsiTheme="majorEastAsia" w:eastAsiaTheme="majorEastAsia" w:cstheme="majorEastAsia"/>
              <w:szCs w:val="24"/>
            </w:rPr>
            <w:fldChar w:fldCharType="end"/>
          </w:r>
        </w:p>
        <w:p>
          <w:pPr>
            <w:pStyle w:val="13"/>
            <w:tabs>
              <w:tab w:val="right" w:leader="dot" w:pos="8306"/>
              <w:tab w:val="clear" w:pos="8296"/>
            </w:tabs>
          </w:pPr>
          <w:r>
            <w:rPr>
              <w:rFonts w:hint="eastAsia" w:asciiTheme="majorEastAsia" w:hAnsiTheme="majorEastAsia" w:eastAsiaTheme="majorEastAsia" w:cstheme="majorEastAsia"/>
              <w:szCs w:val="24"/>
            </w:rPr>
            <w:fldChar w:fldCharType="begin"/>
          </w:r>
          <w:r>
            <w:rPr>
              <w:rFonts w:hint="eastAsia" w:asciiTheme="majorEastAsia" w:hAnsiTheme="majorEastAsia" w:eastAsiaTheme="majorEastAsia" w:cstheme="majorEastAsia"/>
              <w:szCs w:val="24"/>
            </w:rPr>
            <w:instrText xml:space="preserve"> HYPERLINK \l _Toc32530 </w:instrText>
          </w:r>
          <w:r>
            <w:rPr>
              <w:rFonts w:hint="eastAsia" w:asciiTheme="majorEastAsia" w:hAnsiTheme="majorEastAsia" w:eastAsiaTheme="majorEastAsia" w:cstheme="majorEastAsia"/>
              <w:szCs w:val="24"/>
            </w:rPr>
            <w:fldChar w:fldCharType="separate"/>
          </w:r>
          <w:r>
            <w:rPr>
              <w:rFonts w:hint="eastAsia" w:ascii="Times New Roman" w:hAnsi="Times New Roman" w:eastAsia="黑体"/>
              <w:szCs w:val="44"/>
              <w:highlight w:val="none"/>
            </w:rPr>
            <w:t>第</w:t>
          </w:r>
          <w:r>
            <w:rPr>
              <w:rFonts w:hint="eastAsia" w:ascii="Times New Roman" w:hAnsi="Times New Roman" w:eastAsia="黑体"/>
              <w:bCs/>
              <w:highlight w:val="none"/>
            </w:rPr>
            <w:t>五部分 附表</w:t>
          </w:r>
          <w:r>
            <w:tab/>
          </w:r>
          <w:r>
            <w:fldChar w:fldCharType="begin"/>
          </w:r>
          <w:r>
            <w:instrText xml:space="preserve"> PAGEREF _Toc32530 \h </w:instrText>
          </w:r>
          <w:r>
            <w:fldChar w:fldCharType="separate"/>
          </w:r>
          <w:r>
            <w:t>- 35 -</w:t>
          </w:r>
          <w:r>
            <w:fldChar w:fldCharType="end"/>
          </w:r>
          <w:r>
            <w:rPr>
              <w:rFonts w:hint="eastAsia" w:asciiTheme="majorEastAsia" w:hAnsiTheme="majorEastAsia" w:eastAsiaTheme="majorEastAsia" w:cstheme="majorEastAsia"/>
              <w:szCs w:val="24"/>
            </w:rPr>
            <w:fldChar w:fldCharType="end"/>
          </w:r>
        </w:p>
        <w:p>
          <w:pPr>
            <w:pStyle w:val="15"/>
            <w:tabs>
              <w:tab w:val="right" w:leader="dot" w:pos="8306"/>
              <w:tab w:val="clear" w:pos="8296"/>
            </w:tabs>
          </w:pPr>
          <w:r>
            <w:rPr>
              <w:rFonts w:hint="eastAsia" w:asciiTheme="majorEastAsia" w:hAnsiTheme="majorEastAsia" w:eastAsiaTheme="majorEastAsia" w:cstheme="majorEastAsia"/>
              <w:szCs w:val="24"/>
            </w:rPr>
            <w:fldChar w:fldCharType="begin"/>
          </w:r>
          <w:r>
            <w:rPr>
              <w:rFonts w:hint="eastAsia" w:asciiTheme="majorEastAsia" w:hAnsiTheme="majorEastAsia" w:eastAsiaTheme="majorEastAsia" w:cstheme="majorEastAsia"/>
              <w:szCs w:val="24"/>
            </w:rPr>
            <w:instrText xml:space="preserve"> HYPERLINK \l _Toc26202 </w:instrText>
          </w:r>
          <w:r>
            <w:rPr>
              <w:rFonts w:hint="eastAsia" w:asciiTheme="majorEastAsia" w:hAnsiTheme="majorEastAsia" w:eastAsiaTheme="majorEastAsia" w:cstheme="majorEastAsia"/>
              <w:szCs w:val="24"/>
            </w:rPr>
            <w:fldChar w:fldCharType="separate"/>
          </w:r>
          <w:r>
            <w:rPr>
              <w:rFonts w:hint="eastAsia"/>
              <w:bCs w:val="0"/>
            </w:rPr>
            <w:t>一、收入支出决算总表</w:t>
          </w:r>
          <w:r>
            <w:tab/>
          </w:r>
          <w:r>
            <w:fldChar w:fldCharType="begin"/>
          </w:r>
          <w:r>
            <w:instrText xml:space="preserve"> PAGEREF _Toc26202 \h </w:instrText>
          </w:r>
          <w:r>
            <w:fldChar w:fldCharType="separate"/>
          </w:r>
          <w:r>
            <w:t>- 35 -</w:t>
          </w:r>
          <w:r>
            <w:fldChar w:fldCharType="end"/>
          </w:r>
          <w:r>
            <w:rPr>
              <w:rFonts w:hint="eastAsia" w:asciiTheme="majorEastAsia" w:hAnsiTheme="majorEastAsia" w:eastAsiaTheme="majorEastAsia" w:cstheme="majorEastAsia"/>
              <w:szCs w:val="24"/>
            </w:rPr>
            <w:fldChar w:fldCharType="end"/>
          </w:r>
        </w:p>
        <w:p>
          <w:pPr>
            <w:pStyle w:val="15"/>
            <w:tabs>
              <w:tab w:val="right" w:leader="dot" w:pos="8306"/>
              <w:tab w:val="clear" w:pos="8296"/>
            </w:tabs>
          </w:pPr>
          <w:r>
            <w:rPr>
              <w:rFonts w:hint="eastAsia" w:asciiTheme="majorEastAsia" w:hAnsiTheme="majorEastAsia" w:eastAsiaTheme="majorEastAsia" w:cstheme="majorEastAsia"/>
              <w:szCs w:val="24"/>
            </w:rPr>
            <w:fldChar w:fldCharType="begin"/>
          </w:r>
          <w:r>
            <w:rPr>
              <w:rFonts w:hint="eastAsia" w:asciiTheme="majorEastAsia" w:hAnsiTheme="majorEastAsia" w:eastAsiaTheme="majorEastAsia" w:cstheme="majorEastAsia"/>
              <w:szCs w:val="24"/>
            </w:rPr>
            <w:instrText xml:space="preserve"> HYPERLINK \l _Toc22942 </w:instrText>
          </w:r>
          <w:r>
            <w:rPr>
              <w:rFonts w:hint="eastAsia" w:asciiTheme="majorEastAsia" w:hAnsiTheme="majorEastAsia" w:eastAsiaTheme="majorEastAsia" w:cstheme="majorEastAsia"/>
              <w:szCs w:val="24"/>
            </w:rPr>
            <w:fldChar w:fldCharType="separate"/>
          </w:r>
          <w:r>
            <w:rPr>
              <w:rFonts w:hint="eastAsia"/>
              <w:bCs w:val="0"/>
            </w:rPr>
            <w:t>二、收入决算表</w:t>
          </w:r>
          <w:r>
            <w:tab/>
          </w:r>
          <w:r>
            <w:fldChar w:fldCharType="begin"/>
          </w:r>
          <w:r>
            <w:instrText xml:space="preserve"> PAGEREF _Toc22942 \h </w:instrText>
          </w:r>
          <w:r>
            <w:fldChar w:fldCharType="separate"/>
          </w:r>
          <w:r>
            <w:t>- 35 -</w:t>
          </w:r>
          <w:r>
            <w:fldChar w:fldCharType="end"/>
          </w:r>
          <w:r>
            <w:rPr>
              <w:rFonts w:hint="eastAsia" w:asciiTheme="majorEastAsia" w:hAnsiTheme="majorEastAsia" w:eastAsiaTheme="majorEastAsia" w:cstheme="majorEastAsia"/>
              <w:szCs w:val="24"/>
            </w:rPr>
            <w:fldChar w:fldCharType="end"/>
          </w:r>
        </w:p>
        <w:p>
          <w:pPr>
            <w:pStyle w:val="15"/>
            <w:tabs>
              <w:tab w:val="right" w:leader="dot" w:pos="8306"/>
              <w:tab w:val="clear" w:pos="8296"/>
            </w:tabs>
          </w:pPr>
          <w:r>
            <w:rPr>
              <w:rFonts w:hint="eastAsia" w:asciiTheme="majorEastAsia" w:hAnsiTheme="majorEastAsia" w:eastAsiaTheme="majorEastAsia" w:cstheme="majorEastAsia"/>
              <w:szCs w:val="24"/>
            </w:rPr>
            <w:fldChar w:fldCharType="begin"/>
          </w:r>
          <w:r>
            <w:rPr>
              <w:rFonts w:hint="eastAsia" w:asciiTheme="majorEastAsia" w:hAnsiTheme="majorEastAsia" w:eastAsiaTheme="majorEastAsia" w:cstheme="majorEastAsia"/>
              <w:szCs w:val="24"/>
            </w:rPr>
            <w:instrText xml:space="preserve"> HYPERLINK \l _Toc19816 </w:instrText>
          </w:r>
          <w:r>
            <w:rPr>
              <w:rFonts w:hint="eastAsia" w:asciiTheme="majorEastAsia" w:hAnsiTheme="majorEastAsia" w:eastAsiaTheme="majorEastAsia" w:cstheme="majorEastAsia"/>
              <w:szCs w:val="24"/>
            </w:rPr>
            <w:fldChar w:fldCharType="separate"/>
          </w:r>
          <w:r>
            <w:rPr>
              <w:rFonts w:hint="eastAsia"/>
              <w:bCs w:val="0"/>
            </w:rPr>
            <w:t>三、支出决算表</w:t>
          </w:r>
          <w:r>
            <w:tab/>
          </w:r>
          <w:r>
            <w:fldChar w:fldCharType="begin"/>
          </w:r>
          <w:r>
            <w:instrText xml:space="preserve"> PAGEREF _Toc19816 \h </w:instrText>
          </w:r>
          <w:r>
            <w:fldChar w:fldCharType="separate"/>
          </w:r>
          <w:r>
            <w:t>- 35 -</w:t>
          </w:r>
          <w:r>
            <w:fldChar w:fldCharType="end"/>
          </w:r>
          <w:r>
            <w:rPr>
              <w:rFonts w:hint="eastAsia" w:asciiTheme="majorEastAsia" w:hAnsiTheme="majorEastAsia" w:eastAsiaTheme="majorEastAsia" w:cstheme="majorEastAsia"/>
              <w:szCs w:val="24"/>
            </w:rPr>
            <w:fldChar w:fldCharType="end"/>
          </w:r>
        </w:p>
        <w:p>
          <w:pPr>
            <w:pStyle w:val="15"/>
            <w:tabs>
              <w:tab w:val="right" w:leader="dot" w:pos="8306"/>
              <w:tab w:val="clear" w:pos="8296"/>
            </w:tabs>
          </w:pPr>
          <w:r>
            <w:rPr>
              <w:rFonts w:hint="eastAsia" w:asciiTheme="majorEastAsia" w:hAnsiTheme="majorEastAsia" w:eastAsiaTheme="majorEastAsia" w:cstheme="majorEastAsia"/>
              <w:szCs w:val="24"/>
            </w:rPr>
            <w:fldChar w:fldCharType="begin"/>
          </w:r>
          <w:r>
            <w:rPr>
              <w:rFonts w:hint="eastAsia" w:asciiTheme="majorEastAsia" w:hAnsiTheme="majorEastAsia" w:eastAsiaTheme="majorEastAsia" w:cstheme="majorEastAsia"/>
              <w:szCs w:val="24"/>
            </w:rPr>
            <w:instrText xml:space="preserve"> HYPERLINK \l _Toc28276 </w:instrText>
          </w:r>
          <w:r>
            <w:rPr>
              <w:rFonts w:hint="eastAsia" w:asciiTheme="majorEastAsia" w:hAnsiTheme="majorEastAsia" w:eastAsiaTheme="majorEastAsia" w:cstheme="majorEastAsia"/>
              <w:szCs w:val="24"/>
            </w:rPr>
            <w:fldChar w:fldCharType="separate"/>
          </w:r>
          <w:r>
            <w:rPr>
              <w:rFonts w:hint="eastAsia"/>
              <w:bCs w:val="0"/>
            </w:rPr>
            <w:t>四、财政拨款收入支出决算总表</w:t>
          </w:r>
          <w:r>
            <w:tab/>
          </w:r>
          <w:r>
            <w:fldChar w:fldCharType="begin"/>
          </w:r>
          <w:r>
            <w:instrText xml:space="preserve"> PAGEREF _Toc28276 \h </w:instrText>
          </w:r>
          <w:r>
            <w:fldChar w:fldCharType="separate"/>
          </w:r>
          <w:r>
            <w:t>- 35 -</w:t>
          </w:r>
          <w:r>
            <w:fldChar w:fldCharType="end"/>
          </w:r>
          <w:r>
            <w:rPr>
              <w:rFonts w:hint="eastAsia" w:asciiTheme="majorEastAsia" w:hAnsiTheme="majorEastAsia" w:eastAsiaTheme="majorEastAsia" w:cstheme="majorEastAsia"/>
              <w:szCs w:val="24"/>
            </w:rPr>
            <w:fldChar w:fldCharType="end"/>
          </w:r>
        </w:p>
        <w:p>
          <w:pPr>
            <w:pStyle w:val="15"/>
            <w:tabs>
              <w:tab w:val="right" w:leader="dot" w:pos="8306"/>
              <w:tab w:val="clear" w:pos="8296"/>
            </w:tabs>
          </w:pPr>
          <w:r>
            <w:rPr>
              <w:rFonts w:hint="eastAsia" w:asciiTheme="majorEastAsia" w:hAnsiTheme="majorEastAsia" w:eastAsiaTheme="majorEastAsia" w:cstheme="majorEastAsia"/>
              <w:szCs w:val="24"/>
            </w:rPr>
            <w:fldChar w:fldCharType="begin"/>
          </w:r>
          <w:r>
            <w:rPr>
              <w:rFonts w:hint="eastAsia" w:asciiTheme="majorEastAsia" w:hAnsiTheme="majorEastAsia" w:eastAsiaTheme="majorEastAsia" w:cstheme="majorEastAsia"/>
              <w:szCs w:val="24"/>
            </w:rPr>
            <w:instrText xml:space="preserve"> HYPERLINK \l _Toc9861 </w:instrText>
          </w:r>
          <w:r>
            <w:rPr>
              <w:rFonts w:hint="eastAsia" w:asciiTheme="majorEastAsia" w:hAnsiTheme="majorEastAsia" w:eastAsiaTheme="majorEastAsia" w:cstheme="majorEastAsia"/>
              <w:szCs w:val="24"/>
            </w:rPr>
            <w:fldChar w:fldCharType="separate"/>
          </w:r>
          <w:r>
            <w:rPr>
              <w:rFonts w:hint="eastAsia"/>
              <w:bCs w:val="0"/>
            </w:rPr>
            <w:t>五、财政拨款支出决算明细表</w:t>
          </w:r>
          <w:r>
            <w:tab/>
          </w:r>
          <w:r>
            <w:fldChar w:fldCharType="begin"/>
          </w:r>
          <w:r>
            <w:instrText xml:space="preserve"> PAGEREF _Toc9861 \h </w:instrText>
          </w:r>
          <w:r>
            <w:fldChar w:fldCharType="separate"/>
          </w:r>
          <w:r>
            <w:t>- 35 -</w:t>
          </w:r>
          <w:r>
            <w:fldChar w:fldCharType="end"/>
          </w:r>
          <w:r>
            <w:rPr>
              <w:rFonts w:hint="eastAsia" w:asciiTheme="majorEastAsia" w:hAnsiTheme="majorEastAsia" w:eastAsiaTheme="majorEastAsia" w:cstheme="majorEastAsia"/>
              <w:szCs w:val="24"/>
            </w:rPr>
            <w:fldChar w:fldCharType="end"/>
          </w:r>
        </w:p>
        <w:p>
          <w:pPr>
            <w:pStyle w:val="15"/>
            <w:tabs>
              <w:tab w:val="right" w:leader="dot" w:pos="8306"/>
              <w:tab w:val="clear" w:pos="8296"/>
            </w:tabs>
          </w:pPr>
          <w:r>
            <w:rPr>
              <w:rFonts w:hint="eastAsia" w:asciiTheme="majorEastAsia" w:hAnsiTheme="majorEastAsia" w:eastAsiaTheme="majorEastAsia" w:cstheme="majorEastAsia"/>
              <w:szCs w:val="24"/>
            </w:rPr>
            <w:fldChar w:fldCharType="begin"/>
          </w:r>
          <w:r>
            <w:rPr>
              <w:rFonts w:hint="eastAsia" w:asciiTheme="majorEastAsia" w:hAnsiTheme="majorEastAsia" w:eastAsiaTheme="majorEastAsia" w:cstheme="majorEastAsia"/>
              <w:szCs w:val="24"/>
            </w:rPr>
            <w:instrText xml:space="preserve"> HYPERLINK \l _Toc15205 </w:instrText>
          </w:r>
          <w:r>
            <w:rPr>
              <w:rFonts w:hint="eastAsia" w:asciiTheme="majorEastAsia" w:hAnsiTheme="majorEastAsia" w:eastAsiaTheme="majorEastAsia" w:cstheme="majorEastAsia"/>
              <w:szCs w:val="24"/>
            </w:rPr>
            <w:fldChar w:fldCharType="separate"/>
          </w:r>
          <w:r>
            <w:rPr>
              <w:rFonts w:hint="eastAsia"/>
              <w:bCs w:val="0"/>
            </w:rPr>
            <w:t>六、一般公共预算财政拨款支出决算表</w:t>
          </w:r>
          <w:r>
            <w:tab/>
          </w:r>
          <w:r>
            <w:fldChar w:fldCharType="begin"/>
          </w:r>
          <w:r>
            <w:instrText xml:space="preserve"> PAGEREF _Toc15205 \h </w:instrText>
          </w:r>
          <w:r>
            <w:fldChar w:fldCharType="separate"/>
          </w:r>
          <w:r>
            <w:t>- 35 -</w:t>
          </w:r>
          <w:r>
            <w:fldChar w:fldCharType="end"/>
          </w:r>
          <w:r>
            <w:rPr>
              <w:rFonts w:hint="eastAsia" w:asciiTheme="majorEastAsia" w:hAnsiTheme="majorEastAsia" w:eastAsiaTheme="majorEastAsia" w:cstheme="majorEastAsia"/>
              <w:szCs w:val="24"/>
            </w:rPr>
            <w:fldChar w:fldCharType="end"/>
          </w:r>
        </w:p>
        <w:p>
          <w:pPr>
            <w:pStyle w:val="15"/>
            <w:tabs>
              <w:tab w:val="right" w:leader="dot" w:pos="8306"/>
              <w:tab w:val="clear" w:pos="8296"/>
            </w:tabs>
          </w:pPr>
          <w:r>
            <w:rPr>
              <w:rFonts w:hint="eastAsia" w:asciiTheme="majorEastAsia" w:hAnsiTheme="majorEastAsia" w:eastAsiaTheme="majorEastAsia" w:cstheme="majorEastAsia"/>
              <w:szCs w:val="24"/>
            </w:rPr>
            <w:fldChar w:fldCharType="begin"/>
          </w:r>
          <w:r>
            <w:rPr>
              <w:rFonts w:hint="eastAsia" w:asciiTheme="majorEastAsia" w:hAnsiTheme="majorEastAsia" w:eastAsiaTheme="majorEastAsia" w:cstheme="majorEastAsia"/>
              <w:szCs w:val="24"/>
            </w:rPr>
            <w:instrText xml:space="preserve"> HYPERLINK \l _Toc22904 </w:instrText>
          </w:r>
          <w:r>
            <w:rPr>
              <w:rFonts w:hint="eastAsia" w:asciiTheme="majorEastAsia" w:hAnsiTheme="majorEastAsia" w:eastAsiaTheme="majorEastAsia" w:cstheme="majorEastAsia"/>
              <w:szCs w:val="24"/>
            </w:rPr>
            <w:fldChar w:fldCharType="separate"/>
          </w:r>
          <w:r>
            <w:rPr>
              <w:rFonts w:hint="eastAsia"/>
              <w:bCs w:val="0"/>
            </w:rPr>
            <w:t>七、一般公共预算财政拨款支出决算明细表</w:t>
          </w:r>
          <w:r>
            <w:tab/>
          </w:r>
          <w:r>
            <w:fldChar w:fldCharType="begin"/>
          </w:r>
          <w:r>
            <w:instrText xml:space="preserve"> PAGEREF _Toc22904 \h </w:instrText>
          </w:r>
          <w:r>
            <w:fldChar w:fldCharType="separate"/>
          </w:r>
          <w:r>
            <w:t>- 35 -</w:t>
          </w:r>
          <w:r>
            <w:fldChar w:fldCharType="end"/>
          </w:r>
          <w:r>
            <w:rPr>
              <w:rFonts w:hint="eastAsia" w:asciiTheme="majorEastAsia" w:hAnsiTheme="majorEastAsia" w:eastAsiaTheme="majorEastAsia" w:cstheme="majorEastAsia"/>
              <w:szCs w:val="24"/>
            </w:rPr>
            <w:fldChar w:fldCharType="end"/>
          </w:r>
        </w:p>
        <w:p>
          <w:pPr>
            <w:pStyle w:val="15"/>
            <w:tabs>
              <w:tab w:val="right" w:leader="dot" w:pos="8306"/>
              <w:tab w:val="clear" w:pos="8296"/>
            </w:tabs>
          </w:pPr>
          <w:r>
            <w:rPr>
              <w:rFonts w:hint="eastAsia" w:asciiTheme="majorEastAsia" w:hAnsiTheme="majorEastAsia" w:eastAsiaTheme="majorEastAsia" w:cstheme="majorEastAsia"/>
              <w:szCs w:val="24"/>
            </w:rPr>
            <w:fldChar w:fldCharType="begin"/>
          </w:r>
          <w:r>
            <w:rPr>
              <w:rFonts w:hint="eastAsia" w:asciiTheme="majorEastAsia" w:hAnsiTheme="majorEastAsia" w:eastAsiaTheme="majorEastAsia" w:cstheme="majorEastAsia"/>
              <w:szCs w:val="24"/>
            </w:rPr>
            <w:instrText xml:space="preserve"> HYPERLINK \l _Toc27990 </w:instrText>
          </w:r>
          <w:r>
            <w:rPr>
              <w:rFonts w:hint="eastAsia" w:asciiTheme="majorEastAsia" w:hAnsiTheme="majorEastAsia" w:eastAsiaTheme="majorEastAsia" w:cstheme="majorEastAsia"/>
              <w:szCs w:val="24"/>
            </w:rPr>
            <w:fldChar w:fldCharType="separate"/>
          </w:r>
          <w:r>
            <w:rPr>
              <w:rFonts w:hint="eastAsia"/>
              <w:bCs w:val="0"/>
            </w:rPr>
            <w:t>八、一般公共预算财政拨款基本支出决算表</w:t>
          </w:r>
          <w:r>
            <w:tab/>
          </w:r>
          <w:r>
            <w:fldChar w:fldCharType="begin"/>
          </w:r>
          <w:r>
            <w:instrText xml:space="preserve"> PAGEREF _Toc27990 \h </w:instrText>
          </w:r>
          <w:r>
            <w:fldChar w:fldCharType="separate"/>
          </w:r>
          <w:r>
            <w:t>- 35 -</w:t>
          </w:r>
          <w:r>
            <w:fldChar w:fldCharType="end"/>
          </w:r>
          <w:r>
            <w:rPr>
              <w:rFonts w:hint="eastAsia" w:asciiTheme="majorEastAsia" w:hAnsiTheme="majorEastAsia" w:eastAsiaTheme="majorEastAsia" w:cstheme="majorEastAsia"/>
              <w:szCs w:val="24"/>
            </w:rPr>
            <w:fldChar w:fldCharType="end"/>
          </w:r>
        </w:p>
        <w:p>
          <w:pPr>
            <w:pStyle w:val="15"/>
            <w:tabs>
              <w:tab w:val="right" w:leader="dot" w:pos="8306"/>
              <w:tab w:val="clear" w:pos="8296"/>
            </w:tabs>
          </w:pPr>
          <w:r>
            <w:rPr>
              <w:rFonts w:hint="eastAsia" w:asciiTheme="majorEastAsia" w:hAnsiTheme="majorEastAsia" w:eastAsiaTheme="majorEastAsia" w:cstheme="majorEastAsia"/>
              <w:szCs w:val="24"/>
            </w:rPr>
            <w:fldChar w:fldCharType="begin"/>
          </w:r>
          <w:r>
            <w:rPr>
              <w:rFonts w:hint="eastAsia" w:asciiTheme="majorEastAsia" w:hAnsiTheme="majorEastAsia" w:eastAsiaTheme="majorEastAsia" w:cstheme="majorEastAsia"/>
              <w:szCs w:val="24"/>
            </w:rPr>
            <w:instrText xml:space="preserve"> HYPERLINK \l _Toc6892 </w:instrText>
          </w:r>
          <w:r>
            <w:rPr>
              <w:rFonts w:hint="eastAsia" w:asciiTheme="majorEastAsia" w:hAnsiTheme="majorEastAsia" w:eastAsiaTheme="majorEastAsia" w:cstheme="majorEastAsia"/>
              <w:szCs w:val="24"/>
            </w:rPr>
            <w:fldChar w:fldCharType="separate"/>
          </w:r>
          <w:r>
            <w:rPr>
              <w:rFonts w:hint="eastAsia"/>
              <w:bCs w:val="0"/>
            </w:rPr>
            <w:t>九、一般公共预算财政拨款项目支出决算表</w:t>
          </w:r>
          <w:r>
            <w:tab/>
          </w:r>
          <w:r>
            <w:fldChar w:fldCharType="begin"/>
          </w:r>
          <w:r>
            <w:instrText xml:space="preserve"> PAGEREF _Toc6892 \h </w:instrText>
          </w:r>
          <w:r>
            <w:fldChar w:fldCharType="separate"/>
          </w:r>
          <w:r>
            <w:t>- 35 -</w:t>
          </w:r>
          <w:r>
            <w:fldChar w:fldCharType="end"/>
          </w:r>
          <w:r>
            <w:rPr>
              <w:rFonts w:hint="eastAsia" w:asciiTheme="majorEastAsia" w:hAnsiTheme="majorEastAsia" w:eastAsiaTheme="majorEastAsia" w:cstheme="majorEastAsia"/>
              <w:szCs w:val="24"/>
            </w:rPr>
            <w:fldChar w:fldCharType="end"/>
          </w:r>
        </w:p>
        <w:p>
          <w:pPr>
            <w:pStyle w:val="15"/>
            <w:tabs>
              <w:tab w:val="right" w:leader="dot" w:pos="8306"/>
              <w:tab w:val="clear" w:pos="8296"/>
            </w:tabs>
          </w:pPr>
          <w:r>
            <w:rPr>
              <w:rFonts w:hint="eastAsia" w:asciiTheme="majorEastAsia" w:hAnsiTheme="majorEastAsia" w:eastAsiaTheme="majorEastAsia" w:cstheme="majorEastAsia"/>
              <w:szCs w:val="24"/>
            </w:rPr>
            <w:fldChar w:fldCharType="begin"/>
          </w:r>
          <w:r>
            <w:rPr>
              <w:rFonts w:hint="eastAsia" w:asciiTheme="majorEastAsia" w:hAnsiTheme="majorEastAsia" w:eastAsiaTheme="majorEastAsia" w:cstheme="majorEastAsia"/>
              <w:szCs w:val="24"/>
            </w:rPr>
            <w:instrText xml:space="preserve"> HYPERLINK \l _Toc31824 </w:instrText>
          </w:r>
          <w:r>
            <w:rPr>
              <w:rFonts w:hint="eastAsia" w:asciiTheme="majorEastAsia" w:hAnsiTheme="majorEastAsia" w:eastAsiaTheme="majorEastAsia" w:cstheme="majorEastAsia"/>
              <w:szCs w:val="24"/>
            </w:rPr>
            <w:fldChar w:fldCharType="separate"/>
          </w:r>
          <w:r>
            <w:rPr>
              <w:rFonts w:hint="eastAsia"/>
              <w:bCs w:val="0"/>
            </w:rPr>
            <w:t>十、政府性基金预算财政拨款收入支出决算表</w:t>
          </w:r>
          <w:r>
            <w:tab/>
          </w:r>
          <w:r>
            <w:fldChar w:fldCharType="begin"/>
          </w:r>
          <w:r>
            <w:instrText xml:space="preserve"> PAGEREF _Toc31824 \h </w:instrText>
          </w:r>
          <w:r>
            <w:fldChar w:fldCharType="separate"/>
          </w:r>
          <w:r>
            <w:t>- 35 -</w:t>
          </w:r>
          <w:r>
            <w:fldChar w:fldCharType="end"/>
          </w:r>
          <w:r>
            <w:rPr>
              <w:rFonts w:hint="eastAsia" w:asciiTheme="majorEastAsia" w:hAnsiTheme="majorEastAsia" w:eastAsiaTheme="majorEastAsia" w:cstheme="majorEastAsia"/>
              <w:szCs w:val="24"/>
            </w:rPr>
            <w:fldChar w:fldCharType="end"/>
          </w:r>
        </w:p>
        <w:p>
          <w:pPr>
            <w:pStyle w:val="15"/>
            <w:tabs>
              <w:tab w:val="right" w:leader="dot" w:pos="8306"/>
              <w:tab w:val="clear" w:pos="8296"/>
            </w:tabs>
          </w:pPr>
          <w:r>
            <w:rPr>
              <w:rFonts w:hint="eastAsia" w:asciiTheme="majorEastAsia" w:hAnsiTheme="majorEastAsia" w:eastAsiaTheme="majorEastAsia" w:cstheme="majorEastAsia"/>
              <w:szCs w:val="24"/>
            </w:rPr>
            <w:fldChar w:fldCharType="begin"/>
          </w:r>
          <w:r>
            <w:rPr>
              <w:rFonts w:hint="eastAsia" w:asciiTheme="majorEastAsia" w:hAnsiTheme="majorEastAsia" w:eastAsiaTheme="majorEastAsia" w:cstheme="majorEastAsia"/>
              <w:szCs w:val="24"/>
            </w:rPr>
            <w:instrText xml:space="preserve"> HYPERLINK \l _Toc26781 </w:instrText>
          </w:r>
          <w:r>
            <w:rPr>
              <w:rFonts w:hint="eastAsia" w:asciiTheme="majorEastAsia" w:hAnsiTheme="majorEastAsia" w:eastAsiaTheme="majorEastAsia" w:cstheme="majorEastAsia"/>
              <w:szCs w:val="24"/>
            </w:rPr>
            <w:fldChar w:fldCharType="separate"/>
          </w:r>
          <w:r>
            <w:rPr>
              <w:rFonts w:hint="eastAsia"/>
              <w:bCs w:val="0"/>
            </w:rPr>
            <w:t>十一、国有资本经营预算</w:t>
          </w:r>
          <w:r>
            <w:rPr>
              <w:rFonts w:hint="eastAsia"/>
              <w:bCs w:val="0"/>
              <w:lang w:eastAsia="zh-CN"/>
            </w:rPr>
            <w:t>财政拨款收入</w:t>
          </w:r>
          <w:r>
            <w:rPr>
              <w:rFonts w:hint="eastAsia"/>
              <w:bCs w:val="0"/>
            </w:rPr>
            <w:t>支出决算表</w:t>
          </w:r>
          <w:r>
            <w:tab/>
          </w:r>
          <w:r>
            <w:fldChar w:fldCharType="begin"/>
          </w:r>
          <w:r>
            <w:instrText xml:space="preserve"> PAGEREF _Toc26781 \h </w:instrText>
          </w:r>
          <w:r>
            <w:fldChar w:fldCharType="separate"/>
          </w:r>
          <w:r>
            <w:t>- 35 -</w:t>
          </w:r>
          <w:r>
            <w:fldChar w:fldCharType="end"/>
          </w:r>
          <w:r>
            <w:rPr>
              <w:rFonts w:hint="eastAsia" w:asciiTheme="majorEastAsia" w:hAnsiTheme="majorEastAsia" w:eastAsiaTheme="majorEastAsia" w:cstheme="majorEastAsia"/>
              <w:szCs w:val="24"/>
            </w:rPr>
            <w:fldChar w:fldCharType="end"/>
          </w:r>
        </w:p>
        <w:p>
          <w:pPr>
            <w:pStyle w:val="15"/>
            <w:tabs>
              <w:tab w:val="right" w:leader="dot" w:pos="8306"/>
              <w:tab w:val="clear" w:pos="8296"/>
            </w:tabs>
          </w:pPr>
          <w:r>
            <w:rPr>
              <w:rFonts w:hint="eastAsia" w:asciiTheme="majorEastAsia" w:hAnsiTheme="majorEastAsia" w:eastAsiaTheme="majorEastAsia" w:cstheme="majorEastAsia"/>
              <w:szCs w:val="24"/>
            </w:rPr>
            <w:fldChar w:fldCharType="begin"/>
          </w:r>
          <w:r>
            <w:rPr>
              <w:rFonts w:hint="eastAsia" w:asciiTheme="majorEastAsia" w:hAnsiTheme="majorEastAsia" w:eastAsiaTheme="majorEastAsia" w:cstheme="majorEastAsia"/>
              <w:szCs w:val="24"/>
            </w:rPr>
            <w:instrText xml:space="preserve"> HYPERLINK \l _Toc17783 </w:instrText>
          </w:r>
          <w:r>
            <w:rPr>
              <w:rFonts w:hint="eastAsia" w:asciiTheme="majorEastAsia" w:hAnsiTheme="majorEastAsia" w:eastAsiaTheme="majorEastAsia" w:cstheme="majorEastAsia"/>
              <w:szCs w:val="24"/>
            </w:rPr>
            <w:fldChar w:fldCharType="separate"/>
          </w:r>
          <w:r>
            <w:rPr>
              <w:rFonts w:hint="eastAsia"/>
              <w:bCs w:val="0"/>
            </w:rPr>
            <w:t>十二、</w:t>
          </w:r>
          <w:r>
            <w:rPr>
              <w:rFonts w:hint="eastAsia"/>
              <w:bCs w:val="0"/>
              <w:lang w:eastAsia="zh-CN"/>
            </w:rPr>
            <w:t>国有资本经营预算财政拨款支出决算表</w:t>
          </w:r>
          <w:r>
            <w:tab/>
          </w:r>
          <w:r>
            <w:fldChar w:fldCharType="begin"/>
          </w:r>
          <w:r>
            <w:instrText xml:space="preserve"> PAGEREF _Toc17783 \h </w:instrText>
          </w:r>
          <w:r>
            <w:fldChar w:fldCharType="separate"/>
          </w:r>
          <w:r>
            <w:t>- 35 -</w:t>
          </w:r>
          <w:r>
            <w:fldChar w:fldCharType="end"/>
          </w:r>
          <w:r>
            <w:rPr>
              <w:rFonts w:hint="eastAsia" w:asciiTheme="majorEastAsia" w:hAnsiTheme="majorEastAsia" w:eastAsiaTheme="majorEastAsia" w:cstheme="majorEastAsia"/>
              <w:szCs w:val="24"/>
            </w:rPr>
            <w:fldChar w:fldCharType="end"/>
          </w:r>
        </w:p>
        <w:p>
          <w:pPr>
            <w:pStyle w:val="15"/>
            <w:tabs>
              <w:tab w:val="right" w:leader="dot" w:pos="8306"/>
              <w:tab w:val="clear" w:pos="8296"/>
            </w:tabs>
          </w:pPr>
          <w:r>
            <w:rPr>
              <w:rFonts w:hint="eastAsia" w:asciiTheme="majorEastAsia" w:hAnsiTheme="majorEastAsia" w:eastAsiaTheme="majorEastAsia" w:cstheme="majorEastAsia"/>
              <w:szCs w:val="24"/>
            </w:rPr>
            <w:fldChar w:fldCharType="begin"/>
          </w:r>
          <w:r>
            <w:rPr>
              <w:rFonts w:hint="eastAsia" w:asciiTheme="majorEastAsia" w:hAnsiTheme="majorEastAsia" w:eastAsiaTheme="majorEastAsia" w:cstheme="majorEastAsia"/>
              <w:szCs w:val="24"/>
            </w:rPr>
            <w:instrText xml:space="preserve"> HYPERLINK \l _Toc4124 </w:instrText>
          </w:r>
          <w:r>
            <w:rPr>
              <w:rFonts w:hint="eastAsia" w:asciiTheme="majorEastAsia" w:hAnsiTheme="majorEastAsia" w:eastAsiaTheme="majorEastAsia" w:cstheme="majorEastAsia"/>
              <w:szCs w:val="24"/>
            </w:rPr>
            <w:fldChar w:fldCharType="separate"/>
          </w:r>
          <w:r>
            <w:rPr>
              <w:rFonts w:hint="eastAsia"/>
              <w:bCs w:val="0"/>
            </w:rPr>
            <w:t>十三、</w:t>
          </w:r>
          <w:r>
            <w:rPr>
              <w:rFonts w:hint="eastAsia"/>
              <w:bCs w:val="0"/>
              <w:lang w:eastAsia="zh-CN"/>
            </w:rPr>
            <w:t>财政拨款“三公”经费支出决算表</w:t>
          </w:r>
          <w:r>
            <w:tab/>
          </w:r>
          <w:r>
            <w:fldChar w:fldCharType="begin"/>
          </w:r>
          <w:r>
            <w:instrText xml:space="preserve"> PAGEREF _Toc4124 \h </w:instrText>
          </w:r>
          <w:r>
            <w:fldChar w:fldCharType="separate"/>
          </w:r>
          <w:r>
            <w:t>- 35 -</w:t>
          </w:r>
          <w:r>
            <w:fldChar w:fldCharType="end"/>
          </w:r>
          <w:r>
            <w:rPr>
              <w:rFonts w:hint="eastAsia" w:asciiTheme="majorEastAsia" w:hAnsiTheme="majorEastAsia" w:eastAsiaTheme="majorEastAsia" w:cstheme="majorEastAsia"/>
              <w:szCs w:val="24"/>
            </w:rPr>
            <w:fldChar w:fldCharType="end"/>
          </w:r>
        </w:p>
        <w:p>
          <w:pPr>
            <w:pStyle w:val="41"/>
            <w:tabs>
              <w:tab w:val="right" w:leader="dot" w:pos="8306"/>
            </w:tabs>
            <w:rPr>
              <w:rFonts w:hint="eastAsia" w:asciiTheme="majorEastAsia" w:hAnsiTheme="majorEastAsia" w:eastAsiaTheme="majorEastAsia" w:cstheme="majorEastAsia"/>
              <w:sz w:val="20"/>
              <w:szCs w:val="24"/>
            </w:rPr>
          </w:pPr>
          <w:r>
            <w:rPr>
              <w:rFonts w:hint="eastAsia" w:asciiTheme="majorEastAsia" w:hAnsiTheme="majorEastAsia" w:eastAsiaTheme="majorEastAsia" w:cstheme="majorEastAsia"/>
              <w:szCs w:val="24"/>
            </w:rPr>
            <w:fldChar w:fldCharType="end"/>
          </w:r>
        </w:p>
      </w:sdtContent>
    </w:sdt>
    <w:p>
      <w:pPr>
        <w:pStyle w:val="41"/>
        <w:tabs>
          <w:tab w:val="right" w:leader="dot" w:pos="8306"/>
        </w:tabs>
        <w:rPr>
          <w:rFonts w:hint="eastAsia" w:asciiTheme="majorEastAsia" w:hAnsiTheme="majorEastAsia" w:eastAsiaTheme="majorEastAsia" w:cstheme="majorEastAsia"/>
          <w:sz w:val="20"/>
          <w:szCs w:val="24"/>
        </w:rPr>
      </w:pPr>
    </w:p>
    <w:p>
      <w:pPr>
        <w:pStyle w:val="3"/>
        <w:jc w:val="both"/>
        <w:rPr>
          <w:rFonts w:hint="eastAsia" w:ascii="Times New Roman" w:hAnsi="Times New Roman" w:eastAsia="方正小标宋简体" w:cs="方正小标宋简体"/>
          <w:b w:val="0"/>
          <w:color w:val="auto"/>
          <w:highlight w:val="none"/>
        </w:rPr>
        <w:sectPr>
          <w:footerReference r:id="rId6" w:type="first"/>
          <w:footerReference r:id="rId5" w:type="default"/>
          <w:pgSz w:w="11906" w:h="16838"/>
          <w:pgMar w:top="1440" w:right="1800" w:bottom="1440" w:left="1800" w:header="851" w:footer="992" w:gutter="0"/>
          <w:pgNumType w:fmt="numberInDash" w:start="1"/>
          <w:cols w:space="425" w:num="1"/>
          <w:docGrid w:type="lines" w:linePitch="312" w:charSpace="0"/>
        </w:sectPr>
      </w:pPr>
      <w:bookmarkStart w:id="6" w:name="_Toc15377196"/>
      <w:bookmarkStart w:id="7" w:name="_Toc15396599"/>
    </w:p>
    <w:p>
      <w:pPr>
        <w:pStyle w:val="3"/>
        <w:jc w:val="center"/>
        <w:rPr>
          <w:rStyle w:val="21"/>
          <w:rFonts w:hint="eastAsia" w:ascii="Times New Roman" w:hAnsi="Times New Roman" w:eastAsia="方正小标宋简体" w:cs="方正小标宋简体"/>
          <w:b/>
          <w:bCs w:val="0"/>
          <w:color w:val="auto"/>
          <w:highlight w:val="none"/>
        </w:rPr>
      </w:pPr>
      <w:bookmarkStart w:id="8" w:name="_Toc28762"/>
      <w:r>
        <w:rPr>
          <w:rFonts w:hint="eastAsia" w:ascii="Times New Roman" w:hAnsi="Times New Roman" w:eastAsia="方正小标宋简体" w:cs="方正小标宋简体"/>
          <w:b w:val="0"/>
          <w:color w:val="auto"/>
          <w:highlight w:val="none"/>
        </w:rPr>
        <w:t>第一部分</w:t>
      </w:r>
      <w:r>
        <w:rPr>
          <w:rFonts w:hint="eastAsia" w:ascii="Times New Roman" w:hAnsi="Times New Roman" w:eastAsia="方正小标宋简体" w:cs="方正小标宋简体"/>
          <w:b w:val="0"/>
          <w:color w:val="auto"/>
          <w:highlight w:val="none"/>
          <w:lang w:val="en-US" w:eastAsia="zh-CN"/>
        </w:rPr>
        <w:t xml:space="preserve"> </w:t>
      </w:r>
      <w:r>
        <w:rPr>
          <w:rFonts w:hint="eastAsia" w:ascii="Times New Roman" w:hAnsi="Times New Roman" w:eastAsia="方正小标宋简体" w:cs="方正小标宋简体"/>
          <w:b w:val="0"/>
          <w:color w:val="auto"/>
          <w:highlight w:val="none"/>
        </w:rPr>
        <w:t xml:space="preserve"> </w:t>
      </w:r>
      <w:r>
        <w:rPr>
          <w:rFonts w:hint="eastAsia" w:eastAsia="方正小标宋简体" w:cs="方正小标宋简体"/>
          <w:b w:val="0"/>
          <w:color w:val="auto"/>
          <w:highlight w:val="none"/>
          <w:lang w:eastAsia="zh-CN"/>
        </w:rPr>
        <w:t>单位</w:t>
      </w:r>
      <w:r>
        <w:rPr>
          <w:rStyle w:val="21"/>
          <w:rFonts w:hint="eastAsia" w:ascii="Times New Roman" w:hAnsi="Times New Roman" w:eastAsia="方正小标宋简体" w:cs="方正小标宋简体"/>
          <w:b w:val="0"/>
          <w:bCs w:val="0"/>
          <w:color w:val="auto"/>
          <w:highlight w:val="none"/>
        </w:rPr>
        <w:t>概况</w:t>
      </w:r>
      <w:bookmarkEnd w:id="6"/>
      <w:bookmarkEnd w:id="7"/>
      <w:bookmarkEnd w:id="8"/>
    </w:p>
    <w:p>
      <w:pPr>
        <w:widowControl/>
        <w:jc w:val="left"/>
        <w:rPr>
          <w:rFonts w:ascii="Times New Roman" w:hAnsi="Times New Roman" w:eastAsia="黑体"/>
          <w:color w:val="auto"/>
          <w:sz w:val="32"/>
          <w:szCs w:val="32"/>
          <w:highlight w:val="none"/>
        </w:rPr>
      </w:pPr>
    </w:p>
    <w:p>
      <w:pPr>
        <w:pStyle w:val="4"/>
        <w:numPr>
          <w:ilvl w:val="0"/>
          <w:numId w:val="1"/>
        </w:numPr>
        <w:rPr>
          <w:rFonts w:hint="eastAsia" w:ascii="Times New Roman" w:hAnsi="Times New Roman" w:eastAsia="黑体"/>
          <w:b w:val="0"/>
          <w:color w:val="auto"/>
          <w:highlight w:val="none"/>
          <w:lang w:eastAsia="zh-CN"/>
        </w:rPr>
      </w:pPr>
      <w:bookmarkStart w:id="9" w:name="_Toc8648"/>
      <w:r>
        <w:rPr>
          <w:rFonts w:hint="eastAsia" w:ascii="Times New Roman" w:hAnsi="Times New Roman" w:eastAsia="黑体"/>
          <w:b w:val="0"/>
          <w:color w:val="auto"/>
          <w:highlight w:val="none"/>
          <w:lang w:eastAsia="zh-CN"/>
        </w:rPr>
        <w:t>主要职责</w:t>
      </w:r>
      <w:bookmarkEnd w:id="9"/>
    </w:p>
    <w:p>
      <w:pPr>
        <w:spacing w:line="576" w:lineRule="exact"/>
        <w:ind w:firstLine="420" w:firstLineChars="200"/>
        <w:rPr>
          <w:rFonts w:ascii="仿宋_GB2312" w:hAnsi="仿宋_GB2312" w:eastAsia="仿宋_GB2312" w:cs="仿宋_GB2312"/>
          <w:sz w:val="32"/>
          <w:szCs w:val="32"/>
        </w:rPr>
      </w:pPr>
      <w:r>
        <w:rPr>
          <w:rFonts w:hint="eastAsia"/>
          <w:lang w:val="en-US" w:eastAsia="zh-CN"/>
        </w:rPr>
        <w:t xml:space="preserve"> </w:t>
      </w:r>
      <w:r>
        <w:rPr>
          <w:rFonts w:hint="eastAsia" w:ascii="仿宋_GB2312" w:hAnsi="仿宋_GB2312" w:eastAsia="仿宋_GB2312" w:cs="仿宋_GB2312"/>
          <w:sz w:val="32"/>
          <w:szCs w:val="32"/>
        </w:rPr>
        <w:t>（1）贯彻落实有关政务服务和公共资源交易工作的方针政策和决策部署，参与拟订全市政务服务、公共资源交易规则和相关政策。</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（2）为市政务服务和公共资源交易活动提供场所、设施、信息和现场管理服务，承担市级政务服务和公共资源交易服务平台建设和管理。</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（3）落实政务服务事项“应尽必进”，跟踪督促政务服务事项办理情况，负责入驻单位窗口工作人员的日常管理。</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4）推进窗口服务事项清理、办事材料精简、服务流程优化、办事指南规范更新，统筹协调窗口为企业和群众开展全程代办、协办和上门服务、延时服务、预约服务，推动落实“一网办”“一门办”“一次办”。 </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（5）统筹落实市本级惠企政策“一站式”兑现、工程建设项目联合审批等企业增值化服务，推进政务服务行政审批中介服务规范管理。</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（6）负责12345政务服务热线的运行和日常管理。</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（7）负责一体化政务服务平台、公共资源交易电子化平台、12345热线服务平台、惠企政策精准推送系统、工程建设项目联合审批管理系统等自建或使用的业务系统的运维管理。</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（8）承担全市工程建设招投标现场服务和管理工作，代理政府集中采购项目招标采购，提供国有产权、土地（矿权）出让等交易服务。</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（9）制定并组织实施市本级集中采购项目实施方案，配合做好市本级《中华人民共和国政府采购法》执行情况检查工作。</w:t>
      </w:r>
    </w:p>
    <w:p>
      <w:pPr>
        <w:spacing w:line="576" w:lineRule="exact"/>
        <w:ind w:firstLine="640" w:firstLineChars="200"/>
        <w:rPr>
          <w:rFonts w:hint="eastAsia" w:ascii="楷体_GB2312" w:hAnsi="楷体_GB2312" w:eastAsia="楷体_GB2312" w:cs="楷体_GB2312"/>
          <w:color w:val="FF0000"/>
          <w:sz w:val="32"/>
          <w:szCs w:val="32"/>
        </w:rPr>
      </w:pPr>
      <w:r>
        <w:rPr>
          <w:rFonts w:hint="eastAsia" w:ascii="仿宋_GB2312" w:hAnsi="仿宋_GB2312" w:eastAsia="仿宋_GB2312" w:cs="仿宋_GB2312"/>
          <w:sz w:val="32"/>
          <w:szCs w:val="32"/>
        </w:rPr>
        <w:t>（10）完成市政务服务和数据局交办的其他工作。</w:t>
      </w:r>
    </w:p>
    <w:p>
      <w:pPr>
        <w:numPr>
          <w:ilvl w:val="0"/>
          <w:numId w:val="0"/>
        </w:numPr>
        <w:rPr>
          <w:rFonts w:hint="default"/>
          <w:lang w:val="en-US" w:eastAsia="zh-CN"/>
        </w:rPr>
      </w:pPr>
    </w:p>
    <w:p>
      <w:pPr>
        <w:pStyle w:val="4"/>
        <w:rPr>
          <w:rStyle w:val="22"/>
          <w:rFonts w:ascii="Times New Roman" w:hAnsi="Times New Roman"/>
          <w:b w:val="0"/>
          <w:bCs w:val="0"/>
          <w:color w:val="auto"/>
          <w:highlight w:val="none"/>
        </w:rPr>
      </w:pPr>
      <w:bookmarkStart w:id="10" w:name="_Toc15377200"/>
      <w:bookmarkStart w:id="11" w:name="_Toc15396601"/>
      <w:bookmarkStart w:id="12" w:name="_Toc20585"/>
      <w:r>
        <w:rPr>
          <w:rFonts w:hint="eastAsia" w:ascii="Times New Roman" w:hAnsi="Times New Roman" w:eastAsia="黑体"/>
          <w:b w:val="0"/>
          <w:color w:val="auto"/>
          <w:highlight w:val="none"/>
        </w:rPr>
        <w:t>二、机</w:t>
      </w:r>
      <w:r>
        <w:rPr>
          <w:rStyle w:val="22"/>
          <w:rFonts w:hint="eastAsia" w:ascii="Times New Roman" w:hAnsi="Times New Roman" w:eastAsia="黑体"/>
          <w:b w:val="0"/>
          <w:bCs w:val="0"/>
          <w:color w:val="auto"/>
          <w:highlight w:val="none"/>
        </w:rPr>
        <w:t>构设置</w:t>
      </w:r>
      <w:bookmarkEnd w:id="10"/>
      <w:bookmarkEnd w:id="11"/>
      <w:bookmarkEnd w:id="12"/>
    </w:p>
    <w:p>
      <w:pPr>
        <w:ind w:firstLine="800" w:firstLineChars="250"/>
        <w:rPr>
          <w:rFonts w:hint="default" w:ascii="Times New Roman" w:hAnsi="Times New Roman"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我单位为</w:t>
      </w:r>
      <w:r>
        <w:rPr>
          <w:rFonts w:hint="eastAsia" w:ascii="仿宋_GB2312" w:hAnsi="仿宋_GB2312" w:eastAsia="仿宋_GB2312" w:cs="仿宋_GB2312"/>
          <w:color w:val="auto"/>
          <w:sz w:val="32"/>
          <w:szCs w:val="32"/>
          <w:highlight w:val="none"/>
        </w:rPr>
        <w:t>广元市政务服务和数据局</w:t>
      </w:r>
      <w:r>
        <w:rPr>
          <w:rFonts w:hint="eastAsia" w:ascii="仿宋_GB2312" w:hAnsi="仿宋_GB2312" w:eastAsia="仿宋_GB2312" w:cs="仿宋_GB2312"/>
          <w:color w:val="auto"/>
          <w:sz w:val="32"/>
          <w:szCs w:val="32"/>
          <w:highlight w:val="none"/>
          <w:lang w:eastAsia="zh-CN"/>
        </w:rPr>
        <w:t>部门</w:t>
      </w:r>
      <w:r>
        <w:rPr>
          <w:rFonts w:hint="eastAsia" w:ascii="Times New Roman" w:hAnsi="Times New Roman" w:eastAsia="仿宋_GB2312" w:cs="仿宋_GB2312"/>
          <w:color w:val="auto"/>
          <w:sz w:val="32"/>
          <w:szCs w:val="32"/>
          <w:highlight w:val="none"/>
        </w:rPr>
        <w:t>下属二级</w:t>
      </w:r>
      <w:r>
        <w:rPr>
          <w:rFonts w:hint="eastAsia" w:ascii="Times New Roman" w:hAnsi="Times New Roman" w:eastAsia="仿宋_GB2312" w:cs="仿宋_GB2312"/>
          <w:color w:val="auto"/>
          <w:sz w:val="32"/>
          <w:szCs w:val="32"/>
          <w:highlight w:val="none"/>
          <w:lang w:eastAsia="zh-CN"/>
        </w:rPr>
        <w:t>预算</w:t>
      </w:r>
      <w:r>
        <w:rPr>
          <w:rFonts w:hint="eastAsia" w:ascii="Times New Roman" w:hAnsi="Times New Roman" w:eastAsia="仿宋_GB2312" w:cs="仿宋_GB2312"/>
          <w:color w:val="auto"/>
          <w:sz w:val="32"/>
          <w:szCs w:val="32"/>
          <w:highlight w:val="none"/>
        </w:rPr>
        <w:t>单位</w:t>
      </w:r>
      <w:r>
        <w:rPr>
          <w:rFonts w:hint="eastAsia" w:eastAsia="仿宋_GB2312" w:cs="仿宋_GB2312"/>
          <w:color w:val="auto"/>
          <w:sz w:val="32"/>
          <w:szCs w:val="32"/>
          <w:highlight w:val="none"/>
          <w:lang w:eastAsia="zh-CN"/>
        </w:rPr>
        <w:t>，根据单位职责分工，单位内设机构</w:t>
      </w:r>
      <w:r>
        <w:rPr>
          <w:rFonts w:hint="eastAsia" w:ascii="仿宋_GB2312" w:hAnsi="仿宋_GB2312" w:eastAsia="仿宋_GB2312" w:cs="仿宋_GB2312"/>
          <w:color w:val="auto"/>
          <w:sz w:val="32"/>
          <w:szCs w:val="32"/>
          <w:highlight w:val="none"/>
          <w:lang w:val="en-US" w:eastAsia="zh-CN"/>
        </w:rPr>
        <w:t>9</w:t>
      </w:r>
      <w:r>
        <w:rPr>
          <w:rFonts w:hint="eastAsia" w:eastAsia="仿宋_GB2312" w:cs="仿宋_GB2312"/>
          <w:color w:val="auto"/>
          <w:sz w:val="32"/>
          <w:szCs w:val="32"/>
          <w:highlight w:val="none"/>
          <w:lang w:val="en-US" w:eastAsia="zh-CN"/>
        </w:rPr>
        <w:t>个，</w:t>
      </w:r>
      <w:r>
        <w:rPr>
          <w:rFonts w:hint="eastAsia" w:eastAsia="仿宋_GB2312" w:cs="仿宋_GB2312"/>
          <w:color w:val="auto"/>
          <w:sz w:val="32"/>
          <w:szCs w:val="32"/>
          <w:highlight w:val="none"/>
          <w:lang w:eastAsia="zh-CN"/>
        </w:rPr>
        <w:t>包括</w:t>
      </w:r>
      <w:r>
        <w:rPr>
          <w:rFonts w:hint="eastAsia" w:ascii="仿宋_GB2312" w:hAnsi="仿宋" w:eastAsia="仿宋_GB2312"/>
          <w:sz w:val="32"/>
          <w:szCs w:val="32"/>
        </w:rPr>
        <w:t>综合科（保证金管理科）、窗口服务协调科、政府采购科、综合交易科、工程招投标科、增值化服务科（工程建设项目联合审批中心）、信息技术科、热线受理科、热线督办科。</w:t>
      </w:r>
      <w:r>
        <w:rPr>
          <w:rFonts w:hint="eastAsia" w:ascii="仿宋_GB2312" w:hAnsi="仿宋_GB2312" w:eastAsia="仿宋_GB2312" w:cs="仿宋_GB2312"/>
          <w:bCs/>
          <w:sz w:val="32"/>
          <w:szCs w:val="32"/>
          <w:lang w:eastAsia="zh-CN"/>
        </w:rPr>
        <w:t>本单位无下属机构。</w:t>
      </w:r>
    </w:p>
    <w:p>
      <w:pPr>
        <w:widowControl/>
        <w:jc w:val="left"/>
        <w:rPr>
          <w:rFonts w:ascii="Times New Roman" w:hAnsi="Times New Roman" w:eastAsia="仿宋"/>
          <w:color w:val="auto"/>
          <w:kern w:val="0"/>
          <w:sz w:val="32"/>
          <w:szCs w:val="32"/>
          <w:highlight w:val="none"/>
        </w:rPr>
      </w:pPr>
      <w:r>
        <w:rPr>
          <w:rFonts w:ascii="Times New Roman" w:hAnsi="Times New Roman" w:eastAsia="仿宋"/>
          <w:color w:val="auto"/>
          <w:sz w:val="32"/>
          <w:szCs w:val="32"/>
          <w:highlight w:val="none"/>
        </w:rPr>
        <w:br w:type="page"/>
      </w:r>
    </w:p>
    <w:p>
      <w:pPr>
        <w:pStyle w:val="3"/>
        <w:jc w:val="center"/>
        <w:rPr>
          <w:rFonts w:hint="eastAsia" w:ascii="Times New Roman" w:hAnsi="Times New Roman" w:eastAsia="方正小标宋简体" w:cs="方正小标宋简体"/>
          <w:b w:val="0"/>
          <w:color w:val="auto"/>
          <w:highlight w:val="none"/>
        </w:rPr>
      </w:pPr>
      <w:bookmarkStart w:id="13" w:name="_Toc10491"/>
      <w:bookmarkStart w:id="14" w:name="_Toc15377204"/>
      <w:bookmarkStart w:id="15" w:name="_Toc15396602"/>
      <w:r>
        <w:rPr>
          <w:rFonts w:hint="eastAsia" w:ascii="Times New Roman" w:hAnsi="Times New Roman" w:eastAsia="方正小标宋简体" w:cs="方正小标宋简体"/>
          <w:b w:val="0"/>
          <w:color w:val="auto"/>
          <w:highlight w:val="none"/>
        </w:rPr>
        <w:t>第二部分</w:t>
      </w:r>
      <w:r>
        <w:rPr>
          <w:rFonts w:hint="eastAsia" w:ascii="Times New Roman" w:hAnsi="Times New Roman" w:eastAsia="方正小标宋简体" w:cs="方正小标宋简体"/>
          <w:b w:val="0"/>
          <w:color w:val="auto"/>
          <w:highlight w:val="none"/>
          <w:lang w:val="en-US" w:eastAsia="zh-CN"/>
        </w:rPr>
        <w:t xml:space="preserve"> </w:t>
      </w:r>
      <w:r>
        <w:rPr>
          <w:rFonts w:hint="eastAsia" w:ascii="Times New Roman" w:hAnsi="Times New Roman" w:eastAsia="方正小标宋简体" w:cs="方正小标宋简体"/>
          <w:b w:val="0"/>
          <w:color w:val="auto"/>
          <w:highlight w:val="none"/>
        </w:rPr>
        <w:t xml:space="preserve"> </w:t>
      </w:r>
      <w:r>
        <w:rPr>
          <w:rFonts w:hint="eastAsia" w:ascii="Times New Roman" w:hAnsi="Times New Roman" w:eastAsia="方正小标宋简体" w:cs="方正小标宋简体"/>
          <w:b w:val="0"/>
          <w:color w:val="auto"/>
          <w:highlight w:val="none"/>
          <w:lang w:val="en-US" w:eastAsia="zh-CN"/>
        </w:rPr>
        <w:t>2024年度</w:t>
      </w:r>
      <w:r>
        <w:rPr>
          <w:rFonts w:hint="eastAsia" w:eastAsia="方正小标宋简体" w:cs="方正小标宋简体"/>
          <w:b w:val="0"/>
          <w:color w:val="auto"/>
          <w:highlight w:val="none"/>
          <w:lang w:eastAsia="zh-CN"/>
        </w:rPr>
        <w:t>单位</w:t>
      </w:r>
      <w:r>
        <w:rPr>
          <w:rFonts w:hint="eastAsia" w:ascii="Times New Roman" w:hAnsi="Times New Roman" w:eastAsia="方正小标宋简体" w:cs="方正小标宋简体"/>
          <w:b w:val="0"/>
          <w:color w:val="auto"/>
          <w:highlight w:val="none"/>
        </w:rPr>
        <w:t>决算情况说明</w:t>
      </w:r>
      <w:bookmarkEnd w:id="13"/>
      <w:bookmarkEnd w:id="14"/>
      <w:bookmarkEnd w:id="15"/>
    </w:p>
    <w:p>
      <w:pPr>
        <w:rPr>
          <w:rFonts w:ascii="Times New Roman" w:hAnsi="Times New Roman"/>
          <w:color w:val="auto"/>
          <w:highlight w:val="none"/>
        </w:rPr>
      </w:pPr>
    </w:p>
    <w:p>
      <w:pPr>
        <w:pStyle w:val="34"/>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22"/>
          <w:rFonts w:hint="eastAsia" w:ascii="Times New Roman" w:hAnsi="Times New Roman" w:eastAsia="黑体"/>
          <w:b w:val="0"/>
          <w:color w:val="auto"/>
          <w:highlight w:val="none"/>
        </w:rPr>
      </w:pPr>
      <w:bookmarkStart w:id="16" w:name="_Toc10842"/>
      <w:bookmarkStart w:id="17" w:name="_Toc15377205"/>
      <w:bookmarkStart w:id="18" w:name="_Toc15396603"/>
      <w:r>
        <w:rPr>
          <w:rFonts w:hint="eastAsia" w:ascii="Times New Roman" w:hAnsi="Times New Roman" w:eastAsia="黑体"/>
          <w:color w:val="auto"/>
          <w:sz w:val="32"/>
          <w:szCs w:val="32"/>
          <w:highlight w:val="none"/>
          <w:lang w:eastAsia="zh-CN"/>
        </w:rPr>
        <w:t>一、</w:t>
      </w:r>
      <w:r>
        <w:rPr>
          <w:rFonts w:hint="eastAsia" w:ascii="Times New Roman" w:hAnsi="Times New Roman" w:eastAsia="黑体"/>
          <w:color w:val="auto"/>
          <w:sz w:val="32"/>
          <w:szCs w:val="32"/>
          <w:highlight w:val="none"/>
        </w:rPr>
        <w:t>收</w:t>
      </w:r>
      <w:r>
        <w:rPr>
          <w:rStyle w:val="22"/>
          <w:rFonts w:hint="eastAsia" w:ascii="Times New Roman" w:hAnsi="Times New Roman" w:eastAsia="黑体"/>
          <w:b w:val="0"/>
          <w:color w:val="auto"/>
          <w:highlight w:val="none"/>
        </w:rPr>
        <w:t>入支出决算总体情况说明</w:t>
      </w:r>
      <w:bookmarkEnd w:id="16"/>
      <w:bookmarkEnd w:id="17"/>
      <w:bookmarkEnd w:id="18"/>
    </w:p>
    <w:p>
      <w:pPr>
        <w:pStyle w:val="34"/>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仿宋_GB2312" w:cs="仿宋_GB2312"/>
          <w:color w:val="auto"/>
          <w:sz w:val="32"/>
          <w:szCs w:val="32"/>
          <w:highlight w:val="none"/>
          <w:lang w:eastAsia="zh-CN"/>
        </w:rPr>
      </w:pPr>
      <w:bookmarkStart w:id="19" w:name="_Toc7082"/>
      <w:r>
        <w:rPr>
          <w:rFonts w:hint="eastAsia" w:ascii="仿宋_GB2312" w:hAnsi="仿宋_GB2312" w:eastAsia="仿宋_GB2312" w:cs="仿宋_GB2312"/>
          <w:color w:val="auto"/>
          <w:sz w:val="32"/>
          <w:szCs w:val="32"/>
          <w:highlight w:val="none"/>
          <w:lang w:eastAsia="zh-CN"/>
        </w:rPr>
        <w:t>2024</w:t>
      </w:r>
      <w:r>
        <w:rPr>
          <w:rFonts w:hint="eastAsia" w:ascii="Times New Roman" w:hAnsi="Times New Roman" w:eastAsia="仿宋_GB2312" w:cs="仿宋_GB2312"/>
          <w:color w:val="auto"/>
          <w:sz w:val="32"/>
          <w:szCs w:val="32"/>
          <w:highlight w:val="none"/>
          <w:lang w:eastAsia="zh-CN"/>
        </w:rPr>
        <w:t>年度收入、支出总计均为</w:t>
      </w:r>
      <w:r>
        <w:rPr>
          <w:rFonts w:hint="eastAsia" w:ascii="仿宋_GB2312" w:hAnsi="仿宋_GB2312" w:eastAsia="仿宋_GB2312" w:cs="仿宋_GB2312"/>
          <w:color w:val="auto"/>
          <w:sz w:val="32"/>
          <w:szCs w:val="32"/>
          <w:highlight w:val="none"/>
          <w:lang w:val="en-US" w:eastAsia="zh-CN"/>
        </w:rPr>
        <w:t>493.22</w:t>
      </w:r>
      <w:r>
        <w:rPr>
          <w:rFonts w:hint="eastAsia" w:ascii="仿宋_GB2312" w:hAnsi="仿宋_GB2312" w:eastAsia="仿宋_GB2312" w:cs="仿宋_GB2312"/>
          <w:color w:val="auto"/>
          <w:sz w:val="32"/>
          <w:szCs w:val="32"/>
          <w:highlight w:val="none"/>
          <w:lang w:eastAsia="zh-CN"/>
        </w:rPr>
        <w:t>万元。与202</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eastAsia="zh-CN"/>
        </w:rPr>
        <w:t>年度相比，收入、支出总计各增加</w:t>
      </w:r>
      <w:r>
        <w:rPr>
          <w:rFonts w:hint="eastAsia" w:ascii="仿宋_GB2312" w:hAnsi="仿宋_GB2312" w:eastAsia="仿宋_GB2312" w:cs="仿宋_GB2312"/>
          <w:color w:val="auto"/>
          <w:sz w:val="32"/>
          <w:szCs w:val="32"/>
          <w:highlight w:val="none"/>
          <w:lang w:val="en-US" w:eastAsia="zh-CN"/>
        </w:rPr>
        <w:t>12.14</w:t>
      </w:r>
      <w:r>
        <w:rPr>
          <w:rFonts w:hint="eastAsia" w:ascii="仿宋_GB2312" w:hAnsi="仿宋_GB2312" w:eastAsia="仿宋_GB2312" w:cs="仿宋_GB2312"/>
          <w:color w:val="auto"/>
          <w:sz w:val="32"/>
          <w:szCs w:val="32"/>
          <w:highlight w:val="none"/>
          <w:lang w:eastAsia="zh-CN"/>
        </w:rPr>
        <w:t>万元，增长</w:t>
      </w:r>
      <w:r>
        <w:rPr>
          <w:rFonts w:hint="eastAsia" w:ascii="仿宋_GB2312" w:hAnsi="仿宋_GB2312" w:eastAsia="仿宋_GB2312" w:cs="仿宋_GB2312"/>
          <w:color w:val="auto"/>
          <w:sz w:val="32"/>
          <w:szCs w:val="32"/>
          <w:highlight w:val="none"/>
          <w:lang w:val="en-US" w:eastAsia="zh-CN"/>
        </w:rPr>
        <w:t>2.52</w:t>
      </w:r>
      <w:r>
        <w:rPr>
          <w:rFonts w:hint="eastAsia" w:ascii="仿宋_GB2312" w:hAnsi="仿宋_GB2312" w:eastAsia="仿宋_GB2312" w:cs="仿宋_GB2312"/>
          <w:color w:val="auto"/>
          <w:sz w:val="32"/>
          <w:szCs w:val="32"/>
          <w:highlight w:val="none"/>
          <w:lang w:eastAsia="zh-CN"/>
        </w:rPr>
        <w:t>%。</w:t>
      </w:r>
      <w:r>
        <w:rPr>
          <w:rFonts w:hint="eastAsia" w:ascii="Times New Roman" w:hAnsi="Times New Roman" w:eastAsia="仿宋_GB2312" w:cs="仿宋_GB2312"/>
          <w:color w:val="auto"/>
          <w:sz w:val="32"/>
          <w:szCs w:val="32"/>
          <w:highlight w:val="none"/>
        </w:rPr>
        <w:t>主要变动原因是</w:t>
      </w:r>
      <w:r>
        <w:rPr>
          <w:rFonts w:hint="eastAsia" w:ascii="仿宋_GB2312" w:hAnsi="仿宋_GB2312" w:eastAsia="仿宋_GB2312" w:cs="仿宋_GB2312"/>
          <w:color w:val="auto"/>
          <w:sz w:val="32"/>
          <w:szCs w:val="32"/>
          <w:highlight w:val="none"/>
          <w:lang w:val="en-US" w:eastAsia="zh-CN"/>
        </w:rPr>
        <w:t>2024</w:t>
      </w:r>
      <w:r>
        <w:rPr>
          <w:rFonts w:hint="eastAsia" w:eastAsia="仿宋_GB2312" w:cs="仿宋_GB2312"/>
          <w:color w:val="auto"/>
          <w:sz w:val="32"/>
          <w:szCs w:val="32"/>
          <w:highlight w:val="none"/>
          <w:lang w:val="en-US" w:eastAsia="zh-CN"/>
        </w:rPr>
        <w:t>年度</w:t>
      </w:r>
      <w:r>
        <w:rPr>
          <w:rFonts w:hint="eastAsia" w:ascii="仿宋_GB2312" w:hAnsi="仿宋" w:eastAsia="仿宋_GB2312"/>
          <w:sz w:val="32"/>
          <w:szCs w:val="32"/>
        </w:rPr>
        <w:t>项目经费支出</w:t>
      </w:r>
      <w:r>
        <w:rPr>
          <w:rFonts w:hint="eastAsia" w:ascii="仿宋_GB2312" w:hAnsi="仿宋" w:eastAsia="仿宋_GB2312"/>
          <w:sz w:val="32"/>
          <w:szCs w:val="32"/>
          <w:lang w:eastAsia="zh-CN"/>
        </w:rPr>
        <w:t>略有</w:t>
      </w:r>
      <w:r>
        <w:rPr>
          <w:rFonts w:hint="eastAsia" w:ascii="仿宋_GB2312" w:hAnsi="仿宋" w:eastAsia="仿宋_GB2312"/>
          <w:sz w:val="32"/>
          <w:szCs w:val="32"/>
        </w:rPr>
        <w:t>增加</w:t>
      </w:r>
      <w:r>
        <w:rPr>
          <w:rFonts w:hint="eastAsia" w:ascii="仿宋_GB2312" w:hAnsi="仿宋" w:eastAsia="仿宋_GB2312"/>
          <w:sz w:val="32"/>
          <w:szCs w:val="32"/>
          <w:lang w:eastAsia="zh-CN"/>
        </w:rPr>
        <w:t>。</w:t>
      </w:r>
      <w:bookmarkEnd w:id="19"/>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（图1：</w:t>
      </w:r>
      <w:r>
        <w:rPr>
          <w:rFonts w:hint="eastAsia" w:ascii="Times New Roman" w:hAnsi="Times New Roman" w:eastAsia="仿宋_GB2312" w:cs="仿宋_GB2312"/>
          <w:color w:val="auto"/>
          <w:sz w:val="32"/>
          <w:szCs w:val="32"/>
          <w:highlight w:val="none"/>
          <w:lang w:eastAsia="zh-CN"/>
        </w:rPr>
        <w:t>收入</w:t>
      </w:r>
      <w:r>
        <w:rPr>
          <w:rFonts w:hint="eastAsia" w:ascii="Times New Roman" w:hAnsi="Times New Roman" w:eastAsia="仿宋_GB2312" w:cs="仿宋_GB2312"/>
          <w:color w:val="auto"/>
          <w:sz w:val="32"/>
          <w:szCs w:val="32"/>
          <w:highlight w:val="none"/>
        </w:rPr>
        <w:t>、</w:t>
      </w:r>
      <w:r>
        <w:rPr>
          <w:rFonts w:hint="eastAsia" w:ascii="Times New Roman" w:hAnsi="Times New Roman" w:eastAsia="仿宋_GB2312" w:cs="仿宋_GB2312"/>
          <w:color w:val="auto"/>
          <w:sz w:val="32"/>
          <w:szCs w:val="32"/>
          <w:highlight w:val="none"/>
          <w:lang w:eastAsia="zh-CN"/>
        </w:rPr>
        <w:t>支出</w:t>
      </w:r>
      <w:r>
        <w:rPr>
          <w:rFonts w:hint="eastAsia" w:ascii="Times New Roman" w:hAnsi="Times New Roman" w:eastAsia="仿宋_GB2312" w:cs="仿宋_GB2312"/>
          <w:color w:val="auto"/>
          <w:sz w:val="32"/>
          <w:szCs w:val="32"/>
          <w:highlight w:val="none"/>
        </w:rPr>
        <w:t>决算总计变动情况图）（柱状图）</w:t>
      </w:r>
    </w:p>
    <w:p>
      <w:pPr>
        <w:pStyle w:val="24"/>
        <w:rPr>
          <w:rFonts w:hint="eastAsia"/>
        </w:rPr>
      </w:pPr>
    </w:p>
    <w:p>
      <w:pPr>
        <w:keepNext w:val="0"/>
        <w:keepLines w:val="0"/>
        <w:pageBreakBefore w:val="0"/>
        <w:widowControl w:val="0"/>
        <w:kinsoku/>
        <w:wordWrap/>
        <w:overflowPunct/>
        <w:topLinePunct w:val="0"/>
        <w:autoSpaceDE/>
        <w:autoSpaceDN/>
        <w:bidi w:val="0"/>
        <w:adjustRightInd/>
        <w:snapToGrid/>
        <w:ind w:firstLine="640" w:firstLineChars="200"/>
        <w:jc w:val="center"/>
        <w:textAlignment w:val="auto"/>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drawing>
          <wp:inline distT="0" distB="0" distL="114300" distR="114300">
            <wp:extent cx="4728845" cy="3573780"/>
            <wp:effectExtent l="4445" t="4445" r="10160" b="2222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pStyle w:val="24"/>
        <w:rPr>
          <w:rFonts w:hint="eastAsia"/>
          <w:lang w:eastAsia="zh-CN"/>
        </w:rPr>
      </w:pPr>
    </w:p>
    <w:p>
      <w:pPr>
        <w:pStyle w:val="34"/>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黑体"/>
          <w:color w:val="auto"/>
          <w:sz w:val="32"/>
          <w:szCs w:val="32"/>
          <w:highlight w:val="none"/>
          <w:lang w:eastAsia="zh-CN"/>
        </w:rPr>
      </w:pPr>
      <w:bookmarkStart w:id="20" w:name="_Toc15396604"/>
      <w:bookmarkStart w:id="21" w:name="_Toc15377206"/>
      <w:bookmarkStart w:id="22" w:name="_Toc25441"/>
      <w:r>
        <w:rPr>
          <w:rFonts w:hint="eastAsia" w:ascii="Times New Roman" w:hAnsi="Times New Roman" w:eastAsia="黑体"/>
          <w:color w:val="auto"/>
          <w:sz w:val="32"/>
          <w:szCs w:val="32"/>
          <w:highlight w:val="none"/>
          <w:lang w:eastAsia="zh-CN"/>
        </w:rPr>
        <w:t>二、收入决算情况说明</w:t>
      </w:r>
      <w:bookmarkEnd w:id="20"/>
      <w:bookmarkEnd w:id="21"/>
      <w:bookmarkEnd w:id="22"/>
    </w:p>
    <w:p>
      <w:pPr>
        <w:pStyle w:val="34"/>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Times New Roman" w:hAnsi="Times New Roman" w:eastAsia="仿宋_GB2312" w:cs="仿宋_GB2312"/>
          <w:b/>
          <w:bCs/>
          <w:color w:val="auto"/>
          <w:sz w:val="32"/>
          <w:szCs w:val="32"/>
          <w:highlight w:val="none"/>
          <w:lang w:eastAsia="zh-CN"/>
        </w:rPr>
      </w:pPr>
      <w:bookmarkStart w:id="23" w:name="_Toc1402"/>
      <w:r>
        <w:rPr>
          <w:rFonts w:hint="eastAsia" w:ascii="仿宋_GB2312" w:hAnsi="仿宋_GB2312" w:eastAsia="仿宋_GB2312" w:cs="仿宋_GB2312"/>
          <w:color w:val="auto"/>
          <w:sz w:val="32"/>
          <w:szCs w:val="32"/>
          <w:highlight w:val="none"/>
          <w:lang w:eastAsia="zh-CN"/>
        </w:rPr>
        <w:t>2024年度本年收入合计</w:t>
      </w:r>
      <w:r>
        <w:rPr>
          <w:rFonts w:hint="eastAsia" w:ascii="仿宋_GB2312" w:hAnsi="仿宋_GB2312" w:eastAsia="仿宋_GB2312" w:cs="仿宋_GB2312"/>
          <w:sz w:val="32"/>
          <w:szCs w:val="32"/>
          <w:lang w:val="en-US" w:eastAsia="zh-CN"/>
        </w:rPr>
        <w:t>489.61</w:t>
      </w:r>
      <w:r>
        <w:rPr>
          <w:rFonts w:hint="eastAsia" w:ascii="仿宋_GB2312" w:hAnsi="仿宋_GB2312" w:eastAsia="仿宋_GB2312" w:cs="仿宋_GB2312"/>
          <w:sz w:val="32"/>
          <w:szCs w:val="32"/>
        </w:rPr>
        <w:t>万元，其中：一般公共预算财政拨款收入</w:t>
      </w:r>
      <w:r>
        <w:rPr>
          <w:rFonts w:hint="eastAsia" w:ascii="仿宋_GB2312" w:hAnsi="仿宋_GB2312" w:eastAsia="仿宋_GB2312" w:cs="仿宋_GB2312"/>
          <w:sz w:val="32"/>
          <w:szCs w:val="32"/>
          <w:lang w:val="en-US" w:eastAsia="zh-CN"/>
        </w:rPr>
        <w:t>489.61</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100</w:t>
      </w:r>
      <w:r>
        <w:rPr>
          <w:rFonts w:hint="eastAsia" w:ascii="仿宋_GB2312" w:hAnsi="仿宋_GB2312" w:eastAsia="仿宋_GB2312" w:cs="仿宋_GB2312"/>
          <w:color w:val="auto"/>
          <w:sz w:val="32"/>
          <w:szCs w:val="32"/>
          <w:highlight w:val="none"/>
          <w:lang w:eastAsia="zh-CN"/>
        </w:rPr>
        <w:t>%。</w:t>
      </w:r>
      <w:bookmarkEnd w:id="23"/>
    </w:p>
    <w:p>
      <w:pPr>
        <w:ind w:firstLine="800" w:firstLineChars="250"/>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（图2：收入决算结构图）（饼状图）</w:t>
      </w:r>
    </w:p>
    <w:p>
      <w:pPr>
        <w:pStyle w:val="24"/>
        <w:rPr>
          <w:rFonts w:hint="eastAsia"/>
          <w:lang w:eastAsia="zh-CN"/>
        </w:rPr>
      </w:pPr>
    </w:p>
    <w:p>
      <w:pPr>
        <w:pStyle w:val="24"/>
        <w:rPr>
          <w:rFonts w:hint="eastAsia"/>
          <w:lang w:eastAsia="zh-CN"/>
        </w:rPr>
      </w:pPr>
      <w:r>
        <w:rPr>
          <w:rFonts w:hint="eastAsia"/>
          <w:lang w:eastAsia="zh-CN"/>
        </w:rPr>
        <w:drawing>
          <wp:inline distT="0" distB="0" distL="114300" distR="114300">
            <wp:extent cx="4813935" cy="3514725"/>
            <wp:effectExtent l="4445" t="4445" r="20320" b="508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pStyle w:val="24"/>
        <w:ind w:left="0" w:leftChars="0" w:firstLine="0" w:firstLineChars="0"/>
        <w:rPr>
          <w:rFonts w:hint="eastAsia"/>
          <w:lang w:eastAsia="zh-CN"/>
        </w:rPr>
      </w:pPr>
    </w:p>
    <w:p>
      <w:pPr>
        <w:pStyle w:val="34"/>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22"/>
          <w:rFonts w:hint="eastAsia" w:ascii="Times New Roman" w:hAnsi="Times New Roman" w:eastAsia="黑体"/>
          <w:b w:val="0"/>
          <w:color w:val="auto"/>
          <w:highlight w:val="none"/>
        </w:rPr>
      </w:pPr>
      <w:bookmarkStart w:id="24" w:name="_Toc15396605"/>
      <w:bookmarkStart w:id="25" w:name="_Toc3807"/>
      <w:bookmarkStart w:id="26" w:name="_Toc15377207"/>
      <w:r>
        <w:rPr>
          <w:rFonts w:hint="eastAsia" w:ascii="Times New Roman" w:hAnsi="Times New Roman" w:eastAsia="黑体"/>
          <w:color w:val="auto"/>
          <w:sz w:val="32"/>
          <w:szCs w:val="32"/>
          <w:highlight w:val="none"/>
          <w:lang w:eastAsia="zh-CN"/>
        </w:rPr>
        <w:t>三、</w:t>
      </w:r>
      <w:r>
        <w:rPr>
          <w:rFonts w:hint="eastAsia" w:ascii="Times New Roman" w:hAnsi="Times New Roman" w:eastAsia="黑体"/>
          <w:color w:val="auto"/>
          <w:sz w:val="32"/>
          <w:szCs w:val="32"/>
          <w:highlight w:val="none"/>
        </w:rPr>
        <w:t>支</w:t>
      </w:r>
      <w:r>
        <w:rPr>
          <w:rStyle w:val="22"/>
          <w:rFonts w:hint="eastAsia" w:ascii="Times New Roman" w:hAnsi="Times New Roman" w:eastAsia="黑体"/>
          <w:b w:val="0"/>
          <w:color w:val="auto"/>
          <w:highlight w:val="none"/>
        </w:rPr>
        <w:t>出决算情况说明</w:t>
      </w:r>
      <w:bookmarkEnd w:id="24"/>
      <w:bookmarkEnd w:id="25"/>
      <w:bookmarkEnd w:id="26"/>
    </w:p>
    <w:p>
      <w:pPr>
        <w:pStyle w:val="34"/>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Times New Roman" w:hAnsi="Times New Roman" w:eastAsia="仿宋_GB2312" w:cs="仿宋_GB2312"/>
          <w:color w:val="auto"/>
          <w:sz w:val="32"/>
          <w:szCs w:val="32"/>
          <w:highlight w:val="none"/>
          <w:lang w:eastAsia="zh-CN"/>
        </w:rPr>
      </w:pPr>
      <w:bookmarkStart w:id="27" w:name="_Toc20817"/>
      <w:r>
        <w:rPr>
          <w:rFonts w:hint="eastAsia" w:ascii="仿宋_GB2312" w:hAnsi="仿宋_GB2312" w:eastAsia="仿宋_GB2312" w:cs="仿宋_GB2312"/>
          <w:color w:val="auto"/>
          <w:sz w:val="32"/>
          <w:szCs w:val="32"/>
          <w:highlight w:val="none"/>
          <w:lang w:eastAsia="zh-CN"/>
        </w:rPr>
        <w:t>2024年度本年支出合计</w:t>
      </w:r>
      <w:r>
        <w:rPr>
          <w:rFonts w:hint="eastAsia" w:ascii="仿宋_GB2312" w:hAnsi="仿宋_GB2312" w:eastAsia="仿宋_GB2312" w:cs="仿宋_GB2312"/>
          <w:sz w:val="32"/>
          <w:szCs w:val="32"/>
          <w:lang w:val="en-US" w:eastAsia="zh-CN"/>
        </w:rPr>
        <w:t>493.2</w:t>
      </w:r>
      <w:r>
        <w:rPr>
          <w:rFonts w:hint="eastAsia" w:ascii="仿宋_GB2312" w:hAnsi="仿宋_GB2312" w:eastAsia="仿宋_GB2312" w:cs="仿宋_GB2312"/>
          <w:color w:val="auto"/>
          <w:sz w:val="32"/>
          <w:szCs w:val="32"/>
          <w:highlight w:val="none"/>
          <w:lang w:eastAsia="zh-CN"/>
        </w:rPr>
        <w:t>万元，其中：基本支出</w:t>
      </w:r>
      <w:r>
        <w:rPr>
          <w:rFonts w:hint="eastAsia" w:ascii="仿宋_GB2312" w:hAnsi="仿宋_GB2312" w:eastAsia="仿宋_GB2312" w:cs="仿宋_GB2312"/>
          <w:sz w:val="32"/>
          <w:szCs w:val="32"/>
        </w:rPr>
        <w:t>397.97</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80.69</w:t>
      </w:r>
      <w:r>
        <w:rPr>
          <w:rFonts w:hint="eastAsia" w:ascii="仿宋_GB2312" w:hAnsi="仿宋_GB2312" w:eastAsia="仿宋_GB2312" w:cs="仿宋_GB2312"/>
          <w:color w:val="auto"/>
          <w:sz w:val="32"/>
          <w:szCs w:val="32"/>
          <w:highlight w:val="none"/>
          <w:lang w:eastAsia="zh-CN"/>
        </w:rPr>
        <w:t>%；项目支出</w:t>
      </w:r>
      <w:r>
        <w:rPr>
          <w:rFonts w:hint="eastAsia" w:ascii="仿宋_GB2312" w:hAnsi="仿宋_GB2312" w:eastAsia="仿宋_GB2312" w:cs="仿宋_GB2312"/>
          <w:sz w:val="32"/>
          <w:szCs w:val="32"/>
        </w:rPr>
        <w:t>95.23</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19.3</w:t>
      </w:r>
      <w:r>
        <w:rPr>
          <w:rFonts w:hint="eastAsia" w:ascii="仿宋_GB2312" w:hAnsi="仿宋_GB2312" w:eastAsia="仿宋_GB2312" w:cs="仿宋_GB2312"/>
          <w:color w:val="auto"/>
          <w:sz w:val="32"/>
          <w:szCs w:val="32"/>
          <w:highlight w:val="none"/>
          <w:lang w:eastAsia="zh-CN"/>
        </w:rPr>
        <w:t>%；</w:t>
      </w:r>
      <w:bookmarkEnd w:id="27"/>
    </w:p>
    <w:p>
      <w:pPr>
        <w:ind w:firstLine="800" w:firstLineChars="250"/>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（图3：支出决算结构图）（饼状图）</w:t>
      </w:r>
    </w:p>
    <w:p>
      <w:pPr>
        <w:pStyle w:val="24"/>
        <w:rPr>
          <w:rFonts w:hint="eastAsia" w:ascii="Times New Roman" w:hAnsi="Times New Roman" w:eastAsia="仿宋_GB2312" w:cs="仿宋_GB2312"/>
          <w:color w:val="auto"/>
          <w:sz w:val="32"/>
          <w:szCs w:val="32"/>
          <w:highlight w:val="none"/>
          <w:lang w:eastAsia="zh-CN"/>
        </w:rPr>
      </w:pPr>
      <w:r>
        <w:rPr>
          <w:rFonts w:hint="eastAsia"/>
          <w:lang w:eastAsia="zh-CN"/>
        </w:rPr>
        <w:drawing>
          <wp:inline distT="0" distB="0" distL="114300" distR="114300">
            <wp:extent cx="4939030" cy="3162300"/>
            <wp:effectExtent l="4445" t="4445" r="9525" b="14605"/>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spacing w:line="600" w:lineRule="exact"/>
        <w:ind w:firstLine="640" w:firstLineChars="200"/>
        <w:outlineLvl w:val="1"/>
        <w:rPr>
          <w:rStyle w:val="22"/>
          <w:rFonts w:ascii="Times New Roman" w:hAnsi="Times New Roman" w:eastAsia="黑体"/>
          <w:b w:val="0"/>
          <w:color w:val="auto"/>
          <w:highlight w:val="none"/>
        </w:rPr>
      </w:pPr>
      <w:bookmarkStart w:id="28" w:name="_Toc15377208"/>
      <w:bookmarkStart w:id="29" w:name="_Toc9479"/>
      <w:bookmarkStart w:id="30" w:name="_Toc15396606"/>
      <w:r>
        <w:rPr>
          <w:rFonts w:hint="eastAsia" w:ascii="Times New Roman" w:hAnsi="Times New Roman" w:eastAsia="黑体"/>
          <w:color w:val="auto"/>
          <w:sz w:val="32"/>
          <w:szCs w:val="32"/>
          <w:highlight w:val="none"/>
        </w:rPr>
        <w:t>四、财</w:t>
      </w:r>
      <w:r>
        <w:rPr>
          <w:rStyle w:val="22"/>
          <w:rFonts w:hint="eastAsia" w:ascii="Times New Roman" w:hAnsi="Times New Roman" w:eastAsia="黑体"/>
          <w:b w:val="0"/>
          <w:color w:val="auto"/>
          <w:highlight w:val="none"/>
        </w:rPr>
        <w:t>政拨款收入支出决算总体情况说明</w:t>
      </w:r>
      <w:bookmarkEnd w:id="28"/>
      <w:bookmarkEnd w:id="29"/>
      <w:bookmarkEnd w:id="30"/>
    </w:p>
    <w:p>
      <w:pPr>
        <w:pStyle w:val="34"/>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仿宋_GB2312" w:cs="仿宋_GB2312"/>
          <w:color w:val="auto"/>
          <w:kern w:val="2"/>
          <w:sz w:val="32"/>
          <w:szCs w:val="32"/>
          <w:highlight w:val="none"/>
          <w:lang w:val="en-US" w:eastAsia="zh-CN" w:bidi="ar-SA"/>
        </w:rPr>
      </w:pPr>
      <w:bookmarkStart w:id="31" w:name="_Toc29679"/>
      <w:r>
        <w:rPr>
          <w:rFonts w:hint="eastAsia" w:ascii="仿宋_GB2312" w:hAnsi="仿宋_GB2312" w:eastAsia="仿宋_GB2312" w:cs="仿宋_GB2312"/>
          <w:sz w:val="32"/>
          <w:szCs w:val="32"/>
          <w:lang w:val="en-US" w:eastAsia="zh-CN"/>
        </w:rPr>
        <w:t>2024年度财政拨款收入、支出总计均为493.22万元。与2023年度相比，财政拨款收入总计、支出总计各增加12.14万元，增长2.52%。</w:t>
      </w:r>
      <w:r>
        <w:rPr>
          <w:rFonts w:hint="eastAsia" w:ascii="Times New Roman" w:hAnsi="Times New Roman" w:eastAsia="仿宋_GB2312" w:cs="仿宋_GB2312"/>
          <w:color w:val="auto"/>
          <w:kern w:val="2"/>
          <w:sz w:val="32"/>
          <w:szCs w:val="32"/>
          <w:highlight w:val="none"/>
          <w:lang w:val="en-US" w:eastAsia="zh-CN" w:bidi="ar-SA"/>
        </w:rPr>
        <w:t>主要变动原因是</w:t>
      </w:r>
      <w:r>
        <w:rPr>
          <w:rFonts w:hint="eastAsia" w:ascii="仿宋_GB2312" w:hAnsi="仿宋_GB2312" w:eastAsia="仿宋_GB2312" w:cs="仿宋_GB2312"/>
          <w:color w:val="auto"/>
          <w:sz w:val="32"/>
          <w:szCs w:val="32"/>
          <w:highlight w:val="none"/>
          <w:lang w:val="en-US" w:eastAsia="zh-CN"/>
        </w:rPr>
        <w:t>2024</w:t>
      </w:r>
      <w:r>
        <w:rPr>
          <w:rFonts w:hint="eastAsia" w:eastAsia="仿宋_GB2312" w:cs="仿宋_GB2312"/>
          <w:color w:val="auto"/>
          <w:sz w:val="32"/>
          <w:szCs w:val="32"/>
          <w:highlight w:val="none"/>
          <w:lang w:val="en-US" w:eastAsia="zh-CN"/>
        </w:rPr>
        <w:t>年度</w:t>
      </w:r>
      <w:r>
        <w:rPr>
          <w:rFonts w:hint="eastAsia" w:ascii="仿宋_GB2312" w:hAnsi="仿宋" w:eastAsia="仿宋_GB2312"/>
          <w:sz w:val="32"/>
          <w:szCs w:val="32"/>
        </w:rPr>
        <w:t>项目经费支出</w:t>
      </w:r>
      <w:r>
        <w:rPr>
          <w:rFonts w:hint="eastAsia" w:ascii="仿宋_GB2312" w:hAnsi="仿宋" w:eastAsia="仿宋_GB2312"/>
          <w:sz w:val="32"/>
          <w:szCs w:val="32"/>
          <w:lang w:eastAsia="zh-CN"/>
        </w:rPr>
        <w:t>略有</w:t>
      </w:r>
      <w:r>
        <w:rPr>
          <w:rFonts w:hint="eastAsia" w:ascii="仿宋_GB2312" w:hAnsi="仿宋" w:eastAsia="仿宋_GB2312"/>
          <w:sz w:val="32"/>
          <w:szCs w:val="32"/>
        </w:rPr>
        <w:t>增加</w:t>
      </w:r>
      <w:r>
        <w:rPr>
          <w:rFonts w:hint="eastAsia" w:ascii="仿宋_GB2312" w:hAnsi="仿宋" w:eastAsia="仿宋_GB2312"/>
          <w:sz w:val="32"/>
          <w:szCs w:val="32"/>
          <w:lang w:eastAsia="zh-CN"/>
        </w:rPr>
        <w:t>。</w:t>
      </w:r>
      <w:bookmarkEnd w:id="31"/>
    </w:p>
    <w:p>
      <w:pPr>
        <w:spacing w:line="600" w:lineRule="exact"/>
        <w:ind w:firstLine="640" w:firstLineChars="20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（图4：财政拨款收、支决算总计变动情况）（柱状图）</w:t>
      </w:r>
    </w:p>
    <w:p>
      <w:pPr>
        <w:pStyle w:val="24"/>
        <w:rPr>
          <w:rFonts w:hint="eastAsia"/>
          <w:lang w:val="en-US" w:eastAsia="zh-CN"/>
        </w:rPr>
      </w:pPr>
      <w:r>
        <w:rPr>
          <w:rFonts w:hint="eastAsia"/>
          <w:lang w:val="en-US" w:eastAsia="zh-CN"/>
        </w:rPr>
        <w:drawing>
          <wp:inline distT="0" distB="0" distL="114300" distR="114300">
            <wp:extent cx="4956810" cy="3467100"/>
            <wp:effectExtent l="5080" t="4445" r="10160" b="14605"/>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pPr>
        <w:spacing w:line="600" w:lineRule="exact"/>
        <w:ind w:firstLine="640" w:firstLineChars="200"/>
        <w:outlineLvl w:val="1"/>
        <w:rPr>
          <w:rStyle w:val="22"/>
          <w:rFonts w:ascii="Times New Roman" w:hAnsi="Times New Roman" w:eastAsia="黑体"/>
          <w:b w:val="0"/>
          <w:color w:val="auto"/>
          <w:highlight w:val="none"/>
        </w:rPr>
      </w:pPr>
      <w:bookmarkStart w:id="32" w:name="_Toc15396607"/>
      <w:bookmarkStart w:id="33" w:name="_Toc6030"/>
      <w:bookmarkStart w:id="34" w:name="_Toc15377209"/>
      <w:r>
        <w:rPr>
          <w:rFonts w:hint="eastAsia" w:ascii="Times New Roman" w:hAnsi="Times New Roman" w:eastAsia="黑体"/>
          <w:color w:val="auto"/>
          <w:sz w:val="32"/>
          <w:szCs w:val="32"/>
          <w:highlight w:val="none"/>
        </w:rPr>
        <w:t>五、</w:t>
      </w:r>
      <w:r>
        <w:rPr>
          <w:rFonts w:hint="eastAsia" w:ascii="Times New Roman" w:hAnsi="Times New Roman" w:eastAsia="黑体"/>
          <w:b/>
          <w:color w:val="auto"/>
          <w:sz w:val="32"/>
          <w:szCs w:val="32"/>
          <w:highlight w:val="none"/>
        </w:rPr>
        <w:t>一</w:t>
      </w:r>
      <w:r>
        <w:rPr>
          <w:rStyle w:val="22"/>
          <w:rFonts w:hint="eastAsia" w:ascii="Times New Roman" w:hAnsi="Times New Roman" w:eastAsia="黑体"/>
          <w:b w:val="0"/>
          <w:color w:val="auto"/>
          <w:highlight w:val="none"/>
        </w:rPr>
        <w:t>般公共预算财政拨款支出决算情况说明</w:t>
      </w:r>
      <w:bookmarkEnd w:id="32"/>
      <w:bookmarkEnd w:id="33"/>
      <w:bookmarkEnd w:id="34"/>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35" w:name="_Toc15377210"/>
      <w:bookmarkStart w:id="36" w:name="_Toc28768"/>
      <w:r>
        <w:rPr>
          <w:rFonts w:hint="eastAsia" w:ascii="Times New Roman" w:hAnsi="Times New Roman" w:eastAsia="楷体_GB2312" w:cs="楷体_GB2312"/>
          <w:b/>
          <w:color w:val="auto"/>
          <w:sz w:val="32"/>
          <w:szCs w:val="32"/>
          <w:highlight w:val="none"/>
        </w:rPr>
        <w:t>（一）一般公共预算财政拨款支出决算总体情况</w:t>
      </w:r>
      <w:bookmarkEnd w:id="35"/>
      <w:bookmarkEnd w:id="36"/>
    </w:p>
    <w:p>
      <w:pPr>
        <w:pStyle w:val="34"/>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仿宋_GB2312" w:cs="仿宋_GB2312"/>
          <w:color w:val="auto"/>
          <w:sz w:val="32"/>
          <w:szCs w:val="32"/>
          <w:highlight w:val="none"/>
          <w:lang w:eastAsia="zh-CN"/>
        </w:rPr>
      </w:pPr>
      <w:bookmarkStart w:id="37" w:name="_Toc31947"/>
      <w:r>
        <w:rPr>
          <w:rFonts w:hint="eastAsia" w:ascii="仿宋_GB2312" w:hAnsi="仿宋_GB2312" w:eastAsia="仿宋_GB2312" w:cs="仿宋_GB2312"/>
          <w:color w:val="auto"/>
          <w:kern w:val="2"/>
          <w:sz w:val="32"/>
          <w:szCs w:val="32"/>
          <w:highlight w:val="none"/>
          <w:lang w:val="en-US" w:eastAsia="zh-CN" w:bidi="ar-SA"/>
        </w:rPr>
        <w:t>2024年度一般公共预算财政拨款支出</w:t>
      </w:r>
      <w:r>
        <w:rPr>
          <w:rFonts w:hint="eastAsia" w:ascii="仿宋_GB2312" w:hAnsi="仿宋_GB2312" w:eastAsia="仿宋_GB2312" w:cs="仿宋_GB2312"/>
          <w:sz w:val="32"/>
          <w:szCs w:val="32"/>
          <w:lang w:val="en-US" w:eastAsia="zh-CN"/>
        </w:rPr>
        <w:t>493.2</w:t>
      </w:r>
      <w:r>
        <w:rPr>
          <w:rFonts w:hint="eastAsia" w:ascii="仿宋_GB2312" w:hAnsi="仿宋_GB2312" w:eastAsia="仿宋_GB2312" w:cs="仿宋_GB2312"/>
          <w:color w:val="auto"/>
          <w:kern w:val="2"/>
          <w:sz w:val="32"/>
          <w:szCs w:val="32"/>
          <w:highlight w:val="none"/>
          <w:lang w:val="en-US" w:eastAsia="zh-CN" w:bidi="ar-SA"/>
        </w:rPr>
        <w:t>万元，占本年支出合计的</w:t>
      </w:r>
      <w:r>
        <w:rPr>
          <w:rFonts w:hint="eastAsia" w:ascii="仿宋_GB2312" w:hAnsi="仿宋_GB2312" w:eastAsia="仿宋_GB2312" w:cs="仿宋_GB2312"/>
          <w:sz w:val="32"/>
          <w:szCs w:val="32"/>
        </w:rPr>
        <w:t>100</w:t>
      </w:r>
      <w:r>
        <w:rPr>
          <w:rFonts w:hint="eastAsia" w:ascii="仿宋_GB2312" w:hAnsi="仿宋_GB2312" w:eastAsia="仿宋_GB2312" w:cs="仿宋_GB2312"/>
          <w:color w:val="auto"/>
          <w:kern w:val="2"/>
          <w:sz w:val="32"/>
          <w:szCs w:val="32"/>
          <w:highlight w:val="none"/>
          <w:lang w:val="en-US" w:eastAsia="zh-CN" w:bidi="ar-SA"/>
        </w:rPr>
        <w:t>%。与2023年度相比，一般公共预算财政拨款支出增加15.72万元，增长</w:t>
      </w:r>
      <w:r>
        <w:rPr>
          <w:rFonts w:hint="eastAsia" w:ascii="仿宋_GB2312" w:hAnsi="仿宋" w:eastAsia="仿宋_GB2312"/>
          <w:sz w:val="32"/>
          <w:szCs w:val="32"/>
          <w:lang w:val="en-US" w:eastAsia="zh-CN"/>
        </w:rPr>
        <w:t>3.29</w:t>
      </w:r>
      <w:r>
        <w:rPr>
          <w:rFonts w:hint="eastAsia" w:ascii="仿宋_GB2312" w:hAnsi="仿宋_GB2312" w:eastAsia="仿宋_GB2312" w:cs="仿宋_GB2312"/>
          <w:color w:val="auto"/>
          <w:kern w:val="2"/>
          <w:sz w:val="32"/>
          <w:szCs w:val="32"/>
          <w:highlight w:val="none"/>
          <w:lang w:val="en-US" w:eastAsia="zh-CN" w:bidi="ar-SA"/>
        </w:rPr>
        <w:t>%。主要变动原因是</w:t>
      </w:r>
      <w:r>
        <w:rPr>
          <w:rFonts w:hint="eastAsia" w:ascii="仿宋_GB2312" w:hAnsi="仿宋_GB2312" w:eastAsia="仿宋_GB2312" w:cs="仿宋_GB2312"/>
          <w:color w:val="auto"/>
          <w:sz w:val="32"/>
          <w:szCs w:val="32"/>
          <w:highlight w:val="none"/>
          <w:lang w:val="en-US" w:eastAsia="zh-CN"/>
        </w:rPr>
        <w:t>2024</w:t>
      </w:r>
      <w:r>
        <w:rPr>
          <w:rFonts w:hint="eastAsia" w:eastAsia="仿宋_GB2312" w:cs="仿宋_GB2312"/>
          <w:color w:val="auto"/>
          <w:sz w:val="32"/>
          <w:szCs w:val="32"/>
          <w:highlight w:val="none"/>
          <w:lang w:val="en-US" w:eastAsia="zh-CN"/>
        </w:rPr>
        <w:t>年度</w:t>
      </w:r>
      <w:r>
        <w:rPr>
          <w:rFonts w:hint="eastAsia" w:ascii="仿宋_GB2312" w:hAnsi="仿宋" w:eastAsia="仿宋_GB2312"/>
          <w:sz w:val="32"/>
          <w:szCs w:val="32"/>
        </w:rPr>
        <w:t>项目经费支出</w:t>
      </w:r>
      <w:r>
        <w:rPr>
          <w:rFonts w:hint="eastAsia" w:ascii="仿宋_GB2312" w:hAnsi="仿宋" w:eastAsia="仿宋_GB2312"/>
          <w:sz w:val="32"/>
          <w:szCs w:val="32"/>
          <w:lang w:eastAsia="zh-CN"/>
        </w:rPr>
        <w:t>略有</w:t>
      </w:r>
      <w:r>
        <w:rPr>
          <w:rFonts w:hint="eastAsia" w:ascii="仿宋_GB2312" w:hAnsi="仿宋" w:eastAsia="仿宋_GB2312"/>
          <w:sz w:val="32"/>
          <w:szCs w:val="32"/>
        </w:rPr>
        <w:t>增加</w:t>
      </w:r>
      <w:r>
        <w:rPr>
          <w:rFonts w:hint="eastAsia" w:ascii="仿宋_GB2312" w:hAnsi="仿宋" w:eastAsia="仿宋_GB2312"/>
          <w:sz w:val="32"/>
          <w:szCs w:val="32"/>
          <w:lang w:eastAsia="zh-CN"/>
        </w:rPr>
        <w:t>。</w:t>
      </w:r>
      <w:bookmarkEnd w:id="37"/>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（图5：一般公共预算财政拨款支出决算变动情况）（柱状图）</w:t>
      </w:r>
    </w:p>
    <w:p>
      <w:pPr>
        <w:pStyle w:val="24"/>
        <w:jc w:val="center"/>
        <w:rPr>
          <w:rFonts w:hint="eastAsia"/>
          <w:lang w:val="en-US" w:eastAsia="zh-CN"/>
        </w:rPr>
      </w:pPr>
      <w:r>
        <w:rPr>
          <w:rFonts w:hint="eastAsia"/>
          <w:lang w:val="en-US" w:eastAsia="zh-CN"/>
        </w:rPr>
        <w:drawing>
          <wp:inline distT="0" distB="0" distL="114300" distR="114300">
            <wp:extent cx="4784725" cy="3343910"/>
            <wp:effectExtent l="4445" t="5080" r="11430" b="22860"/>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rPr>
          <w:rFonts w:hint="eastAsia"/>
          <w:lang w:val="en-US" w:eastAsia="zh-CN"/>
        </w:rPr>
      </w:pPr>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38" w:name="_Toc15377211"/>
      <w:bookmarkStart w:id="39" w:name="_Toc11542"/>
      <w:r>
        <w:rPr>
          <w:rFonts w:hint="eastAsia" w:ascii="Times New Roman" w:hAnsi="Times New Roman" w:eastAsia="楷体_GB2312" w:cs="楷体_GB2312"/>
          <w:b/>
          <w:color w:val="auto"/>
          <w:sz w:val="32"/>
          <w:szCs w:val="32"/>
          <w:highlight w:val="none"/>
        </w:rPr>
        <w:t>（二）一般公共预算财政拨款支出决算结构情况</w:t>
      </w:r>
      <w:bookmarkEnd w:id="38"/>
      <w:bookmarkEnd w:id="39"/>
    </w:p>
    <w:p>
      <w:pPr>
        <w:spacing w:line="600" w:lineRule="exact"/>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2024年度一般公共预算财政拨款支出493.2万元，主要用于以下方面：</w:t>
      </w:r>
      <w:r>
        <w:rPr>
          <w:rFonts w:hint="eastAsia" w:ascii="仿宋_GB2312" w:hAnsi="仿宋_GB2312" w:eastAsia="仿宋_GB2312" w:cs="仿宋_GB2312"/>
          <w:b/>
          <w:bCs/>
          <w:sz w:val="32"/>
          <w:szCs w:val="32"/>
          <w:lang w:val="en-US" w:eastAsia="zh-CN"/>
        </w:rPr>
        <w:t>一般公共服务支出</w:t>
      </w:r>
      <w:r>
        <w:rPr>
          <w:rFonts w:hint="eastAsia" w:ascii="仿宋_GB2312" w:hAnsi="仿宋_GB2312" w:eastAsia="仿宋_GB2312" w:cs="仿宋_GB2312"/>
          <w:sz w:val="32"/>
          <w:szCs w:val="32"/>
          <w:lang w:val="en-US" w:eastAsia="zh-CN"/>
        </w:rPr>
        <w:t>401.12万元，占81.33%；</w:t>
      </w:r>
      <w:r>
        <w:rPr>
          <w:rFonts w:hint="eastAsia" w:ascii="仿宋_GB2312" w:hAnsi="仿宋_GB2312" w:eastAsia="仿宋_GB2312" w:cs="仿宋_GB2312"/>
          <w:b/>
          <w:bCs/>
          <w:sz w:val="32"/>
          <w:szCs w:val="32"/>
          <w:lang w:val="en-US" w:eastAsia="zh-CN"/>
        </w:rPr>
        <w:t>社会保障和就业支出</w:t>
      </w:r>
      <w:r>
        <w:rPr>
          <w:rFonts w:hint="eastAsia" w:ascii="仿宋_GB2312" w:hAnsi="仿宋_GB2312" w:eastAsia="仿宋_GB2312" w:cs="仿宋_GB2312"/>
          <w:sz w:val="32"/>
          <w:szCs w:val="32"/>
          <w:lang w:val="en-US" w:eastAsia="zh-CN"/>
        </w:rPr>
        <w:t>48.94万元，占9.92%；</w:t>
      </w:r>
      <w:r>
        <w:rPr>
          <w:rFonts w:hint="eastAsia" w:ascii="仿宋_GB2312" w:hAnsi="仿宋_GB2312" w:eastAsia="仿宋_GB2312" w:cs="仿宋_GB2312"/>
          <w:b/>
          <w:bCs/>
          <w:sz w:val="32"/>
          <w:szCs w:val="32"/>
          <w:lang w:val="en-US" w:eastAsia="zh-CN"/>
        </w:rPr>
        <w:t>卫生健康支出</w:t>
      </w:r>
      <w:r>
        <w:rPr>
          <w:rFonts w:hint="eastAsia" w:ascii="仿宋_GB2312" w:hAnsi="仿宋_GB2312" w:eastAsia="仿宋_GB2312" w:cs="仿宋_GB2312"/>
          <w:sz w:val="32"/>
          <w:szCs w:val="32"/>
          <w:lang w:val="en-US" w:eastAsia="zh-CN"/>
        </w:rPr>
        <w:t>12.06万元，占2.45%；</w:t>
      </w:r>
      <w:r>
        <w:rPr>
          <w:rFonts w:hint="eastAsia" w:ascii="仿宋_GB2312" w:hAnsi="仿宋_GB2312" w:eastAsia="仿宋_GB2312" w:cs="仿宋_GB2312"/>
          <w:b/>
          <w:bCs/>
          <w:sz w:val="32"/>
          <w:szCs w:val="32"/>
          <w:lang w:val="en-US" w:eastAsia="zh-CN"/>
        </w:rPr>
        <w:t>住房保障支出</w:t>
      </w:r>
      <w:r>
        <w:rPr>
          <w:rFonts w:hint="eastAsia" w:ascii="仿宋_GB2312" w:hAnsi="仿宋_GB2312" w:eastAsia="仿宋_GB2312" w:cs="仿宋_GB2312"/>
          <w:sz w:val="32"/>
          <w:szCs w:val="32"/>
          <w:lang w:val="en-US" w:eastAsia="zh-CN"/>
        </w:rPr>
        <w:t>31.08万元，占6.3%。</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（图6：一般公共预算财政拨款支出决算结构）（饼状图）</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pPr>
        <w:pStyle w:val="24"/>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drawing>
          <wp:inline distT="0" distB="0" distL="114300" distR="114300">
            <wp:extent cx="4738370" cy="3438525"/>
            <wp:effectExtent l="4445" t="4445" r="19685" b="5080"/>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pPr>
        <w:pStyle w:val="24"/>
        <w:ind w:left="0" w:leftChars="0" w:firstLine="0" w:firstLineChars="0"/>
        <w:rPr>
          <w:rFonts w:hint="eastAsia"/>
          <w:lang w:val="en-US" w:eastAsia="zh-CN"/>
        </w:rPr>
      </w:pPr>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40" w:name="_Toc15377212"/>
      <w:bookmarkStart w:id="41" w:name="_Toc3324"/>
      <w:r>
        <w:rPr>
          <w:rFonts w:hint="eastAsia" w:ascii="Times New Roman" w:hAnsi="Times New Roman" w:eastAsia="楷体_GB2312" w:cs="楷体_GB2312"/>
          <w:b/>
          <w:color w:val="auto"/>
          <w:sz w:val="32"/>
          <w:szCs w:val="32"/>
          <w:highlight w:val="none"/>
        </w:rPr>
        <w:t>（三）一般公共预算财政拨款支出决算具体情况</w:t>
      </w:r>
      <w:bookmarkEnd w:id="40"/>
      <w:bookmarkEnd w:id="41"/>
    </w:p>
    <w:p>
      <w:pPr>
        <w:spacing w:line="600" w:lineRule="exact"/>
        <w:ind w:firstLine="640"/>
        <w:rPr>
          <w:rFonts w:hint="eastAsia" w:ascii="Times New Roman" w:hAnsi="Times New Roman" w:eastAsia="仿宋_GB2312" w:cs="仿宋_GB2312"/>
          <w:b/>
          <w:bCs/>
          <w:color w:val="auto"/>
          <w:kern w:val="2"/>
          <w:sz w:val="32"/>
          <w:szCs w:val="32"/>
          <w:highlight w:val="none"/>
          <w:lang w:val="en-US" w:eastAsia="zh-CN" w:bidi="ar-SA"/>
        </w:rPr>
      </w:pPr>
      <w:bookmarkStart w:id="42" w:name="_Toc15378460"/>
      <w:bookmarkStart w:id="43" w:name="_Toc15377444"/>
      <w:bookmarkStart w:id="44" w:name="_Toc15377213"/>
      <w:r>
        <w:rPr>
          <w:rFonts w:hint="eastAsia" w:ascii="仿宋_GB2312" w:hAnsi="仿宋_GB2312" w:eastAsia="仿宋_GB2312" w:cs="仿宋_GB2312"/>
          <w:b/>
          <w:bCs/>
          <w:sz w:val="32"/>
          <w:szCs w:val="32"/>
          <w:lang w:val="en-US" w:eastAsia="zh-CN"/>
        </w:rPr>
        <w:t>2024年</w:t>
      </w:r>
      <w:r>
        <w:rPr>
          <w:rFonts w:hint="eastAsia" w:ascii="Times New Roman" w:hAnsi="Times New Roman" w:eastAsia="仿宋_GB2312" w:cs="仿宋_GB2312"/>
          <w:b/>
          <w:bCs/>
          <w:color w:val="auto"/>
          <w:kern w:val="2"/>
          <w:sz w:val="32"/>
          <w:szCs w:val="32"/>
          <w:highlight w:val="none"/>
          <w:lang w:val="en-US" w:eastAsia="zh-CN" w:bidi="ar-SA"/>
        </w:rPr>
        <w:t>度一般公共预算财政拨款支出决算数为</w:t>
      </w:r>
      <w:r>
        <w:rPr>
          <w:rFonts w:hint="eastAsia" w:ascii="仿宋_GB2312" w:hAnsi="仿宋_GB2312" w:eastAsia="仿宋_GB2312" w:cs="仿宋_GB2312"/>
          <w:b/>
          <w:bCs/>
          <w:sz w:val="32"/>
          <w:szCs w:val="32"/>
          <w:lang w:val="en-US" w:eastAsia="zh-CN"/>
        </w:rPr>
        <w:t>493.2万元，</w:t>
      </w:r>
      <w:r>
        <w:rPr>
          <w:rFonts w:hint="eastAsia" w:ascii="Times New Roman" w:hAnsi="Times New Roman" w:eastAsia="仿宋_GB2312" w:cs="仿宋_GB2312"/>
          <w:b/>
          <w:bCs/>
          <w:color w:val="auto"/>
          <w:kern w:val="2"/>
          <w:sz w:val="32"/>
          <w:szCs w:val="32"/>
          <w:highlight w:val="none"/>
          <w:lang w:val="en-US" w:eastAsia="zh-CN" w:bidi="ar-SA"/>
        </w:rPr>
        <w:t>完成预算</w:t>
      </w:r>
      <w:r>
        <w:rPr>
          <w:rFonts w:hint="eastAsia" w:eastAsia="仿宋_GB2312" w:cs="仿宋_GB2312"/>
          <w:b/>
          <w:bCs/>
          <w:color w:val="auto"/>
          <w:kern w:val="2"/>
          <w:sz w:val="32"/>
          <w:szCs w:val="32"/>
          <w:highlight w:val="none"/>
          <w:lang w:val="en-US" w:eastAsia="zh-CN" w:bidi="ar-SA"/>
        </w:rPr>
        <w:t>99.99</w:t>
      </w:r>
      <w:r>
        <w:rPr>
          <w:rFonts w:hint="eastAsia" w:ascii="仿宋_GB2312" w:hAnsi="仿宋_GB2312" w:eastAsia="仿宋_GB2312" w:cs="仿宋_GB2312"/>
          <w:b/>
          <w:bCs/>
          <w:sz w:val="32"/>
          <w:szCs w:val="32"/>
          <w:lang w:val="en-US" w:eastAsia="zh-CN"/>
        </w:rPr>
        <w:t>%。</w:t>
      </w:r>
      <w:r>
        <w:rPr>
          <w:rFonts w:hint="eastAsia" w:ascii="Times New Roman" w:hAnsi="Times New Roman" w:eastAsia="仿宋_GB2312" w:cs="仿宋_GB2312"/>
          <w:b/>
          <w:bCs/>
          <w:color w:val="auto"/>
          <w:kern w:val="2"/>
          <w:sz w:val="32"/>
          <w:szCs w:val="32"/>
          <w:highlight w:val="none"/>
          <w:lang w:val="en-US" w:eastAsia="zh-CN" w:bidi="ar-SA"/>
        </w:rPr>
        <w:t>其中：</w:t>
      </w:r>
      <w:bookmarkEnd w:id="42"/>
      <w:bookmarkEnd w:id="43"/>
      <w:bookmarkEnd w:id="44"/>
    </w:p>
    <w:p>
      <w:pPr>
        <w:pStyle w:val="24"/>
        <w:ind w:left="0" w:leftChars="0" w:firstLine="640" w:firstLineChars="200"/>
        <w:rPr>
          <w:rStyle w:val="19"/>
          <w:rFonts w:hint="eastAsia" w:ascii="仿宋_GB2312" w:hAnsi="仿宋_GB2312" w:eastAsia="仿宋_GB2312" w:cs="仿宋_GB2312"/>
          <w:b w:val="0"/>
          <w:bCs/>
          <w:sz w:val="32"/>
          <w:szCs w:val="32"/>
          <w:lang w:eastAsia="zh-CN"/>
        </w:rPr>
      </w:pPr>
      <w:r>
        <w:rPr>
          <w:rFonts w:hint="eastAsia" w:ascii="Times New Roman" w:hAnsi="Times New Roman" w:eastAsia="仿宋_GB2312" w:cs="仿宋_GB2312"/>
          <w:color w:val="auto"/>
          <w:kern w:val="2"/>
          <w:sz w:val="32"/>
          <w:szCs w:val="32"/>
          <w:highlight w:val="none"/>
          <w:lang w:val="en-US" w:eastAsia="zh-CN" w:bidi="ar-SA"/>
        </w:rPr>
        <w:t xml:space="preserve"> </w:t>
      </w:r>
      <w:r>
        <w:rPr>
          <w:rFonts w:hint="eastAsia" w:eastAsia="仿宋_GB2312" w:cs="仿宋_GB2312"/>
          <w:color w:val="auto"/>
          <w:kern w:val="2"/>
          <w:sz w:val="32"/>
          <w:szCs w:val="32"/>
          <w:highlight w:val="none"/>
          <w:lang w:val="en-US" w:eastAsia="zh-CN" w:bidi="ar-SA"/>
        </w:rPr>
        <w:t>1</w:t>
      </w:r>
      <w:r>
        <w:rPr>
          <w:rFonts w:hint="eastAsia" w:ascii="Times New Roman" w:hAnsi="Times New Roman" w:eastAsia="仿宋_GB2312" w:cs="仿宋_GB2312"/>
          <w:color w:val="auto"/>
          <w:kern w:val="2"/>
          <w:sz w:val="32"/>
          <w:szCs w:val="32"/>
          <w:highlight w:val="none"/>
          <w:lang w:val="en-US" w:eastAsia="zh-CN" w:bidi="ar-SA"/>
        </w:rPr>
        <w:t>.一</w:t>
      </w:r>
      <w:r>
        <w:rPr>
          <w:rStyle w:val="19"/>
          <w:rFonts w:hint="eastAsia" w:ascii="仿宋_GB2312" w:hAnsi="仿宋_GB2312" w:eastAsia="仿宋_GB2312" w:cs="仿宋_GB2312"/>
          <w:bCs/>
          <w:sz w:val="32"/>
          <w:szCs w:val="32"/>
        </w:rPr>
        <w:t>般公共服务支出（类）政府办公厅（室）及相关机构事务（款）</w:t>
      </w:r>
      <w:r>
        <w:rPr>
          <w:rStyle w:val="19"/>
          <w:rFonts w:hint="eastAsia" w:ascii="仿宋_GB2312" w:hAnsi="仿宋_GB2312" w:eastAsia="仿宋_GB2312" w:cs="仿宋_GB2312"/>
          <w:bCs/>
          <w:sz w:val="32"/>
          <w:szCs w:val="32"/>
          <w:lang w:eastAsia="zh-CN"/>
        </w:rPr>
        <w:t>事业</w:t>
      </w:r>
      <w:r>
        <w:rPr>
          <w:rStyle w:val="19"/>
          <w:rFonts w:hint="eastAsia" w:ascii="仿宋_GB2312" w:hAnsi="仿宋_GB2312" w:eastAsia="仿宋_GB2312" w:cs="仿宋_GB2312"/>
          <w:bCs/>
          <w:sz w:val="32"/>
          <w:szCs w:val="32"/>
        </w:rPr>
        <w:t>运行（项）</w:t>
      </w:r>
      <w:r>
        <w:rPr>
          <w:rStyle w:val="19"/>
          <w:rFonts w:hint="eastAsia" w:ascii="仿宋_GB2312" w:hAnsi="仿宋_GB2312" w:eastAsia="仿宋_GB2312" w:cs="仿宋_GB2312"/>
          <w:bCs/>
          <w:sz w:val="32"/>
          <w:szCs w:val="32"/>
          <w:lang w:eastAsia="zh-CN"/>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ascii="仿宋_GB2312" w:hAnsi="仿宋_GB2312" w:eastAsia="仿宋_GB2312" w:cs="仿宋_GB2312"/>
          <w:sz w:val="32"/>
          <w:szCs w:val="32"/>
          <w:lang w:val="en-US" w:eastAsia="zh-CN"/>
        </w:rPr>
        <w:t>305.89</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ascii="仿宋_GB2312" w:hAnsi="仿宋_GB2312" w:eastAsia="仿宋_GB2312" w:cs="仿宋_GB2312"/>
          <w:sz w:val="32"/>
          <w:szCs w:val="32"/>
          <w:lang w:val="en-US" w:eastAsia="zh-CN"/>
        </w:rPr>
        <w:t>99.99%，</w:t>
      </w:r>
      <w:r>
        <w:rPr>
          <w:rStyle w:val="19"/>
          <w:rFonts w:hint="eastAsia" w:ascii="仿宋_GB2312" w:hAnsi="仿宋_GB2312" w:eastAsia="仿宋_GB2312" w:cs="仿宋_GB2312"/>
          <w:b w:val="0"/>
          <w:bCs/>
          <w:sz w:val="32"/>
          <w:szCs w:val="32"/>
        </w:rPr>
        <w:t>决算数</w:t>
      </w:r>
      <w:r>
        <w:rPr>
          <w:rStyle w:val="19"/>
          <w:rFonts w:hint="eastAsia" w:ascii="仿宋_GB2312" w:hAnsi="仿宋_GB2312" w:eastAsia="仿宋_GB2312" w:cs="仿宋_GB2312"/>
          <w:b w:val="0"/>
          <w:bCs/>
          <w:sz w:val="32"/>
          <w:szCs w:val="32"/>
          <w:lang w:eastAsia="zh-CN"/>
        </w:rPr>
        <w:t>与</w:t>
      </w:r>
      <w:r>
        <w:rPr>
          <w:rStyle w:val="19"/>
          <w:rFonts w:hint="eastAsia" w:ascii="仿宋_GB2312" w:hAnsi="仿宋_GB2312" w:eastAsia="仿宋_GB2312" w:cs="仿宋_GB2312"/>
          <w:b w:val="0"/>
          <w:bCs/>
          <w:sz w:val="32"/>
          <w:szCs w:val="32"/>
        </w:rPr>
        <w:t>预算数</w:t>
      </w:r>
      <w:r>
        <w:rPr>
          <w:rStyle w:val="19"/>
          <w:rFonts w:hint="eastAsia" w:ascii="仿宋_GB2312" w:hAnsi="仿宋_GB2312" w:eastAsia="仿宋_GB2312" w:cs="仿宋_GB2312"/>
          <w:b w:val="0"/>
          <w:bCs/>
          <w:sz w:val="32"/>
          <w:szCs w:val="32"/>
          <w:lang w:eastAsia="zh-CN"/>
        </w:rPr>
        <w:t>基本持平，部分经费未清算，结转至下年支付。</w:t>
      </w:r>
    </w:p>
    <w:p>
      <w:pPr>
        <w:spacing w:line="600" w:lineRule="exact"/>
        <w:ind w:firstLine="642" w:firstLineChars="200"/>
        <w:rPr>
          <w:rStyle w:val="19"/>
          <w:rFonts w:hint="eastAsia" w:ascii="仿宋" w:hAnsi="仿宋" w:eastAsia="仿宋"/>
          <w:b w:val="0"/>
          <w:bCs/>
          <w:color w:val="auto"/>
          <w:sz w:val="32"/>
          <w:szCs w:val="32"/>
          <w:highlight w:val="none"/>
          <w:lang w:eastAsia="zh-CN"/>
        </w:rPr>
      </w:pPr>
      <w:r>
        <w:rPr>
          <w:rStyle w:val="19"/>
          <w:rFonts w:hint="eastAsia" w:ascii="仿宋" w:hAnsi="仿宋" w:eastAsia="仿宋"/>
          <w:bCs/>
          <w:color w:val="auto"/>
          <w:sz w:val="32"/>
          <w:szCs w:val="32"/>
          <w:highlight w:val="none"/>
          <w:lang w:val="en-US" w:eastAsia="zh-CN"/>
        </w:rPr>
        <w:t>2.</w:t>
      </w:r>
      <w:r>
        <w:rPr>
          <w:rStyle w:val="19"/>
          <w:rFonts w:hint="eastAsia" w:ascii="仿宋" w:hAnsi="仿宋" w:eastAsia="仿宋"/>
          <w:bCs/>
          <w:color w:val="auto"/>
          <w:sz w:val="32"/>
          <w:szCs w:val="32"/>
          <w:highlight w:val="none"/>
        </w:rPr>
        <w:t>一般公共服务</w:t>
      </w:r>
      <w:r>
        <w:rPr>
          <w:rStyle w:val="19"/>
          <w:rFonts w:hint="eastAsia" w:ascii="仿宋" w:hAnsi="仿宋" w:eastAsia="仿宋"/>
          <w:bCs/>
          <w:color w:val="auto"/>
          <w:sz w:val="32"/>
          <w:szCs w:val="32"/>
          <w:highlight w:val="none"/>
          <w:lang w:eastAsia="zh-CN"/>
        </w:rPr>
        <w:t>支出</w:t>
      </w:r>
      <w:r>
        <w:rPr>
          <w:rStyle w:val="19"/>
          <w:rFonts w:hint="eastAsia" w:ascii="仿宋" w:hAnsi="仿宋" w:eastAsia="仿宋"/>
          <w:bCs/>
          <w:color w:val="auto"/>
          <w:sz w:val="32"/>
          <w:szCs w:val="32"/>
          <w:highlight w:val="none"/>
        </w:rPr>
        <w:t>（类）</w:t>
      </w:r>
      <w:r>
        <w:rPr>
          <w:rStyle w:val="19"/>
          <w:rFonts w:hint="eastAsia" w:ascii="仿宋" w:hAnsi="仿宋" w:eastAsia="仿宋"/>
          <w:bCs/>
          <w:color w:val="auto"/>
          <w:sz w:val="32"/>
          <w:szCs w:val="32"/>
          <w:highlight w:val="none"/>
          <w:lang w:eastAsia="zh-CN"/>
        </w:rPr>
        <w:t>政府办公厅（室）及相关机构事务</w:t>
      </w:r>
      <w:r>
        <w:rPr>
          <w:rStyle w:val="19"/>
          <w:rFonts w:hint="eastAsia" w:ascii="仿宋" w:hAnsi="仿宋" w:eastAsia="仿宋"/>
          <w:bCs/>
          <w:color w:val="auto"/>
          <w:sz w:val="32"/>
          <w:szCs w:val="32"/>
          <w:highlight w:val="none"/>
        </w:rPr>
        <w:t>（款）</w:t>
      </w:r>
      <w:r>
        <w:rPr>
          <w:rStyle w:val="19"/>
          <w:rFonts w:hint="eastAsia" w:ascii="仿宋" w:hAnsi="仿宋" w:eastAsia="仿宋"/>
          <w:bCs/>
          <w:color w:val="auto"/>
          <w:sz w:val="32"/>
          <w:szCs w:val="32"/>
          <w:highlight w:val="none"/>
          <w:lang w:eastAsia="zh-CN"/>
        </w:rPr>
        <w:t>其他政府办公厅（室）及相关机构事务支出</w:t>
      </w:r>
      <w:r>
        <w:rPr>
          <w:rStyle w:val="19"/>
          <w:rFonts w:hint="eastAsia" w:ascii="仿宋" w:hAnsi="仿宋" w:eastAsia="仿宋"/>
          <w:bCs/>
          <w:color w:val="auto"/>
          <w:sz w:val="32"/>
          <w:szCs w:val="32"/>
          <w:highlight w:val="none"/>
        </w:rPr>
        <w:t>（项）</w:t>
      </w:r>
      <w:r>
        <w:rPr>
          <w:rStyle w:val="19"/>
          <w:rFonts w:hint="eastAsia" w:ascii="仿宋" w:hAnsi="仿宋" w:eastAsia="仿宋"/>
          <w:bCs/>
          <w:color w:val="auto"/>
          <w:sz w:val="32"/>
          <w:szCs w:val="32"/>
          <w:highlight w:val="none"/>
          <w:lang w:eastAsia="zh-CN"/>
        </w:rPr>
        <w:t>：</w:t>
      </w:r>
      <w:r>
        <w:rPr>
          <w:rStyle w:val="19"/>
          <w:rFonts w:ascii="仿宋" w:hAnsi="仿宋" w:eastAsia="仿宋"/>
          <w:b w:val="0"/>
          <w:bCs/>
          <w:color w:val="auto"/>
          <w:sz w:val="32"/>
          <w:szCs w:val="32"/>
          <w:highlight w:val="none"/>
        </w:rPr>
        <w:t xml:space="preserve"> </w:t>
      </w:r>
      <w:r>
        <w:rPr>
          <w:rStyle w:val="19"/>
          <w:rFonts w:hint="eastAsia" w:ascii="仿宋" w:hAnsi="仿宋" w:eastAsia="仿宋"/>
          <w:b w:val="0"/>
          <w:bCs/>
          <w:color w:val="auto"/>
          <w:sz w:val="32"/>
          <w:szCs w:val="32"/>
          <w:highlight w:val="none"/>
        </w:rPr>
        <w:t>支出决算为</w:t>
      </w:r>
      <w:r>
        <w:rPr>
          <w:rStyle w:val="19"/>
          <w:rFonts w:hint="eastAsia" w:ascii="仿宋_GB2312" w:hAnsi="仿宋_GB2312" w:eastAsia="仿宋_GB2312" w:cs="仿宋_GB2312"/>
          <w:b w:val="0"/>
          <w:bCs/>
          <w:color w:val="auto"/>
          <w:sz w:val="32"/>
          <w:szCs w:val="32"/>
          <w:highlight w:val="none"/>
          <w:lang w:val="en-US" w:eastAsia="zh-CN"/>
        </w:rPr>
        <w:t>95.23</w:t>
      </w:r>
      <w:r>
        <w:rPr>
          <w:rStyle w:val="19"/>
          <w:rFonts w:hint="eastAsia" w:ascii="仿宋" w:hAnsi="仿宋" w:eastAsia="仿宋"/>
          <w:b w:val="0"/>
          <w:bCs/>
          <w:color w:val="auto"/>
          <w:sz w:val="32"/>
          <w:szCs w:val="32"/>
          <w:highlight w:val="none"/>
        </w:rPr>
        <w:t>万元，完成预算</w:t>
      </w:r>
      <w:r>
        <w:rPr>
          <w:rStyle w:val="19"/>
          <w:rFonts w:hint="eastAsia" w:ascii="仿宋_GB2312" w:hAnsi="仿宋_GB2312" w:eastAsia="仿宋_GB2312" w:cs="仿宋_GB2312"/>
          <w:b w:val="0"/>
          <w:bCs/>
          <w:color w:val="auto"/>
          <w:sz w:val="32"/>
          <w:szCs w:val="32"/>
          <w:highlight w:val="none"/>
          <w:lang w:val="en-US" w:eastAsia="zh-CN"/>
        </w:rPr>
        <w:t>100</w:t>
      </w:r>
      <w:r>
        <w:rPr>
          <w:rStyle w:val="19"/>
          <w:rFonts w:hint="eastAsia" w:ascii="仿宋_GB2312" w:hAnsi="仿宋_GB2312" w:eastAsia="仿宋_GB2312" w:cs="仿宋_GB2312"/>
          <w:b w:val="0"/>
          <w:bCs/>
          <w:color w:val="auto"/>
          <w:sz w:val="32"/>
          <w:szCs w:val="32"/>
          <w:highlight w:val="none"/>
        </w:rPr>
        <w:t>%</w:t>
      </w:r>
      <w:r>
        <w:rPr>
          <w:rStyle w:val="19"/>
          <w:rFonts w:hint="eastAsia" w:ascii="仿宋" w:hAnsi="仿宋" w:eastAsia="仿宋"/>
          <w:b w:val="0"/>
          <w:bCs/>
          <w:color w:val="auto"/>
          <w:sz w:val="32"/>
          <w:szCs w:val="32"/>
          <w:highlight w:val="none"/>
          <w:lang w:eastAsia="zh-CN"/>
        </w:rPr>
        <w:t>，</w:t>
      </w:r>
      <w:r>
        <w:rPr>
          <w:rStyle w:val="19"/>
          <w:rFonts w:hint="eastAsia" w:ascii="仿宋_GB2312" w:hAnsi="仿宋_GB2312" w:eastAsia="仿宋_GB2312" w:cs="仿宋_GB2312"/>
          <w:b w:val="0"/>
          <w:bCs/>
          <w:sz w:val="32"/>
          <w:szCs w:val="32"/>
        </w:rPr>
        <w:t>决算数等于预算数。</w:t>
      </w:r>
    </w:p>
    <w:p>
      <w:pPr>
        <w:ind w:firstLine="640"/>
        <w:rPr>
          <w:rStyle w:val="19"/>
          <w:rFonts w:hint="eastAsia" w:ascii="仿宋_GB2312" w:hAnsi="仿宋_GB2312" w:eastAsia="仿宋_GB2312" w:cs="仿宋_GB2312"/>
          <w:b w:val="0"/>
          <w:bCs/>
          <w:sz w:val="32"/>
          <w:szCs w:val="32"/>
          <w:lang w:eastAsia="zh-CN"/>
        </w:rPr>
      </w:pPr>
      <w:r>
        <w:rPr>
          <w:rStyle w:val="19"/>
          <w:rFonts w:hint="eastAsia" w:ascii="仿宋_GB2312" w:hAnsi="仿宋_GB2312" w:eastAsia="仿宋_GB2312" w:cs="仿宋_GB2312"/>
          <w:bCs/>
          <w:sz w:val="32"/>
          <w:szCs w:val="32"/>
          <w:lang w:val="en-US" w:eastAsia="zh-CN"/>
        </w:rPr>
        <w:t>3.</w:t>
      </w:r>
      <w:r>
        <w:rPr>
          <w:rStyle w:val="19"/>
          <w:rFonts w:hint="eastAsia" w:ascii="仿宋_GB2312" w:hAnsi="仿宋_GB2312" w:eastAsia="仿宋_GB2312" w:cs="仿宋_GB2312"/>
          <w:bCs/>
          <w:sz w:val="32"/>
          <w:szCs w:val="32"/>
        </w:rPr>
        <w:t>社会保障和就业支出（类）</w:t>
      </w:r>
      <w:r>
        <w:rPr>
          <w:rStyle w:val="19"/>
          <w:rFonts w:hint="eastAsia" w:ascii="仿宋_GB2312" w:hAnsi="仿宋_GB2312" w:eastAsia="仿宋_GB2312" w:cs="仿宋_GB2312"/>
          <w:bCs/>
          <w:sz w:val="32"/>
          <w:szCs w:val="32"/>
          <w:lang w:eastAsia="zh-CN"/>
        </w:rPr>
        <w:t>行政事业单位养老支出</w:t>
      </w:r>
      <w:r>
        <w:rPr>
          <w:rStyle w:val="19"/>
          <w:rFonts w:hint="eastAsia" w:ascii="仿宋_GB2312" w:hAnsi="仿宋_GB2312" w:eastAsia="仿宋_GB2312" w:cs="仿宋_GB2312"/>
          <w:bCs/>
          <w:sz w:val="32"/>
          <w:szCs w:val="32"/>
        </w:rPr>
        <w:t>（款）机关事业单位基本养老保险缴费支出（项）</w:t>
      </w:r>
      <w:r>
        <w:rPr>
          <w:rStyle w:val="19"/>
          <w:rFonts w:hint="eastAsia" w:ascii="仿宋_GB2312" w:hAnsi="仿宋_GB2312" w:eastAsia="仿宋_GB2312" w:cs="仿宋_GB2312"/>
          <w:bCs/>
          <w:sz w:val="32"/>
          <w:szCs w:val="32"/>
          <w:lang w:eastAsia="zh-CN"/>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ascii="仿宋_GB2312" w:hAnsi="仿宋_GB2312" w:eastAsia="仿宋_GB2312" w:cs="仿宋_GB2312"/>
          <w:sz w:val="32"/>
          <w:szCs w:val="32"/>
          <w:lang w:val="en-US" w:eastAsia="zh-CN"/>
        </w:rPr>
        <w:t>35.56</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ascii="仿宋_GB2312" w:hAnsi="仿宋_GB2312" w:eastAsia="仿宋_GB2312" w:cs="仿宋_GB2312"/>
          <w:sz w:val="32"/>
          <w:szCs w:val="32"/>
          <w:lang w:val="en-US" w:eastAsia="zh-CN"/>
        </w:rPr>
        <w:t>100%，</w:t>
      </w:r>
      <w:r>
        <w:rPr>
          <w:rStyle w:val="19"/>
          <w:rFonts w:hint="eastAsia" w:ascii="仿宋_GB2312" w:hAnsi="仿宋_GB2312" w:eastAsia="仿宋_GB2312" w:cs="仿宋_GB2312"/>
          <w:b w:val="0"/>
          <w:bCs/>
          <w:sz w:val="32"/>
          <w:szCs w:val="32"/>
        </w:rPr>
        <w:t>决算数等于预算数</w:t>
      </w:r>
      <w:r>
        <w:rPr>
          <w:rStyle w:val="19"/>
          <w:rFonts w:hint="eastAsia" w:ascii="仿宋_GB2312" w:hAnsi="仿宋_GB2312" w:eastAsia="仿宋_GB2312" w:cs="仿宋_GB2312"/>
          <w:b w:val="0"/>
          <w:bCs/>
          <w:sz w:val="32"/>
          <w:szCs w:val="32"/>
          <w:lang w:eastAsia="zh-CN"/>
        </w:rPr>
        <w:t>。</w:t>
      </w:r>
    </w:p>
    <w:p>
      <w:pPr>
        <w:ind w:firstLine="640"/>
        <w:rPr>
          <w:rFonts w:hint="eastAsia"/>
          <w:lang w:eastAsia="zh-CN"/>
        </w:rPr>
      </w:pPr>
      <w:r>
        <w:rPr>
          <w:rStyle w:val="19"/>
          <w:rFonts w:hint="eastAsia" w:ascii="仿宋_GB2312" w:hAnsi="仿宋_GB2312" w:eastAsia="仿宋_GB2312" w:cs="仿宋_GB2312"/>
          <w:bCs/>
          <w:sz w:val="32"/>
          <w:szCs w:val="32"/>
          <w:lang w:val="en-US" w:eastAsia="zh-CN"/>
        </w:rPr>
        <w:t>4.</w:t>
      </w:r>
      <w:r>
        <w:rPr>
          <w:rStyle w:val="19"/>
          <w:rFonts w:hint="eastAsia" w:ascii="仿宋_GB2312" w:hAnsi="仿宋_GB2312" w:eastAsia="仿宋_GB2312" w:cs="仿宋_GB2312"/>
          <w:bCs/>
          <w:sz w:val="32"/>
          <w:szCs w:val="32"/>
        </w:rPr>
        <w:t>社会保障和就业支出（类）</w:t>
      </w:r>
      <w:r>
        <w:rPr>
          <w:rStyle w:val="19"/>
          <w:rFonts w:hint="eastAsia" w:ascii="仿宋_GB2312" w:hAnsi="仿宋_GB2312" w:eastAsia="仿宋_GB2312" w:cs="仿宋_GB2312"/>
          <w:bCs/>
          <w:sz w:val="32"/>
          <w:szCs w:val="32"/>
          <w:lang w:eastAsia="zh-CN"/>
        </w:rPr>
        <w:t>行政事业单位养老支出</w:t>
      </w:r>
      <w:r>
        <w:rPr>
          <w:rStyle w:val="19"/>
          <w:rFonts w:hint="eastAsia" w:ascii="仿宋_GB2312" w:hAnsi="仿宋_GB2312" w:eastAsia="仿宋_GB2312" w:cs="仿宋_GB2312"/>
          <w:bCs/>
          <w:sz w:val="32"/>
          <w:szCs w:val="32"/>
        </w:rPr>
        <w:t>（款）机关事业单位职业年金缴费支出（项）</w:t>
      </w:r>
      <w:r>
        <w:rPr>
          <w:rStyle w:val="19"/>
          <w:rFonts w:hint="eastAsia" w:ascii="仿宋_GB2312" w:hAnsi="仿宋_GB2312" w:eastAsia="仿宋_GB2312" w:cs="仿宋_GB2312"/>
          <w:bCs/>
          <w:sz w:val="32"/>
          <w:szCs w:val="32"/>
          <w:lang w:eastAsia="zh-CN"/>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ascii="仿宋_GB2312" w:hAnsi="仿宋_GB2312" w:eastAsia="仿宋_GB2312" w:cs="仿宋_GB2312"/>
          <w:sz w:val="32"/>
          <w:szCs w:val="32"/>
          <w:lang w:val="en-US" w:eastAsia="zh-CN"/>
        </w:rPr>
        <w:t>12.09</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ascii="仿宋_GB2312" w:hAnsi="仿宋_GB2312" w:eastAsia="仿宋_GB2312" w:cs="仿宋_GB2312"/>
          <w:sz w:val="32"/>
          <w:szCs w:val="32"/>
          <w:lang w:val="en-US" w:eastAsia="zh-CN"/>
        </w:rPr>
        <w:t>100%，</w:t>
      </w:r>
      <w:r>
        <w:rPr>
          <w:rStyle w:val="19"/>
          <w:rFonts w:hint="eastAsia" w:ascii="仿宋_GB2312" w:hAnsi="仿宋_GB2312" w:eastAsia="仿宋_GB2312" w:cs="仿宋_GB2312"/>
          <w:b w:val="0"/>
          <w:bCs/>
          <w:sz w:val="32"/>
          <w:szCs w:val="32"/>
        </w:rPr>
        <w:t>决算数等于预算数</w:t>
      </w:r>
      <w:r>
        <w:rPr>
          <w:rStyle w:val="19"/>
          <w:rFonts w:hint="eastAsia" w:ascii="仿宋_GB2312" w:hAnsi="仿宋_GB2312" w:eastAsia="仿宋_GB2312" w:cs="仿宋_GB2312"/>
          <w:b w:val="0"/>
          <w:bCs/>
          <w:sz w:val="32"/>
          <w:szCs w:val="32"/>
          <w:lang w:eastAsia="zh-CN"/>
        </w:rPr>
        <w:t>。</w:t>
      </w:r>
    </w:p>
    <w:p>
      <w:pPr>
        <w:ind w:firstLine="640"/>
        <w:rPr>
          <w:rStyle w:val="19"/>
          <w:rFonts w:hint="eastAsia" w:ascii="仿宋_GB2312" w:hAnsi="仿宋_GB2312" w:eastAsia="仿宋_GB2312" w:cs="仿宋_GB2312"/>
          <w:b w:val="0"/>
          <w:bCs/>
          <w:sz w:val="32"/>
          <w:szCs w:val="32"/>
          <w:lang w:eastAsia="zh-CN"/>
        </w:rPr>
      </w:pPr>
      <w:r>
        <w:rPr>
          <w:rStyle w:val="19"/>
          <w:rFonts w:hint="eastAsia" w:ascii="仿宋_GB2312" w:hAnsi="仿宋_GB2312" w:eastAsia="仿宋_GB2312" w:cs="仿宋_GB2312"/>
          <w:bCs/>
          <w:sz w:val="32"/>
          <w:szCs w:val="32"/>
          <w:lang w:val="en-US" w:eastAsia="zh-CN"/>
        </w:rPr>
        <w:t>5.</w:t>
      </w:r>
      <w:r>
        <w:rPr>
          <w:rStyle w:val="19"/>
          <w:rFonts w:hint="eastAsia" w:ascii="仿宋_GB2312" w:hAnsi="仿宋_GB2312" w:eastAsia="仿宋_GB2312" w:cs="仿宋_GB2312"/>
          <w:bCs/>
          <w:sz w:val="32"/>
          <w:szCs w:val="32"/>
        </w:rPr>
        <w:t>社会保障和就业支出（类）</w:t>
      </w:r>
      <w:r>
        <w:rPr>
          <w:rStyle w:val="19"/>
          <w:rFonts w:hint="eastAsia" w:ascii="仿宋_GB2312" w:hAnsi="仿宋_GB2312" w:eastAsia="仿宋_GB2312" w:cs="仿宋_GB2312"/>
          <w:bCs/>
          <w:sz w:val="32"/>
          <w:szCs w:val="32"/>
          <w:lang w:eastAsia="zh-CN"/>
        </w:rPr>
        <w:t>其他社会保障和就业支出</w:t>
      </w:r>
      <w:r>
        <w:rPr>
          <w:rStyle w:val="19"/>
          <w:rFonts w:hint="eastAsia" w:ascii="仿宋_GB2312" w:hAnsi="仿宋_GB2312" w:eastAsia="仿宋_GB2312" w:cs="仿宋_GB2312"/>
          <w:bCs/>
          <w:sz w:val="32"/>
          <w:szCs w:val="32"/>
        </w:rPr>
        <w:t>（款）其他社会保障和就业支出（项）</w:t>
      </w:r>
      <w:r>
        <w:rPr>
          <w:rStyle w:val="19"/>
          <w:rFonts w:hint="eastAsia" w:ascii="仿宋_GB2312" w:hAnsi="仿宋_GB2312" w:eastAsia="仿宋_GB2312" w:cs="仿宋_GB2312"/>
          <w:bCs/>
          <w:sz w:val="32"/>
          <w:szCs w:val="32"/>
          <w:lang w:eastAsia="zh-CN"/>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ascii="仿宋_GB2312" w:hAnsi="仿宋_GB2312" w:eastAsia="仿宋_GB2312" w:cs="仿宋_GB2312"/>
          <w:sz w:val="32"/>
          <w:szCs w:val="32"/>
          <w:lang w:val="en-US" w:eastAsia="zh-CN"/>
        </w:rPr>
        <w:t>1.29</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ascii="仿宋_GB2312" w:hAnsi="仿宋_GB2312" w:eastAsia="仿宋_GB2312" w:cs="仿宋_GB2312"/>
          <w:sz w:val="32"/>
          <w:szCs w:val="32"/>
          <w:lang w:val="en-US" w:eastAsia="zh-CN"/>
        </w:rPr>
        <w:t>100%，</w:t>
      </w:r>
      <w:r>
        <w:rPr>
          <w:rStyle w:val="19"/>
          <w:rFonts w:hint="eastAsia" w:ascii="仿宋_GB2312" w:hAnsi="仿宋_GB2312" w:eastAsia="仿宋_GB2312" w:cs="仿宋_GB2312"/>
          <w:b w:val="0"/>
          <w:bCs/>
          <w:sz w:val="32"/>
          <w:szCs w:val="32"/>
        </w:rPr>
        <w:t>决算数等于预算数</w:t>
      </w:r>
      <w:r>
        <w:rPr>
          <w:rStyle w:val="19"/>
          <w:rFonts w:hint="eastAsia" w:ascii="仿宋_GB2312" w:hAnsi="仿宋_GB2312" w:eastAsia="仿宋_GB2312" w:cs="仿宋_GB2312"/>
          <w:b w:val="0"/>
          <w:bCs/>
          <w:sz w:val="32"/>
          <w:szCs w:val="32"/>
          <w:lang w:eastAsia="zh-CN"/>
        </w:rPr>
        <w:t>。</w:t>
      </w:r>
    </w:p>
    <w:p>
      <w:pPr>
        <w:spacing w:line="600" w:lineRule="exact"/>
        <w:ind w:firstLine="642" w:firstLineChars="200"/>
        <w:rPr>
          <w:rStyle w:val="19"/>
          <w:rFonts w:hint="eastAsia" w:ascii="仿宋_GB2312" w:hAnsi="仿宋_GB2312" w:eastAsia="仿宋_GB2312" w:cs="仿宋_GB2312"/>
          <w:b w:val="0"/>
          <w:bCs/>
          <w:sz w:val="32"/>
          <w:szCs w:val="32"/>
        </w:rPr>
      </w:pPr>
      <w:r>
        <w:rPr>
          <w:rStyle w:val="19"/>
          <w:rFonts w:hint="eastAsia" w:ascii="仿宋_GB2312" w:hAnsi="仿宋_GB2312" w:eastAsia="仿宋_GB2312" w:cs="仿宋_GB2312"/>
          <w:bCs/>
          <w:sz w:val="32"/>
          <w:szCs w:val="32"/>
          <w:lang w:val="en-US" w:eastAsia="zh-CN"/>
        </w:rPr>
        <w:t>6</w:t>
      </w:r>
      <w:r>
        <w:rPr>
          <w:rStyle w:val="19"/>
          <w:rFonts w:hint="eastAsia" w:ascii="仿宋_GB2312" w:hAnsi="仿宋_GB2312" w:eastAsia="仿宋_GB2312" w:cs="仿宋_GB2312"/>
          <w:bCs/>
          <w:sz w:val="32"/>
          <w:szCs w:val="32"/>
        </w:rPr>
        <w:t>.卫生健康支出（类）行政事业单位医疗（款）事业单位医疗（项）</w:t>
      </w:r>
      <w:r>
        <w:rPr>
          <w:rStyle w:val="19"/>
          <w:rFonts w:hint="eastAsia" w:ascii="仿宋_GB2312" w:hAnsi="仿宋_GB2312" w:eastAsia="仿宋_GB2312" w:cs="仿宋_GB2312"/>
          <w:bCs/>
          <w:sz w:val="32"/>
          <w:szCs w:val="32"/>
          <w:lang w:eastAsia="zh-CN"/>
        </w:rPr>
        <w:t>：</w:t>
      </w:r>
      <w:r>
        <w:rPr>
          <w:rStyle w:val="19"/>
          <w:rFonts w:hint="eastAsia" w:ascii="仿宋_GB2312" w:hAnsi="仿宋_GB2312" w:eastAsia="仿宋_GB2312" w:cs="仿宋_GB2312"/>
          <w:b w:val="0"/>
          <w:bCs/>
          <w:sz w:val="32"/>
          <w:szCs w:val="32"/>
        </w:rPr>
        <w:t>支出决算为</w:t>
      </w:r>
      <w:r>
        <w:rPr>
          <w:rStyle w:val="19"/>
          <w:rFonts w:hint="eastAsia" w:ascii="仿宋_GB2312" w:hAnsi="仿宋_GB2312" w:eastAsia="仿宋_GB2312" w:cs="仿宋_GB2312"/>
          <w:b w:val="0"/>
          <w:bCs/>
          <w:sz w:val="32"/>
          <w:szCs w:val="32"/>
          <w:lang w:val="en-US" w:eastAsia="zh-CN"/>
        </w:rPr>
        <w:t>12.06</w:t>
      </w:r>
      <w:r>
        <w:rPr>
          <w:rStyle w:val="19"/>
          <w:rFonts w:hint="eastAsia" w:ascii="仿宋_GB2312" w:hAnsi="仿宋_GB2312" w:eastAsia="仿宋_GB2312" w:cs="仿宋_GB2312"/>
          <w:b w:val="0"/>
          <w:bCs/>
          <w:sz w:val="32"/>
          <w:szCs w:val="32"/>
        </w:rPr>
        <w:t>万元，完成预算100</w:t>
      </w:r>
      <w:r>
        <w:rPr>
          <w:rStyle w:val="19"/>
          <w:rFonts w:ascii="仿宋_GB2312" w:hAnsi="仿宋_GB2312" w:eastAsia="仿宋_GB2312" w:cs="仿宋_GB2312"/>
          <w:b w:val="0"/>
          <w:bCs/>
          <w:sz w:val="32"/>
          <w:szCs w:val="32"/>
        </w:rPr>
        <w:t>%</w:t>
      </w:r>
      <w:r>
        <w:rPr>
          <w:rStyle w:val="19"/>
          <w:rFonts w:hint="eastAsia" w:ascii="仿宋_GB2312" w:hAnsi="仿宋_GB2312" w:eastAsia="仿宋_GB2312" w:cs="仿宋_GB2312"/>
          <w:bCs/>
        </w:rPr>
        <w:t>，</w:t>
      </w:r>
      <w:r>
        <w:rPr>
          <w:rStyle w:val="19"/>
          <w:rFonts w:hint="eastAsia" w:ascii="仿宋_GB2312" w:hAnsi="仿宋_GB2312" w:eastAsia="仿宋_GB2312" w:cs="仿宋_GB2312"/>
          <w:b w:val="0"/>
          <w:bCs/>
          <w:sz w:val="32"/>
          <w:szCs w:val="32"/>
        </w:rPr>
        <w:t>决算数等于预算数。</w:t>
      </w:r>
    </w:p>
    <w:p>
      <w:pPr>
        <w:spacing w:line="600" w:lineRule="exact"/>
        <w:ind w:firstLine="640" w:firstLineChars="200"/>
        <w:rPr>
          <w:rFonts w:ascii="仿宋_GB2312" w:hAnsi="仿宋_GB2312" w:eastAsia="仿宋_GB2312" w:cs="仿宋_GB2312"/>
          <w:b/>
          <w:sz w:val="32"/>
          <w:szCs w:val="32"/>
        </w:rPr>
      </w:pPr>
      <w:r>
        <w:rPr>
          <w:rStyle w:val="19"/>
          <w:rFonts w:hint="eastAsia" w:hAnsi="仿宋_GB2312" w:cs="仿宋_GB2312"/>
          <w:b w:val="0"/>
          <w:bCs/>
          <w:sz w:val="32"/>
          <w:szCs w:val="32"/>
          <w:lang w:val="en-US" w:eastAsia="zh-CN"/>
        </w:rPr>
        <w:t xml:space="preserve"> 7</w:t>
      </w:r>
      <w:r>
        <w:rPr>
          <w:rStyle w:val="19"/>
          <w:rFonts w:hint="eastAsia" w:ascii="仿宋_GB2312" w:hAnsi="仿宋_GB2312" w:eastAsia="仿宋_GB2312" w:cs="仿宋_GB2312"/>
          <w:bCs/>
          <w:sz w:val="32"/>
          <w:szCs w:val="32"/>
        </w:rPr>
        <w:t>.</w:t>
      </w:r>
      <w:r>
        <w:rPr>
          <w:rFonts w:hint="eastAsia" w:ascii="仿宋_GB2312" w:hAnsi="微软雅黑" w:eastAsia="仿宋_GB2312" w:cs="宋体"/>
          <w:b/>
          <w:color w:val="030303"/>
          <w:kern w:val="0"/>
          <w:sz w:val="32"/>
          <w:szCs w:val="32"/>
        </w:rPr>
        <w:t>住房保障支出（类）住房改革支出（款）住房公积金（项）</w:t>
      </w:r>
      <w:r>
        <w:rPr>
          <w:rFonts w:hint="eastAsia" w:hAnsi="微软雅黑" w:cs="宋体"/>
          <w:b/>
          <w:color w:val="030303"/>
          <w:kern w:val="0"/>
          <w:sz w:val="32"/>
          <w:szCs w:val="32"/>
        </w:rPr>
        <w:t>：</w:t>
      </w:r>
      <w:r>
        <w:rPr>
          <w:rStyle w:val="19"/>
          <w:rFonts w:hint="eastAsia" w:ascii="仿宋_GB2312" w:hAnsi="仿宋_GB2312" w:eastAsia="仿宋_GB2312" w:cs="仿宋_GB2312"/>
          <w:b w:val="0"/>
          <w:bCs/>
          <w:sz w:val="32"/>
          <w:szCs w:val="32"/>
        </w:rPr>
        <w:t>支出决算为</w:t>
      </w:r>
      <w:r>
        <w:rPr>
          <w:rStyle w:val="19"/>
          <w:rFonts w:hint="eastAsia" w:ascii="仿宋_GB2312" w:hAnsi="仿宋_GB2312" w:eastAsia="仿宋_GB2312" w:cs="仿宋_GB2312"/>
          <w:b w:val="0"/>
          <w:bCs/>
          <w:sz w:val="32"/>
          <w:szCs w:val="32"/>
          <w:lang w:val="en-US" w:eastAsia="zh-CN"/>
        </w:rPr>
        <w:t>31.08</w:t>
      </w:r>
      <w:r>
        <w:rPr>
          <w:rStyle w:val="19"/>
          <w:rFonts w:hint="eastAsia" w:ascii="仿宋_GB2312" w:hAnsi="仿宋_GB2312" w:eastAsia="仿宋_GB2312" w:cs="仿宋_GB2312"/>
          <w:b w:val="0"/>
          <w:bCs/>
          <w:sz w:val="32"/>
          <w:szCs w:val="32"/>
        </w:rPr>
        <w:t>万元，完成预算100</w:t>
      </w:r>
      <w:r>
        <w:rPr>
          <w:rStyle w:val="19"/>
          <w:rFonts w:ascii="仿宋_GB2312" w:hAnsi="仿宋_GB2312" w:eastAsia="仿宋_GB2312" w:cs="仿宋_GB2312"/>
          <w:b w:val="0"/>
          <w:bCs/>
          <w:sz w:val="32"/>
          <w:szCs w:val="32"/>
        </w:rPr>
        <w:t>%</w:t>
      </w:r>
      <w:r>
        <w:rPr>
          <w:rStyle w:val="19"/>
          <w:rFonts w:hint="eastAsia" w:ascii="仿宋_GB2312" w:hAnsi="仿宋_GB2312" w:eastAsia="仿宋_GB2312" w:cs="仿宋_GB2312"/>
          <w:b w:val="0"/>
          <w:bCs/>
          <w:sz w:val="32"/>
          <w:szCs w:val="32"/>
        </w:rPr>
        <w:t>，决算数等于预算数。</w:t>
      </w:r>
    </w:p>
    <w:p>
      <w:pPr>
        <w:pStyle w:val="24"/>
        <w:rPr>
          <w:rFonts w:hint="eastAsia"/>
          <w:lang w:eastAsia="zh-CN"/>
        </w:rPr>
      </w:pPr>
    </w:p>
    <w:p>
      <w:pPr>
        <w:tabs>
          <w:tab w:val="right" w:pos="8306"/>
        </w:tabs>
        <w:spacing w:line="600" w:lineRule="exact"/>
        <w:ind w:firstLine="640"/>
        <w:outlineLvl w:val="1"/>
        <w:rPr>
          <w:rStyle w:val="22"/>
          <w:rFonts w:ascii="Times New Roman" w:hAnsi="Times New Roman"/>
          <w:color w:val="auto"/>
          <w:highlight w:val="none"/>
        </w:rPr>
      </w:pPr>
      <w:bookmarkStart w:id="45" w:name="_Toc15377214"/>
      <w:bookmarkStart w:id="46" w:name="_Toc1703"/>
      <w:bookmarkStart w:id="47" w:name="_Toc15396608"/>
      <w:r>
        <w:rPr>
          <w:rFonts w:hint="eastAsia" w:ascii="Times New Roman" w:hAnsi="Times New Roman" w:eastAsia="黑体"/>
          <w:color w:val="auto"/>
          <w:sz w:val="32"/>
          <w:szCs w:val="32"/>
          <w:highlight w:val="none"/>
        </w:rPr>
        <w:t>六</w:t>
      </w:r>
      <w:r>
        <w:rPr>
          <w:rFonts w:hint="eastAsia" w:ascii="Times New Roman" w:hAnsi="Times New Roman" w:eastAsia="黑体"/>
          <w:b/>
          <w:color w:val="auto"/>
          <w:sz w:val="32"/>
          <w:szCs w:val="32"/>
          <w:highlight w:val="none"/>
        </w:rPr>
        <w:t>、一</w:t>
      </w:r>
      <w:r>
        <w:rPr>
          <w:rStyle w:val="22"/>
          <w:rFonts w:hint="eastAsia" w:ascii="Times New Roman" w:hAnsi="Times New Roman" w:eastAsia="黑体"/>
          <w:b w:val="0"/>
          <w:color w:val="auto"/>
          <w:highlight w:val="none"/>
        </w:rPr>
        <w:t>般公共预算财政拨款基本支出决算情况说明</w:t>
      </w:r>
      <w:bookmarkEnd w:id="45"/>
      <w:bookmarkEnd w:id="46"/>
      <w:bookmarkEnd w:id="47"/>
      <w:r>
        <w:rPr>
          <w:rStyle w:val="22"/>
          <w:rFonts w:ascii="Times New Roman" w:hAnsi="Times New Roman" w:eastAsia="黑体"/>
          <w:b w:val="0"/>
          <w:color w:val="auto"/>
          <w:highlight w:val="none"/>
        </w:rPr>
        <w:tab/>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2024</w:t>
      </w:r>
      <w:r>
        <w:rPr>
          <w:rFonts w:hint="eastAsia" w:ascii="Times New Roman" w:hAnsi="Times New Roman" w:eastAsia="仿宋_GB2312" w:cs="仿宋_GB2312"/>
          <w:color w:val="auto"/>
          <w:kern w:val="2"/>
          <w:sz w:val="32"/>
          <w:szCs w:val="32"/>
          <w:highlight w:val="none"/>
          <w:lang w:val="en-US" w:eastAsia="zh-CN" w:bidi="ar-SA"/>
        </w:rPr>
        <w:t>年度一般公共预算财政拨款基本支出</w:t>
      </w:r>
      <w:r>
        <w:rPr>
          <w:rFonts w:hint="eastAsia" w:ascii="仿宋_GB2312" w:hAnsi="仿宋_GB2312" w:eastAsia="仿宋_GB2312" w:cs="仿宋_GB2312"/>
          <w:sz w:val="32"/>
          <w:szCs w:val="32"/>
          <w:lang w:val="en-US" w:eastAsia="zh-CN"/>
        </w:rPr>
        <w:t>397.97</w:t>
      </w:r>
      <w:r>
        <w:rPr>
          <w:rFonts w:hint="eastAsia" w:ascii="仿宋_GB2312" w:hAnsi="仿宋_GB2312" w:eastAsia="仿宋_GB2312" w:cs="仿宋_GB2312"/>
          <w:color w:val="auto"/>
          <w:kern w:val="2"/>
          <w:sz w:val="32"/>
          <w:szCs w:val="32"/>
          <w:highlight w:val="none"/>
          <w:lang w:val="en-US" w:eastAsia="zh-CN" w:bidi="ar-SA"/>
        </w:rPr>
        <w:t>万</w:t>
      </w:r>
      <w:r>
        <w:rPr>
          <w:rFonts w:hint="eastAsia" w:ascii="Times New Roman" w:hAnsi="Times New Roman" w:eastAsia="仿宋_GB2312" w:cs="仿宋_GB2312"/>
          <w:color w:val="auto"/>
          <w:kern w:val="2"/>
          <w:sz w:val="32"/>
          <w:szCs w:val="32"/>
          <w:highlight w:val="none"/>
          <w:lang w:val="en-US" w:eastAsia="zh-CN" w:bidi="ar-SA"/>
        </w:rPr>
        <w:t>元，其中：</w:t>
      </w:r>
    </w:p>
    <w:p>
      <w:pPr>
        <w:spacing w:line="600" w:lineRule="exact"/>
        <w:ind w:firstLine="645"/>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人员经费</w:t>
      </w:r>
      <w:r>
        <w:rPr>
          <w:rFonts w:hint="eastAsia" w:ascii="仿宋_GB2312" w:hAnsi="仿宋_GB2312" w:eastAsia="仿宋_GB2312" w:cs="仿宋_GB2312"/>
          <w:sz w:val="32"/>
          <w:szCs w:val="32"/>
          <w:lang w:val="en-US" w:eastAsia="zh-CN"/>
        </w:rPr>
        <w:t>356.98</w:t>
      </w:r>
      <w:r>
        <w:rPr>
          <w:rFonts w:hint="eastAsia" w:ascii="仿宋_GB2312" w:hAnsi="仿宋_GB2312" w:eastAsia="仿宋_GB2312" w:cs="仿宋_GB2312"/>
          <w:color w:val="auto"/>
          <w:kern w:val="2"/>
          <w:sz w:val="32"/>
          <w:szCs w:val="32"/>
          <w:highlight w:val="none"/>
          <w:lang w:val="en-US" w:eastAsia="zh-CN" w:bidi="ar-SA"/>
        </w:rPr>
        <w:t>万</w:t>
      </w:r>
      <w:r>
        <w:rPr>
          <w:rFonts w:hint="eastAsia" w:ascii="Times New Roman" w:hAnsi="Times New Roman" w:eastAsia="仿宋_GB2312" w:cs="仿宋_GB2312"/>
          <w:color w:val="auto"/>
          <w:kern w:val="2"/>
          <w:sz w:val="32"/>
          <w:szCs w:val="32"/>
          <w:highlight w:val="none"/>
          <w:lang w:val="en-US" w:eastAsia="zh-CN" w:bidi="ar-SA"/>
        </w:rPr>
        <w:t>元，主要包括：</w:t>
      </w:r>
      <w:r>
        <w:rPr>
          <w:rFonts w:hint="eastAsia" w:ascii="仿宋_GB2312" w:hAnsi="仿宋_GB2312" w:eastAsia="仿宋_GB2312" w:cs="仿宋_GB2312"/>
          <w:sz w:val="32"/>
          <w:szCs w:val="32"/>
        </w:rPr>
        <w:t>基本工资、津贴补贴、奖金、 绩效工资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机关事业单位基本养老保险缴费、  职业年金缴费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职工基本医疗保险缴费、其他社会保障缴费、住房公积金、生活补助。</w:t>
      </w:r>
      <w:r>
        <w:rPr>
          <w:rFonts w:hint="eastAsia" w:ascii="Times New Roman" w:hAnsi="Times New Roman" w:eastAsia="仿宋_GB2312" w:cs="仿宋_GB2312"/>
          <w:color w:val="auto"/>
          <w:kern w:val="2"/>
          <w:sz w:val="32"/>
          <w:szCs w:val="32"/>
          <w:highlight w:val="none"/>
          <w:lang w:val="en-US" w:eastAsia="zh-CN" w:bidi="ar-SA"/>
        </w:rPr>
        <w:br w:type="textWrapping"/>
      </w:r>
      <w:r>
        <w:rPr>
          <w:rFonts w:hint="eastAsia" w:ascii="Times New Roman" w:hAnsi="Times New Roman" w:eastAsia="仿宋_GB2312" w:cs="仿宋_GB2312"/>
          <w:color w:val="auto"/>
          <w:kern w:val="2"/>
          <w:sz w:val="32"/>
          <w:szCs w:val="32"/>
          <w:highlight w:val="none"/>
          <w:lang w:val="en-US" w:eastAsia="zh-CN" w:bidi="ar-SA"/>
        </w:rPr>
        <w:t>　　公用经费</w:t>
      </w:r>
      <w:r>
        <w:rPr>
          <w:rFonts w:hint="eastAsia" w:ascii="仿宋_GB2312" w:hAnsi="仿宋_GB2312" w:eastAsia="仿宋_GB2312" w:cs="仿宋_GB2312"/>
          <w:sz w:val="32"/>
          <w:szCs w:val="32"/>
          <w:lang w:val="en-US" w:eastAsia="zh-CN"/>
        </w:rPr>
        <w:t>40.99</w:t>
      </w:r>
      <w:r>
        <w:rPr>
          <w:rFonts w:hint="eastAsia" w:ascii="仿宋_GB2312" w:hAnsi="仿宋_GB2312" w:eastAsia="仿宋_GB2312" w:cs="仿宋_GB2312"/>
          <w:color w:val="auto"/>
          <w:kern w:val="2"/>
          <w:sz w:val="32"/>
          <w:szCs w:val="32"/>
          <w:highlight w:val="none"/>
          <w:lang w:val="en-US" w:eastAsia="zh-CN" w:bidi="ar-SA"/>
        </w:rPr>
        <w:t>万</w:t>
      </w:r>
      <w:r>
        <w:rPr>
          <w:rFonts w:hint="eastAsia" w:ascii="Times New Roman" w:hAnsi="Times New Roman" w:eastAsia="仿宋_GB2312" w:cs="仿宋_GB2312"/>
          <w:color w:val="auto"/>
          <w:kern w:val="2"/>
          <w:sz w:val="32"/>
          <w:szCs w:val="32"/>
          <w:highlight w:val="none"/>
          <w:lang w:val="en-US" w:eastAsia="zh-CN" w:bidi="ar-SA"/>
        </w:rPr>
        <w:t>元，主要包括</w:t>
      </w:r>
      <w:r>
        <w:rPr>
          <w:rFonts w:hint="eastAsia" w:eastAsia="仿宋_GB2312" w:cs="仿宋_GB2312"/>
          <w:color w:val="auto"/>
          <w:kern w:val="2"/>
          <w:sz w:val="32"/>
          <w:szCs w:val="32"/>
          <w:highlight w:val="none"/>
          <w:lang w:val="en-US" w:eastAsia="zh-CN" w:bidi="ar-SA"/>
        </w:rPr>
        <w:t>：</w:t>
      </w:r>
      <w:r>
        <w:rPr>
          <w:rFonts w:hint="eastAsia" w:ascii="仿宋_GB2312" w:hAnsi="仿宋_GB2312" w:eastAsia="仿宋_GB2312" w:cs="仿宋_GB2312"/>
          <w:sz w:val="32"/>
          <w:szCs w:val="32"/>
        </w:rPr>
        <w:t>办公费、印刷费、手续费、差旅费、维修（护）费、培训费、公务接待费、委托业务费、工会经费、福利费、其他商品和服务支出。</w:t>
      </w:r>
    </w:p>
    <w:p>
      <w:pPr>
        <w:spacing w:line="600" w:lineRule="exact"/>
        <w:ind w:firstLine="640"/>
        <w:outlineLvl w:val="1"/>
        <w:rPr>
          <w:rStyle w:val="22"/>
          <w:rFonts w:ascii="Times New Roman" w:hAnsi="Times New Roman" w:eastAsia="黑体"/>
          <w:b w:val="0"/>
          <w:color w:val="auto"/>
          <w:highlight w:val="none"/>
        </w:rPr>
      </w:pPr>
      <w:bookmarkStart w:id="48" w:name="_Toc15396609"/>
      <w:bookmarkStart w:id="49" w:name="_Toc15377215"/>
      <w:bookmarkStart w:id="50" w:name="_Toc19079"/>
      <w:r>
        <w:rPr>
          <w:rFonts w:hint="eastAsia" w:ascii="Times New Roman" w:hAnsi="Times New Roman" w:eastAsia="黑体"/>
          <w:color w:val="auto"/>
          <w:sz w:val="32"/>
          <w:szCs w:val="32"/>
          <w:highlight w:val="none"/>
        </w:rPr>
        <w:t>七、</w:t>
      </w:r>
      <w:r>
        <w:rPr>
          <w:rStyle w:val="22"/>
          <w:rFonts w:hint="eastAsia" w:ascii="Times New Roman" w:hAnsi="Times New Roman" w:eastAsia="黑体"/>
          <w:b w:val="0"/>
          <w:color w:val="auto"/>
          <w:highlight w:val="none"/>
        </w:rPr>
        <w:t>财政拨款</w:t>
      </w:r>
      <w:r>
        <w:rPr>
          <w:rStyle w:val="22"/>
          <w:rFonts w:hint="eastAsia" w:ascii="Times New Roman" w:hAnsi="Times New Roman" w:eastAsia="黑体"/>
          <w:color w:val="auto"/>
          <w:highlight w:val="none"/>
        </w:rPr>
        <w:t>“</w:t>
      </w:r>
      <w:r>
        <w:rPr>
          <w:rStyle w:val="22"/>
          <w:rFonts w:hint="eastAsia" w:ascii="Times New Roman" w:hAnsi="Times New Roman" w:eastAsia="黑体"/>
          <w:b w:val="0"/>
          <w:color w:val="auto"/>
          <w:highlight w:val="none"/>
        </w:rPr>
        <w:t>三公”经费支出决算情况说明</w:t>
      </w:r>
      <w:bookmarkEnd w:id="48"/>
      <w:bookmarkEnd w:id="49"/>
      <w:bookmarkEnd w:id="50"/>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51" w:name="_Toc13684"/>
      <w:bookmarkStart w:id="52" w:name="_Toc15377216"/>
      <w:r>
        <w:rPr>
          <w:rFonts w:hint="eastAsia" w:ascii="Times New Roman" w:hAnsi="Times New Roman" w:eastAsia="楷体_GB2312" w:cs="楷体_GB2312"/>
          <w:b/>
          <w:color w:val="auto"/>
          <w:sz w:val="32"/>
          <w:szCs w:val="32"/>
          <w:highlight w:val="none"/>
        </w:rPr>
        <w:t>（一）“三公”经费财政拨款支出决算总体情况说明</w:t>
      </w:r>
      <w:bookmarkEnd w:id="51"/>
      <w:bookmarkEnd w:id="52"/>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2024</w:t>
      </w:r>
      <w:r>
        <w:rPr>
          <w:rFonts w:hint="eastAsia" w:ascii="Times New Roman" w:hAnsi="Times New Roman" w:eastAsia="仿宋_GB2312" w:cs="仿宋_GB2312"/>
          <w:color w:val="auto"/>
          <w:kern w:val="2"/>
          <w:sz w:val="32"/>
          <w:szCs w:val="32"/>
          <w:highlight w:val="none"/>
          <w:lang w:val="en-US" w:eastAsia="zh-CN" w:bidi="ar-SA"/>
        </w:rPr>
        <w:t>年度“三公”经费财政拨款支出决算为</w:t>
      </w:r>
      <w:r>
        <w:rPr>
          <w:rFonts w:hint="eastAsia" w:ascii="仿宋_GB2312" w:hAnsi="仿宋_GB2312" w:eastAsia="仿宋_GB2312" w:cs="仿宋_GB2312"/>
          <w:sz w:val="32"/>
          <w:szCs w:val="32"/>
        </w:rPr>
        <w:t>0.</w:t>
      </w:r>
      <w:r>
        <w:rPr>
          <w:rFonts w:hint="eastAsia" w:ascii="仿宋_GB2312" w:hAnsi="仿宋_GB2312" w:eastAsia="仿宋_GB2312" w:cs="仿宋_GB2312"/>
          <w:sz w:val="32"/>
          <w:szCs w:val="32"/>
          <w:lang w:val="en-US" w:eastAsia="zh-CN"/>
        </w:rPr>
        <w:t>26</w:t>
      </w:r>
      <w:r>
        <w:rPr>
          <w:rFonts w:hint="eastAsia" w:ascii="仿宋_GB2312" w:hAnsi="仿宋_GB2312" w:eastAsia="仿宋_GB2312" w:cs="仿宋_GB2312"/>
          <w:color w:val="auto"/>
          <w:kern w:val="2"/>
          <w:sz w:val="32"/>
          <w:szCs w:val="32"/>
          <w:highlight w:val="none"/>
          <w:lang w:val="en-US" w:eastAsia="zh-CN" w:bidi="ar-SA"/>
        </w:rPr>
        <w:t>万元，完成预算</w:t>
      </w:r>
      <w:r>
        <w:rPr>
          <w:rFonts w:hint="eastAsia" w:ascii="仿宋_GB2312" w:hAnsi="仿宋_GB2312" w:eastAsia="仿宋_GB2312" w:cs="仿宋_GB2312"/>
          <w:sz w:val="32"/>
          <w:szCs w:val="32"/>
        </w:rPr>
        <w:t>100</w:t>
      </w:r>
      <w:r>
        <w:rPr>
          <w:rFonts w:hint="eastAsia" w:ascii="仿宋_GB2312" w:hAnsi="仿宋_GB2312"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较上年度减少</w:t>
      </w:r>
      <w:r>
        <w:rPr>
          <w:rFonts w:hint="eastAsia" w:ascii="仿宋_GB2312" w:hAnsi="仿宋_GB2312" w:eastAsia="仿宋_GB2312" w:cs="仿宋_GB2312"/>
          <w:sz w:val="32"/>
          <w:szCs w:val="32"/>
          <w:lang w:val="en-US" w:eastAsia="zh-CN"/>
        </w:rPr>
        <w:t>0.46</w:t>
      </w:r>
      <w:r>
        <w:rPr>
          <w:rFonts w:hint="eastAsia" w:ascii="Times New Roman" w:hAnsi="Times New Roman" w:eastAsia="仿宋_GB2312" w:cs="仿宋_GB2312"/>
          <w:color w:val="auto"/>
          <w:kern w:val="2"/>
          <w:sz w:val="32"/>
          <w:szCs w:val="32"/>
          <w:highlight w:val="none"/>
          <w:lang w:val="en-US" w:eastAsia="zh-CN" w:bidi="ar-SA"/>
        </w:rPr>
        <w:t>万元</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下降</w:t>
      </w:r>
      <w:r>
        <w:rPr>
          <w:rFonts w:hint="eastAsia" w:ascii="仿宋_GB2312" w:hAnsi="仿宋_GB2312" w:eastAsia="仿宋_GB2312" w:cs="仿宋_GB2312"/>
          <w:sz w:val="32"/>
          <w:szCs w:val="32"/>
          <w:lang w:val="en-US" w:eastAsia="zh-CN"/>
        </w:rPr>
        <w:t>63.89%。</w:t>
      </w:r>
      <w:r>
        <w:rPr>
          <w:rFonts w:hint="eastAsia" w:ascii="Times New Roman" w:hAnsi="Times New Roman" w:eastAsia="仿宋_GB2312" w:cs="仿宋_GB2312"/>
          <w:color w:val="auto"/>
          <w:kern w:val="2"/>
          <w:sz w:val="32"/>
          <w:szCs w:val="32"/>
          <w:highlight w:val="none"/>
          <w:lang w:val="en-US" w:eastAsia="zh-CN" w:bidi="ar-SA"/>
        </w:rPr>
        <w:t>决算数与预算数持平</w:t>
      </w:r>
      <w:r>
        <w:rPr>
          <w:rFonts w:hint="eastAsia" w:eastAsia="仿宋_GB2312" w:cs="仿宋_GB2312"/>
          <w:color w:val="auto"/>
          <w:kern w:val="2"/>
          <w:sz w:val="32"/>
          <w:szCs w:val="32"/>
          <w:highlight w:val="none"/>
          <w:lang w:val="en-US" w:eastAsia="zh-CN" w:bidi="ar-SA"/>
        </w:rPr>
        <w:t>。</w:t>
      </w:r>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53" w:name="_Toc15377217"/>
      <w:bookmarkStart w:id="54" w:name="_Toc13680"/>
      <w:r>
        <w:rPr>
          <w:rFonts w:hint="eastAsia" w:ascii="Times New Roman" w:hAnsi="Times New Roman" w:eastAsia="楷体_GB2312" w:cs="楷体_GB2312"/>
          <w:b/>
          <w:color w:val="auto"/>
          <w:sz w:val="32"/>
          <w:szCs w:val="32"/>
          <w:highlight w:val="none"/>
        </w:rPr>
        <w:t>（二）“三公”经费财政拨款支出决算具体情况说明</w:t>
      </w:r>
      <w:bookmarkEnd w:id="53"/>
      <w:bookmarkEnd w:id="54"/>
    </w:p>
    <w:p>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2024</w:t>
      </w:r>
      <w:r>
        <w:rPr>
          <w:rFonts w:hint="eastAsia" w:ascii="仿宋_GB2312" w:hAnsi="仿宋_GB2312" w:eastAsia="仿宋_GB2312" w:cs="仿宋_GB2312"/>
          <w:color w:val="auto"/>
          <w:kern w:val="2"/>
          <w:sz w:val="32"/>
          <w:szCs w:val="32"/>
          <w:highlight w:val="none"/>
          <w:lang w:val="en-US" w:eastAsia="zh-CN" w:bidi="ar-SA"/>
        </w:rPr>
        <w:t>年度“三公”经费财政拨款支出决算中，因公出国（境）费支出决算</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万元，占0%；公务用车购置及运行维护费支出决算</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万元，占0%；公务接待费支出决算</w:t>
      </w:r>
      <w:r>
        <w:rPr>
          <w:rFonts w:hint="eastAsia" w:ascii="仿宋_GB2312" w:hAnsi="仿宋_GB2312" w:eastAsia="仿宋_GB2312" w:cs="仿宋_GB2312"/>
          <w:sz w:val="32"/>
          <w:szCs w:val="32"/>
          <w:lang w:val="en-US" w:eastAsia="zh-CN"/>
        </w:rPr>
        <w:t>0.26</w:t>
      </w:r>
      <w:r>
        <w:rPr>
          <w:rFonts w:hint="eastAsia" w:ascii="仿宋_GB2312" w:hAnsi="仿宋_GB2312" w:eastAsia="仿宋_GB2312" w:cs="仿宋_GB2312"/>
          <w:color w:val="auto"/>
          <w:kern w:val="2"/>
          <w:sz w:val="32"/>
          <w:szCs w:val="32"/>
          <w:highlight w:val="none"/>
          <w:lang w:val="en-US" w:eastAsia="zh-CN" w:bidi="ar-SA"/>
        </w:rPr>
        <w:t>万元，占100%。具体情况如下：</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（图7：“三公”经费财政拨款支出结构）（饼状图）</w:t>
      </w:r>
    </w:p>
    <w:p>
      <w:pPr>
        <w:pStyle w:val="2"/>
        <w:rPr>
          <w:rFonts w:hint="default"/>
          <w:lang w:val="en-US" w:eastAsia="zh-CN"/>
        </w:rPr>
      </w:pPr>
      <w:r>
        <w:rPr>
          <w:rFonts w:hint="eastAsia" w:ascii="Times New Roman" w:cs="仿宋_GB2312"/>
          <w:color w:val="auto"/>
          <w:kern w:val="2"/>
          <w:sz w:val="32"/>
          <w:szCs w:val="32"/>
          <w:highlight w:val="none"/>
          <w:lang w:val="en-US" w:eastAsia="zh-CN" w:bidi="ar-SA"/>
        </w:rPr>
        <w:t xml:space="preserve">   </w:t>
      </w:r>
      <w:r>
        <w:rPr>
          <w:rFonts w:hint="eastAsia" w:ascii="Times New Roman" w:cs="仿宋_GB2312"/>
          <w:color w:val="auto"/>
          <w:kern w:val="2"/>
          <w:sz w:val="32"/>
          <w:szCs w:val="32"/>
          <w:highlight w:val="none"/>
          <w:lang w:val="en-US" w:eastAsia="zh-CN" w:bidi="ar-SA"/>
        </w:rPr>
        <w:drawing>
          <wp:inline distT="0" distB="0" distL="114300" distR="114300">
            <wp:extent cx="4851400" cy="3162300"/>
            <wp:effectExtent l="4445" t="4445" r="20955" b="14605"/>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pPr>
        <w:spacing w:line="600" w:lineRule="exact"/>
        <w:ind w:firstLine="640"/>
        <w:rPr>
          <w:rFonts w:hint="eastAsia" w:ascii="仿宋_GB2312" w:hAnsi="仿宋_GB2312" w:eastAsia="仿宋_GB2312" w:cs="仿宋_GB2312"/>
          <w:sz w:val="32"/>
          <w:szCs w:val="32"/>
        </w:rPr>
      </w:pPr>
      <w:r>
        <w:rPr>
          <w:rFonts w:hint="eastAsia" w:ascii="Times New Roman" w:hAnsi="Times New Roman" w:eastAsia="仿宋_GB2312" w:cs="仿宋_GB2312"/>
          <w:b/>
          <w:bCs/>
          <w:color w:val="auto"/>
          <w:kern w:val="2"/>
          <w:sz w:val="32"/>
          <w:szCs w:val="32"/>
          <w:highlight w:val="none"/>
          <w:lang w:val="en-US" w:eastAsia="zh-CN" w:bidi="ar-SA"/>
        </w:rPr>
        <w:t>1.因公出国（境）经费支出</w:t>
      </w:r>
      <w:r>
        <w:rPr>
          <w:rFonts w:hint="eastAsia" w:ascii="仿宋_GB2312" w:hAnsi="仿宋_GB2312" w:eastAsia="仿宋_GB2312" w:cs="仿宋_GB2312"/>
          <w:sz w:val="32"/>
          <w:szCs w:val="32"/>
        </w:rPr>
        <w:t>0万元，年初未安排预算，因公出国（境）支出决算较202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年无变化。</w:t>
      </w:r>
    </w:p>
    <w:p>
      <w:pPr>
        <w:spacing w:line="600" w:lineRule="exact"/>
        <w:ind w:firstLine="640"/>
        <w:rPr>
          <w:rFonts w:hint="eastAsia" w:ascii="仿宋_GB2312" w:hAnsi="仿宋_GB2312" w:eastAsia="仿宋_GB2312" w:cs="仿宋_GB2312"/>
          <w:b/>
          <w:sz w:val="32"/>
          <w:szCs w:val="32"/>
        </w:rPr>
      </w:pPr>
      <w:r>
        <w:rPr>
          <w:rFonts w:hint="eastAsia" w:ascii="Times New Roman" w:hAnsi="Times New Roman" w:eastAsia="仿宋_GB2312" w:cs="仿宋_GB2312"/>
          <w:b/>
          <w:bCs/>
          <w:color w:val="auto"/>
          <w:kern w:val="2"/>
          <w:sz w:val="32"/>
          <w:szCs w:val="32"/>
          <w:highlight w:val="none"/>
          <w:lang w:val="en-US" w:eastAsia="zh-CN" w:bidi="ar-SA"/>
        </w:rPr>
        <w:t>2.公务用车购置及运行维护费支出</w:t>
      </w:r>
      <w:r>
        <w:rPr>
          <w:rFonts w:hint="eastAsia" w:ascii="仿宋_GB2312" w:hAnsi="仿宋_GB2312" w:eastAsia="仿宋_GB2312" w:cs="仿宋_GB2312"/>
          <w:sz w:val="32"/>
          <w:szCs w:val="32"/>
        </w:rPr>
        <w:t>0万元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年初未安排预算，公务用车购置及运行维护支出决算较202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年无变化。</w:t>
      </w:r>
    </w:p>
    <w:p>
      <w:pPr>
        <w:spacing w:line="600" w:lineRule="exact"/>
        <w:ind w:firstLine="640" w:firstLineChars="200"/>
        <w:rPr>
          <w:rFonts w:ascii="仿宋_GB2312" w:hAnsi="仿宋_GB2312" w:eastAsia="仿宋_GB2312" w:cs="仿宋_GB2312"/>
          <w:b/>
          <w:sz w:val="32"/>
          <w:szCs w:val="32"/>
        </w:rPr>
      </w:pPr>
      <w:r>
        <w:rPr>
          <w:rFonts w:hint="eastAsia" w:ascii="仿宋_GB2312" w:hAnsi="仿宋_GB2312" w:eastAsia="仿宋_GB2312" w:cs="仿宋_GB2312"/>
          <w:sz w:val="32"/>
          <w:szCs w:val="32"/>
        </w:rPr>
        <w:t>其中：</w:t>
      </w:r>
      <w:r>
        <w:rPr>
          <w:rFonts w:hint="eastAsia" w:ascii="仿宋_GB2312" w:hAnsi="仿宋_GB2312" w:eastAsia="仿宋_GB2312" w:cs="仿宋_GB2312"/>
          <w:b/>
          <w:sz w:val="32"/>
          <w:szCs w:val="32"/>
        </w:rPr>
        <w:t>公务用车购置支出</w:t>
      </w:r>
      <w:r>
        <w:rPr>
          <w:rFonts w:hint="eastAsia" w:ascii="仿宋_GB2312" w:hAnsi="仿宋_GB2312" w:eastAsia="仿宋_GB2312" w:cs="仿宋_GB2312"/>
          <w:sz w:val="32"/>
          <w:szCs w:val="32"/>
        </w:rPr>
        <w:t>0万元。202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年度单位未购置公务用车，</w:t>
      </w:r>
      <w:r>
        <w:rPr>
          <w:rFonts w:hint="eastAsia" w:ascii="仿宋_GB2312" w:eastAsia="仿宋_GB2312"/>
          <w:sz w:val="32"/>
          <w:szCs w:val="32"/>
        </w:rPr>
        <w:t>截至</w:t>
      </w:r>
      <w:r>
        <w:rPr>
          <w:rFonts w:ascii="仿宋_GB2312" w:eastAsia="仿宋_GB2312"/>
          <w:sz w:val="32"/>
          <w:szCs w:val="32"/>
        </w:rPr>
        <w:t>20</w:t>
      </w:r>
      <w:r>
        <w:rPr>
          <w:rFonts w:hint="eastAsia" w:ascii="仿宋_GB2312" w:eastAsia="仿宋_GB2312"/>
          <w:sz w:val="32"/>
          <w:szCs w:val="32"/>
        </w:rPr>
        <w:t>2</w:t>
      </w:r>
      <w:r>
        <w:rPr>
          <w:rFonts w:hint="eastAsia" w:ascii="仿宋_GB2312" w:eastAsia="仿宋_GB2312"/>
          <w:sz w:val="32"/>
          <w:szCs w:val="32"/>
          <w:lang w:val="en-US" w:eastAsia="zh-CN"/>
        </w:rPr>
        <w:t>4</w:t>
      </w:r>
      <w:r>
        <w:rPr>
          <w:rFonts w:hint="eastAsia" w:ascii="仿宋_GB2312" w:eastAsia="仿宋_GB2312"/>
          <w:sz w:val="32"/>
          <w:szCs w:val="32"/>
        </w:rPr>
        <w:t>年底</w:t>
      </w:r>
      <w:r>
        <w:rPr>
          <w:rFonts w:hint="eastAsia" w:ascii="仿宋_GB2312" w:eastAsia="仿宋_GB2312"/>
          <w:sz w:val="32"/>
          <w:szCs w:val="32"/>
          <w:lang w:eastAsia="zh-CN"/>
        </w:rPr>
        <w:t>，</w:t>
      </w:r>
      <w:r>
        <w:rPr>
          <w:rFonts w:hint="eastAsia" w:ascii="仿宋_GB2312" w:eastAsia="仿宋_GB2312"/>
          <w:sz w:val="32"/>
          <w:szCs w:val="32"/>
        </w:rPr>
        <w:t>单位无公务用车保有量。</w:t>
      </w:r>
    </w:p>
    <w:p>
      <w:pPr>
        <w:spacing w:line="600" w:lineRule="exact"/>
        <w:ind w:firstLine="640"/>
      </w:pPr>
      <w:r>
        <w:rPr>
          <w:rFonts w:hint="eastAsia" w:ascii="仿宋_GB2312" w:hAnsi="仿宋_GB2312" w:eastAsia="仿宋_GB2312" w:cs="仿宋_GB2312"/>
          <w:b/>
          <w:sz w:val="32"/>
          <w:szCs w:val="32"/>
        </w:rPr>
        <w:t>公务用车运行维护费支出</w:t>
      </w:r>
      <w:r>
        <w:rPr>
          <w:rFonts w:hint="eastAsia" w:ascii="仿宋_GB2312" w:hAnsi="仿宋_GB2312" w:eastAsia="仿宋_GB2312" w:cs="仿宋_GB2312"/>
          <w:sz w:val="32"/>
          <w:szCs w:val="32"/>
        </w:rPr>
        <w:t>0万元。</w:t>
      </w:r>
      <w:r>
        <w:rPr>
          <w:rFonts w:hint="eastAsia" w:ascii="仿宋_GB2312" w:eastAsia="仿宋_GB2312"/>
          <w:sz w:val="32"/>
          <w:szCs w:val="32"/>
        </w:rPr>
        <w:t>本单位未安排公务用车运行维护费。</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b/>
          <w:bCs/>
          <w:color w:val="auto"/>
          <w:kern w:val="2"/>
          <w:sz w:val="32"/>
          <w:szCs w:val="32"/>
          <w:highlight w:val="none"/>
          <w:lang w:val="en-US" w:eastAsia="zh-CN" w:bidi="ar-SA"/>
        </w:rPr>
        <w:t>3.公务接待费支出</w:t>
      </w:r>
      <w:r>
        <w:rPr>
          <w:rFonts w:hint="eastAsia" w:ascii="仿宋_GB2312" w:hAnsi="仿宋_GB2312" w:eastAsia="仿宋_GB2312" w:cs="仿宋_GB2312"/>
          <w:color w:val="auto"/>
          <w:kern w:val="2"/>
          <w:sz w:val="32"/>
          <w:szCs w:val="32"/>
          <w:highlight w:val="none"/>
          <w:lang w:val="en-US" w:eastAsia="zh-CN" w:bidi="ar-SA"/>
        </w:rPr>
        <w:t>0.26</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ascii="仿宋_GB2312" w:hAnsi="仿宋_GB2312"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公务接待费支出决算比</w:t>
      </w:r>
      <w:r>
        <w:rPr>
          <w:rFonts w:hint="eastAsia" w:ascii="仿宋_GB2312" w:hAnsi="仿宋_GB2312" w:eastAsia="仿宋_GB2312" w:cs="仿宋_GB2312"/>
          <w:color w:val="auto"/>
          <w:kern w:val="2"/>
          <w:sz w:val="32"/>
          <w:szCs w:val="32"/>
          <w:highlight w:val="none"/>
          <w:lang w:val="en-US" w:eastAsia="zh-CN" w:bidi="ar-SA"/>
        </w:rPr>
        <w:t>2023</w:t>
      </w:r>
      <w:r>
        <w:rPr>
          <w:rFonts w:hint="eastAsia" w:ascii="Times New Roman" w:hAnsi="Times New Roman" w:eastAsia="仿宋_GB2312" w:cs="仿宋_GB2312"/>
          <w:color w:val="auto"/>
          <w:kern w:val="2"/>
          <w:sz w:val="32"/>
          <w:szCs w:val="32"/>
          <w:highlight w:val="none"/>
          <w:lang w:val="en-US" w:eastAsia="zh-CN" w:bidi="ar-SA"/>
        </w:rPr>
        <w:t>年度减少</w:t>
      </w:r>
      <w:r>
        <w:rPr>
          <w:rFonts w:hint="eastAsia" w:ascii="仿宋_GB2312" w:hAnsi="仿宋_GB2312" w:eastAsia="仿宋_GB2312" w:cs="仿宋_GB2312"/>
          <w:color w:val="auto"/>
          <w:kern w:val="2"/>
          <w:sz w:val="32"/>
          <w:szCs w:val="32"/>
          <w:highlight w:val="none"/>
          <w:lang w:val="en-US" w:eastAsia="zh-CN" w:bidi="ar-SA"/>
        </w:rPr>
        <w:t>0.46</w:t>
      </w:r>
      <w:r>
        <w:rPr>
          <w:rFonts w:hint="eastAsia" w:ascii="Times New Roman" w:hAnsi="Times New Roman" w:eastAsia="仿宋_GB2312" w:cs="仿宋_GB2312"/>
          <w:color w:val="auto"/>
          <w:kern w:val="2"/>
          <w:sz w:val="32"/>
          <w:szCs w:val="32"/>
          <w:highlight w:val="none"/>
          <w:lang w:val="en-US" w:eastAsia="zh-CN" w:bidi="ar-SA"/>
        </w:rPr>
        <w:t>万元，下降</w:t>
      </w:r>
      <w:r>
        <w:rPr>
          <w:rFonts w:hint="eastAsia" w:ascii="仿宋_GB2312" w:hAnsi="仿宋_GB2312" w:eastAsia="仿宋_GB2312" w:cs="仿宋_GB2312"/>
          <w:color w:val="auto"/>
          <w:kern w:val="2"/>
          <w:sz w:val="32"/>
          <w:szCs w:val="32"/>
          <w:highlight w:val="none"/>
          <w:lang w:val="en-US" w:eastAsia="zh-CN" w:bidi="ar-SA"/>
        </w:rPr>
        <w:t>63.89%。</w:t>
      </w:r>
      <w:r>
        <w:rPr>
          <w:rFonts w:hint="eastAsia" w:ascii="Times New Roman" w:hAnsi="Times New Roman" w:eastAsia="仿宋_GB2312" w:cs="仿宋_GB2312"/>
          <w:color w:val="auto"/>
          <w:kern w:val="2"/>
          <w:sz w:val="32"/>
          <w:szCs w:val="32"/>
          <w:highlight w:val="none"/>
          <w:lang w:val="en-US" w:eastAsia="zh-CN" w:bidi="ar-SA"/>
        </w:rPr>
        <w:t>主要原因是</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年度其他</w:t>
      </w:r>
      <w:r>
        <w:rPr>
          <w:rFonts w:hint="eastAsia" w:ascii="仿宋" w:hAnsi="仿宋" w:eastAsia="仿宋"/>
          <w:sz w:val="32"/>
          <w:szCs w:val="32"/>
        </w:rPr>
        <w:t>市州来我单位考察调研</w:t>
      </w:r>
      <w:r>
        <w:rPr>
          <w:rFonts w:hint="eastAsia" w:ascii="仿宋" w:hAnsi="仿宋" w:eastAsia="仿宋"/>
          <w:sz w:val="32"/>
          <w:szCs w:val="32"/>
          <w:lang w:eastAsia="zh-CN"/>
        </w:rPr>
        <w:t>次数减少</w:t>
      </w:r>
      <w:r>
        <w:rPr>
          <w:rFonts w:hint="eastAsia" w:ascii="Times New Roman" w:hAnsi="Times New Roman" w:eastAsia="仿宋_GB2312" w:cs="仿宋_GB2312"/>
          <w:color w:val="auto"/>
          <w:kern w:val="2"/>
          <w:sz w:val="32"/>
          <w:szCs w:val="32"/>
          <w:highlight w:val="none"/>
          <w:lang w:val="en-US" w:eastAsia="zh-CN" w:bidi="ar-SA"/>
        </w:rPr>
        <w:t>。其中：</w:t>
      </w:r>
    </w:p>
    <w:p>
      <w:pPr>
        <w:spacing w:line="600" w:lineRule="exact"/>
        <w:ind w:firstLine="640"/>
        <w:rPr>
          <w:rFonts w:hint="eastAsia" w:ascii="仿宋_GB2312" w:hAnsi="宋体" w:eastAsia="仿宋_GB2312" w:cs="宋体"/>
          <w:color w:val="000000"/>
          <w:sz w:val="32"/>
          <w:szCs w:val="32"/>
        </w:rPr>
      </w:pPr>
      <w:r>
        <w:rPr>
          <w:rFonts w:hint="eastAsia" w:ascii="Times New Roman" w:hAnsi="Times New Roman" w:eastAsia="仿宋_GB2312" w:cs="仿宋_GB2312"/>
          <w:b/>
          <w:bCs/>
          <w:color w:val="auto"/>
          <w:kern w:val="2"/>
          <w:sz w:val="32"/>
          <w:szCs w:val="32"/>
          <w:highlight w:val="none"/>
          <w:lang w:val="en-US" w:eastAsia="zh-CN" w:bidi="ar-SA"/>
        </w:rPr>
        <w:t>国内公务接待支</w:t>
      </w:r>
      <w:r>
        <w:rPr>
          <w:rFonts w:hint="eastAsia" w:ascii="仿宋_GB2312" w:hAnsi="仿宋_GB2312" w:eastAsia="仿宋_GB2312" w:cs="仿宋_GB2312"/>
          <w:b/>
          <w:bCs/>
          <w:color w:val="auto"/>
          <w:kern w:val="2"/>
          <w:sz w:val="32"/>
          <w:szCs w:val="32"/>
          <w:highlight w:val="none"/>
          <w:lang w:val="en-US" w:eastAsia="zh-CN" w:bidi="ar-SA"/>
        </w:rPr>
        <w:t>出</w:t>
      </w:r>
      <w:r>
        <w:rPr>
          <w:rFonts w:hint="eastAsia" w:ascii="仿宋_GB2312" w:hAnsi="仿宋_GB2312" w:eastAsia="仿宋_GB2312" w:cs="仿宋_GB2312"/>
          <w:sz w:val="32"/>
          <w:szCs w:val="32"/>
        </w:rPr>
        <w:t>0.</w:t>
      </w:r>
      <w:r>
        <w:rPr>
          <w:rFonts w:hint="eastAsia" w:ascii="仿宋_GB2312" w:hAnsi="仿宋_GB2312" w:eastAsia="仿宋_GB2312" w:cs="仿宋_GB2312"/>
          <w:sz w:val="32"/>
          <w:szCs w:val="32"/>
          <w:lang w:val="en-US" w:eastAsia="zh-CN"/>
        </w:rPr>
        <w:t>26</w:t>
      </w:r>
      <w:r>
        <w:rPr>
          <w:rFonts w:hint="eastAsia" w:ascii="仿宋_GB2312" w:hAnsi="仿宋_GB2312" w:eastAsia="仿宋_GB2312" w:cs="仿宋_GB2312"/>
          <w:color w:val="auto"/>
          <w:kern w:val="2"/>
          <w:sz w:val="32"/>
          <w:szCs w:val="32"/>
          <w:highlight w:val="none"/>
          <w:lang w:val="en-US" w:eastAsia="zh-CN" w:bidi="ar-SA"/>
        </w:rPr>
        <w:t>万</w:t>
      </w:r>
      <w:r>
        <w:rPr>
          <w:rFonts w:hint="eastAsia" w:ascii="Times New Roman" w:hAnsi="Times New Roman" w:eastAsia="仿宋_GB2312" w:cs="仿宋_GB2312"/>
          <w:color w:val="auto"/>
          <w:kern w:val="2"/>
          <w:sz w:val="32"/>
          <w:szCs w:val="32"/>
          <w:highlight w:val="none"/>
          <w:lang w:val="en-US" w:eastAsia="zh-CN" w:bidi="ar-SA"/>
        </w:rPr>
        <w:t>元，主要用于</w:t>
      </w:r>
      <w:r>
        <w:rPr>
          <w:rFonts w:hint="eastAsia" w:ascii="仿宋_GB2312" w:hAnsi="仿宋_GB2312" w:eastAsia="仿宋_GB2312" w:cs="仿宋_GB2312"/>
          <w:sz w:val="32"/>
          <w:szCs w:val="32"/>
        </w:rPr>
        <w:t>执行公务、开展业务活动开支的用餐费</w:t>
      </w:r>
      <w:r>
        <w:rPr>
          <w:rFonts w:hint="eastAsia" w:ascii="Times New Roman" w:hAnsi="Times New Roman" w:eastAsia="仿宋_GB2312" w:cs="仿宋_GB2312"/>
          <w:color w:val="auto"/>
          <w:kern w:val="2"/>
          <w:sz w:val="32"/>
          <w:szCs w:val="32"/>
          <w:highlight w:val="none"/>
          <w:lang w:val="en-US" w:eastAsia="zh-CN" w:bidi="ar-SA"/>
        </w:rPr>
        <w:t>。国内公务接</w:t>
      </w:r>
      <w:r>
        <w:rPr>
          <w:rFonts w:hint="eastAsia" w:ascii="仿宋_GB2312" w:hAnsi="仿宋_GB2312" w:eastAsia="仿宋_GB2312" w:cs="仿宋_GB2312"/>
          <w:color w:val="auto"/>
          <w:kern w:val="2"/>
          <w:sz w:val="32"/>
          <w:szCs w:val="32"/>
          <w:highlight w:val="none"/>
          <w:lang w:val="en-US" w:eastAsia="zh-CN" w:bidi="ar-SA"/>
        </w:rPr>
        <w:t>待</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color w:val="auto"/>
          <w:kern w:val="2"/>
          <w:sz w:val="32"/>
          <w:szCs w:val="32"/>
          <w:highlight w:val="none"/>
          <w:lang w:val="en-US" w:eastAsia="zh-CN" w:bidi="ar-SA"/>
        </w:rPr>
        <w:t>批次，</w:t>
      </w:r>
      <w:r>
        <w:rPr>
          <w:rFonts w:hint="eastAsia" w:ascii="仿宋_GB2312" w:hAnsi="仿宋_GB2312" w:eastAsia="仿宋_GB2312" w:cs="仿宋_GB2312"/>
          <w:sz w:val="32"/>
          <w:szCs w:val="32"/>
          <w:lang w:val="en-US" w:eastAsia="zh-CN"/>
        </w:rPr>
        <w:t>18</w:t>
      </w:r>
      <w:r>
        <w:rPr>
          <w:rFonts w:hint="eastAsia" w:ascii="Times New Roman" w:hAnsi="Times New Roman" w:eastAsia="仿宋_GB2312" w:cs="仿宋_GB2312"/>
          <w:color w:val="auto"/>
          <w:kern w:val="2"/>
          <w:sz w:val="32"/>
          <w:szCs w:val="32"/>
          <w:highlight w:val="none"/>
          <w:lang w:val="en-US" w:eastAsia="zh-CN" w:bidi="ar-SA"/>
        </w:rPr>
        <w:t>人次（不包括陪同人员），共计支出</w:t>
      </w:r>
      <w:r>
        <w:rPr>
          <w:rFonts w:hint="eastAsia" w:ascii="仿宋_GB2312" w:hAnsi="仿宋_GB2312" w:eastAsia="仿宋_GB2312" w:cs="仿宋_GB2312"/>
          <w:color w:val="auto"/>
          <w:kern w:val="2"/>
          <w:sz w:val="32"/>
          <w:szCs w:val="32"/>
          <w:highlight w:val="none"/>
          <w:lang w:val="en-US" w:eastAsia="zh-CN" w:bidi="ar-SA"/>
        </w:rPr>
        <w:t>0.26万</w:t>
      </w:r>
      <w:r>
        <w:rPr>
          <w:rFonts w:hint="eastAsia" w:ascii="Times New Roman" w:hAnsi="Times New Roman" w:eastAsia="仿宋_GB2312" w:cs="仿宋_GB2312"/>
          <w:color w:val="auto"/>
          <w:kern w:val="2"/>
          <w:sz w:val="32"/>
          <w:szCs w:val="32"/>
          <w:highlight w:val="none"/>
          <w:lang w:val="en-US" w:eastAsia="zh-CN" w:bidi="ar-SA"/>
        </w:rPr>
        <w:t>元，具体内容包括：</w:t>
      </w:r>
      <w:r>
        <w:rPr>
          <w:rFonts w:hint="eastAsia" w:ascii="仿宋_GB2312" w:hAnsi="宋体" w:eastAsia="仿宋_GB2312" w:cs="宋体"/>
          <w:color w:val="000000"/>
          <w:sz w:val="32"/>
          <w:szCs w:val="32"/>
        </w:rPr>
        <w:t>接待其他地市州及市辖县区赴广调研、学习考察等公务接待活动发生餐费支出</w:t>
      </w:r>
      <w:r>
        <w:rPr>
          <w:rFonts w:hint="eastAsia" w:ascii="仿宋_GB2312" w:hAnsi="宋体" w:eastAsia="仿宋_GB2312" w:cs="宋体"/>
          <w:color w:val="000000"/>
          <w:sz w:val="32"/>
          <w:szCs w:val="32"/>
          <w:lang w:val="en-US" w:eastAsia="zh-CN"/>
        </w:rPr>
        <w:t>0.26</w:t>
      </w:r>
      <w:r>
        <w:rPr>
          <w:rFonts w:hint="eastAsia" w:ascii="仿宋_GB2312" w:hAnsi="宋体" w:eastAsia="仿宋_GB2312" w:cs="宋体"/>
          <w:color w:val="000000"/>
          <w:sz w:val="32"/>
          <w:szCs w:val="32"/>
        </w:rPr>
        <w:t>万元。</w:t>
      </w:r>
    </w:p>
    <w:p>
      <w:pPr>
        <w:spacing w:line="600" w:lineRule="exact"/>
        <w:ind w:firstLine="640"/>
        <w:rPr>
          <w:rFonts w:hint="default"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b/>
          <w:bCs/>
          <w:color w:val="auto"/>
          <w:kern w:val="2"/>
          <w:sz w:val="32"/>
          <w:szCs w:val="32"/>
          <w:highlight w:val="none"/>
          <w:lang w:val="en-US" w:eastAsia="zh-CN" w:bidi="ar-SA"/>
        </w:rPr>
        <w:t>外事接待支</w:t>
      </w:r>
      <w:r>
        <w:rPr>
          <w:rFonts w:hint="eastAsia" w:ascii="仿宋_GB2312" w:hAnsi="仿宋_GB2312" w:eastAsia="仿宋_GB2312" w:cs="仿宋_GB2312"/>
          <w:b/>
          <w:bCs/>
          <w:color w:val="auto"/>
          <w:kern w:val="2"/>
          <w:sz w:val="32"/>
          <w:szCs w:val="32"/>
          <w:highlight w:val="none"/>
          <w:lang w:val="en-US" w:eastAsia="zh-CN" w:bidi="ar-SA"/>
        </w:rPr>
        <w:t>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w:t>
      </w:r>
      <w:bookmarkStart w:id="55" w:name="_Toc15396610"/>
      <w:bookmarkStart w:id="56" w:name="_Toc15377218"/>
      <w:r>
        <w:rPr>
          <w:rFonts w:hint="eastAsia" w:ascii="仿宋_GB2312" w:hAnsi="仿宋_GB2312" w:eastAsia="仿宋_GB2312" w:cs="仿宋_GB2312"/>
          <w:color w:val="auto"/>
          <w:kern w:val="2"/>
          <w:sz w:val="32"/>
          <w:szCs w:val="32"/>
          <w:highlight w:val="none"/>
          <w:lang w:val="en-US" w:eastAsia="zh-CN" w:bidi="ar-SA"/>
        </w:rPr>
        <w:t>。</w:t>
      </w:r>
    </w:p>
    <w:p>
      <w:pPr>
        <w:spacing w:line="600" w:lineRule="exact"/>
        <w:ind w:firstLine="640"/>
        <w:outlineLvl w:val="1"/>
        <w:rPr>
          <w:rStyle w:val="22"/>
          <w:rFonts w:ascii="Times New Roman" w:hAnsi="Times New Roman" w:eastAsia="黑体"/>
          <w:color w:val="auto"/>
          <w:highlight w:val="none"/>
        </w:rPr>
      </w:pPr>
      <w:bookmarkStart w:id="57" w:name="_Toc1502"/>
      <w:r>
        <w:rPr>
          <w:rFonts w:hint="eastAsia" w:ascii="Times New Roman" w:hAnsi="Times New Roman" w:eastAsia="黑体"/>
          <w:color w:val="auto"/>
          <w:sz w:val="32"/>
          <w:szCs w:val="32"/>
          <w:highlight w:val="none"/>
        </w:rPr>
        <w:t>八、</w:t>
      </w:r>
      <w:r>
        <w:rPr>
          <w:rStyle w:val="22"/>
          <w:rFonts w:hint="eastAsia" w:ascii="Times New Roman" w:hAnsi="Times New Roman" w:eastAsia="黑体"/>
          <w:b w:val="0"/>
          <w:color w:val="auto"/>
          <w:highlight w:val="none"/>
        </w:rPr>
        <w:t>政府性基金预算支出决算情况说明</w:t>
      </w:r>
      <w:bookmarkEnd w:id="55"/>
      <w:bookmarkEnd w:id="56"/>
      <w:bookmarkEnd w:id="57"/>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2024年度政府性基金预算财政拨款支出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w:t>
      </w:r>
    </w:p>
    <w:p>
      <w:pPr>
        <w:numPr>
          <w:ilvl w:val="0"/>
          <w:numId w:val="0"/>
        </w:numPr>
        <w:spacing w:line="600" w:lineRule="exact"/>
        <w:ind w:left="630" w:leftChars="0"/>
        <w:outlineLvl w:val="1"/>
        <w:rPr>
          <w:rStyle w:val="22"/>
          <w:rFonts w:ascii="Times New Roman" w:hAnsi="Times New Roman" w:eastAsia="黑体"/>
          <w:b w:val="0"/>
          <w:color w:val="auto"/>
          <w:highlight w:val="none"/>
        </w:rPr>
      </w:pPr>
      <w:bookmarkStart w:id="58" w:name="_Toc11105"/>
      <w:bookmarkStart w:id="59" w:name="_Toc15377219"/>
      <w:bookmarkStart w:id="60" w:name="_Toc15396611"/>
      <w:r>
        <w:rPr>
          <w:rStyle w:val="22"/>
          <w:rFonts w:hint="eastAsia" w:ascii="Times New Roman" w:hAnsi="Times New Roman" w:eastAsia="黑体"/>
          <w:b w:val="0"/>
          <w:color w:val="auto"/>
          <w:highlight w:val="none"/>
          <w:lang w:eastAsia="zh-CN"/>
        </w:rPr>
        <w:t>九、</w:t>
      </w:r>
      <w:r>
        <w:rPr>
          <w:rStyle w:val="22"/>
          <w:rFonts w:hint="eastAsia" w:ascii="Times New Roman" w:hAnsi="Times New Roman" w:eastAsia="黑体"/>
          <w:b w:val="0"/>
          <w:color w:val="auto"/>
          <w:highlight w:val="none"/>
        </w:rPr>
        <w:t>国有资本经营预算支出决算情况说明</w:t>
      </w:r>
      <w:bookmarkEnd w:id="58"/>
      <w:bookmarkEnd w:id="59"/>
      <w:bookmarkEnd w:id="60"/>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2024</w:t>
      </w:r>
      <w:r>
        <w:rPr>
          <w:rFonts w:hint="eastAsia" w:ascii="Times New Roman" w:hAnsi="Times New Roman" w:eastAsia="仿宋_GB2312" w:cs="仿宋_GB2312"/>
          <w:color w:val="auto"/>
          <w:kern w:val="2"/>
          <w:sz w:val="32"/>
          <w:szCs w:val="32"/>
          <w:highlight w:val="none"/>
          <w:lang w:val="en-US" w:eastAsia="zh-CN" w:bidi="ar-SA"/>
        </w:rPr>
        <w:t>年度国有资本经营预算财政拨款支出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w:t>
      </w:r>
    </w:p>
    <w:p>
      <w:pPr>
        <w:numPr>
          <w:ilvl w:val="0"/>
          <w:numId w:val="0"/>
        </w:numPr>
        <w:spacing w:line="600" w:lineRule="exact"/>
        <w:ind w:left="630" w:leftChars="0"/>
        <w:outlineLvl w:val="1"/>
        <w:rPr>
          <w:rStyle w:val="22"/>
          <w:rFonts w:hint="eastAsia" w:ascii="Times New Roman" w:hAnsi="Times New Roman" w:eastAsia="黑体"/>
          <w:b w:val="0"/>
          <w:color w:val="auto"/>
          <w:highlight w:val="none"/>
        </w:rPr>
      </w:pPr>
      <w:bookmarkStart w:id="61" w:name="_Toc15377221"/>
      <w:bookmarkStart w:id="62" w:name="_Toc15396612"/>
      <w:bookmarkStart w:id="63" w:name="_Toc7843"/>
      <w:r>
        <w:rPr>
          <w:rStyle w:val="22"/>
          <w:rFonts w:hint="eastAsia" w:ascii="Times New Roman" w:hAnsi="Times New Roman" w:eastAsia="黑体"/>
          <w:b w:val="0"/>
          <w:color w:val="auto"/>
          <w:highlight w:val="none"/>
          <w:lang w:eastAsia="zh-CN"/>
        </w:rPr>
        <w:t>十、</w:t>
      </w:r>
      <w:r>
        <w:rPr>
          <w:rStyle w:val="22"/>
          <w:rFonts w:hint="eastAsia" w:ascii="Times New Roman" w:hAnsi="Times New Roman" w:eastAsia="黑体"/>
          <w:b w:val="0"/>
          <w:color w:val="auto"/>
          <w:highlight w:val="none"/>
        </w:rPr>
        <w:t>其他重要事项的情况说明</w:t>
      </w:r>
      <w:bookmarkEnd w:id="61"/>
      <w:bookmarkEnd w:id="62"/>
      <w:bookmarkEnd w:id="63"/>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64" w:name="_Toc24811"/>
      <w:bookmarkStart w:id="65" w:name="_Toc15377222"/>
      <w:r>
        <w:rPr>
          <w:rFonts w:hint="eastAsia" w:ascii="Times New Roman" w:hAnsi="Times New Roman" w:eastAsia="楷体_GB2312" w:cs="楷体_GB2312"/>
          <w:b/>
          <w:color w:val="auto"/>
          <w:sz w:val="32"/>
          <w:szCs w:val="32"/>
          <w:highlight w:val="none"/>
        </w:rPr>
        <w:t>（一）机关运行经费支出情况</w:t>
      </w:r>
      <w:bookmarkEnd w:id="64"/>
      <w:bookmarkEnd w:id="65"/>
    </w:p>
    <w:p>
      <w:pPr>
        <w:spacing w:line="600" w:lineRule="exact"/>
        <w:ind w:firstLine="640" w:firstLineChars="200"/>
        <w:rPr>
          <w:rFonts w:hint="eastAsia" w:ascii="仿宋_GB2312" w:eastAsia="仿宋_GB2312"/>
          <w:color w:val="auto"/>
          <w:sz w:val="32"/>
          <w:szCs w:val="32"/>
          <w:highlight w:val="none"/>
          <w:lang w:val="en-US" w:eastAsia="zh-CN"/>
        </w:rPr>
      </w:pPr>
      <w:bookmarkStart w:id="66" w:name="_Toc15377223"/>
      <w:r>
        <w:rPr>
          <w:rFonts w:hint="eastAsia" w:ascii="仿宋_GB2312" w:eastAsia="仿宋_GB2312"/>
          <w:color w:val="auto"/>
          <w:sz w:val="32"/>
          <w:szCs w:val="32"/>
          <w:highlight w:val="none"/>
          <w:lang w:eastAsia="zh-CN"/>
        </w:rPr>
        <w:t>本单位为事业单位，202</w:t>
      </w:r>
      <w:r>
        <w:rPr>
          <w:rFonts w:hint="eastAsia" w:ascii="仿宋_GB2312" w:eastAsia="仿宋_GB2312"/>
          <w:color w:val="auto"/>
          <w:sz w:val="32"/>
          <w:szCs w:val="32"/>
          <w:highlight w:val="none"/>
          <w:lang w:val="en-US" w:eastAsia="zh-CN"/>
        </w:rPr>
        <w:t>4</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度未发生机关运行经费支出，与</w:t>
      </w:r>
      <w:r>
        <w:rPr>
          <w:rFonts w:hint="eastAsia" w:ascii="仿宋_GB2312" w:eastAsia="仿宋_GB2312"/>
          <w:color w:val="auto"/>
          <w:sz w:val="32"/>
          <w:szCs w:val="32"/>
          <w:highlight w:val="none"/>
          <w:lang w:val="en-US" w:eastAsia="zh-CN"/>
        </w:rPr>
        <w:t>2023年度决算数持平。</w:t>
      </w:r>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67" w:name="_Toc12185"/>
      <w:r>
        <w:rPr>
          <w:rFonts w:hint="eastAsia" w:ascii="Times New Roman" w:hAnsi="Times New Roman" w:eastAsia="楷体_GB2312" w:cs="楷体_GB2312"/>
          <w:b/>
          <w:color w:val="auto"/>
          <w:sz w:val="32"/>
          <w:szCs w:val="32"/>
          <w:highlight w:val="none"/>
        </w:rPr>
        <w:t>（二）政府采购支出情况</w:t>
      </w:r>
      <w:bookmarkEnd w:id="66"/>
      <w:bookmarkEnd w:id="67"/>
    </w:p>
    <w:p>
      <w:pPr>
        <w:spacing w:line="600" w:lineRule="exact"/>
        <w:ind w:firstLine="640" w:firstLineChars="200"/>
        <w:rPr>
          <w:rFonts w:hint="eastAsia" w:ascii="仿宋_GB2312" w:eastAsia="仿宋_GB2312"/>
          <w:color w:val="auto"/>
          <w:sz w:val="32"/>
          <w:szCs w:val="32"/>
          <w:highlight w:val="none"/>
          <w:lang w:eastAsia="zh-CN"/>
        </w:rPr>
      </w:pPr>
      <w:bookmarkStart w:id="68" w:name="_Toc15377224"/>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24</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w:t>
      </w:r>
      <w:r>
        <w:rPr>
          <w:rFonts w:hint="eastAsia" w:ascii="仿宋_GB2312" w:eastAsia="仿宋_GB2312" w:cs="仿宋_GB2312"/>
          <w:color w:val="000000"/>
          <w:sz w:val="32"/>
          <w:szCs w:val="32"/>
        </w:rPr>
        <w:t>广元市</w:t>
      </w:r>
      <w:r>
        <w:rPr>
          <w:rFonts w:hint="eastAsia" w:ascii="仿宋_GB2312" w:eastAsia="仿宋_GB2312" w:cs="仿宋_GB2312"/>
          <w:color w:val="000000"/>
          <w:sz w:val="32"/>
          <w:szCs w:val="32"/>
          <w:lang w:eastAsia="zh-CN"/>
        </w:rPr>
        <w:t>政务服务和公共资源交易中心</w:t>
      </w:r>
      <w:r>
        <w:rPr>
          <w:rFonts w:hint="eastAsia" w:ascii="仿宋_GB2312" w:eastAsia="仿宋_GB2312"/>
          <w:color w:val="auto"/>
          <w:sz w:val="32"/>
          <w:szCs w:val="32"/>
          <w:highlight w:val="none"/>
        </w:rPr>
        <w:t>政府采购支出总额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69" w:name="_Toc1522"/>
      <w:r>
        <w:rPr>
          <w:rFonts w:hint="eastAsia" w:ascii="Times New Roman" w:hAnsi="Times New Roman" w:eastAsia="楷体_GB2312" w:cs="楷体_GB2312"/>
          <w:b/>
          <w:color w:val="auto"/>
          <w:sz w:val="32"/>
          <w:szCs w:val="32"/>
          <w:highlight w:val="none"/>
        </w:rPr>
        <w:t>（三）国有资产占有使用情况</w:t>
      </w:r>
      <w:bookmarkEnd w:id="68"/>
      <w:bookmarkEnd w:id="69"/>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截至2024年12月31日，</w:t>
      </w:r>
      <w:r>
        <w:rPr>
          <w:rFonts w:hint="eastAsia" w:ascii="仿宋_GB2312" w:eastAsia="仿宋_GB2312" w:cs="仿宋_GB2312"/>
          <w:color w:val="000000"/>
          <w:sz w:val="32"/>
          <w:szCs w:val="32"/>
        </w:rPr>
        <w:t>广元市</w:t>
      </w:r>
      <w:r>
        <w:rPr>
          <w:rFonts w:hint="eastAsia" w:ascii="仿宋_GB2312" w:eastAsia="仿宋_GB2312" w:cs="仿宋_GB2312"/>
          <w:color w:val="000000"/>
          <w:sz w:val="32"/>
          <w:szCs w:val="32"/>
          <w:lang w:eastAsia="zh-CN"/>
        </w:rPr>
        <w:t>政务服务和公共资源交易中心</w:t>
      </w:r>
      <w:r>
        <w:rPr>
          <w:rFonts w:hint="eastAsia" w:ascii="仿宋_GB2312" w:hAnsi="仿宋_GB2312" w:eastAsia="仿宋_GB2312" w:cs="仿宋_GB2312"/>
          <w:color w:val="auto"/>
          <w:kern w:val="2"/>
          <w:sz w:val="32"/>
          <w:szCs w:val="32"/>
          <w:highlight w:val="none"/>
          <w:lang w:val="en-US" w:eastAsia="zh-CN" w:bidi="ar-SA"/>
        </w:rPr>
        <w:t>共有车辆</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辆。单价100万元（含）以上设备（不含车辆）</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台（套）</w:t>
      </w:r>
      <w:r>
        <w:rPr>
          <w:rFonts w:hint="eastAsia" w:ascii="Times New Roman" w:hAnsi="Times New Roman" w:eastAsia="仿宋_GB2312" w:cs="仿宋_GB2312"/>
          <w:color w:val="auto"/>
          <w:kern w:val="2"/>
          <w:sz w:val="32"/>
          <w:szCs w:val="32"/>
          <w:highlight w:val="none"/>
          <w:lang w:val="en-US" w:eastAsia="zh-CN" w:bidi="ar-SA"/>
        </w:rPr>
        <w:t>。</w:t>
      </w:r>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70" w:name="_Toc29419"/>
      <w:r>
        <w:rPr>
          <w:rFonts w:hint="eastAsia" w:ascii="Times New Roman" w:hAnsi="Times New Roman" w:eastAsia="楷体_GB2312" w:cs="楷体_GB2312"/>
          <w:b/>
          <w:color w:val="auto"/>
          <w:sz w:val="32"/>
          <w:szCs w:val="32"/>
          <w:highlight w:val="none"/>
        </w:rPr>
        <w:t>（四）预算绩效管理情况</w:t>
      </w:r>
      <w:bookmarkEnd w:id="70"/>
    </w:p>
    <w:p>
      <w:pPr>
        <w:spacing w:line="600" w:lineRule="exact"/>
        <w:ind w:firstLine="640"/>
        <w:rPr>
          <w:rFonts w:hint="default" w:ascii="仿宋_GB2312" w:hAnsi="仿宋_GB2312"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根据预算绩效管理要求，</w:t>
      </w:r>
      <w:r>
        <w:rPr>
          <w:rFonts w:hint="eastAsia" w:eastAsia="仿宋_GB2312" w:cs="仿宋_GB2312"/>
          <w:color w:val="auto"/>
          <w:kern w:val="2"/>
          <w:sz w:val="32"/>
          <w:szCs w:val="32"/>
          <w:highlight w:val="none"/>
          <w:lang w:val="en-US" w:eastAsia="zh-CN" w:bidi="ar-SA"/>
        </w:rPr>
        <w:t>本单位</w:t>
      </w:r>
      <w:r>
        <w:rPr>
          <w:rFonts w:hint="eastAsia" w:ascii="Times New Roman" w:hAnsi="Times New Roman" w:eastAsia="仿宋_GB2312" w:cs="仿宋_GB2312"/>
          <w:color w:val="auto"/>
          <w:kern w:val="2"/>
          <w:sz w:val="32"/>
          <w:szCs w:val="32"/>
          <w:highlight w:val="none"/>
          <w:lang w:val="en-US" w:eastAsia="zh-CN" w:bidi="ar-SA"/>
        </w:rPr>
        <w:t>在</w:t>
      </w:r>
      <w:r>
        <w:rPr>
          <w:rFonts w:hint="eastAsia" w:ascii="仿宋_GB2312" w:hAnsi="仿宋_GB2312" w:eastAsia="仿宋_GB2312" w:cs="仿宋_GB2312"/>
          <w:color w:val="auto"/>
          <w:kern w:val="2"/>
          <w:sz w:val="32"/>
          <w:szCs w:val="32"/>
          <w:highlight w:val="none"/>
          <w:lang w:val="en-US" w:eastAsia="zh-CN" w:bidi="ar-SA"/>
        </w:rPr>
        <w:t>2024</w:t>
      </w:r>
      <w:r>
        <w:rPr>
          <w:rFonts w:hint="eastAsia" w:ascii="Times New Roman" w:hAnsi="Times New Roman" w:eastAsia="仿宋_GB2312" w:cs="仿宋_GB2312"/>
          <w:color w:val="auto"/>
          <w:kern w:val="2"/>
          <w:sz w:val="32"/>
          <w:szCs w:val="32"/>
          <w:highlight w:val="none"/>
          <w:lang w:val="en-US" w:eastAsia="zh-CN" w:bidi="ar-SA"/>
        </w:rPr>
        <w:t>年度预算编制阶段，组织对</w:t>
      </w:r>
      <w:r>
        <w:rPr>
          <w:rFonts w:hint="eastAsia" w:ascii="仿宋_GB2312" w:eastAsia="仿宋_GB2312"/>
          <w:sz w:val="32"/>
          <w:szCs w:val="32"/>
          <w:lang w:eastAsia="zh-CN"/>
        </w:rPr>
        <w:t>公共资源交易业务工作经费</w:t>
      </w:r>
      <w:r>
        <w:rPr>
          <w:rFonts w:hint="eastAsia" w:ascii="Times New Roman" w:hAnsi="Times New Roman" w:eastAsia="仿宋_GB2312" w:cs="仿宋_GB2312"/>
          <w:color w:val="auto"/>
          <w:kern w:val="2"/>
          <w:sz w:val="32"/>
          <w:szCs w:val="32"/>
          <w:highlight w:val="none"/>
          <w:lang w:val="en-US" w:eastAsia="zh-CN" w:bidi="ar-SA"/>
        </w:rPr>
        <w:t>等</w:t>
      </w:r>
      <w:r>
        <w:rPr>
          <w:rFonts w:hint="eastAsia" w:ascii="仿宋_GB2312" w:hAnsi="仿宋_GB2312" w:eastAsia="仿宋_GB2312" w:cs="仿宋_GB2312"/>
          <w:color w:val="auto"/>
          <w:kern w:val="2"/>
          <w:sz w:val="32"/>
          <w:szCs w:val="32"/>
          <w:highlight w:val="none"/>
          <w:lang w:val="en-US" w:eastAsia="zh-CN" w:bidi="ar-SA"/>
        </w:rPr>
        <w:t>3个项目开展了预算事前绩效评估，对3个项目编制了绩效目标，预算执行过程中，选取3个项目开展绩效监控组织对3个项目开展绩效自评，绩效自评表见第四部分附件。</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pPr>
        <w:pStyle w:val="2"/>
        <w:rPr>
          <w:rFonts w:hint="eastAsia" w:ascii="Times New Roman" w:hAnsi="Times New Roman" w:eastAsia="仿宋_GB2312" w:cs="仿宋_GB2312"/>
          <w:color w:val="auto"/>
          <w:kern w:val="2"/>
          <w:sz w:val="32"/>
          <w:szCs w:val="32"/>
          <w:highlight w:val="none"/>
          <w:lang w:val="en-US" w:eastAsia="zh-CN" w:bidi="ar-SA"/>
        </w:rPr>
      </w:pPr>
    </w:p>
    <w:p>
      <w:pPr>
        <w:pStyle w:val="6"/>
        <w:rPr>
          <w:rFonts w:hint="eastAsia" w:ascii="Times New Roman" w:hAnsi="Times New Roman" w:eastAsia="仿宋_GB2312" w:cs="仿宋_GB2312"/>
          <w:color w:val="auto"/>
          <w:kern w:val="2"/>
          <w:sz w:val="32"/>
          <w:szCs w:val="32"/>
          <w:highlight w:val="none"/>
          <w:lang w:val="en-US" w:eastAsia="zh-CN" w:bidi="ar-SA"/>
        </w:rPr>
      </w:pPr>
    </w:p>
    <w:p>
      <w:pPr>
        <w:rPr>
          <w:rFonts w:hint="eastAsia" w:ascii="Times New Roman" w:hAnsi="Times New Roman" w:eastAsia="仿宋_GB2312" w:cs="仿宋_GB2312"/>
          <w:color w:val="auto"/>
          <w:kern w:val="2"/>
          <w:sz w:val="32"/>
          <w:szCs w:val="32"/>
          <w:highlight w:val="none"/>
          <w:lang w:val="en-US" w:eastAsia="zh-CN" w:bidi="ar-SA"/>
        </w:rPr>
      </w:pPr>
    </w:p>
    <w:p>
      <w:pPr>
        <w:pStyle w:val="2"/>
        <w:rPr>
          <w:rFonts w:hint="eastAsia" w:ascii="Times New Roman" w:hAnsi="Times New Roman" w:eastAsia="仿宋_GB2312" w:cs="仿宋_GB2312"/>
          <w:color w:val="auto"/>
          <w:kern w:val="2"/>
          <w:sz w:val="32"/>
          <w:szCs w:val="32"/>
          <w:highlight w:val="none"/>
          <w:lang w:val="en-US" w:eastAsia="zh-CN" w:bidi="ar-SA"/>
        </w:rPr>
      </w:pPr>
    </w:p>
    <w:p>
      <w:pPr>
        <w:pStyle w:val="6"/>
        <w:rPr>
          <w:rFonts w:hint="eastAsia" w:ascii="Times New Roman" w:hAnsi="Times New Roman" w:eastAsia="仿宋_GB2312" w:cs="仿宋_GB2312"/>
          <w:color w:val="auto"/>
          <w:kern w:val="2"/>
          <w:sz w:val="32"/>
          <w:szCs w:val="32"/>
          <w:highlight w:val="none"/>
          <w:lang w:val="en-US" w:eastAsia="zh-CN" w:bidi="ar-SA"/>
        </w:rPr>
      </w:pPr>
    </w:p>
    <w:p>
      <w:pPr>
        <w:rPr>
          <w:rFonts w:hint="eastAsia" w:ascii="Times New Roman" w:hAnsi="Times New Roman" w:eastAsia="仿宋_GB2312" w:cs="仿宋_GB2312"/>
          <w:color w:val="auto"/>
          <w:kern w:val="2"/>
          <w:sz w:val="32"/>
          <w:szCs w:val="32"/>
          <w:highlight w:val="none"/>
          <w:lang w:val="en-US" w:eastAsia="zh-CN" w:bidi="ar-SA"/>
        </w:rPr>
      </w:pPr>
    </w:p>
    <w:p>
      <w:pPr>
        <w:pStyle w:val="2"/>
        <w:rPr>
          <w:rFonts w:hint="eastAsia"/>
          <w:lang w:val="en-US" w:eastAsia="zh-CN"/>
        </w:rPr>
      </w:pP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pPr>
        <w:numPr>
          <w:ilvl w:val="0"/>
          <w:numId w:val="0"/>
        </w:numPr>
        <w:spacing w:line="600" w:lineRule="exact"/>
        <w:jc w:val="center"/>
        <w:outlineLvl w:val="0"/>
        <w:rPr>
          <w:rFonts w:hint="eastAsia" w:ascii="Times New Roman" w:hAnsi="Times New Roman" w:eastAsia="黑体"/>
          <w:color w:val="auto"/>
          <w:sz w:val="44"/>
          <w:szCs w:val="44"/>
          <w:highlight w:val="none"/>
        </w:rPr>
      </w:pPr>
      <w:bookmarkStart w:id="71" w:name="_Toc30309"/>
      <w:bookmarkStart w:id="72" w:name="_Toc15377225"/>
      <w:bookmarkStart w:id="73" w:name="_Toc15396613"/>
      <w:r>
        <w:rPr>
          <w:rFonts w:hint="eastAsia" w:ascii="Times New Roman" w:hAnsi="Times New Roman" w:eastAsia="黑体"/>
          <w:color w:val="auto"/>
          <w:sz w:val="44"/>
          <w:szCs w:val="44"/>
          <w:highlight w:val="none"/>
        </w:rPr>
        <w:t>第</w:t>
      </w:r>
      <w:r>
        <w:rPr>
          <w:rFonts w:hint="eastAsia" w:eastAsia="黑体"/>
          <w:color w:val="auto"/>
          <w:sz w:val="44"/>
          <w:szCs w:val="44"/>
          <w:highlight w:val="none"/>
          <w:lang w:eastAsia="zh-CN"/>
        </w:rPr>
        <w:t>三</w:t>
      </w:r>
      <w:r>
        <w:rPr>
          <w:rFonts w:hint="eastAsia" w:ascii="Times New Roman" w:hAnsi="Times New Roman" w:eastAsia="黑体"/>
          <w:color w:val="auto"/>
          <w:sz w:val="44"/>
          <w:szCs w:val="44"/>
          <w:highlight w:val="none"/>
        </w:rPr>
        <w:t>部分</w:t>
      </w:r>
      <w:r>
        <w:rPr>
          <w:rFonts w:hint="eastAsia" w:ascii="Times New Roman" w:hAnsi="Times New Roman" w:eastAsia="黑体"/>
          <w:color w:val="auto"/>
          <w:sz w:val="44"/>
          <w:szCs w:val="44"/>
          <w:highlight w:val="none"/>
          <w:lang w:val="en-US" w:eastAsia="zh-CN"/>
        </w:rPr>
        <w:t xml:space="preserve"> </w:t>
      </w:r>
      <w:r>
        <w:rPr>
          <w:rFonts w:hint="eastAsia" w:eastAsia="黑体"/>
          <w:color w:val="auto"/>
          <w:sz w:val="44"/>
          <w:szCs w:val="44"/>
          <w:highlight w:val="none"/>
          <w:lang w:val="en-US" w:eastAsia="zh-CN"/>
        </w:rPr>
        <w:t xml:space="preserve"> </w:t>
      </w:r>
      <w:r>
        <w:rPr>
          <w:rFonts w:hint="eastAsia" w:ascii="Times New Roman" w:hAnsi="Times New Roman" w:eastAsia="黑体"/>
          <w:color w:val="auto"/>
          <w:sz w:val="44"/>
          <w:szCs w:val="44"/>
          <w:highlight w:val="none"/>
        </w:rPr>
        <w:t>名词解释</w:t>
      </w:r>
      <w:bookmarkEnd w:id="71"/>
      <w:bookmarkEnd w:id="72"/>
      <w:bookmarkEnd w:id="73"/>
    </w:p>
    <w:p>
      <w:pPr>
        <w:spacing w:line="600" w:lineRule="exact"/>
        <w:jc w:val="left"/>
        <w:rPr>
          <w:rFonts w:ascii="Times New Roman" w:hAnsi="Times New Roman"/>
          <w:b/>
          <w:color w:val="auto"/>
          <w:sz w:val="44"/>
          <w:szCs w:val="44"/>
          <w:highlight w:val="none"/>
        </w:rPr>
      </w:pPr>
    </w:p>
    <w:p>
      <w:pPr>
        <w:pStyle w:val="33"/>
        <w:spacing w:line="560" w:lineRule="exact"/>
        <w:ind w:firstLine="640" w:firstLineChars="200"/>
        <w:rPr>
          <w:rFonts w:ascii="仿宋_GB2312" w:eastAsia="仿宋_GB2312" w:cs="Times New Roman"/>
          <w:color w:val="auto"/>
          <w:kern w:val="2"/>
          <w:sz w:val="32"/>
          <w:szCs w:val="32"/>
        </w:rPr>
      </w:pPr>
      <w:r>
        <w:rPr>
          <w:rFonts w:ascii="仿宋_GB2312" w:eastAsia="仿宋_GB2312"/>
          <w:color w:val="auto"/>
          <w:sz w:val="32"/>
          <w:szCs w:val="32"/>
        </w:rPr>
        <w:t>1</w:t>
      </w:r>
      <w:r>
        <w:rPr>
          <w:rFonts w:ascii="仿宋_GB2312" w:eastAsia="仿宋_GB2312" w:cs="Times New Roman"/>
          <w:color w:val="auto"/>
          <w:kern w:val="2"/>
          <w:sz w:val="32"/>
          <w:szCs w:val="32"/>
        </w:rPr>
        <w:t>.</w:t>
      </w:r>
      <w:r>
        <w:rPr>
          <w:rFonts w:hint="eastAsia" w:ascii="仿宋_GB2312" w:eastAsia="仿宋_GB2312" w:cs="Times New Roman"/>
          <w:color w:val="auto"/>
          <w:kern w:val="2"/>
          <w:sz w:val="32"/>
          <w:szCs w:val="32"/>
        </w:rPr>
        <w:t>财政拨款收入：指单位从同级财政部门取得的财政预算资金。</w:t>
      </w:r>
    </w:p>
    <w:p>
      <w:pPr>
        <w:pStyle w:val="33"/>
        <w:spacing w:line="560" w:lineRule="exact"/>
        <w:ind w:firstLine="640" w:firstLineChars="200"/>
        <w:rPr>
          <w:rFonts w:ascii="仿宋_GB2312" w:eastAsia="仿宋_GB2312" w:cs="Times New Roman"/>
          <w:color w:val="auto"/>
          <w:kern w:val="2"/>
          <w:sz w:val="32"/>
          <w:szCs w:val="32"/>
        </w:rPr>
      </w:pPr>
      <w:r>
        <w:rPr>
          <w:rFonts w:hint="eastAsia" w:ascii="仿宋_GB2312" w:eastAsia="仿宋_GB2312" w:cs="Times New Roman"/>
          <w:color w:val="auto"/>
          <w:kern w:val="2"/>
          <w:sz w:val="32"/>
          <w:szCs w:val="32"/>
        </w:rPr>
        <w:t>2</w:t>
      </w:r>
      <w:r>
        <w:rPr>
          <w:rFonts w:ascii="仿宋_GB2312" w:eastAsia="仿宋_GB2312" w:cs="Times New Roman"/>
          <w:color w:val="auto"/>
          <w:kern w:val="2"/>
          <w:sz w:val="32"/>
          <w:szCs w:val="32"/>
        </w:rPr>
        <w:t>.</w:t>
      </w:r>
      <w:r>
        <w:rPr>
          <w:rFonts w:hint="eastAsia" w:ascii="仿宋_GB2312" w:eastAsia="仿宋_GB2312" w:cs="Times New Roman"/>
          <w:color w:val="auto"/>
          <w:kern w:val="2"/>
          <w:sz w:val="32"/>
          <w:szCs w:val="32"/>
        </w:rPr>
        <w:t>年初结转和结余：指以前年度尚未完成、结转到本年按有关规定继续使用的资金。</w:t>
      </w:r>
      <w:r>
        <w:rPr>
          <w:rFonts w:ascii="仿宋_GB2312" w:eastAsia="仿宋_GB2312" w:cs="Times New Roman"/>
          <w:color w:val="auto"/>
          <w:kern w:val="2"/>
          <w:sz w:val="32"/>
          <w:szCs w:val="32"/>
        </w:rPr>
        <w:t xml:space="preserve"> </w:t>
      </w:r>
    </w:p>
    <w:p>
      <w:pPr>
        <w:pStyle w:val="33"/>
        <w:spacing w:line="560" w:lineRule="exact"/>
        <w:ind w:firstLine="640" w:firstLineChars="200"/>
        <w:rPr>
          <w:rFonts w:ascii="仿宋_GB2312" w:eastAsia="仿宋_GB2312" w:cs="Times New Roman"/>
          <w:color w:val="auto"/>
          <w:kern w:val="2"/>
          <w:sz w:val="32"/>
          <w:szCs w:val="32"/>
        </w:rPr>
      </w:pPr>
      <w:r>
        <w:rPr>
          <w:rFonts w:hint="eastAsia" w:ascii="仿宋_GB2312" w:eastAsia="仿宋_GB2312" w:cs="Times New Roman"/>
          <w:color w:val="auto"/>
          <w:kern w:val="2"/>
          <w:sz w:val="32"/>
          <w:szCs w:val="32"/>
        </w:rPr>
        <w:t>3.年末结转和结余：指单位按有关规定结转到下年或以后年度继续使用的资金。</w:t>
      </w:r>
    </w:p>
    <w:p>
      <w:pPr>
        <w:pStyle w:val="16"/>
        <w:keepNext w:val="0"/>
        <w:keepLines w:val="0"/>
        <w:widowControl/>
        <w:suppressLineNumbers w:val="0"/>
        <w:spacing w:before="75" w:beforeAutospacing="0" w:after="75" w:afterAutospacing="0"/>
        <w:ind w:right="0" w:firstLine="640" w:firstLineChars="200"/>
        <w:jc w:val="both"/>
        <w:rPr>
          <w:rFonts w:hint="eastAsia" w:ascii="仿宋_GB2312" w:hAnsi="仿宋_GB2312" w:eastAsia="仿宋_GB2312" w:cs="仿宋_GB2312"/>
          <w:i w:val="0"/>
          <w:caps w:val="0"/>
          <w:smallCaps w:val="0"/>
          <w:color w:val="000000"/>
          <w:spacing w:val="0"/>
          <w:kern w:val="0"/>
          <w:sz w:val="32"/>
          <w:szCs w:val="32"/>
          <w:lang w:val="en-US" w:eastAsia="zh-CN"/>
        </w:rPr>
      </w:pPr>
      <w:r>
        <w:rPr>
          <w:rFonts w:hint="eastAsia" w:ascii="仿宋_GB2312" w:hAnsi="仿宋_GB2312" w:eastAsia="仿宋_GB2312" w:cs="仿宋_GB2312"/>
          <w:i w:val="0"/>
          <w:caps w:val="0"/>
          <w:smallCaps w:val="0"/>
          <w:color w:val="000000"/>
          <w:spacing w:val="0"/>
          <w:kern w:val="0"/>
          <w:sz w:val="32"/>
          <w:szCs w:val="32"/>
          <w:lang w:val="en-US" w:eastAsia="zh-CN"/>
        </w:rPr>
        <w:t>4.一般公共服务支出（类）政府办公厅（室）及相关机构事务（款）事业运行（项）：反映事业单位的基本支出。</w:t>
      </w:r>
    </w:p>
    <w:p>
      <w:pPr>
        <w:pStyle w:val="16"/>
        <w:keepNext w:val="0"/>
        <w:keepLines w:val="0"/>
        <w:widowControl/>
        <w:suppressLineNumbers w:val="0"/>
        <w:spacing w:before="75" w:beforeAutospacing="0" w:after="75" w:afterAutospacing="0"/>
        <w:ind w:right="0" w:firstLine="640" w:firstLineChars="200"/>
        <w:jc w:val="both"/>
        <w:rPr>
          <w:rFonts w:hint="eastAsia" w:ascii="仿宋_GB2312" w:hAnsi="Calibri" w:eastAsia="仿宋_GB2312" w:cs="Times New Roman"/>
          <w:kern w:val="2"/>
          <w:sz w:val="32"/>
          <w:szCs w:val="32"/>
        </w:rPr>
      </w:pPr>
      <w:r>
        <w:rPr>
          <w:rFonts w:hint="eastAsia" w:ascii="仿宋_GB2312" w:hAnsi="仿宋_GB2312" w:eastAsia="仿宋_GB2312" w:cs="仿宋_GB2312"/>
          <w:i w:val="0"/>
          <w:caps w:val="0"/>
          <w:smallCaps w:val="0"/>
          <w:color w:val="000000"/>
          <w:spacing w:val="0"/>
          <w:kern w:val="0"/>
          <w:sz w:val="32"/>
          <w:szCs w:val="32"/>
          <w:lang w:val="en-US" w:eastAsia="zh-CN"/>
        </w:rPr>
        <w:t>5.一般公共服务支出（类）政府办公厅（室）及相关机构事务（款）其他政府办公厅（室）及相关机构事务支出（项）：反映事业单位未单独设置项级科目的其他项目支出。</w:t>
      </w:r>
    </w:p>
    <w:p>
      <w:pPr>
        <w:pStyle w:val="16"/>
        <w:spacing w:before="75" w:beforeAutospacing="0" w:after="75" w:afterAutospacing="0"/>
        <w:ind w:firstLine="640" w:firstLineChars="200"/>
        <w:jc w:val="both"/>
        <w:rPr>
          <w:rFonts w:hint="eastAsia" w:ascii="仿宋_GB2312" w:hAnsi="Calibri" w:eastAsia="仿宋_GB2312" w:cs="Times New Roman"/>
          <w:kern w:val="2"/>
          <w:sz w:val="32"/>
          <w:szCs w:val="32"/>
        </w:rPr>
      </w:pPr>
      <w:r>
        <w:rPr>
          <w:rFonts w:hint="eastAsia" w:ascii="仿宋_GB2312" w:hAnsi="Calibri" w:eastAsia="仿宋_GB2312" w:cs="Times New Roman"/>
          <w:kern w:val="2"/>
          <w:sz w:val="32"/>
          <w:szCs w:val="32"/>
          <w:lang w:val="en-US" w:eastAsia="zh-CN"/>
        </w:rPr>
        <w:t>6</w:t>
      </w:r>
      <w:r>
        <w:rPr>
          <w:rFonts w:hint="eastAsia" w:ascii="仿宋_GB2312" w:hAnsi="Calibri" w:eastAsia="仿宋_GB2312" w:cs="Times New Roman"/>
          <w:kern w:val="2"/>
          <w:sz w:val="32"/>
          <w:szCs w:val="32"/>
        </w:rPr>
        <w:t>.社会保障和就业支出（类）行政事业单位养老支出（款）机关事业单位基本养老保险缴费支出（项）：反映机关事业单位实施养老保险制度由单位实际缴纳的基本养老保险支出。</w:t>
      </w:r>
    </w:p>
    <w:p>
      <w:pPr>
        <w:pStyle w:val="16"/>
        <w:spacing w:before="75" w:beforeAutospacing="0" w:after="75" w:afterAutospacing="0"/>
        <w:ind w:firstLine="640" w:firstLineChars="200"/>
        <w:jc w:val="both"/>
        <w:rPr>
          <w:rFonts w:hint="eastAsia" w:ascii="仿宋_GB2312" w:hAnsi="Calibri" w:eastAsia="仿宋_GB2312" w:cs="Times New Roman"/>
          <w:kern w:val="2"/>
          <w:sz w:val="32"/>
          <w:szCs w:val="32"/>
        </w:rPr>
      </w:pPr>
      <w:r>
        <w:rPr>
          <w:rFonts w:hint="eastAsia" w:ascii="仿宋_GB2312" w:hAnsi="Calibri" w:eastAsia="仿宋_GB2312" w:cs="Times New Roman"/>
          <w:kern w:val="2"/>
          <w:sz w:val="32"/>
          <w:szCs w:val="32"/>
          <w:lang w:val="en-US" w:eastAsia="zh-CN"/>
        </w:rPr>
        <w:t>7.</w:t>
      </w:r>
      <w:r>
        <w:rPr>
          <w:rFonts w:hint="eastAsia" w:ascii="仿宋_GB2312" w:hAnsi="Calibri" w:eastAsia="仿宋_GB2312" w:cs="Times New Roman"/>
          <w:kern w:val="2"/>
          <w:sz w:val="32"/>
          <w:szCs w:val="32"/>
        </w:rPr>
        <w:t>社会保障和就业支出（类）行政事业单位养老支出（款）职业年金缴费（项）：反映机关事业单位实施养老保险制度由单位实际缴纳的</w:t>
      </w:r>
      <w:r>
        <w:rPr>
          <w:rFonts w:hint="eastAsia" w:ascii="仿宋_GB2312" w:hAnsi="Calibri" w:eastAsia="仿宋_GB2312" w:cs="Times New Roman"/>
          <w:kern w:val="2"/>
          <w:sz w:val="32"/>
          <w:szCs w:val="32"/>
          <w:lang w:eastAsia="zh-CN"/>
        </w:rPr>
        <w:t>职业年金</w:t>
      </w:r>
      <w:r>
        <w:rPr>
          <w:rFonts w:hint="eastAsia" w:ascii="仿宋_GB2312" w:hAnsi="Calibri" w:eastAsia="仿宋_GB2312" w:cs="Times New Roman"/>
          <w:kern w:val="2"/>
          <w:sz w:val="32"/>
          <w:szCs w:val="32"/>
        </w:rPr>
        <w:t>支出</w:t>
      </w:r>
      <w:r>
        <w:rPr>
          <w:rFonts w:hint="eastAsia" w:ascii="仿宋_GB2312" w:hAnsi="Calibri" w:eastAsia="仿宋_GB2312" w:cs="Times New Roman"/>
          <w:kern w:val="2"/>
          <w:sz w:val="32"/>
          <w:szCs w:val="32"/>
          <w:lang w:eastAsia="zh-CN"/>
        </w:rPr>
        <w:t>（含职业年金补记支出）</w:t>
      </w:r>
      <w:r>
        <w:rPr>
          <w:rFonts w:hint="eastAsia" w:ascii="仿宋_GB2312" w:hAnsi="Calibri" w:eastAsia="仿宋_GB2312" w:cs="Times New Roman"/>
          <w:kern w:val="2"/>
          <w:sz w:val="32"/>
          <w:szCs w:val="32"/>
        </w:rPr>
        <w:t>。</w:t>
      </w:r>
    </w:p>
    <w:p>
      <w:pPr>
        <w:pStyle w:val="16"/>
        <w:spacing w:before="75" w:beforeAutospacing="0" w:after="75" w:afterAutospacing="0"/>
        <w:ind w:firstLine="640" w:firstLineChars="200"/>
        <w:jc w:val="both"/>
        <w:rPr>
          <w:rFonts w:hint="eastAsia" w:ascii="仿宋_GB2312" w:hAnsi="Calibri" w:eastAsia="仿宋_GB2312" w:cs="Times New Roman"/>
          <w:kern w:val="2"/>
          <w:sz w:val="32"/>
          <w:szCs w:val="32"/>
        </w:rPr>
      </w:pPr>
    </w:p>
    <w:p>
      <w:pPr>
        <w:pStyle w:val="16"/>
        <w:spacing w:before="75" w:beforeAutospacing="0" w:after="75" w:afterAutospacing="0"/>
        <w:ind w:firstLine="640" w:firstLineChars="200"/>
        <w:jc w:val="both"/>
        <w:rPr>
          <w:rFonts w:hint="eastAsia" w:ascii="仿宋_GB2312" w:hAnsi="Calibri" w:eastAsia="仿宋_GB2312" w:cs="Times New Roman"/>
          <w:kern w:val="2"/>
          <w:sz w:val="32"/>
          <w:szCs w:val="32"/>
        </w:rPr>
      </w:pPr>
      <w:r>
        <w:rPr>
          <w:rFonts w:hint="eastAsia" w:ascii="仿宋_GB2312" w:hAnsi="Calibri" w:eastAsia="仿宋_GB2312" w:cs="Times New Roman"/>
          <w:kern w:val="2"/>
          <w:sz w:val="32"/>
          <w:szCs w:val="32"/>
          <w:lang w:val="en-US" w:eastAsia="zh-CN"/>
        </w:rPr>
        <w:t>8</w:t>
      </w:r>
      <w:r>
        <w:rPr>
          <w:rFonts w:hint="eastAsia" w:ascii="仿宋_GB2312" w:hAnsi="Calibri" w:eastAsia="仿宋_GB2312" w:cs="Times New Roman"/>
          <w:kern w:val="2"/>
          <w:sz w:val="32"/>
          <w:szCs w:val="32"/>
        </w:rPr>
        <w:t>.社会保障和就业支出（类）行政事业单位养老支出（款）其他社会保障和就业支出（项）：反映</w:t>
      </w:r>
      <w:r>
        <w:rPr>
          <w:rFonts w:hint="eastAsia" w:ascii="仿宋_GB2312" w:hAnsi="Calibri" w:eastAsia="仿宋_GB2312" w:cs="Times New Roman"/>
          <w:kern w:val="2"/>
          <w:sz w:val="32"/>
          <w:szCs w:val="32"/>
          <w:lang w:eastAsia="zh-CN"/>
        </w:rPr>
        <w:t>其他用于社会保障和就业方面的支出</w:t>
      </w:r>
      <w:r>
        <w:rPr>
          <w:rFonts w:hint="eastAsia" w:ascii="仿宋_GB2312" w:hAnsi="Calibri" w:eastAsia="仿宋_GB2312" w:cs="Times New Roman"/>
          <w:kern w:val="2"/>
          <w:sz w:val="32"/>
          <w:szCs w:val="32"/>
        </w:rPr>
        <w:t>。</w:t>
      </w:r>
    </w:p>
    <w:p>
      <w:pPr>
        <w:pStyle w:val="16"/>
        <w:keepNext w:val="0"/>
        <w:keepLines w:val="0"/>
        <w:widowControl/>
        <w:suppressLineNumbers w:val="0"/>
        <w:spacing w:before="75" w:beforeAutospacing="0" w:after="75" w:afterAutospacing="0"/>
        <w:ind w:right="0" w:firstLine="640" w:firstLineChars="200"/>
        <w:jc w:val="both"/>
        <w:rPr>
          <w:rFonts w:hint="eastAsia" w:ascii="仿宋_GB2312" w:hAnsi="Calibri" w:eastAsia="仿宋_GB2312" w:cs="Times New Roman"/>
          <w:kern w:val="2"/>
          <w:sz w:val="32"/>
          <w:szCs w:val="32"/>
        </w:rPr>
      </w:pPr>
      <w:r>
        <w:rPr>
          <w:rFonts w:hint="eastAsia" w:ascii="仿宋_GB2312" w:hAnsi="仿宋_GB2312" w:eastAsia="仿宋_GB2312" w:cs="仿宋_GB2312"/>
          <w:i w:val="0"/>
          <w:caps w:val="0"/>
          <w:smallCaps w:val="0"/>
          <w:color w:val="000000"/>
          <w:spacing w:val="0"/>
          <w:kern w:val="0"/>
          <w:sz w:val="32"/>
          <w:szCs w:val="32"/>
          <w:lang w:val="en-US" w:eastAsia="zh-CN"/>
        </w:rPr>
        <w:t>9.卫生健康支出（类）行政事业单位医疗（款）事业单位医疗（项）：反映财政部门安排的事业单位基本医疗保险缴费经费，未参加医疗保险的行政单位的公费医疗经费，按国家规定享受离休人员待遇人员的医疗经费。</w:t>
      </w:r>
    </w:p>
    <w:p>
      <w:pPr>
        <w:pStyle w:val="16"/>
        <w:spacing w:before="75" w:beforeAutospacing="0" w:after="75" w:afterAutospacing="0"/>
        <w:ind w:firstLine="640" w:firstLineChars="200"/>
        <w:jc w:val="both"/>
        <w:rPr>
          <w:rFonts w:ascii="仿宋_GB2312" w:hAnsi="Calibri" w:eastAsia="仿宋_GB2312" w:cs="Times New Roman"/>
          <w:kern w:val="2"/>
          <w:sz w:val="32"/>
          <w:szCs w:val="32"/>
        </w:rPr>
      </w:pPr>
      <w:r>
        <w:rPr>
          <w:rFonts w:hint="eastAsia" w:ascii="仿宋_GB2312" w:hAnsi="Calibri" w:eastAsia="仿宋_GB2312" w:cs="Times New Roman"/>
          <w:kern w:val="2"/>
          <w:sz w:val="32"/>
          <w:szCs w:val="32"/>
        </w:rPr>
        <w:t>1</w:t>
      </w:r>
      <w:r>
        <w:rPr>
          <w:rFonts w:hint="eastAsia" w:ascii="仿宋_GB2312" w:hAnsi="Calibri" w:eastAsia="仿宋_GB2312" w:cs="Times New Roman"/>
          <w:kern w:val="2"/>
          <w:sz w:val="32"/>
          <w:szCs w:val="32"/>
          <w:lang w:val="en-US" w:eastAsia="zh-CN"/>
        </w:rPr>
        <w:t>0</w:t>
      </w:r>
      <w:r>
        <w:rPr>
          <w:rFonts w:hint="eastAsia" w:ascii="仿宋_GB2312" w:hAnsi="Calibri" w:eastAsia="仿宋_GB2312" w:cs="Times New Roman"/>
          <w:kern w:val="2"/>
          <w:sz w:val="32"/>
          <w:szCs w:val="32"/>
        </w:rPr>
        <w:t>.住房保障支出（类）住房改革支出（款）住房公积金（项）：反映行政事业单位按人力资源和社会保障部、财政部规定的基本工资和津贴补贴以及规定比例为职工缴纳的住房公积金。</w:t>
      </w:r>
    </w:p>
    <w:p>
      <w:pPr>
        <w:ind w:firstLine="640" w:firstLineChars="200"/>
        <w:rPr>
          <w:rFonts w:ascii="仿宋_GB2312" w:eastAsia="仿宋_GB2312"/>
          <w:sz w:val="32"/>
          <w:szCs w:val="32"/>
        </w:rPr>
      </w:pPr>
      <w:r>
        <w:rPr>
          <w:rFonts w:hint="eastAsia" w:ascii="仿宋_GB2312" w:eastAsia="仿宋_GB2312"/>
          <w:sz w:val="32"/>
          <w:szCs w:val="32"/>
        </w:rPr>
        <w:t>1</w:t>
      </w:r>
      <w:r>
        <w:rPr>
          <w:rFonts w:hint="eastAsia" w:ascii="仿宋_GB2312" w:eastAsia="仿宋_GB2312"/>
          <w:sz w:val="32"/>
          <w:szCs w:val="32"/>
          <w:lang w:val="en-US" w:eastAsia="zh-CN"/>
        </w:rPr>
        <w:t>1</w:t>
      </w:r>
      <w:r>
        <w:rPr>
          <w:rFonts w:ascii="仿宋_GB2312" w:eastAsia="仿宋_GB2312"/>
          <w:sz w:val="32"/>
          <w:szCs w:val="32"/>
        </w:rPr>
        <w:t>.</w:t>
      </w:r>
      <w:r>
        <w:rPr>
          <w:rFonts w:hint="eastAsia" w:ascii="仿宋_GB2312" w:eastAsia="仿宋_GB2312"/>
          <w:sz w:val="32"/>
          <w:szCs w:val="32"/>
        </w:rPr>
        <w:t>基本支出：指为保障机构正常运转、完成日常工作任务而发生的人员支出和公用支出。</w:t>
      </w:r>
    </w:p>
    <w:p>
      <w:pPr>
        <w:ind w:firstLine="640" w:firstLineChars="200"/>
        <w:rPr>
          <w:rFonts w:ascii="仿宋_GB2312" w:eastAsia="仿宋_GB2312"/>
          <w:sz w:val="32"/>
          <w:szCs w:val="32"/>
        </w:rPr>
      </w:pPr>
      <w:r>
        <w:rPr>
          <w:rFonts w:hint="eastAsia" w:ascii="仿宋_GB2312" w:eastAsia="仿宋_GB2312"/>
          <w:sz w:val="32"/>
          <w:szCs w:val="32"/>
        </w:rPr>
        <w:t>1</w:t>
      </w:r>
      <w:r>
        <w:rPr>
          <w:rFonts w:hint="eastAsia" w:ascii="仿宋_GB2312" w:eastAsia="仿宋_GB2312"/>
          <w:sz w:val="32"/>
          <w:szCs w:val="32"/>
          <w:lang w:val="en-US" w:eastAsia="zh-CN"/>
        </w:rPr>
        <w:t>2</w:t>
      </w:r>
      <w:r>
        <w:rPr>
          <w:rFonts w:ascii="仿宋_GB2312" w:eastAsia="仿宋_GB2312"/>
          <w:sz w:val="32"/>
          <w:szCs w:val="32"/>
        </w:rPr>
        <w:t>.</w:t>
      </w:r>
      <w:r>
        <w:rPr>
          <w:rFonts w:hint="eastAsia" w:ascii="仿宋_GB2312" w:eastAsia="仿宋_GB2312"/>
          <w:sz w:val="32"/>
          <w:szCs w:val="32"/>
        </w:rPr>
        <w:t>项目支出：指在基本支出之外为完成特定行政任务和事业发展目标所发生的支出。</w:t>
      </w:r>
      <w:r>
        <w:rPr>
          <w:rFonts w:ascii="仿宋_GB2312" w:eastAsia="仿宋_GB2312"/>
          <w:sz w:val="32"/>
          <w:szCs w:val="32"/>
        </w:rPr>
        <w:t xml:space="preserve"> </w:t>
      </w:r>
    </w:p>
    <w:p>
      <w:pPr>
        <w:pStyle w:val="33"/>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1</w:t>
      </w:r>
      <w:r>
        <w:rPr>
          <w:rFonts w:hint="eastAsia" w:ascii="仿宋_GB2312" w:eastAsia="仿宋_GB2312"/>
          <w:color w:val="auto"/>
          <w:sz w:val="32"/>
          <w:szCs w:val="32"/>
          <w:lang w:val="en-US" w:eastAsia="zh-CN"/>
        </w:rPr>
        <w:t>3</w:t>
      </w:r>
      <w:r>
        <w:rPr>
          <w:rFonts w:ascii="仿宋_GB2312" w:eastAsia="仿宋_GB2312"/>
          <w:color w:val="auto"/>
          <w:sz w:val="32"/>
          <w:szCs w:val="32"/>
        </w:rPr>
        <w:t>.</w:t>
      </w:r>
      <w:r>
        <w:rPr>
          <w:rFonts w:hint="eastAsia" w:ascii="仿宋_GB2312" w:eastAsia="仿宋_GB2312"/>
          <w:color w:val="auto"/>
          <w:sz w:val="32"/>
          <w:szCs w:val="32"/>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3"/>
        <w:bidi w:val="0"/>
        <w:jc w:val="center"/>
        <w:rPr>
          <w:rFonts w:hint="eastAsia" w:ascii="Times New Roman" w:hAnsi="Times New Roman" w:eastAsia="黑体"/>
          <w:color w:val="auto"/>
          <w:sz w:val="44"/>
          <w:szCs w:val="44"/>
          <w:highlight w:val="none"/>
        </w:rPr>
      </w:pPr>
      <w:bookmarkStart w:id="74" w:name="_Toc15377226"/>
      <w:r>
        <w:rPr>
          <w:rFonts w:hint="eastAsia" w:ascii="Times New Roman" w:hAnsi="Times New Roman" w:eastAsia="仿宋_GB2312" w:cs="仿宋_GB2312"/>
          <w:color w:val="auto"/>
          <w:kern w:val="2"/>
          <w:sz w:val="32"/>
          <w:szCs w:val="32"/>
          <w:highlight w:val="none"/>
          <w:lang w:val="en-US" w:eastAsia="zh-CN" w:bidi="ar-SA"/>
        </w:rPr>
        <w:br w:type="page"/>
      </w:r>
      <w:bookmarkStart w:id="75" w:name="_Toc32120"/>
      <w:bookmarkStart w:id="76" w:name="_Toc15396614"/>
      <w:r>
        <w:rPr>
          <w:rFonts w:hint="eastAsia" w:ascii="Times New Roman" w:hAnsi="Times New Roman" w:eastAsia="黑体"/>
          <w:color w:val="auto"/>
          <w:sz w:val="44"/>
          <w:szCs w:val="44"/>
          <w:highlight w:val="none"/>
        </w:rPr>
        <w:t>第四部分</w:t>
      </w:r>
      <w:r>
        <w:rPr>
          <w:rFonts w:hint="eastAsia" w:ascii="Times New Roman" w:hAnsi="Times New Roman" w:eastAsia="黑体"/>
          <w:color w:val="auto"/>
          <w:sz w:val="44"/>
          <w:szCs w:val="44"/>
          <w:highlight w:val="none"/>
          <w:lang w:val="en-US" w:eastAsia="zh-CN"/>
        </w:rPr>
        <w:t xml:space="preserve"> </w:t>
      </w:r>
      <w:r>
        <w:rPr>
          <w:rFonts w:hint="eastAsia" w:ascii="Times New Roman" w:hAnsi="Times New Roman" w:eastAsia="黑体"/>
          <w:color w:val="auto"/>
          <w:sz w:val="44"/>
          <w:szCs w:val="44"/>
          <w:highlight w:val="none"/>
        </w:rPr>
        <w:t xml:space="preserve"> 附件</w:t>
      </w:r>
      <w:bookmarkEnd w:id="75"/>
      <w:bookmarkEnd w:id="76"/>
    </w:p>
    <w:p>
      <w:pPr>
        <w:spacing w:line="572" w:lineRule="exact"/>
        <w:jc w:val="left"/>
        <w:outlineLvl w:val="0"/>
        <w:rPr>
          <w:rFonts w:ascii="仿宋_GB2312" w:hAnsi="仿宋_GB2312" w:eastAsia="仿宋_GB2312" w:cs="仿宋_GB2312"/>
          <w:sz w:val="32"/>
          <w:szCs w:val="32"/>
        </w:rPr>
      </w:pPr>
    </w:p>
    <w:p>
      <w:pPr>
        <w:spacing w:line="600" w:lineRule="exact"/>
        <w:jc w:val="center"/>
        <w:outlineLvl w:val="0"/>
        <w:rPr>
          <w:rFonts w:hint="eastAsia" w:ascii="黑体" w:hAnsi="黑体" w:eastAsia="黑体"/>
          <w:color w:val="FF0000"/>
          <w:sz w:val="44"/>
          <w:szCs w:val="44"/>
        </w:rPr>
      </w:pPr>
      <w:bookmarkStart w:id="77" w:name="_Toc176427867"/>
      <w:bookmarkStart w:id="78" w:name="_Toc8616"/>
      <w:bookmarkStart w:id="79" w:name="_Toc2093675449_WPSOffice_Level2"/>
      <w:r>
        <w:rPr>
          <w:rFonts w:hint="eastAsia" w:ascii="仿宋_GB2312" w:hAnsi="Calibri" w:eastAsia="仿宋_GB2312" w:cs="仿宋"/>
          <w:color w:val="auto"/>
          <w:kern w:val="0"/>
          <w:sz w:val="32"/>
          <w:szCs w:val="32"/>
          <w:lang w:val="en-US" w:eastAsia="zh-CN" w:bidi="ar-SA"/>
        </w:rPr>
        <w:t>部门预算项目支出绩效自评表（2024年度）</w:t>
      </w:r>
      <w:bookmarkEnd w:id="77"/>
      <w:bookmarkEnd w:id="78"/>
      <w:bookmarkEnd w:id="79"/>
    </w:p>
    <w:p>
      <w:pPr>
        <w:pStyle w:val="2"/>
        <w:rPr>
          <w:rFonts w:hint="eastAsia"/>
          <w:lang w:eastAsia="zh-CN"/>
        </w:rPr>
      </w:pPr>
    </w:p>
    <w:p>
      <w:pPr>
        <w:pStyle w:val="2"/>
        <w:rPr>
          <w:rFonts w:hint="eastAsia" w:ascii="Times New Roman" w:hAnsi="Times New Roman" w:eastAsia="黑体" w:cs="黑体"/>
          <w:color w:val="auto"/>
          <w:kern w:val="0"/>
          <w:sz w:val="32"/>
          <w:szCs w:val="32"/>
          <w:highlight w:val="none"/>
          <w:shd w:val="clear" w:color="auto" w:fill="FFFFFF"/>
          <w:lang w:val="zh-CN"/>
        </w:rPr>
      </w:pPr>
    </w:p>
    <w:p>
      <w:pPr>
        <w:pStyle w:val="2"/>
        <w:rPr>
          <w:rFonts w:hint="eastAsia" w:ascii="Times New Roman" w:hAnsi="Times New Roman" w:eastAsia="黑体" w:cs="黑体"/>
          <w:color w:val="auto"/>
          <w:kern w:val="0"/>
          <w:sz w:val="32"/>
          <w:szCs w:val="32"/>
          <w:highlight w:val="none"/>
          <w:shd w:val="clear" w:color="auto" w:fill="FFFFFF"/>
          <w:lang w:val="zh-CN"/>
        </w:rPr>
      </w:pPr>
    </w:p>
    <w:p>
      <w:pPr>
        <w:pStyle w:val="2"/>
        <w:rPr>
          <w:rFonts w:hint="eastAsia" w:ascii="Times New Roman" w:hAnsi="Times New Roman" w:eastAsia="黑体" w:cs="黑体"/>
          <w:color w:val="auto"/>
          <w:kern w:val="0"/>
          <w:sz w:val="32"/>
          <w:szCs w:val="32"/>
          <w:highlight w:val="none"/>
          <w:shd w:val="clear" w:color="auto" w:fill="FFFFFF"/>
          <w:lang w:val="zh-CN"/>
        </w:rPr>
      </w:pPr>
    </w:p>
    <w:p>
      <w:pPr>
        <w:pStyle w:val="2"/>
        <w:rPr>
          <w:rFonts w:hint="eastAsia" w:ascii="Times New Roman" w:hAnsi="Times New Roman" w:eastAsia="黑体" w:cs="黑体"/>
          <w:color w:val="auto"/>
          <w:kern w:val="0"/>
          <w:sz w:val="32"/>
          <w:szCs w:val="32"/>
          <w:highlight w:val="none"/>
          <w:shd w:val="clear" w:color="auto" w:fill="FFFFFF"/>
          <w:lang w:val="zh-CN"/>
        </w:rPr>
      </w:pPr>
    </w:p>
    <w:p>
      <w:pPr>
        <w:pStyle w:val="2"/>
        <w:rPr>
          <w:rFonts w:hint="eastAsia" w:ascii="Times New Roman" w:hAnsi="Times New Roman" w:eastAsia="黑体" w:cs="黑体"/>
          <w:color w:val="auto"/>
          <w:kern w:val="0"/>
          <w:sz w:val="32"/>
          <w:szCs w:val="32"/>
          <w:highlight w:val="none"/>
          <w:shd w:val="clear" w:color="auto" w:fill="FFFFFF"/>
          <w:lang w:val="zh-CN"/>
        </w:rPr>
      </w:pPr>
    </w:p>
    <w:p>
      <w:pPr>
        <w:pStyle w:val="2"/>
        <w:rPr>
          <w:rFonts w:hint="eastAsia" w:ascii="Times New Roman" w:hAnsi="Times New Roman" w:eastAsia="黑体" w:cs="黑体"/>
          <w:color w:val="auto"/>
          <w:kern w:val="0"/>
          <w:sz w:val="32"/>
          <w:szCs w:val="32"/>
          <w:highlight w:val="none"/>
          <w:shd w:val="clear" w:color="auto" w:fill="FFFFFF"/>
          <w:lang w:val="zh-CN"/>
        </w:rPr>
      </w:pPr>
    </w:p>
    <w:p>
      <w:pPr>
        <w:pStyle w:val="2"/>
        <w:rPr>
          <w:rFonts w:hint="eastAsia" w:ascii="Times New Roman" w:hAnsi="Times New Roman" w:eastAsia="黑体" w:cs="黑体"/>
          <w:color w:val="auto"/>
          <w:kern w:val="0"/>
          <w:sz w:val="32"/>
          <w:szCs w:val="32"/>
          <w:highlight w:val="none"/>
          <w:shd w:val="clear" w:color="auto" w:fill="FFFFFF"/>
          <w:lang w:val="zh-CN"/>
        </w:rPr>
      </w:pPr>
    </w:p>
    <w:p>
      <w:pPr>
        <w:pStyle w:val="2"/>
        <w:rPr>
          <w:rFonts w:hint="eastAsia" w:ascii="Times New Roman" w:hAnsi="Times New Roman" w:eastAsia="黑体" w:cs="黑体"/>
          <w:color w:val="auto"/>
          <w:kern w:val="0"/>
          <w:sz w:val="32"/>
          <w:szCs w:val="32"/>
          <w:highlight w:val="none"/>
          <w:shd w:val="clear" w:color="auto" w:fill="FFFFFF"/>
          <w:lang w:val="zh-CN"/>
        </w:rPr>
      </w:pPr>
    </w:p>
    <w:p>
      <w:pPr>
        <w:pStyle w:val="2"/>
        <w:rPr>
          <w:rFonts w:hint="eastAsia" w:ascii="Times New Roman" w:hAnsi="Times New Roman" w:eastAsia="黑体" w:cs="黑体"/>
          <w:color w:val="auto"/>
          <w:kern w:val="0"/>
          <w:sz w:val="32"/>
          <w:szCs w:val="32"/>
          <w:highlight w:val="none"/>
          <w:shd w:val="clear" w:color="auto" w:fill="FFFFFF"/>
          <w:lang w:val="zh-CN"/>
        </w:rPr>
      </w:pPr>
    </w:p>
    <w:p>
      <w:pPr>
        <w:pStyle w:val="2"/>
        <w:rPr>
          <w:rFonts w:hint="eastAsia" w:ascii="Times New Roman" w:hAnsi="Times New Roman" w:eastAsia="黑体" w:cs="黑体"/>
          <w:color w:val="auto"/>
          <w:kern w:val="0"/>
          <w:sz w:val="32"/>
          <w:szCs w:val="32"/>
          <w:highlight w:val="none"/>
          <w:shd w:val="clear" w:color="auto" w:fill="FFFFFF"/>
          <w:lang w:val="zh-CN"/>
        </w:rPr>
      </w:pPr>
    </w:p>
    <w:p>
      <w:pPr>
        <w:pStyle w:val="2"/>
        <w:rPr>
          <w:rFonts w:hint="eastAsia" w:ascii="Times New Roman" w:hAnsi="Times New Roman" w:eastAsia="黑体" w:cs="黑体"/>
          <w:color w:val="auto"/>
          <w:kern w:val="0"/>
          <w:sz w:val="32"/>
          <w:szCs w:val="32"/>
          <w:highlight w:val="none"/>
          <w:shd w:val="clear" w:color="auto" w:fill="FFFFFF"/>
          <w:lang w:val="zh-CN"/>
        </w:rPr>
      </w:pPr>
    </w:p>
    <w:p>
      <w:pPr>
        <w:pStyle w:val="2"/>
        <w:rPr>
          <w:rFonts w:hint="eastAsia" w:ascii="Times New Roman" w:hAnsi="Times New Roman" w:eastAsia="黑体" w:cs="黑体"/>
          <w:color w:val="auto"/>
          <w:kern w:val="0"/>
          <w:sz w:val="32"/>
          <w:szCs w:val="32"/>
          <w:highlight w:val="none"/>
          <w:shd w:val="clear" w:color="auto" w:fill="FFFFFF"/>
          <w:lang w:val="zh-CN"/>
        </w:rPr>
      </w:pPr>
    </w:p>
    <w:p>
      <w:pPr>
        <w:pStyle w:val="2"/>
        <w:rPr>
          <w:rFonts w:hint="eastAsia" w:ascii="Times New Roman" w:hAnsi="Times New Roman" w:eastAsia="黑体" w:cs="黑体"/>
          <w:color w:val="auto"/>
          <w:kern w:val="0"/>
          <w:sz w:val="32"/>
          <w:szCs w:val="32"/>
          <w:highlight w:val="none"/>
          <w:shd w:val="clear" w:color="auto" w:fill="FFFFFF"/>
          <w:lang w:val="zh-CN"/>
        </w:rPr>
      </w:pPr>
    </w:p>
    <w:p>
      <w:pPr>
        <w:pStyle w:val="2"/>
        <w:rPr>
          <w:rFonts w:hint="eastAsia" w:ascii="Times New Roman" w:hAnsi="Times New Roman" w:eastAsia="黑体" w:cs="黑体"/>
          <w:color w:val="auto"/>
          <w:kern w:val="0"/>
          <w:sz w:val="32"/>
          <w:szCs w:val="32"/>
          <w:highlight w:val="none"/>
          <w:shd w:val="clear" w:color="auto" w:fill="FFFFFF"/>
          <w:lang w:val="zh-CN"/>
        </w:rPr>
      </w:pPr>
    </w:p>
    <w:p>
      <w:pPr>
        <w:pStyle w:val="2"/>
        <w:rPr>
          <w:rFonts w:hint="eastAsia" w:ascii="Times New Roman" w:hAnsi="Times New Roman" w:eastAsia="黑体" w:cs="黑体"/>
          <w:color w:val="auto"/>
          <w:kern w:val="0"/>
          <w:sz w:val="32"/>
          <w:szCs w:val="32"/>
          <w:highlight w:val="none"/>
          <w:shd w:val="clear" w:color="auto" w:fill="FFFFFF"/>
          <w:lang w:val="zh-CN"/>
        </w:rPr>
      </w:pPr>
    </w:p>
    <w:p>
      <w:pPr>
        <w:rPr>
          <w:rFonts w:hint="eastAsia" w:ascii="Times New Roman" w:hAnsi="Times New Roman" w:eastAsia="黑体" w:cs="黑体"/>
          <w:color w:val="auto"/>
          <w:kern w:val="0"/>
          <w:sz w:val="32"/>
          <w:szCs w:val="32"/>
          <w:highlight w:val="none"/>
          <w:shd w:val="clear" w:color="auto" w:fill="FFFFFF"/>
          <w:lang w:val="zh-CN"/>
        </w:rPr>
        <w:sectPr>
          <w:footerReference r:id="rId7" w:type="default"/>
          <w:pgSz w:w="11906" w:h="16838"/>
          <w:pgMar w:top="1440" w:right="1800" w:bottom="1440" w:left="1800" w:header="851" w:footer="992" w:gutter="0"/>
          <w:pgNumType w:fmt="numberInDash" w:start="1"/>
          <w:cols w:space="425" w:num="1"/>
          <w:docGrid w:type="lines" w:linePitch="312" w:charSpace="0"/>
        </w:sectPr>
      </w:pPr>
    </w:p>
    <w:tbl>
      <w:tblPr>
        <w:tblStyle w:val="17"/>
        <w:tblW w:w="1411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89"/>
        <w:gridCol w:w="2040"/>
        <w:gridCol w:w="7"/>
        <w:gridCol w:w="1752"/>
        <w:gridCol w:w="12"/>
        <w:gridCol w:w="2240"/>
        <w:gridCol w:w="19"/>
        <w:gridCol w:w="504"/>
        <w:gridCol w:w="20"/>
        <w:gridCol w:w="1648"/>
        <w:gridCol w:w="26"/>
        <w:gridCol w:w="497"/>
        <w:gridCol w:w="27"/>
        <w:gridCol w:w="1066"/>
        <w:gridCol w:w="28"/>
        <w:gridCol w:w="482"/>
        <w:gridCol w:w="28"/>
        <w:gridCol w:w="486"/>
        <w:gridCol w:w="8"/>
        <w:gridCol w:w="253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15"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i w:val="0"/>
                <w:color w:val="000000"/>
                <w:sz w:val="30"/>
                <w:szCs w:val="30"/>
                <w:u w:val="none"/>
              </w:rPr>
            </w:pPr>
            <w:bookmarkStart w:id="80" w:name="_Toc15396618"/>
            <w:r>
              <w:rPr>
                <w:rFonts w:hint="default" w:ascii="黑体" w:hAnsi="宋体" w:eastAsia="黑体" w:cs="黑体"/>
                <w:b/>
                <w:i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7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11386"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51080023R000009698970-单位年度考核奖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27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67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广元市政务服务和数据局部门</w:t>
            </w:r>
          </w:p>
        </w:tc>
        <w:tc>
          <w:tcPr>
            <w:tcW w:w="1093" w:type="dxa"/>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实施单位 （盖章）</w:t>
            </w:r>
          </w:p>
        </w:tc>
        <w:tc>
          <w:tcPr>
            <w:tcW w:w="356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广元市政务服务和公共资源交易中心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20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67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466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0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67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严格执行相关政策，保障工资及时、足额发放或社保及时、足额缴纳，预算编制科学合理，减少结余资金。</w:t>
            </w:r>
          </w:p>
        </w:tc>
        <w:tc>
          <w:tcPr>
            <w:tcW w:w="466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单位年度考核奖及时发放、足额发放。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4"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11386"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严格执行相关政策，及时发放、足额发放单位年度考核奖。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17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22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271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5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17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18.99</w:t>
            </w:r>
          </w:p>
        </w:tc>
        <w:tc>
          <w:tcPr>
            <w:tcW w:w="22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33.22</w:t>
            </w:r>
          </w:p>
        </w:tc>
        <w:tc>
          <w:tcPr>
            <w:tcW w:w="271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33.22</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5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w:t>
            </w:r>
          </w:p>
        </w:tc>
        <w:tc>
          <w:tcPr>
            <w:tcW w:w="25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color w:val="000000"/>
                <w:sz w:val="18"/>
                <w:szCs w:val="18"/>
                <w:u w:val="none"/>
              </w:rPr>
            </w:pPr>
            <w:r>
              <w:rPr>
                <w:rFonts w:hint="default" w:ascii="黑体" w:hAnsi="黑体" w:eastAsia="黑体" w:cs="黑体"/>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r>
              <w:rPr>
                <w:rFonts w:hint="eastAsia" w:ascii="黑体" w:hAnsi="黑体" w:eastAsia="黑体" w:cs="黑体"/>
                <w:i/>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17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18.99</w:t>
            </w:r>
          </w:p>
        </w:tc>
        <w:tc>
          <w:tcPr>
            <w:tcW w:w="22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33.22</w:t>
            </w:r>
          </w:p>
        </w:tc>
        <w:tc>
          <w:tcPr>
            <w:tcW w:w="271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33.22</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17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71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17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71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17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2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271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17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22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52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16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52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5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17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22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发放（缴纳）覆盖率</w:t>
            </w:r>
          </w:p>
        </w:tc>
        <w:tc>
          <w:tcPr>
            <w:tcW w:w="52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2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100</w:t>
            </w:r>
          </w:p>
        </w:tc>
        <w:tc>
          <w:tcPr>
            <w:tcW w:w="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60</w:t>
            </w:r>
          </w:p>
        </w:tc>
        <w:tc>
          <w:tcPr>
            <w:tcW w:w="5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60</w:t>
            </w:r>
          </w:p>
        </w:tc>
        <w:tc>
          <w:tcPr>
            <w:tcW w:w="25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17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22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足额保障率（参保率）</w:t>
            </w:r>
          </w:p>
        </w:tc>
        <w:tc>
          <w:tcPr>
            <w:tcW w:w="52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2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100</w:t>
            </w:r>
          </w:p>
        </w:tc>
        <w:tc>
          <w:tcPr>
            <w:tcW w:w="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w:t>
            </w:r>
          </w:p>
        </w:tc>
        <w:tc>
          <w:tcPr>
            <w:tcW w:w="5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30</w:t>
            </w:r>
          </w:p>
        </w:tc>
        <w:tc>
          <w:tcPr>
            <w:tcW w:w="25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547"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100</w:t>
            </w:r>
          </w:p>
        </w:tc>
        <w:tc>
          <w:tcPr>
            <w:tcW w:w="253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13426" w:type="dxa"/>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val="0"/>
                <w:color w:val="000000"/>
                <w:kern w:val="0"/>
                <w:sz w:val="16"/>
                <w:szCs w:val="16"/>
                <w:u w:val="none"/>
                <w:lang w:val="en-US" w:eastAsia="zh-CN" w:bidi="ar"/>
              </w:rPr>
              <w:t>该项目自评总分100分，该项目顺利实施，保障了职工的合法权益，调动了职工的工作积极性。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13426" w:type="dxa"/>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微软雅黑" w:hAnsi="微软雅黑" w:eastAsia="微软雅黑" w:cs="微软雅黑"/>
                <w:i w:val="0"/>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13426" w:type="dxa"/>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微软雅黑" w:hAnsi="微软雅黑" w:eastAsia="微软雅黑" w:cs="微软雅黑"/>
                <w:i w:val="0"/>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26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项目负责人：</w:t>
            </w:r>
            <w:r>
              <w:rPr>
                <w:rFonts w:hint="eastAsia" w:ascii="黑体" w:hAnsi="黑体" w:eastAsia="黑体" w:cs="黑体"/>
                <w:i w:val="0"/>
                <w:color w:val="000000"/>
                <w:kern w:val="0"/>
                <w:sz w:val="18"/>
                <w:szCs w:val="18"/>
                <w:u w:val="none"/>
                <w:lang w:val="en-US" w:eastAsia="zh-CN" w:bidi="ar"/>
              </w:rPr>
              <w:t>袁玲</w:t>
            </w:r>
          </w:p>
        </w:tc>
        <w:tc>
          <w:tcPr>
            <w:tcW w:w="685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财务负责人：</w:t>
            </w:r>
            <w:r>
              <w:rPr>
                <w:rFonts w:hint="eastAsia" w:ascii="黑体" w:hAnsi="黑体" w:eastAsia="黑体" w:cs="黑体"/>
                <w:i w:val="0"/>
                <w:color w:val="000000"/>
                <w:kern w:val="0"/>
                <w:sz w:val="18"/>
                <w:szCs w:val="18"/>
                <w:u w:val="none"/>
                <w:lang w:val="en-US" w:eastAsia="zh-CN" w:bidi="ar"/>
              </w:rPr>
              <w:t>王洪彬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89"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040"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759" w:type="dxa"/>
            <w:gridSpan w:val="2"/>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252" w:type="dxa"/>
            <w:gridSpan w:val="2"/>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23" w:type="dxa"/>
            <w:gridSpan w:val="2"/>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668" w:type="dxa"/>
            <w:gridSpan w:val="2"/>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23" w:type="dxa"/>
            <w:gridSpan w:val="2"/>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093" w:type="dxa"/>
            <w:gridSpan w:val="2"/>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10" w:type="dxa"/>
            <w:gridSpan w:val="2"/>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22" w:type="dxa"/>
            <w:gridSpan w:val="3"/>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536"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15"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i w:val="0"/>
                <w:color w:val="000000"/>
                <w:sz w:val="30"/>
                <w:szCs w:val="30"/>
                <w:u w:val="none"/>
              </w:rPr>
            </w:pPr>
            <w:r>
              <w:rPr>
                <w:rFonts w:hint="default" w:ascii="黑体" w:hAnsi="宋体" w:eastAsia="黑体" w:cs="黑体"/>
                <w:b/>
                <w:i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7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11386"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51080024R000010823060-单位缴费（在职人员五险两金）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27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67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广元市政务服务和数据局部门</w:t>
            </w:r>
          </w:p>
        </w:tc>
        <w:tc>
          <w:tcPr>
            <w:tcW w:w="1093" w:type="dxa"/>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实施单位 （盖章）</w:t>
            </w:r>
          </w:p>
        </w:tc>
        <w:tc>
          <w:tcPr>
            <w:tcW w:w="356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广元市政务服务和公共资源交易中心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20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67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466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0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67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严格执行相关政策，保障工资及时、足额发放或社保及时、足额缴纳，预算编制科学合理，减少结余资金。</w:t>
            </w:r>
          </w:p>
        </w:tc>
        <w:tc>
          <w:tcPr>
            <w:tcW w:w="466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按月、及时足额缴纳职工的五险两金。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4"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11386"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r>
              <w:rPr>
                <w:rFonts w:hint="eastAsia" w:ascii="黑体" w:hAnsi="黑体" w:eastAsia="黑体" w:cs="黑体"/>
                <w:i w:val="0"/>
                <w:color w:val="000000"/>
                <w:kern w:val="0"/>
                <w:sz w:val="18"/>
                <w:szCs w:val="18"/>
                <w:u w:val="none"/>
                <w:lang w:val="en-US" w:eastAsia="zh-CN" w:bidi="ar"/>
              </w:rPr>
              <w:t>按月、及时足额缴纳职工的五险两金。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17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22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271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5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17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82.25</w:t>
            </w:r>
          </w:p>
        </w:tc>
        <w:tc>
          <w:tcPr>
            <w:tcW w:w="22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92.09</w:t>
            </w:r>
          </w:p>
        </w:tc>
        <w:tc>
          <w:tcPr>
            <w:tcW w:w="271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92.09</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5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w:t>
            </w:r>
          </w:p>
        </w:tc>
        <w:tc>
          <w:tcPr>
            <w:tcW w:w="25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color w:val="000000"/>
                <w:sz w:val="18"/>
                <w:szCs w:val="18"/>
                <w:u w:val="none"/>
              </w:rPr>
            </w:pPr>
            <w:r>
              <w:rPr>
                <w:rFonts w:hint="default" w:ascii="黑体" w:hAnsi="黑体" w:eastAsia="黑体" w:cs="黑体"/>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r>
              <w:rPr>
                <w:rFonts w:hint="eastAsia" w:ascii="黑体" w:hAnsi="黑体" w:eastAsia="黑体" w:cs="黑体"/>
                <w:i/>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17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82.25</w:t>
            </w:r>
          </w:p>
        </w:tc>
        <w:tc>
          <w:tcPr>
            <w:tcW w:w="22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92.09</w:t>
            </w:r>
          </w:p>
        </w:tc>
        <w:tc>
          <w:tcPr>
            <w:tcW w:w="271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92.09</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17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71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17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71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17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22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271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17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22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52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16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52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5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17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22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发放（缴纳）覆盖率</w:t>
            </w:r>
          </w:p>
        </w:tc>
        <w:tc>
          <w:tcPr>
            <w:tcW w:w="52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2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100</w:t>
            </w:r>
          </w:p>
        </w:tc>
        <w:tc>
          <w:tcPr>
            <w:tcW w:w="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60</w:t>
            </w:r>
          </w:p>
        </w:tc>
        <w:tc>
          <w:tcPr>
            <w:tcW w:w="5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60</w:t>
            </w:r>
          </w:p>
        </w:tc>
        <w:tc>
          <w:tcPr>
            <w:tcW w:w="25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17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22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足额保障率（参保率）</w:t>
            </w:r>
          </w:p>
        </w:tc>
        <w:tc>
          <w:tcPr>
            <w:tcW w:w="52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2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100</w:t>
            </w:r>
          </w:p>
        </w:tc>
        <w:tc>
          <w:tcPr>
            <w:tcW w:w="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w:t>
            </w:r>
          </w:p>
        </w:tc>
        <w:tc>
          <w:tcPr>
            <w:tcW w:w="5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30</w:t>
            </w:r>
          </w:p>
        </w:tc>
        <w:tc>
          <w:tcPr>
            <w:tcW w:w="25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547"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100</w:t>
            </w:r>
          </w:p>
        </w:tc>
        <w:tc>
          <w:tcPr>
            <w:tcW w:w="253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13426" w:type="dxa"/>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val="0"/>
                <w:color w:val="000000"/>
                <w:kern w:val="0"/>
                <w:sz w:val="16"/>
                <w:szCs w:val="16"/>
                <w:u w:val="none"/>
                <w:lang w:val="en-US" w:eastAsia="zh-CN" w:bidi="ar"/>
              </w:rPr>
              <w:t>该项目自评总分100分，该项目顺利实施，保障了职工的合法权益，调动了职工的工作积极性。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13426" w:type="dxa"/>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微软雅黑" w:hAnsi="微软雅黑" w:eastAsia="微软雅黑" w:cs="微软雅黑"/>
                <w:i w:val="0"/>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13426" w:type="dxa"/>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微软雅黑" w:hAnsi="微软雅黑" w:eastAsia="微软雅黑" w:cs="微软雅黑"/>
                <w:i w:val="0"/>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26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项目负责人：</w:t>
            </w:r>
            <w:r>
              <w:rPr>
                <w:rFonts w:hint="eastAsia" w:ascii="黑体" w:hAnsi="黑体" w:eastAsia="黑体" w:cs="黑体"/>
                <w:i w:val="0"/>
                <w:color w:val="000000"/>
                <w:kern w:val="0"/>
                <w:sz w:val="18"/>
                <w:szCs w:val="18"/>
                <w:u w:val="none"/>
                <w:lang w:val="en-US" w:eastAsia="zh-CN" w:bidi="ar"/>
              </w:rPr>
              <w:t>袁玲</w:t>
            </w:r>
          </w:p>
        </w:tc>
        <w:tc>
          <w:tcPr>
            <w:tcW w:w="685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财务负责人：</w:t>
            </w:r>
            <w:r>
              <w:rPr>
                <w:rFonts w:hint="eastAsia" w:ascii="黑体" w:hAnsi="黑体" w:eastAsia="黑体" w:cs="黑体"/>
                <w:i w:val="0"/>
                <w:color w:val="000000"/>
                <w:kern w:val="0"/>
                <w:sz w:val="18"/>
                <w:szCs w:val="18"/>
                <w:u w:val="none"/>
                <w:lang w:val="en-US" w:eastAsia="zh-CN" w:bidi="ar"/>
              </w:rPr>
              <w:t>王洪彬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89"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040"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759" w:type="dxa"/>
            <w:gridSpan w:val="2"/>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252" w:type="dxa"/>
            <w:gridSpan w:val="2"/>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23" w:type="dxa"/>
            <w:gridSpan w:val="2"/>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668" w:type="dxa"/>
            <w:gridSpan w:val="2"/>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23" w:type="dxa"/>
            <w:gridSpan w:val="2"/>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093" w:type="dxa"/>
            <w:gridSpan w:val="2"/>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10" w:type="dxa"/>
            <w:gridSpan w:val="2"/>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22" w:type="dxa"/>
            <w:gridSpan w:val="3"/>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536"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15"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i w:val="0"/>
                <w:color w:val="000000"/>
                <w:sz w:val="30"/>
                <w:szCs w:val="30"/>
                <w:u w:val="none"/>
              </w:rPr>
            </w:pPr>
            <w:r>
              <w:rPr>
                <w:rFonts w:hint="default" w:ascii="黑体" w:hAnsi="宋体" w:eastAsia="黑体" w:cs="黑体"/>
                <w:b/>
                <w:i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7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11386"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51080024R000010823428-事业人员工资性支出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27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67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广元市政务服务和数据局部门</w:t>
            </w:r>
          </w:p>
        </w:tc>
        <w:tc>
          <w:tcPr>
            <w:tcW w:w="1093" w:type="dxa"/>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实施单位 （盖章）</w:t>
            </w:r>
          </w:p>
        </w:tc>
        <w:tc>
          <w:tcPr>
            <w:tcW w:w="356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广元市政务服务和公共资源交易中心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20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67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466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0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67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严格执行相关政策，保障工资及时、足额发放或社保及时、足额缴纳，预算编制科学合理，减少结余资金。</w:t>
            </w:r>
          </w:p>
        </w:tc>
        <w:tc>
          <w:tcPr>
            <w:tcW w:w="466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sz w:val="18"/>
                <w:szCs w:val="18"/>
                <w:u w:val="none"/>
                <w:lang w:val="en-US" w:eastAsia="zh-CN"/>
              </w:rPr>
              <w:t>格执行相关政策，保障职工工资及时发放、足额发放。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4"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11386"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r>
              <w:rPr>
                <w:rFonts w:hint="eastAsia" w:ascii="宋体" w:hAnsi="宋体" w:eastAsia="宋体" w:cs="宋体"/>
                <w:i w:val="0"/>
                <w:color w:val="000000"/>
                <w:sz w:val="18"/>
                <w:szCs w:val="18"/>
                <w:u w:val="none"/>
                <w:lang w:val="en-US" w:eastAsia="zh-CN"/>
              </w:rPr>
              <w:t>　按月及时、足额发放职工工资。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17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22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271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5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17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159.90</w:t>
            </w:r>
          </w:p>
        </w:tc>
        <w:tc>
          <w:tcPr>
            <w:tcW w:w="22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153.96</w:t>
            </w:r>
          </w:p>
        </w:tc>
        <w:tc>
          <w:tcPr>
            <w:tcW w:w="271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153.96</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5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w:t>
            </w:r>
          </w:p>
        </w:tc>
        <w:tc>
          <w:tcPr>
            <w:tcW w:w="25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color w:val="000000"/>
                <w:sz w:val="18"/>
                <w:szCs w:val="18"/>
                <w:u w:val="none"/>
              </w:rPr>
            </w:pPr>
            <w:r>
              <w:rPr>
                <w:rFonts w:hint="default" w:ascii="黑体" w:hAnsi="黑体" w:eastAsia="黑体" w:cs="黑体"/>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r>
              <w:rPr>
                <w:rFonts w:hint="eastAsia" w:ascii="黑体" w:hAnsi="黑体" w:eastAsia="黑体" w:cs="黑体"/>
                <w:i/>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17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159.90</w:t>
            </w:r>
          </w:p>
        </w:tc>
        <w:tc>
          <w:tcPr>
            <w:tcW w:w="22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153.96</w:t>
            </w:r>
          </w:p>
        </w:tc>
        <w:tc>
          <w:tcPr>
            <w:tcW w:w="271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153.96</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17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71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17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71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17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22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271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17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22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52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16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52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5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17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22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发放（缴纳）覆盖率</w:t>
            </w:r>
          </w:p>
        </w:tc>
        <w:tc>
          <w:tcPr>
            <w:tcW w:w="52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2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100</w:t>
            </w:r>
          </w:p>
        </w:tc>
        <w:tc>
          <w:tcPr>
            <w:tcW w:w="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60</w:t>
            </w:r>
          </w:p>
        </w:tc>
        <w:tc>
          <w:tcPr>
            <w:tcW w:w="5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60</w:t>
            </w:r>
          </w:p>
        </w:tc>
        <w:tc>
          <w:tcPr>
            <w:tcW w:w="25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17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22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足额保障率（参保率）</w:t>
            </w:r>
          </w:p>
        </w:tc>
        <w:tc>
          <w:tcPr>
            <w:tcW w:w="52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2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100</w:t>
            </w:r>
          </w:p>
        </w:tc>
        <w:tc>
          <w:tcPr>
            <w:tcW w:w="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w:t>
            </w:r>
          </w:p>
        </w:tc>
        <w:tc>
          <w:tcPr>
            <w:tcW w:w="5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30</w:t>
            </w:r>
          </w:p>
        </w:tc>
        <w:tc>
          <w:tcPr>
            <w:tcW w:w="25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547"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100</w:t>
            </w:r>
          </w:p>
        </w:tc>
        <w:tc>
          <w:tcPr>
            <w:tcW w:w="253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13426" w:type="dxa"/>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val="0"/>
                <w:color w:val="000000"/>
                <w:kern w:val="0"/>
                <w:sz w:val="16"/>
                <w:szCs w:val="16"/>
                <w:u w:val="none"/>
                <w:lang w:val="en-US" w:eastAsia="zh-CN" w:bidi="ar"/>
              </w:rPr>
              <w:t>该项目自评总分100分，该项目顺利实施，保障了职工的合法权益，调动了职工的工作积极性。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13426" w:type="dxa"/>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微软雅黑" w:hAnsi="微软雅黑" w:eastAsia="微软雅黑" w:cs="微软雅黑"/>
                <w:i w:val="0"/>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13426" w:type="dxa"/>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微软雅黑" w:hAnsi="微软雅黑" w:eastAsia="微软雅黑" w:cs="微软雅黑"/>
                <w:i w:val="0"/>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26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项目负责人：</w:t>
            </w:r>
            <w:r>
              <w:rPr>
                <w:rFonts w:hint="eastAsia" w:ascii="黑体" w:hAnsi="黑体" w:eastAsia="黑体" w:cs="黑体"/>
                <w:i w:val="0"/>
                <w:color w:val="000000"/>
                <w:kern w:val="0"/>
                <w:sz w:val="18"/>
                <w:szCs w:val="18"/>
                <w:u w:val="none"/>
                <w:lang w:val="en-US" w:eastAsia="zh-CN" w:bidi="ar"/>
              </w:rPr>
              <w:t>袁玲</w:t>
            </w:r>
          </w:p>
        </w:tc>
        <w:tc>
          <w:tcPr>
            <w:tcW w:w="685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财务负责人：</w:t>
            </w:r>
            <w:r>
              <w:rPr>
                <w:rFonts w:hint="eastAsia" w:ascii="黑体" w:hAnsi="黑体" w:eastAsia="黑体" w:cs="黑体"/>
                <w:i w:val="0"/>
                <w:color w:val="000000"/>
                <w:kern w:val="0"/>
                <w:sz w:val="18"/>
                <w:szCs w:val="18"/>
                <w:u w:val="none"/>
                <w:lang w:val="en-US" w:eastAsia="zh-CN" w:bidi="ar"/>
              </w:rPr>
              <w:t>王洪彬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89"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040"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759" w:type="dxa"/>
            <w:gridSpan w:val="2"/>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252" w:type="dxa"/>
            <w:gridSpan w:val="2"/>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23" w:type="dxa"/>
            <w:gridSpan w:val="2"/>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668" w:type="dxa"/>
            <w:gridSpan w:val="2"/>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23" w:type="dxa"/>
            <w:gridSpan w:val="2"/>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093" w:type="dxa"/>
            <w:gridSpan w:val="2"/>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10" w:type="dxa"/>
            <w:gridSpan w:val="2"/>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22" w:type="dxa"/>
            <w:gridSpan w:val="3"/>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536"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15"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i w:val="0"/>
                <w:color w:val="000000"/>
                <w:sz w:val="30"/>
                <w:szCs w:val="30"/>
                <w:u w:val="none"/>
              </w:rPr>
            </w:pPr>
            <w:r>
              <w:rPr>
                <w:rFonts w:hint="default" w:ascii="黑体" w:hAnsi="宋体" w:eastAsia="黑体" w:cs="黑体"/>
                <w:b/>
                <w:i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7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11386"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51080024R000010824175-事业人员基础绩效奖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27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67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广元市政务服务和数据局部门</w:t>
            </w:r>
          </w:p>
        </w:tc>
        <w:tc>
          <w:tcPr>
            <w:tcW w:w="1093" w:type="dxa"/>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实施单位 （盖章）</w:t>
            </w:r>
          </w:p>
        </w:tc>
        <w:tc>
          <w:tcPr>
            <w:tcW w:w="356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广元市政务服务和公共资源交易中心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20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67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466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0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67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严格执行相关政策，保障工资及时、足额发放或社保及时、足额缴纳，预算编制科学合理，减少结余资金。</w:t>
            </w:r>
          </w:p>
        </w:tc>
        <w:tc>
          <w:tcPr>
            <w:tcW w:w="466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sz w:val="18"/>
                <w:szCs w:val="18"/>
                <w:u w:val="none"/>
                <w:lang w:val="en-US" w:eastAsia="zh-CN"/>
              </w:rPr>
              <w:t>严格执行相关政策，基础绩效奖及时发放、足额发放。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4"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11386"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r>
              <w:rPr>
                <w:rFonts w:hint="default" w:ascii="黑体" w:hAnsi="黑体" w:eastAsia="黑体" w:cs="黑体"/>
                <w:i w:val="0"/>
                <w:color w:val="000000"/>
                <w:sz w:val="18"/>
                <w:szCs w:val="18"/>
                <w:u w:val="none"/>
                <w:lang w:val="en-US" w:eastAsia="zh-CN"/>
              </w:rPr>
              <w:t>严格执行相关政策，基础绩效奖及时发放、足额发放</w:t>
            </w:r>
            <w:r>
              <w:rPr>
                <w:rFonts w:hint="eastAsia" w:ascii="黑体" w:hAnsi="黑体" w:eastAsia="黑体" w:cs="黑体"/>
                <w:i w:val="0"/>
                <w:color w:val="000000"/>
                <w:sz w:val="18"/>
                <w:szCs w:val="18"/>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17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22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271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5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17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74.82</w:t>
            </w:r>
          </w:p>
        </w:tc>
        <w:tc>
          <w:tcPr>
            <w:tcW w:w="22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72.68</w:t>
            </w:r>
          </w:p>
        </w:tc>
        <w:tc>
          <w:tcPr>
            <w:tcW w:w="271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72.68</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5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w:t>
            </w:r>
          </w:p>
        </w:tc>
        <w:tc>
          <w:tcPr>
            <w:tcW w:w="25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color w:val="000000"/>
                <w:sz w:val="18"/>
                <w:szCs w:val="18"/>
                <w:u w:val="none"/>
              </w:rPr>
            </w:pPr>
            <w:r>
              <w:rPr>
                <w:rFonts w:hint="default" w:ascii="黑体" w:hAnsi="黑体" w:eastAsia="黑体" w:cs="黑体"/>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r>
              <w:rPr>
                <w:rFonts w:hint="eastAsia" w:ascii="黑体" w:hAnsi="黑体" w:eastAsia="黑体" w:cs="黑体"/>
                <w:i/>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17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74.82</w:t>
            </w:r>
          </w:p>
        </w:tc>
        <w:tc>
          <w:tcPr>
            <w:tcW w:w="22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72.68</w:t>
            </w:r>
          </w:p>
        </w:tc>
        <w:tc>
          <w:tcPr>
            <w:tcW w:w="271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72.68</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17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71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17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71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17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22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271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17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22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52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16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52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5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17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22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发放（缴纳）覆盖率</w:t>
            </w:r>
          </w:p>
        </w:tc>
        <w:tc>
          <w:tcPr>
            <w:tcW w:w="52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2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100</w:t>
            </w:r>
          </w:p>
        </w:tc>
        <w:tc>
          <w:tcPr>
            <w:tcW w:w="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60</w:t>
            </w:r>
          </w:p>
        </w:tc>
        <w:tc>
          <w:tcPr>
            <w:tcW w:w="5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60</w:t>
            </w:r>
          </w:p>
        </w:tc>
        <w:tc>
          <w:tcPr>
            <w:tcW w:w="25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17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22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足额保障率（参保率）</w:t>
            </w:r>
          </w:p>
        </w:tc>
        <w:tc>
          <w:tcPr>
            <w:tcW w:w="52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2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100</w:t>
            </w:r>
          </w:p>
        </w:tc>
        <w:tc>
          <w:tcPr>
            <w:tcW w:w="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w:t>
            </w:r>
          </w:p>
        </w:tc>
        <w:tc>
          <w:tcPr>
            <w:tcW w:w="5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30</w:t>
            </w:r>
          </w:p>
        </w:tc>
        <w:tc>
          <w:tcPr>
            <w:tcW w:w="25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547"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100</w:t>
            </w:r>
          </w:p>
        </w:tc>
        <w:tc>
          <w:tcPr>
            <w:tcW w:w="253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13426" w:type="dxa"/>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val="0"/>
                <w:color w:val="000000"/>
                <w:kern w:val="0"/>
                <w:sz w:val="16"/>
                <w:szCs w:val="16"/>
                <w:u w:val="none"/>
                <w:lang w:val="en-US" w:eastAsia="zh-CN" w:bidi="ar"/>
              </w:rPr>
              <w:t>该项目自评总分100分，该项目顺利实施，保障了职工的合法权益，调动了职工的工作积极性。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13426" w:type="dxa"/>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微软雅黑" w:hAnsi="微软雅黑" w:eastAsia="微软雅黑" w:cs="微软雅黑"/>
                <w:i w:val="0"/>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13426" w:type="dxa"/>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微软雅黑" w:hAnsi="微软雅黑" w:eastAsia="微软雅黑" w:cs="微软雅黑"/>
                <w:i w:val="0"/>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26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项目负责人：</w:t>
            </w:r>
            <w:r>
              <w:rPr>
                <w:rFonts w:hint="eastAsia" w:ascii="黑体" w:hAnsi="黑体" w:eastAsia="黑体" w:cs="黑体"/>
                <w:i w:val="0"/>
                <w:color w:val="000000"/>
                <w:kern w:val="0"/>
                <w:sz w:val="18"/>
                <w:szCs w:val="18"/>
                <w:u w:val="none"/>
                <w:lang w:val="en-US" w:eastAsia="zh-CN" w:bidi="ar"/>
              </w:rPr>
              <w:t>袁玲</w:t>
            </w:r>
          </w:p>
        </w:tc>
        <w:tc>
          <w:tcPr>
            <w:tcW w:w="685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财务负责人：</w:t>
            </w:r>
            <w:r>
              <w:rPr>
                <w:rFonts w:hint="eastAsia" w:ascii="黑体" w:hAnsi="黑体" w:eastAsia="黑体" w:cs="黑体"/>
                <w:i w:val="0"/>
                <w:color w:val="000000"/>
                <w:kern w:val="0"/>
                <w:sz w:val="18"/>
                <w:szCs w:val="18"/>
                <w:u w:val="none"/>
                <w:lang w:val="en-US" w:eastAsia="zh-CN" w:bidi="ar"/>
              </w:rPr>
              <w:t>王洪彬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89"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040"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759" w:type="dxa"/>
            <w:gridSpan w:val="2"/>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252" w:type="dxa"/>
            <w:gridSpan w:val="2"/>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23" w:type="dxa"/>
            <w:gridSpan w:val="2"/>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668" w:type="dxa"/>
            <w:gridSpan w:val="2"/>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23" w:type="dxa"/>
            <w:gridSpan w:val="2"/>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093" w:type="dxa"/>
            <w:gridSpan w:val="2"/>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10" w:type="dxa"/>
            <w:gridSpan w:val="2"/>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22" w:type="dxa"/>
            <w:gridSpan w:val="3"/>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536"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15"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i w:val="0"/>
                <w:color w:val="000000"/>
                <w:sz w:val="30"/>
                <w:szCs w:val="30"/>
                <w:u w:val="none"/>
              </w:rPr>
            </w:pPr>
            <w:r>
              <w:rPr>
                <w:rFonts w:hint="default" w:ascii="黑体" w:hAnsi="宋体" w:eastAsia="黑体" w:cs="黑体"/>
                <w:b/>
                <w:i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7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11386"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51080024R000010825320-退休人员生活补（助）贴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27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67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广元市政务服务和数据局部门</w:t>
            </w:r>
          </w:p>
        </w:tc>
        <w:tc>
          <w:tcPr>
            <w:tcW w:w="1093" w:type="dxa"/>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实施单位 （盖章）</w:t>
            </w:r>
          </w:p>
        </w:tc>
        <w:tc>
          <w:tcPr>
            <w:tcW w:w="356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广元市政务服务和公共资源交易中心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20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67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466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0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67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严格执行相关政策，保障工资及时、足额发放或社保及时、足额缴纳，预算编制科学合理，减少结余资金。</w:t>
            </w:r>
          </w:p>
        </w:tc>
        <w:tc>
          <w:tcPr>
            <w:tcW w:w="466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sz w:val="18"/>
                <w:szCs w:val="18"/>
                <w:u w:val="none"/>
                <w:lang w:val="en-US" w:eastAsia="zh-CN"/>
              </w:rPr>
              <w:t>严格执行相关政策，</w:t>
            </w:r>
            <w:r>
              <w:rPr>
                <w:rFonts w:hint="eastAsia" w:ascii="黑体" w:hAnsi="黑体" w:eastAsia="黑体" w:cs="黑体"/>
                <w:i w:val="0"/>
                <w:color w:val="000000"/>
                <w:sz w:val="18"/>
                <w:szCs w:val="18"/>
                <w:u w:val="none"/>
                <w:lang w:val="en-US" w:eastAsia="zh-CN"/>
              </w:rPr>
              <w:t>退休人员</w:t>
            </w:r>
            <w:r>
              <w:rPr>
                <w:rFonts w:hint="default" w:ascii="黑体" w:hAnsi="黑体" w:eastAsia="黑体" w:cs="黑体"/>
                <w:i w:val="0"/>
                <w:color w:val="000000"/>
                <w:sz w:val="18"/>
                <w:szCs w:val="18"/>
                <w:u w:val="none"/>
                <w:lang w:val="en-US" w:eastAsia="zh-CN"/>
              </w:rPr>
              <w:t>生活补助及时发放、足额发放。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11386"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r>
              <w:rPr>
                <w:rFonts w:hint="default" w:ascii="黑体" w:hAnsi="黑体" w:eastAsia="黑体" w:cs="黑体"/>
                <w:i w:val="0"/>
                <w:color w:val="000000"/>
                <w:sz w:val="18"/>
                <w:szCs w:val="18"/>
                <w:u w:val="none"/>
                <w:lang w:val="en-US" w:eastAsia="zh-CN"/>
              </w:rPr>
              <w:t>严格执行相关政策，</w:t>
            </w:r>
            <w:r>
              <w:rPr>
                <w:rFonts w:hint="eastAsia" w:ascii="黑体" w:hAnsi="黑体" w:eastAsia="黑体" w:cs="黑体"/>
                <w:i w:val="0"/>
                <w:color w:val="000000"/>
                <w:sz w:val="18"/>
                <w:szCs w:val="18"/>
                <w:u w:val="none"/>
                <w:lang w:val="en-US" w:eastAsia="zh-CN"/>
              </w:rPr>
              <w:t>退休人员</w:t>
            </w:r>
            <w:r>
              <w:rPr>
                <w:rFonts w:hint="default" w:ascii="黑体" w:hAnsi="黑体" w:eastAsia="黑体" w:cs="黑体"/>
                <w:i w:val="0"/>
                <w:color w:val="000000"/>
                <w:sz w:val="18"/>
                <w:szCs w:val="18"/>
                <w:u w:val="none"/>
                <w:lang w:val="en-US" w:eastAsia="zh-CN"/>
              </w:rPr>
              <w:t>生活补助及时发放、足额发放。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17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22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271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5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17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5.04</w:t>
            </w:r>
          </w:p>
        </w:tc>
        <w:tc>
          <w:tcPr>
            <w:tcW w:w="22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5.04</w:t>
            </w:r>
          </w:p>
        </w:tc>
        <w:tc>
          <w:tcPr>
            <w:tcW w:w="271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5.04</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5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w:t>
            </w:r>
          </w:p>
        </w:tc>
        <w:tc>
          <w:tcPr>
            <w:tcW w:w="25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color w:val="000000"/>
                <w:sz w:val="18"/>
                <w:szCs w:val="18"/>
                <w:u w:val="none"/>
              </w:rPr>
            </w:pPr>
            <w:r>
              <w:rPr>
                <w:rFonts w:hint="default" w:ascii="黑体" w:hAnsi="黑体" w:eastAsia="黑体" w:cs="黑体"/>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r>
              <w:rPr>
                <w:rFonts w:hint="eastAsia" w:ascii="黑体" w:hAnsi="黑体" w:eastAsia="黑体" w:cs="黑体"/>
                <w:i/>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17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5.04</w:t>
            </w:r>
          </w:p>
        </w:tc>
        <w:tc>
          <w:tcPr>
            <w:tcW w:w="22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5.04</w:t>
            </w:r>
          </w:p>
        </w:tc>
        <w:tc>
          <w:tcPr>
            <w:tcW w:w="271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5.04</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17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71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17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71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17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22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271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17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22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52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16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52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5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17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22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发放（缴纳）覆盖率</w:t>
            </w:r>
          </w:p>
        </w:tc>
        <w:tc>
          <w:tcPr>
            <w:tcW w:w="52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2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100</w:t>
            </w:r>
          </w:p>
        </w:tc>
        <w:tc>
          <w:tcPr>
            <w:tcW w:w="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60</w:t>
            </w:r>
          </w:p>
        </w:tc>
        <w:tc>
          <w:tcPr>
            <w:tcW w:w="5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60</w:t>
            </w:r>
          </w:p>
        </w:tc>
        <w:tc>
          <w:tcPr>
            <w:tcW w:w="25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17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22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足额保障率（参保率）</w:t>
            </w:r>
          </w:p>
        </w:tc>
        <w:tc>
          <w:tcPr>
            <w:tcW w:w="52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2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100</w:t>
            </w:r>
          </w:p>
        </w:tc>
        <w:tc>
          <w:tcPr>
            <w:tcW w:w="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w:t>
            </w:r>
          </w:p>
        </w:tc>
        <w:tc>
          <w:tcPr>
            <w:tcW w:w="5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30</w:t>
            </w:r>
          </w:p>
        </w:tc>
        <w:tc>
          <w:tcPr>
            <w:tcW w:w="25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547"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100</w:t>
            </w:r>
          </w:p>
        </w:tc>
        <w:tc>
          <w:tcPr>
            <w:tcW w:w="253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13426" w:type="dxa"/>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val="0"/>
                <w:color w:val="000000"/>
                <w:kern w:val="0"/>
                <w:sz w:val="16"/>
                <w:szCs w:val="16"/>
                <w:u w:val="none"/>
                <w:lang w:val="en-US" w:eastAsia="zh-CN" w:bidi="ar"/>
              </w:rPr>
              <w:t>该项目自评总分100分，该项目顺利实施，保障了</w:t>
            </w:r>
            <w:r>
              <w:rPr>
                <w:rFonts w:hint="eastAsia" w:ascii="微软雅黑" w:hAnsi="微软雅黑" w:eastAsia="微软雅黑" w:cs="微软雅黑"/>
                <w:i w:val="0"/>
                <w:color w:val="000000"/>
                <w:kern w:val="0"/>
                <w:sz w:val="16"/>
                <w:szCs w:val="16"/>
                <w:u w:val="none"/>
                <w:lang w:val="en-US" w:eastAsia="zh-CN" w:bidi="ar"/>
              </w:rPr>
              <w:t>退休</w:t>
            </w:r>
            <w:r>
              <w:rPr>
                <w:rFonts w:hint="default" w:ascii="微软雅黑" w:hAnsi="微软雅黑" w:eastAsia="微软雅黑" w:cs="微软雅黑"/>
                <w:i w:val="0"/>
                <w:color w:val="000000"/>
                <w:kern w:val="0"/>
                <w:sz w:val="16"/>
                <w:szCs w:val="16"/>
                <w:u w:val="none"/>
                <w:lang w:val="en-US" w:eastAsia="zh-CN" w:bidi="ar"/>
              </w:rPr>
              <w:t>职工的合法权益</w:t>
            </w:r>
            <w:r>
              <w:rPr>
                <w:rFonts w:hint="eastAsia" w:ascii="微软雅黑" w:hAnsi="微软雅黑" w:eastAsia="微软雅黑" w:cs="微软雅黑"/>
                <w:i w:val="0"/>
                <w:color w:val="000000"/>
                <w:kern w:val="0"/>
                <w:sz w:val="16"/>
                <w:szCs w:val="16"/>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13426" w:type="dxa"/>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微软雅黑" w:hAnsi="微软雅黑" w:eastAsia="微软雅黑" w:cs="微软雅黑"/>
                <w:i w:val="0"/>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13426" w:type="dxa"/>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微软雅黑" w:hAnsi="微软雅黑" w:eastAsia="微软雅黑" w:cs="微软雅黑"/>
                <w:i w:val="0"/>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726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项目负责人：</w:t>
            </w:r>
            <w:r>
              <w:rPr>
                <w:rFonts w:hint="eastAsia" w:ascii="黑体" w:hAnsi="黑体" w:eastAsia="黑体" w:cs="黑体"/>
                <w:i w:val="0"/>
                <w:color w:val="000000"/>
                <w:kern w:val="0"/>
                <w:sz w:val="18"/>
                <w:szCs w:val="18"/>
                <w:u w:val="none"/>
                <w:lang w:val="en-US" w:eastAsia="zh-CN" w:bidi="ar"/>
              </w:rPr>
              <w:t>袁玲</w:t>
            </w:r>
          </w:p>
        </w:tc>
        <w:tc>
          <w:tcPr>
            <w:tcW w:w="685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财务负责人：</w:t>
            </w:r>
            <w:r>
              <w:rPr>
                <w:rFonts w:hint="eastAsia" w:ascii="黑体" w:hAnsi="黑体" w:eastAsia="黑体" w:cs="黑体"/>
                <w:i w:val="0"/>
                <w:color w:val="000000"/>
                <w:kern w:val="0"/>
                <w:sz w:val="18"/>
                <w:szCs w:val="18"/>
                <w:u w:val="none"/>
                <w:lang w:val="en-US" w:eastAsia="zh-CN" w:bidi="ar"/>
              </w:rPr>
              <w:t>王洪彬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15"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i w:val="0"/>
                <w:color w:val="000000"/>
                <w:sz w:val="30"/>
                <w:szCs w:val="30"/>
                <w:u w:val="none"/>
              </w:rPr>
            </w:pPr>
            <w:r>
              <w:rPr>
                <w:rFonts w:hint="default" w:ascii="黑体" w:hAnsi="宋体" w:eastAsia="黑体" w:cs="黑体"/>
                <w:b/>
                <w:i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7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11379" w:type="dxa"/>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51080022Y000000267568-定额公用经费（事业）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27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674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广元市政务服务和数据局部门</w:t>
            </w:r>
          </w:p>
        </w:tc>
        <w:tc>
          <w:tcPr>
            <w:tcW w:w="1094" w:type="dxa"/>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实施单位 （盖章）</w:t>
            </w:r>
          </w:p>
        </w:tc>
        <w:tc>
          <w:tcPr>
            <w:tcW w:w="354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广元市政务服务和公共资源交易中心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204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674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463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04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674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提高预算编制质量，严格执行预算，保障单位日常运转。</w:t>
            </w:r>
          </w:p>
        </w:tc>
        <w:tc>
          <w:tcPr>
            <w:tcW w:w="463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sz w:val="18"/>
                <w:szCs w:val="18"/>
                <w:u w:val="none"/>
                <w:lang w:val="en-US" w:eastAsia="zh-CN"/>
              </w:rPr>
              <w:t>合理编制预算，严格执行预算，保障了单位日常运转。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4"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0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11379" w:type="dxa"/>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r>
              <w:rPr>
                <w:rFonts w:hint="eastAsia" w:ascii="宋体" w:hAnsi="宋体" w:eastAsia="宋体" w:cs="宋体"/>
                <w:i w:val="0"/>
                <w:color w:val="000000"/>
                <w:sz w:val="18"/>
                <w:szCs w:val="18"/>
                <w:u w:val="none"/>
                <w:lang w:val="en-US" w:eastAsia="zh-CN"/>
              </w:rPr>
              <w:t>合理编制预算，严格执行预算，保障了单位日常运转。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20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2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272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10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5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34.50</w:t>
            </w:r>
          </w:p>
        </w:tc>
        <w:tc>
          <w:tcPr>
            <w:tcW w:w="2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31.24</w:t>
            </w:r>
          </w:p>
        </w:tc>
        <w:tc>
          <w:tcPr>
            <w:tcW w:w="272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30.70</w:t>
            </w:r>
          </w:p>
        </w:tc>
        <w:tc>
          <w:tcPr>
            <w:tcW w:w="10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98.28%</w:t>
            </w:r>
          </w:p>
        </w:tc>
        <w:tc>
          <w:tcPr>
            <w:tcW w:w="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w:t>
            </w:r>
          </w:p>
        </w:tc>
        <w:tc>
          <w:tcPr>
            <w:tcW w:w="254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color w:val="000000"/>
                <w:sz w:val="18"/>
                <w:szCs w:val="18"/>
                <w:u w:val="none"/>
              </w:rPr>
            </w:pPr>
            <w:r>
              <w:rPr>
                <w:rFonts w:hint="default" w:ascii="黑体" w:hAnsi="黑体" w:eastAsia="黑体" w:cs="黑体"/>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r>
              <w:rPr>
                <w:rFonts w:hint="eastAsia" w:ascii="黑体" w:hAnsi="黑体" w:eastAsia="黑体" w:cs="黑体"/>
                <w:i/>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34.50</w:t>
            </w:r>
          </w:p>
        </w:tc>
        <w:tc>
          <w:tcPr>
            <w:tcW w:w="2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31.24</w:t>
            </w:r>
          </w:p>
        </w:tc>
        <w:tc>
          <w:tcPr>
            <w:tcW w:w="272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30.70</w:t>
            </w:r>
          </w:p>
        </w:tc>
        <w:tc>
          <w:tcPr>
            <w:tcW w:w="10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98.28%</w:t>
            </w:r>
          </w:p>
        </w:tc>
        <w:tc>
          <w:tcPr>
            <w:tcW w:w="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4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72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4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72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4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272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10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4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20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2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5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16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5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10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5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2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科目调整次数</w:t>
            </w:r>
          </w:p>
        </w:tc>
        <w:tc>
          <w:tcPr>
            <w:tcW w:w="5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5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次</w:t>
            </w:r>
          </w:p>
        </w:tc>
        <w:tc>
          <w:tcPr>
            <w:tcW w:w="10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w:t>
            </w:r>
          </w:p>
        </w:tc>
        <w:tc>
          <w:tcPr>
            <w:tcW w:w="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20</w:t>
            </w:r>
          </w:p>
        </w:tc>
        <w:tc>
          <w:tcPr>
            <w:tcW w:w="25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9"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质量指标</w:t>
            </w:r>
          </w:p>
        </w:tc>
        <w:tc>
          <w:tcPr>
            <w:tcW w:w="2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预算编制准确率（计算方法为：∣（执行数-预算数）/预算数∣）</w:t>
            </w:r>
          </w:p>
        </w:tc>
        <w:tc>
          <w:tcPr>
            <w:tcW w:w="5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5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5</w:t>
            </w:r>
          </w:p>
        </w:tc>
        <w:tc>
          <w:tcPr>
            <w:tcW w:w="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30</w:t>
            </w:r>
          </w:p>
        </w:tc>
        <w:tc>
          <w:tcPr>
            <w:tcW w:w="25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经济效益指标</w:t>
            </w:r>
          </w:p>
        </w:tc>
        <w:tc>
          <w:tcPr>
            <w:tcW w:w="2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“三公经费”控制率[计算方法为：（三公经费实际支出数/预算安排数]×100%）</w:t>
            </w:r>
          </w:p>
        </w:tc>
        <w:tc>
          <w:tcPr>
            <w:tcW w:w="5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100</w:t>
            </w:r>
          </w:p>
        </w:tc>
        <w:tc>
          <w:tcPr>
            <w:tcW w:w="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20</w:t>
            </w:r>
          </w:p>
        </w:tc>
        <w:tc>
          <w:tcPr>
            <w:tcW w:w="25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2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运转保障率</w:t>
            </w:r>
          </w:p>
        </w:tc>
        <w:tc>
          <w:tcPr>
            <w:tcW w:w="5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100</w:t>
            </w:r>
          </w:p>
        </w:tc>
        <w:tc>
          <w:tcPr>
            <w:tcW w:w="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20</w:t>
            </w:r>
          </w:p>
        </w:tc>
        <w:tc>
          <w:tcPr>
            <w:tcW w:w="25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575"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100</w:t>
            </w:r>
          </w:p>
        </w:tc>
        <w:tc>
          <w:tcPr>
            <w:tcW w:w="25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13426" w:type="dxa"/>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val="0"/>
                <w:color w:val="000000"/>
                <w:kern w:val="0"/>
                <w:sz w:val="16"/>
                <w:szCs w:val="16"/>
                <w:u w:val="none"/>
                <w:lang w:val="en-US" w:eastAsia="zh-CN" w:bidi="ar"/>
              </w:rPr>
              <w:t>该项目自评总分100分，该项目顺利实施，保障了单位的日常运转。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13426" w:type="dxa"/>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微软雅黑" w:hAnsi="微软雅黑" w:eastAsia="微软雅黑" w:cs="微软雅黑"/>
                <w:i w:val="0"/>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13426" w:type="dxa"/>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微软雅黑" w:hAnsi="微软雅黑" w:eastAsia="微软雅黑" w:cs="微软雅黑"/>
                <w:i w:val="0"/>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28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项目负责人：</w:t>
            </w:r>
            <w:r>
              <w:rPr>
                <w:rFonts w:hint="eastAsia" w:ascii="黑体" w:hAnsi="黑体" w:eastAsia="黑体" w:cs="黑体"/>
                <w:i w:val="0"/>
                <w:color w:val="000000"/>
                <w:kern w:val="0"/>
                <w:sz w:val="18"/>
                <w:szCs w:val="18"/>
                <w:u w:val="none"/>
                <w:lang w:val="en-US" w:eastAsia="zh-CN" w:bidi="ar"/>
              </w:rPr>
              <w:t>袁玲</w:t>
            </w:r>
          </w:p>
        </w:tc>
        <w:tc>
          <w:tcPr>
            <w:tcW w:w="683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财务负责人：</w:t>
            </w:r>
            <w:r>
              <w:rPr>
                <w:rFonts w:hint="eastAsia" w:ascii="黑体" w:hAnsi="黑体" w:eastAsia="黑体" w:cs="黑体"/>
                <w:i w:val="0"/>
                <w:color w:val="000000"/>
                <w:kern w:val="0"/>
                <w:sz w:val="18"/>
                <w:szCs w:val="18"/>
                <w:u w:val="none"/>
                <w:lang w:val="en-US" w:eastAsia="zh-CN" w:bidi="ar"/>
              </w:rPr>
              <w:t>王洪彬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89"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047" w:type="dxa"/>
            <w:gridSpan w:val="2"/>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764" w:type="dxa"/>
            <w:gridSpan w:val="2"/>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259" w:type="dxa"/>
            <w:gridSpan w:val="2"/>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24" w:type="dxa"/>
            <w:gridSpan w:val="2"/>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674" w:type="dxa"/>
            <w:gridSpan w:val="2"/>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24" w:type="dxa"/>
            <w:gridSpan w:val="2"/>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094" w:type="dxa"/>
            <w:gridSpan w:val="2"/>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10" w:type="dxa"/>
            <w:gridSpan w:val="2"/>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486"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544" w:type="dxa"/>
            <w:gridSpan w:val="2"/>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15"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i w:val="0"/>
                <w:color w:val="000000"/>
                <w:sz w:val="30"/>
                <w:szCs w:val="30"/>
                <w:u w:val="none"/>
              </w:rPr>
            </w:pPr>
            <w:r>
              <w:rPr>
                <w:rFonts w:hint="default" w:ascii="黑体" w:hAnsi="宋体" w:eastAsia="黑体" w:cs="黑体"/>
                <w:b/>
                <w:i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7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11379" w:type="dxa"/>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51080024Y000010826991-公用经费1（福利费、工会经费）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27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674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广元市政务服务和数据局部门</w:t>
            </w:r>
          </w:p>
        </w:tc>
        <w:tc>
          <w:tcPr>
            <w:tcW w:w="1094" w:type="dxa"/>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实施单位 （盖章）</w:t>
            </w:r>
          </w:p>
        </w:tc>
        <w:tc>
          <w:tcPr>
            <w:tcW w:w="354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广元市政务服务和公共资源交易中心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204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674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463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04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674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提高预算编制质量，严格执行预算，保障单位日常运转。</w:t>
            </w:r>
          </w:p>
        </w:tc>
        <w:tc>
          <w:tcPr>
            <w:tcW w:w="463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ascii="宋体" w:hAnsi="宋体" w:eastAsia="宋体" w:cs="宋体"/>
                <w:i w:val="0"/>
                <w:color w:val="000000"/>
                <w:kern w:val="0"/>
                <w:sz w:val="18"/>
                <w:szCs w:val="18"/>
                <w:u w:val="none"/>
                <w:lang w:val="en-US" w:eastAsia="zh-CN" w:bidi="ar"/>
              </w:rPr>
              <w:t>提高预算编制质量，严格执行预算，保障单位日常运转。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0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11379" w:type="dxa"/>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提高预算编制质量，严格执行预算，保障单位日常运转。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20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2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272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10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5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4.71</w:t>
            </w:r>
          </w:p>
        </w:tc>
        <w:tc>
          <w:tcPr>
            <w:tcW w:w="2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4.71</w:t>
            </w:r>
          </w:p>
        </w:tc>
        <w:tc>
          <w:tcPr>
            <w:tcW w:w="272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4.71</w:t>
            </w:r>
          </w:p>
        </w:tc>
        <w:tc>
          <w:tcPr>
            <w:tcW w:w="10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w:t>
            </w:r>
          </w:p>
        </w:tc>
        <w:tc>
          <w:tcPr>
            <w:tcW w:w="254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color w:val="000000"/>
                <w:sz w:val="18"/>
                <w:szCs w:val="18"/>
                <w:u w:val="none"/>
              </w:rPr>
            </w:pPr>
            <w:r>
              <w:rPr>
                <w:rFonts w:hint="default" w:ascii="黑体" w:hAnsi="黑体" w:eastAsia="黑体" w:cs="黑体"/>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r>
              <w:rPr>
                <w:rFonts w:hint="eastAsia" w:ascii="黑体" w:hAnsi="黑体" w:eastAsia="黑体" w:cs="黑体"/>
                <w:i/>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4.71</w:t>
            </w:r>
          </w:p>
        </w:tc>
        <w:tc>
          <w:tcPr>
            <w:tcW w:w="2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4.71</w:t>
            </w:r>
          </w:p>
        </w:tc>
        <w:tc>
          <w:tcPr>
            <w:tcW w:w="272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4.71</w:t>
            </w:r>
          </w:p>
        </w:tc>
        <w:tc>
          <w:tcPr>
            <w:tcW w:w="10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4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72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4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72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4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2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272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10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4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20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2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5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16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5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10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5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2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科目调整次数</w:t>
            </w:r>
          </w:p>
        </w:tc>
        <w:tc>
          <w:tcPr>
            <w:tcW w:w="5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5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次</w:t>
            </w:r>
          </w:p>
        </w:tc>
        <w:tc>
          <w:tcPr>
            <w:tcW w:w="10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w:t>
            </w:r>
          </w:p>
        </w:tc>
        <w:tc>
          <w:tcPr>
            <w:tcW w:w="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20</w:t>
            </w:r>
          </w:p>
        </w:tc>
        <w:tc>
          <w:tcPr>
            <w:tcW w:w="25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9"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质量指标</w:t>
            </w:r>
          </w:p>
        </w:tc>
        <w:tc>
          <w:tcPr>
            <w:tcW w:w="2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预算编制准确率（计算方法为：∣（执行数-预算数）/预算数∣）</w:t>
            </w:r>
          </w:p>
        </w:tc>
        <w:tc>
          <w:tcPr>
            <w:tcW w:w="5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5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5</w:t>
            </w:r>
          </w:p>
        </w:tc>
        <w:tc>
          <w:tcPr>
            <w:tcW w:w="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30</w:t>
            </w:r>
          </w:p>
        </w:tc>
        <w:tc>
          <w:tcPr>
            <w:tcW w:w="25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经济效益指标</w:t>
            </w:r>
          </w:p>
        </w:tc>
        <w:tc>
          <w:tcPr>
            <w:tcW w:w="2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“三公经费”控制率[计算方法为：（三公经费实际支出数/预算安排数]×100%）</w:t>
            </w:r>
          </w:p>
        </w:tc>
        <w:tc>
          <w:tcPr>
            <w:tcW w:w="5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100</w:t>
            </w:r>
          </w:p>
        </w:tc>
        <w:tc>
          <w:tcPr>
            <w:tcW w:w="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20</w:t>
            </w:r>
          </w:p>
        </w:tc>
        <w:tc>
          <w:tcPr>
            <w:tcW w:w="25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2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运转保障率</w:t>
            </w:r>
          </w:p>
        </w:tc>
        <w:tc>
          <w:tcPr>
            <w:tcW w:w="5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100</w:t>
            </w:r>
          </w:p>
        </w:tc>
        <w:tc>
          <w:tcPr>
            <w:tcW w:w="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5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575"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5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13426" w:type="dxa"/>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val="0"/>
                <w:color w:val="000000"/>
                <w:kern w:val="0"/>
                <w:sz w:val="16"/>
                <w:szCs w:val="16"/>
                <w:u w:val="none"/>
                <w:lang w:val="en-US" w:eastAsia="zh-CN" w:bidi="ar"/>
              </w:rPr>
              <w:t>该项目自评总分100分，该项目顺利实施，保障了单位的日常运转。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13426" w:type="dxa"/>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微软雅黑" w:hAnsi="微软雅黑" w:eastAsia="微软雅黑" w:cs="微软雅黑"/>
                <w:i w:val="0"/>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13426" w:type="dxa"/>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微软雅黑" w:hAnsi="微软雅黑" w:eastAsia="微软雅黑" w:cs="微软雅黑"/>
                <w:i w:val="0"/>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28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项目负责人：</w:t>
            </w:r>
            <w:r>
              <w:rPr>
                <w:rFonts w:hint="eastAsia" w:ascii="黑体" w:hAnsi="黑体" w:eastAsia="黑体" w:cs="黑体"/>
                <w:i w:val="0"/>
                <w:color w:val="000000"/>
                <w:kern w:val="0"/>
                <w:sz w:val="18"/>
                <w:szCs w:val="18"/>
                <w:u w:val="none"/>
                <w:lang w:val="en-US" w:eastAsia="zh-CN" w:bidi="ar"/>
              </w:rPr>
              <w:t>袁玲</w:t>
            </w:r>
          </w:p>
        </w:tc>
        <w:tc>
          <w:tcPr>
            <w:tcW w:w="683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财务负责人：</w:t>
            </w:r>
            <w:r>
              <w:rPr>
                <w:rFonts w:hint="eastAsia" w:ascii="黑体" w:hAnsi="黑体" w:eastAsia="黑体" w:cs="黑体"/>
                <w:i w:val="0"/>
                <w:color w:val="000000"/>
                <w:kern w:val="0"/>
                <w:sz w:val="18"/>
                <w:szCs w:val="18"/>
                <w:u w:val="none"/>
                <w:lang w:val="en-US" w:eastAsia="zh-CN" w:bidi="ar"/>
              </w:rPr>
              <w:t>王洪彬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89"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047" w:type="dxa"/>
            <w:gridSpan w:val="2"/>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764" w:type="dxa"/>
            <w:gridSpan w:val="2"/>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259" w:type="dxa"/>
            <w:gridSpan w:val="2"/>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24" w:type="dxa"/>
            <w:gridSpan w:val="2"/>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674" w:type="dxa"/>
            <w:gridSpan w:val="2"/>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24" w:type="dxa"/>
            <w:gridSpan w:val="2"/>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094" w:type="dxa"/>
            <w:gridSpan w:val="2"/>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10" w:type="dxa"/>
            <w:gridSpan w:val="2"/>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486"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544" w:type="dxa"/>
            <w:gridSpan w:val="2"/>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15"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b/>
                <w:i w:val="0"/>
                <w:color w:val="000000"/>
                <w:sz w:val="30"/>
                <w:szCs w:val="30"/>
                <w:u w:val="none"/>
              </w:rPr>
            </w:pPr>
            <w:r>
              <w:rPr>
                <w:rFonts w:hint="default" w:ascii="黑体" w:hAnsi="宋体" w:eastAsia="黑体" w:cs="黑体"/>
                <w:b/>
                <w:i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7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11379" w:type="dxa"/>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51080024Y000010829846-公用经费2（公车补贴、党建、退休活动）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27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674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广元市政务服务和数据局部门</w:t>
            </w:r>
          </w:p>
        </w:tc>
        <w:tc>
          <w:tcPr>
            <w:tcW w:w="1094" w:type="dxa"/>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实施单位 （盖章）</w:t>
            </w:r>
          </w:p>
        </w:tc>
        <w:tc>
          <w:tcPr>
            <w:tcW w:w="354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广元市政务服务和公共资源交易中心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204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674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463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04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674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提高预算编制质量，严格执行预算，保障单位日常运转。</w:t>
            </w:r>
          </w:p>
        </w:tc>
        <w:tc>
          <w:tcPr>
            <w:tcW w:w="463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ascii="宋体" w:hAnsi="宋体" w:eastAsia="宋体" w:cs="宋体"/>
                <w:i w:val="0"/>
                <w:color w:val="000000"/>
                <w:kern w:val="0"/>
                <w:sz w:val="18"/>
                <w:szCs w:val="18"/>
                <w:u w:val="none"/>
                <w:lang w:val="en-US" w:eastAsia="zh-CN" w:bidi="ar"/>
              </w:rPr>
              <w:t>提高预算编制质量，严格执行预算，保障单位日常运转。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0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11379" w:type="dxa"/>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提高预算编制质量，严格执行预算，保障单位日常运转。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20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2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272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10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5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3.49</w:t>
            </w:r>
          </w:p>
        </w:tc>
        <w:tc>
          <w:tcPr>
            <w:tcW w:w="2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1.99</w:t>
            </w:r>
          </w:p>
        </w:tc>
        <w:tc>
          <w:tcPr>
            <w:tcW w:w="272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1.99</w:t>
            </w:r>
          </w:p>
        </w:tc>
        <w:tc>
          <w:tcPr>
            <w:tcW w:w="10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w:t>
            </w:r>
          </w:p>
        </w:tc>
        <w:tc>
          <w:tcPr>
            <w:tcW w:w="254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color w:val="000000"/>
                <w:sz w:val="18"/>
                <w:szCs w:val="18"/>
                <w:u w:val="none"/>
              </w:rPr>
            </w:pPr>
            <w:r>
              <w:rPr>
                <w:rFonts w:hint="default" w:ascii="黑体" w:hAnsi="黑体" w:eastAsia="黑体" w:cs="黑体"/>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r>
              <w:rPr>
                <w:rFonts w:hint="eastAsia" w:ascii="黑体" w:hAnsi="黑体" w:eastAsia="黑体" w:cs="黑体"/>
                <w:i/>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3.49</w:t>
            </w:r>
          </w:p>
        </w:tc>
        <w:tc>
          <w:tcPr>
            <w:tcW w:w="2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1.99</w:t>
            </w:r>
          </w:p>
        </w:tc>
        <w:tc>
          <w:tcPr>
            <w:tcW w:w="272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1.99</w:t>
            </w:r>
          </w:p>
        </w:tc>
        <w:tc>
          <w:tcPr>
            <w:tcW w:w="10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4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72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4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72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4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2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272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10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4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黑体" w:hAnsi="黑体" w:eastAsia="黑体" w:cs="黑体"/>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20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2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5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16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5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10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5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2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科目调整次数</w:t>
            </w:r>
          </w:p>
        </w:tc>
        <w:tc>
          <w:tcPr>
            <w:tcW w:w="5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5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次</w:t>
            </w:r>
          </w:p>
        </w:tc>
        <w:tc>
          <w:tcPr>
            <w:tcW w:w="10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w:t>
            </w:r>
          </w:p>
        </w:tc>
        <w:tc>
          <w:tcPr>
            <w:tcW w:w="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20</w:t>
            </w:r>
          </w:p>
        </w:tc>
        <w:tc>
          <w:tcPr>
            <w:tcW w:w="25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9"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质量指标</w:t>
            </w:r>
          </w:p>
        </w:tc>
        <w:tc>
          <w:tcPr>
            <w:tcW w:w="2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预算编制准确率（计算方法为：∣（执行数-预算数）/预算数∣）</w:t>
            </w:r>
          </w:p>
        </w:tc>
        <w:tc>
          <w:tcPr>
            <w:tcW w:w="5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5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5</w:t>
            </w:r>
          </w:p>
        </w:tc>
        <w:tc>
          <w:tcPr>
            <w:tcW w:w="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30</w:t>
            </w:r>
          </w:p>
        </w:tc>
        <w:tc>
          <w:tcPr>
            <w:tcW w:w="25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经济效益指标</w:t>
            </w:r>
          </w:p>
        </w:tc>
        <w:tc>
          <w:tcPr>
            <w:tcW w:w="2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“三公经费”控制率[计算方法为：（三公经费实际支出数/预算安排数]×100%）</w:t>
            </w:r>
          </w:p>
        </w:tc>
        <w:tc>
          <w:tcPr>
            <w:tcW w:w="5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100</w:t>
            </w:r>
          </w:p>
        </w:tc>
        <w:tc>
          <w:tcPr>
            <w:tcW w:w="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20</w:t>
            </w:r>
          </w:p>
        </w:tc>
        <w:tc>
          <w:tcPr>
            <w:tcW w:w="25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4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2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运转保障率</w:t>
            </w:r>
          </w:p>
        </w:tc>
        <w:tc>
          <w:tcPr>
            <w:tcW w:w="5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100</w:t>
            </w:r>
          </w:p>
        </w:tc>
        <w:tc>
          <w:tcPr>
            <w:tcW w:w="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20</w:t>
            </w:r>
          </w:p>
        </w:tc>
        <w:tc>
          <w:tcPr>
            <w:tcW w:w="25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575"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5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100</w:t>
            </w:r>
          </w:p>
        </w:tc>
        <w:tc>
          <w:tcPr>
            <w:tcW w:w="25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13426" w:type="dxa"/>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val="0"/>
                <w:color w:val="000000"/>
                <w:kern w:val="0"/>
                <w:sz w:val="16"/>
                <w:szCs w:val="16"/>
                <w:u w:val="none"/>
                <w:lang w:val="en-US" w:eastAsia="zh-CN" w:bidi="ar"/>
              </w:rPr>
              <w:t>该项目自评总分100分，该项目顺利实施，保障了单位的日常运转。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13426" w:type="dxa"/>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微软雅黑" w:hAnsi="微软雅黑" w:eastAsia="微软雅黑" w:cs="微软雅黑"/>
                <w:i w:val="0"/>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13426" w:type="dxa"/>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eastAsia" w:ascii="微软雅黑" w:hAnsi="微软雅黑" w:eastAsia="微软雅黑" w:cs="微软雅黑"/>
                <w:i w:val="0"/>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28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项目负责人：</w:t>
            </w:r>
            <w:r>
              <w:rPr>
                <w:rFonts w:hint="eastAsia" w:ascii="黑体" w:hAnsi="黑体" w:eastAsia="黑体" w:cs="黑体"/>
                <w:i w:val="0"/>
                <w:color w:val="000000"/>
                <w:kern w:val="0"/>
                <w:sz w:val="18"/>
                <w:szCs w:val="18"/>
                <w:u w:val="none"/>
                <w:lang w:val="en-US" w:eastAsia="zh-CN" w:bidi="ar"/>
              </w:rPr>
              <w:t>袁玲</w:t>
            </w:r>
          </w:p>
        </w:tc>
        <w:tc>
          <w:tcPr>
            <w:tcW w:w="683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color w:val="000000"/>
                <w:sz w:val="18"/>
                <w:szCs w:val="18"/>
                <w:u w:val="none"/>
              </w:rPr>
            </w:pPr>
            <w:r>
              <w:rPr>
                <w:rFonts w:hint="default" w:ascii="黑体" w:hAnsi="黑体" w:eastAsia="黑体" w:cs="黑体"/>
                <w:i w:val="0"/>
                <w:color w:val="000000"/>
                <w:kern w:val="0"/>
                <w:sz w:val="18"/>
                <w:szCs w:val="18"/>
                <w:u w:val="none"/>
                <w:lang w:val="en-US" w:eastAsia="zh-CN" w:bidi="ar"/>
              </w:rPr>
              <w:t>财务负责人：</w:t>
            </w:r>
            <w:r>
              <w:rPr>
                <w:rFonts w:hint="eastAsia" w:ascii="黑体" w:hAnsi="黑体" w:eastAsia="黑体" w:cs="黑体"/>
                <w:i w:val="0"/>
                <w:color w:val="000000"/>
                <w:kern w:val="0"/>
                <w:sz w:val="18"/>
                <w:szCs w:val="18"/>
                <w:u w:val="none"/>
                <w:lang w:val="en-US" w:eastAsia="zh-CN" w:bidi="ar"/>
              </w:rPr>
              <w:t>王洪彬</w:t>
            </w:r>
          </w:p>
        </w:tc>
      </w:tr>
    </w:tbl>
    <w:p>
      <w:pPr>
        <w:pStyle w:val="2"/>
        <w:rPr>
          <w:rFonts w:hint="eastAsia" w:ascii="Times New Roman" w:hAnsi="Times New Roman" w:eastAsia="黑体"/>
          <w:color w:val="auto"/>
          <w:sz w:val="44"/>
          <w:szCs w:val="44"/>
          <w:highlight w:val="none"/>
        </w:rPr>
      </w:pPr>
    </w:p>
    <w:p>
      <w:pPr>
        <w:rPr>
          <w:rFonts w:hint="eastAsia" w:ascii="Times New Roman" w:hAnsi="Times New Roman" w:eastAsia="黑体"/>
          <w:color w:val="auto"/>
          <w:sz w:val="44"/>
          <w:szCs w:val="44"/>
          <w:highlight w:val="none"/>
        </w:rPr>
      </w:pPr>
    </w:p>
    <w:tbl>
      <w:tblPr>
        <w:tblStyle w:val="17"/>
        <w:tblW w:w="14597" w:type="dxa"/>
        <w:tblInd w:w="96" w:type="dxa"/>
        <w:tblLayout w:type="autofit"/>
        <w:tblCellMar>
          <w:top w:w="0" w:type="dxa"/>
          <w:left w:w="108" w:type="dxa"/>
          <w:bottom w:w="0" w:type="dxa"/>
          <w:right w:w="108" w:type="dxa"/>
        </w:tblCellMar>
      </w:tblPr>
      <w:tblGrid>
        <w:gridCol w:w="801"/>
        <w:gridCol w:w="2025"/>
        <w:gridCol w:w="1702"/>
        <w:gridCol w:w="2224"/>
        <w:gridCol w:w="610"/>
        <w:gridCol w:w="1207"/>
        <w:gridCol w:w="520"/>
        <w:gridCol w:w="1272"/>
        <w:gridCol w:w="820"/>
        <w:gridCol w:w="897"/>
        <w:gridCol w:w="2519"/>
      </w:tblGrid>
      <w:tr>
        <w:trPr>
          <w:trHeight w:val="904" w:hRule="atLeast"/>
        </w:trPr>
        <w:tc>
          <w:tcPr>
            <w:tcW w:w="14597" w:type="dxa"/>
            <w:gridSpan w:val="11"/>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黑体" w:hAnsi="宋体" w:eastAsia="黑体" w:cs="黑体"/>
                <w:b/>
                <w:bCs/>
                <w:color w:val="000000"/>
                <w:sz w:val="30"/>
                <w:szCs w:val="30"/>
              </w:rPr>
            </w:pPr>
            <w:r>
              <w:rPr>
                <w:rFonts w:hint="eastAsia" w:ascii="黑体" w:hAnsi="宋体" w:eastAsia="黑体" w:cs="黑体"/>
                <w:b/>
                <w:bCs/>
                <w:color w:val="000000"/>
                <w:kern w:val="0"/>
                <w:sz w:val="30"/>
                <w:szCs w:val="30"/>
                <w:lang w:bidi="ar"/>
              </w:rPr>
              <w:t>部门预算项目支出绩效自评表（2024年度）</w:t>
            </w:r>
          </w:p>
        </w:tc>
      </w:tr>
      <w:tr>
        <w:trPr>
          <w:trHeight w:val="320" w:hRule="atLeast"/>
        </w:trPr>
        <w:tc>
          <w:tcPr>
            <w:tcW w:w="2826"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项目名称</w:t>
            </w:r>
          </w:p>
        </w:tc>
        <w:tc>
          <w:tcPr>
            <w:tcW w:w="11771" w:type="dxa"/>
            <w:gridSpan w:val="9"/>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51080021T000000052243-网络运行维护费</w:t>
            </w:r>
          </w:p>
        </w:tc>
      </w:tr>
      <w:tr>
        <w:trPr>
          <w:trHeight w:val="514" w:hRule="atLeast"/>
        </w:trPr>
        <w:tc>
          <w:tcPr>
            <w:tcW w:w="2826"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主管部门</w:t>
            </w:r>
          </w:p>
        </w:tc>
        <w:tc>
          <w:tcPr>
            <w:tcW w:w="6263"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广元市政务服务和数据局部门</w:t>
            </w:r>
          </w:p>
        </w:tc>
        <w:tc>
          <w:tcPr>
            <w:tcW w:w="1272" w:type="dxa"/>
            <w:tcBorders>
              <w:top w:val="nil"/>
              <w:left w:val="nil"/>
              <w:bottom w:val="nil"/>
              <w:right w:val="nil"/>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实施单位 （盖章）</w:t>
            </w:r>
          </w:p>
        </w:tc>
        <w:tc>
          <w:tcPr>
            <w:tcW w:w="423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广元市政务服务和公共资源交易中心</w:t>
            </w:r>
          </w:p>
        </w:tc>
      </w:tr>
      <w:tr>
        <w:trPr>
          <w:trHeight w:val="285" w:hRule="atLeast"/>
        </w:trPr>
        <w:tc>
          <w:tcPr>
            <w:tcW w:w="8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项目基本情况</w:t>
            </w:r>
          </w:p>
        </w:tc>
        <w:tc>
          <w:tcPr>
            <w:tcW w:w="2025"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1.项目年度目标完成情况</w:t>
            </w:r>
          </w:p>
        </w:tc>
        <w:tc>
          <w:tcPr>
            <w:tcW w:w="6263"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项目年度目标</w:t>
            </w:r>
          </w:p>
        </w:tc>
        <w:tc>
          <w:tcPr>
            <w:tcW w:w="5508" w:type="dxa"/>
            <w:gridSpan w:val="4"/>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年度目标完成情况</w:t>
            </w:r>
          </w:p>
        </w:tc>
      </w:tr>
      <w:tr>
        <w:trPr>
          <w:trHeight w:val="1129"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c>
          <w:tcPr>
            <w:tcW w:w="6263"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通过对交易场所电脑、打印机、LED、公共资源交易平台、视频监控、音视频转存系统等软件、硬件维护，确保2024年度市公共资源交易信息中心网络宽带及电话、应急抢险救灾施工队伍储备库信息系统、公共资源交易电子平台管理信息系统、音视频转存系统等信息化硬件、监控视频、网络系统稳定通畅运行。</w:t>
            </w:r>
          </w:p>
        </w:tc>
        <w:tc>
          <w:tcPr>
            <w:tcW w:w="5508" w:type="dxa"/>
            <w:gridSpan w:val="4"/>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本年度中心网络设备、应急抢险救灾施工队伍储备库信息系统、公共资源交易电子平台管理信息系统等网络系统稳定通畅运行。</w:t>
            </w:r>
          </w:p>
        </w:tc>
      </w:tr>
      <w:tr>
        <w:trPr>
          <w:trHeight w:val="694"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2.项目实施内容及过程概述</w:t>
            </w:r>
          </w:p>
        </w:tc>
        <w:tc>
          <w:tcPr>
            <w:tcW w:w="11771" w:type="dxa"/>
            <w:gridSpan w:val="9"/>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实施内容主要对公共资源交易平台和抢险救灾应急队伍储备库信息系统进行维护，布设互联网专线1条。</w:t>
            </w:r>
          </w:p>
        </w:tc>
      </w:tr>
      <w:tr>
        <w:trPr>
          <w:trHeight w:val="360" w:hRule="atLeast"/>
        </w:trPr>
        <w:tc>
          <w:tcPr>
            <w:tcW w:w="8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预算执行情况（10分）</w:t>
            </w: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年度预算数（万元）</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年初预算</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调整后预算数</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预算执行数</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预算执行率</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权重</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得分</w:t>
            </w:r>
          </w:p>
        </w:tc>
        <w:tc>
          <w:tcPr>
            <w:tcW w:w="251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原因</w:t>
            </w:r>
          </w:p>
        </w:tc>
      </w:tr>
      <w:tr>
        <w:trPr>
          <w:trHeight w:val="345"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总额</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24.00</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24.00</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24.00</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251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1.预算执行率=预算执行数/调整后预算数，预算执行率未达到90%的需说明原因（100字以内）;2.年中发生预算调整的（追加或调减）,应单独说明理由；3.其他资金包括：社会投入资金、银行贷款</w:t>
            </w:r>
            <w:r>
              <w:rPr>
                <w:rFonts w:hint="eastAsia" w:ascii="宋体" w:hAnsi="宋体" w:cs="宋体"/>
                <w:color w:val="000000"/>
                <w:kern w:val="0"/>
                <w:sz w:val="18"/>
                <w:szCs w:val="18"/>
                <w:lang w:eastAsia="zh-CN" w:bidi="ar"/>
              </w:rPr>
              <w:t>。</w:t>
            </w:r>
          </w:p>
        </w:tc>
      </w:tr>
      <w:tr>
        <w:trPr>
          <w:trHeight w:val="390"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其中：财政资金</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24.00</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24.00</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24.00</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2519"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rPr>
          <w:trHeight w:val="409"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财政专户管理资金</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2519"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rPr>
          <w:trHeight w:val="360"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单位资金</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2519"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其他资金</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2519"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rPr>
          <w:trHeight w:val="454" w:hRule="atLeast"/>
        </w:trPr>
        <w:tc>
          <w:tcPr>
            <w:tcW w:w="8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绩效指标（90分）</w:t>
            </w: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一级指标</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二级指标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三级指标</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指标性质</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指标值</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度量单位</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完成值</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权重</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得分</w:t>
            </w:r>
          </w:p>
        </w:tc>
        <w:tc>
          <w:tcPr>
            <w:tcW w:w="251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未完成原因分析</w:t>
            </w:r>
          </w:p>
        </w:tc>
      </w:tr>
      <w:tr>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产出指标</w:t>
            </w:r>
          </w:p>
        </w:tc>
        <w:tc>
          <w:tcPr>
            <w:tcW w:w="1702"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数量指标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维护的座机个数</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11</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251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需维护的平台个数</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251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rPr>
          <w:trHeight w:val="454"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网络正常运行的互联网专线个数</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251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rPr>
          <w:trHeight w:val="454"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质量指标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音视频监控系统正常运行率</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251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rPr>
          <w:trHeight w:val="679"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办公场所及开标区域网络宽带及座机电话正常运行率</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251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rPr>
          <w:trHeight w:val="454"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公共资源交易电子化平台正常运行率</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251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时效指标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网络故障处置响应天数</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天</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251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网络维护期</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251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rPr>
          <w:trHeight w:val="454"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效益指标</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社会效益指标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公共资源交易服务质量提升度</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定性</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18</w:t>
            </w:r>
          </w:p>
        </w:tc>
        <w:tc>
          <w:tcPr>
            <w:tcW w:w="251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公共资源交易服务质量提升度还有待进一步提升。</w:t>
            </w:r>
          </w:p>
        </w:tc>
      </w:tr>
      <w:tr>
        <w:trPr>
          <w:trHeight w:val="454"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满意度指标</w:t>
            </w:r>
          </w:p>
        </w:tc>
        <w:tc>
          <w:tcPr>
            <w:tcW w:w="1702"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服务对象满意度指标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公共资源交易活动主体满意度</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251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rPr>
          <w:trHeight w:val="454"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工作人员对平台使用满意度</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251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成本指标</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经济成本指标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项目总预算控制数</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24</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万元</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24</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251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rPr>
          <w:trHeight w:val="285" w:hRule="atLeast"/>
        </w:trPr>
        <w:tc>
          <w:tcPr>
            <w:tcW w:w="10361" w:type="dxa"/>
            <w:gridSpan w:val="8"/>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合计</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98</w:t>
            </w:r>
          </w:p>
        </w:tc>
        <w:tc>
          <w:tcPr>
            <w:tcW w:w="251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rPr>
          <w:trHeight w:val="604" w:hRule="atLeast"/>
        </w:trPr>
        <w:tc>
          <w:tcPr>
            <w:tcW w:w="80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评价结论</w:t>
            </w:r>
          </w:p>
        </w:tc>
        <w:tc>
          <w:tcPr>
            <w:tcW w:w="13796" w:type="dxa"/>
            <w:gridSpan w:val="10"/>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经自评，该项目得分98分。本年度各平台正常运行，故障率低，处理及时，公共资源交易平台使用主体满意度持续提升。</w:t>
            </w:r>
          </w:p>
        </w:tc>
      </w:tr>
      <w:tr>
        <w:trPr>
          <w:trHeight w:val="574" w:hRule="atLeast"/>
        </w:trPr>
        <w:tc>
          <w:tcPr>
            <w:tcW w:w="80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存在问题</w:t>
            </w:r>
          </w:p>
        </w:tc>
        <w:tc>
          <w:tcPr>
            <w:tcW w:w="13796" w:type="dxa"/>
            <w:gridSpan w:val="10"/>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公共资源交易服务质量有待进一步提升。</w:t>
            </w:r>
          </w:p>
        </w:tc>
      </w:tr>
      <w:tr>
        <w:trPr>
          <w:trHeight w:val="634" w:hRule="atLeast"/>
        </w:trPr>
        <w:tc>
          <w:tcPr>
            <w:tcW w:w="80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改进措施</w:t>
            </w:r>
          </w:p>
        </w:tc>
        <w:tc>
          <w:tcPr>
            <w:tcW w:w="13796" w:type="dxa"/>
            <w:gridSpan w:val="10"/>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持续提升公共资源交易服务质量。</w:t>
            </w:r>
          </w:p>
        </w:tc>
      </w:tr>
      <w:tr>
        <w:trPr>
          <w:trHeight w:val="340" w:hRule="atLeast"/>
        </w:trPr>
        <w:tc>
          <w:tcPr>
            <w:tcW w:w="7362"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项目负责人：杨勇</w:t>
            </w:r>
          </w:p>
        </w:tc>
        <w:tc>
          <w:tcPr>
            <w:tcW w:w="7235" w:type="dxa"/>
            <w:gridSpan w:val="6"/>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财务负责人：袁玲</w:t>
            </w:r>
          </w:p>
        </w:tc>
      </w:tr>
      <w:tr>
        <w:trPr>
          <w:trHeight w:val="740" w:hRule="atLeast"/>
        </w:trPr>
        <w:tc>
          <w:tcPr>
            <w:tcW w:w="801"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2025"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1702"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2224"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610"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1207"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520"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1272"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820"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897"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2519" w:type="dxa"/>
            <w:tcBorders>
              <w:top w:val="nil"/>
              <w:left w:val="nil"/>
              <w:bottom w:val="nil"/>
              <w:right w:val="nil"/>
            </w:tcBorders>
            <w:noWrap w:val="0"/>
            <w:vAlign w:val="center"/>
          </w:tcPr>
          <w:p>
            <w:pPr>
              <w:rPr>
                <w:rFonts w:hint="eastAsia" w:ascii="宋体" w:hAnsi="宋体" w:eastAsia="宋体" w:cs="宋体"/>
                <w:color w:val="000000"/>
                <w:sz w:val="18"/>
                <w:szCs w:val="18"/>
              </w:rPr>
            </w:pPr>
          </w:p>
        </w:tc>
      </w:tr>
      <w:tr>
        <w:trPr>
          <w:trHeight w:val="904" w:hRule="atLeast"/>
        </w:trPr>
        <w:tc>
          <w:tcPr>
            <w:tcW w:w="14597" w:type="dxa"/>
            <w:gridSpan w:val="11"/>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黑体" w:hAnsi="宋体" w:eastAsia="黑体" w:cs="黑体"/>
                <w:b/>
                <w:bCs/>
                <w:color w:val="000000"/>
                <w:sz w:val="30"/>
                <w:szCs w:val="30"/>
              </w:rPr>
            </w:pPr>
            <w:r>
              <w:rPr>
                <w:rFonts w:hint="eastAsia" w:ascii="黑体" w:hAnsi="宋体" w:eastAsia="黑体" w:cs="黑体"/>
                <w:b/>
                <w:bCs/>
                <w:color w:val="000000"/>
                <w:kern w:val="0"/>
                <w:sz w:val="30"/>
                <w:szCs w:val="30"/>
                <w:lang w:bidi="ar"/>
              </w:rPr>
              <w:t>部门预算项目支出绩效自评表（2024年度）</w:t>
            </w:r>
          </w:p>
        </w:tc>
      </w:tr>
      <w:tr>
        <w:trPr>
          <w:trHeight w:val="380" w:hRule="atLeast"/>
        </w:trPr>
        <w:tc>
          <w:tcPr>
            <w:tcW w:w="2826"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项目名称</w:t>
            </w:r>
          </w:p>
        </w:tc>
        <w:tc>
          <w:tcPr>
            <w:tcW w:w="11771" w:type="dxa"/>
            <w:gridSpan w:val="9"/>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51080021T000000052244-交易场地设施设备维护费</w:t>
            </w:r>
          </w:p>
        </w:tc>
      </w:tr>
      <w:tr>
        <w:trPr>
          <w:trHeight w:val="514" w:hRule="atLeast"/>
        </w:trPr>
        <w:tc>
          <w:tcPr>
            <w:tcW w:w="2826"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主管部门</w:t>
            </w:r>
          </w:p>
        </w:tc>
        <w:tc>
          <w:tcPr>
            <w:tcW w:w="6263"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广元市政务服务和数据局部门</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实施单位 （盖章）</w:t>
            </w:r>
          </w:p>
        </w:tc>
        <w:tc>
          <w:tcPr>
            <w:tcW w:w="423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广元市政务服务和公共资源交易中心</w:t>
            </w:r>
          </w:p>
        </w:tc>
      </w:tr>
      <w:tr>
        <w:trPr>
          <w:trHeight w:val="380" w:hRule="atLeast"/>
        </w:trPr>
        <w:tc>
          <w:tcPr>
            <w:tcW w:w="8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项目基本情况</w:t>
            </w:r>
          </w:p>
        </w:tc>
        <w:tc>
          <w:tcPr>
            <w:tcW w:w="2025"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1.项目年度目标完成情况</w:t>
            </w:r>
          </w:p>
        </w:tc>
        <w:tc>
          <w:tcPr>
            <w:tcW w:w="6263"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项目年度目标</w:t>
            </w:r>
          </w:p>
        </w:tc>
        <w:tc>
          <w:tcPr>
            <w:tcW w:w="5508" w:type="dxa"/>
            <w:gridSpan w:val="4"/>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年度目标完成情况</w:t>
            </w:r>
          </w:p>
        </w:tc>
      </w:tr>
      <w:tr>
        <w:trPr>
          <w:trHeight w:val="709"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c>
          <w:tcPr>
            <w:tcW w:w="6263"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通过对交易场所设施设备的维修维护，保障公共资源交易活动正常有序开展；通过对交易活动场所的升级改造，打造一流的示范交易中心。</w:t>
            </w:r>
          </w:p>
        </w:tc>
        <w:tc>
          <w:tcPr>
            <w:tcW w:w="5508" w:type="dxa"/>
            <w:gridSpan w:val="4"/>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通过对交易场地设施设备的维修维护和部分硬件的升级改造，交易活动得以正常进行。</w:t>
            </w:r>
          </w:p>
        </w:tc>
      </w:tr>
      <w:tr>
        <w:trPr>
          <w:trHeight w:val="560"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2.项目实施内容及过程概述</w:t>
            </w:r>
          </w:p>
        </w:tc>
        <w:tc>
          <w:tcPr>
            <w:tcW w:w="11771" w:type="dxa"/>
            <w:gridSpan w:val="9"/>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本项目贯穿整年度，主要实施内容为对交易场所设施设备进行维修维护，保障交易活动正常开展。</w:t>
            </w:r>
          </w:p>
        </w:tc>
      </w:tr>
      <w:tr>
        <w:trPr>
          <w:trHeight w:val="360" w:hRule="atLeast"/>
        </w:trPr>
        <w:tc>
          <w:tcPr>
            <w:tcW w:w="8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预算执行情况（10分）</w:t>
            </w: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年度预算数（万元）</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年初预算</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调整后预算数</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预算执行数</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预算执行率</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权重</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得分</w:t>
            </w:r>
          </w:p>
        </w:tc>
        <w:tc>
          <w:tcPr>
            <w:tcW w:w="251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原因</w:t>
            </w:r>
          </w:p>
        </w:tc>
      </w:tr>
      <w:tr>
        <w:trPr>
          <w:trHeight w:val="345"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总额</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251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1.预算执行率=预算执行数/调整后预算数，预算执行率未达到90%的需说明原因（100字以内）;2.年中发生预算调整的（追加或调减）,应单独说明理由；3.其他资金包括：社会投入资金、银行贷款</w:t>
            </w:r>
            <w:r>
              <w:rPr>
                <w:rFonts w:hint="eastAsia" w:ascii="宋体" w:hAnsi="宋体" w:cs="宋体"/>
                <w:color w:val="000000"/>
                <w:kern w:val="0"/>
                <w:sz w:val="18"/>
                <w:szCs w:val="18"/>
                <w:lang w:eastAsia="zh-CN" w:bidi="ar"/>
              </w:rPr>
              <w:t>。</w:t>
            </w:r>
          </w:p>
        </w:tc>
      </w:tr>
      <w:tr>
        <w:trPr>
          <w:trHeight w:val="390"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其中：财政资金</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2519"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rPr>
          <w:trHeight w:val="409"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财政专户管理资金</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2519"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rPr>
          <w:trHeight w:val="360"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单位资金</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2519"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其他资金</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18"/>
                <w:szCs w:val="18"/>
              </w:rPr>
            </w:pP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18"/>
                <w:szCs w:val="18"/>
              </w:rPr>
            </w:pP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18"/>
                <w:szCs w:val="18"/>
              </w:rPr>
            </w:pP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2519"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rPr>
          <w:trHeight w:val="454" w:hRule="atLeast"/>
        </w:trPr>
        <w:tc>
          <w:tcPr>
            <w:tcW w:w="8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绩效指标（90分）</w:t>
            </w: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一级指标</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二级指标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三级指标</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指标性质</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指标值</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度量单位</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完成值</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权重</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得分</w:t>
            </w:r>
          </w:p>
        </w:tc>
        <w:tc>
          <w:tcPr>
            <w:tcW w:w="251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未完成原因分析</w:t>
            </w:r>
          </w:p>
        </w:tc>
      </w:tr>
      <w:tr>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产出指标</w:t>
            </w:r>
          </w:p>
        </w:tc>
        <w:tc>
          <w:tcPr>
            <w:tcW w:w="1702"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数量指标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维护设施设备数量</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80</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85</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251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18"/>
                <w:szCs w:val="18"/>
              </w:rPr>
            </w:pPr>
          </w:p>
        </w:tc>
      </w:tr>
      <w:tr>
        <w:trPr>
          <w:trHeight w:val="454"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维护交易场地面积</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400</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平方米</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251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18"/>
                <w:szCs w:val="18"/>
              </w:rPr>
            </w:pPr>
          </w:p>
        </w:tc>
      </w:tr>
      <w:tr>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质量指标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交易场所提供的设备质量</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定性</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好</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好</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251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18"/>
                <w:szCs w:val="18"/>
              </w:rPr>
            </w:pPr>
          </w:p>
        </w:tc>
      </w:tr>
      <w:tr>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设备维护合格率</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251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18"/>
                <w:szCs w:val="18"/>
              </w:rPr>
            </w:pPr>
          </w:p>
        </w:tc>
      </w:tr>
      <w:tr>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时效指标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设备故障及时修复天数</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天</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251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18"/>
                <w:szCs w:val="18"/>
              </w:rPr>
            </w:pPr>
          </w:p>
        </w:tc>
      </w:tr>
      <w:tr>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设施设备维护时间</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251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18"/>
                <w:szCs w:val="18"/>
              </w:rPr>
            </w:pPr>
          </w:p>
        </w:tc>
      </w:tr>
      <w:tr>
        <w:trPr>
          <w:trHeight w:val="454"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效益指标</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社会效益指标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提高公共资源交易活动服务水平</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定性</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优</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优</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18</w:t>
            </w:r>
          </w:p>
        </w:tc>
        <w:tc>
          <w:tcPr>
            <w:tcW w:w="251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公共资源交易活动服务水平还有待进一步提升</w:t>
            </w:r>
          </w:p>
        </w:tc>
      </w:tr>
      <w:tr>
        <w:trPr>
          <w:trHeight w:val="454"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满意度指标</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满意度指标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公共资源交易活动主体满意度</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95</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95</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251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18"/>
                <w:szCs w:val="18"/>
              </w:rPr>
            </w:pPr>
          </w:p>
        </w:tc>
      </w:tr>
      <w:tr>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成本指标</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经济成本指标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项目总预算控制数</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万元</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251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18"/>
                <w:szCs w:val="18"/>
              </w:rPr>
            </w:pPr>
          </w:p>
        </w:tc>
      </w:tr>
      <w:tr>
        <w:trPr>
          <w:trHeight w:val="285" w:hRule="atLeast"/>
        </w:trPr>
        <w:tc>
          <w:tcPr>
            <w:tcW w:w="10361" w:type="dxa"/>
            <w:gridSpan w:val="8"/>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合计</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98</w:t>
            </w:r>
          </w:p>
        </w:tc>
        <w:tc>
          <w:tcPr>
            <w:tcW w:w="251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rPr>
          <w:trHeight w:val="604" w:hRule="atLeast"/>
        </w:trPr>
        <w:tc>
          <w:tcPr>
            <w:tcW w:w="80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评价结论</w:t>
            </w:r>
          </w:p>
        </w:tc>
        <w:tc>
          <w:tcPr>
            <w:tcW w:w="13796" w:type="dxa"/>
            <w:gridSpan w:val="10"/>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经自评，该项目得分98分。通过对交易场地设施设备的维修维护和部分硬件的升级改造，交易活动得以正常进行。</w:t>
            </w:r>
          </w:p>
        </w:tc>
      </w:tr>
      <w:tr>
        <w:trPr>
          <w:trHeight w:val="574" w:hRule="atLeast"/>
        </w:trPr>
        <w:tc>
          <w:tcPr>
            <w:tcW w:w="80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存在问题</w:t>
            </w:r>
          </w:p>
        </w:tc>
        <w:tc>
          <w:tcPr>
            <w:tcW w:w="13796" w:type="dxa"/>
            <w:gridSpan w:val="10"/>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公共资源交易活动服务水平有待进一步提高。</w:t>
            </w:r>
          </w:p>
        </w:tc>
      </w:tr>
      <w:tr>
        <w:trPr>
          <w:trHeight w:val="634" w:hRule="atLeast"/>
        </w:trPr>
        <w:tc>
          <w:tcPr>
            <w:tcW w:w="80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改进措施</w:t>
            </w:r>
          </w:p>
        </w:tc>
        <w:tc>
          <w:tcPr>
            <w:tcW w:w="13796" w:type="dxa"/>
            <w:gridSpan w:val="10"/>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持续提高公共资源交易活动服务水平。</w:t>
            </w:r>
          </w:p>
        </w:tc>
      </w:tr>
      <w:tr>
        <w:trPr>
          <w:trHeight w:val="340" w:hRule="atLeast"/>
        </w:trPr>
        <w:tc>
          <w:tcPr>
            <w:tcW w:w="7362"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项目负责人：杨勇</w:t>
            </w:r>
          </w:p>
        </w:tc>
        <w:tc>
          <w:tcPr>
            <w:tcW w:w="7235" w:type="dxa"/>
            <w:gridSpan w:val="6"/>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财务负责人：袁玲</w:t>
            </w:r>
          </w:p>
        </w:tc>
      </w:tr>
      <w:tr>
        <w:trPr>
          <w:trHeight w:val="840" w:hRule="atLeast"/>
        </w:trPr>
        <w:tc>
          <w:tcPr>
            <w:tcW w:w="801"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2025"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1702"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2224"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610"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1207"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520"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1272"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820"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897" w:type="dxa"/>
            <w:tcBorders>
              <w:top w:val="nil"/>
              <w:left w:val="nil"/>
              <w:bottom w:val="nil"/>
              <w:right w:val="nil"/>
            </w:tcBorders>
            <w:noWrap w:val="0"/>
            <w:vAlign w:val="center"/>
          </w:tcPr>
          <w:p>
            <w:pPr>
              <w:rPr>
                <w:rFonts w:hint="eastAsia" w:ascii="宋体" w:hAnsi="宋体" w:eastAsia="宋体" w:cs="宋体"/>
                <w:color w:val="000000"/>
                <w:sz w:val="18"/>
                <w:szCs w:val="18"/>
              </w:rPr>
            </w:pPr>
          </w:p>
        </w:tc>
        <w:tc>
          <w:tcPr>
            <w:tcW w:w="2519" w:type="dxa"/>
            <w:tcBorders>
              <w:top w:val="nil"/>
              <w:left w:val="nil"/>
              <w:bottom w:val="nil"/>
              <w:right w:val="nil"/>
            </w:tcBorders>
            <w:noWrap w:val="0"/>
            <w:vAlign w:val="center"/>
          </w:tcPr>
          <w:p>
            <w:pPr>
              <w:rPr>
                <w:rFonts w:hint="eastAsia" w:ascii="宋体" w:hAnsi="宋体" w:eastAsia="宋体" w:cs="宋体"/>
                <w:color w:val="000000"/>
                <w:sz w:val="18"/>
                <w:szCs w:val="18"/>
              </w:rPr>
            </w:pPr>
          </w:p>
        </w:tc>
      </w:tr>
      <w:tr>
        <w:trPr>
          <w:trHeight w:val="904" w:hRule="atLeast"/>
        </w:trPr>
        <w:tc>
          <w:tcPr>
            <w:tcW w:w="14597" w:type="dxa"/>
            <w:gridSpan w:val="11"/>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黑体" w:hAnsi="宋体" w:eastAsia="黑体" w:cs="黑体"/>
                <w:b/>
                <w:bCs/>
                <w:color w:val="000000"/>
                <w:sz w:val="30"/>
                <w:szCs w:val="30"/>
              </w:rPr>
            </w:pPr>
            <w:r>
              <w:rPr>
                <w:rFonts w:hint="eastAsia" w:ascii="黑体" w:hAnsi="宋体" w:eastAsia="黑体" w:cs="黑体"/>
                <w:b/>
                <w:bCs/>
                <w:color w:val="000000"/>
                <w:kern w:val="0"/>
                <w:sz w:val="30"/>
                <w:szCs w:val="30"/>
                <w:lang w:bidi="ar"/>
              </w:rPr>
              <w:t>部门预算项目支出绩效自评表（2024年度）</w:t>
            </w:r>
          </w:p>
        </w:tc>
      </w:tr>
      <w:tr>
        <w:trPr>
          <w:trHeight w:val="460" w:hRule="atLeast"/>
        </w:trPr>
        <w:tc>
          <w:tcPr>
            <w:tcW w:w="2826"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项目名称</w:t>
            </w:r>
          </w:p>
        </w:tc>
        <w:tc>
          <w:tcPr>
            <w:tcW w:w="11771" w:type="dxa"/>
            <w:gridSpan w:val="9"/>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51080024T000011015889-公共资源交易业务工作经费</w:t>
            </w:r>
          </w:p>
        </w:tc>
      </w:tr>
      <w:tr>
        <w:trPr>
          <w:trHeight w:val="514" w:hRule="atLeast"/>
        </w:trPr>
        <w:tc>
          <w:tcPr>
            <w:tcW w:w="2826"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主管部门</w:t>
            </w:r>
          </w:p>
        </w:tc>
        <w:tc>
          <w:tcPr>
            <w:tcW w:w="6263"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广元市政务服务和数据局部门</w:t>
            </w:r>
          </w:p>
        </w:tc>
        <w:tc>
          <w:tcPr>
            <w:tcW w:w="1272" w:type="dxa"/>
            <w:tcBorders>
              <w:top w:val="nil"/>
              <w:left w:val="nil"/>
              <w:bottom w:val="nil"/>
              <w:right w:val="nil"/>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实施单位 （盖章）</w:t>
            </w:r>
          </w:p>
        </w:tc>
        <w:tc>
          <w:tcPr>
            <w:tcW w:w="423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广元市政务服务和公共资源交易中心</w:t>
            </w:r>
          </w:p>
        </w:tc>
      </w:tr>
      <w:tr>
        <w:trPr>
          <w:trHeight w:val="400" w:hRule="atLeast"/>
        </w:trPr>
        <w:tc>
          <w:tcPr>
            <w:tcW w:w="8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项目基本情况</w:t>
            </w:r>
          </w:p>
        </w:tc>
        <w:tc>
          <w:tcPr>
            <w:tcW w:w="2025"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1.项目年度目标完成情况</w:t>
            </w:r>
          </w:p>
        </w:tc>
        <w:tc>
          <w:tcPr>
            <w:tcW w:w="6263"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项目年度目标</w:t>
            </w:r>
          </w:p>
        </w:tc>
        <w:tc>
          <w:tcPr>
            <w:tcW w:w="5508" w:type="dxa"/>
            <w:gridSpan w:val="4"/>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年度目标完成情况</w:t>
            </w:r>
          </w:p>
        </w:tc>
      </w:tr>
      <w:tr>
        <w:trPr>
          <w:trHeight w:val="904"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c>
          <w:tcPr>
            <w:tcW w:w="6263"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通过开展工程建设项目招投标、政府采购、土地矿权出让等公共资源交易活动，与各地市州进行业务交流，保障全市工程建设项目有序开展，政府采购评审专家依法依规评审；土地（矿权）拍卖、转让顺利进行，为各市场交易主体提供优质高效服务。</w:t>
            </w:r>
          </w:p>
        </w:tc>
        <w:tc>
          <w:tcPr>
            <w:tcW w:w="5508" w:type="dxa"/>
            <w:gridSpan w:val="4"/>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2024年，工程建设项目招投标、政府采购、土地矿权出让等公共资源交易活动正常有序开展，项目交易量达800余个，为各市场交易主体提供了优质高效的服务。</w:t>
            </w:r>
          </w:p>
        </w:tc>
      </w:tr>
      <w:tr>
        <w:trPr>
          <w:trHeight w:val="694"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2.项目实施内容及过程概述</w:t>
            </w:r>
          </w:p>
        </w:tc>
        <w:tc>
          <w:tcPr>
            <w:tcW w:w="11771" w:type="dxa"/>
            <w:gridSpan w:val="9"/>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通过支付政府采购专家评审费、土地出让拍卖费等业务费用，保障全市工程建设项目有序开展，政府采购评审专家依法依规评审，土地（矿权）拍卖、转让顺利进行，为各市场交易主体提供优质高效服务。</w:t>
            </w:r>
          </w:p>
        </w:tc>
      </w:tr>
      <w:tr>
        <w:trPr>
          <w:trHeight w:val="360" w:hRule="atLeast"/>
        </w:trPr>
        <w:tc>
          <w:tcPr>
            <w:tcW w:w="8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预算执行情况（10分）</w:t>
            </w: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年度预算数（万元）</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年初预算</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调整后预算数</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预算执行数</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预算执行率</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权重</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得分</w:t>
            </w:r>
          </w:p>
        </w:tc>
        <w:tc>
          <w:tcPr>
            <w:tcW w:w="251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原因</w:t>
            </w:r>
          </w:p>
        </w:tc>
      </w:tr>
      <w:tr>
        <w:trPr>
          <w:trHeight w:val="345"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总额</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61.23</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61.23</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61.23</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251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1.预算执行率=预算执行数/调整后预算数，预算执行率未达到90%的需说明原因（100字以内）;2.年中发生预算调整的（追加或调减）,应单独说明理由；3.其他资金包括：社会投入资金、银行贷款</w:t>
            </w:r>
            <w:r>
              <w:rPr>
                <w:rFonts w:hint="eastAsia" w:ascii="宋体" w:hAnsi="宋体" w:cs="宋体"/>
                <w:color w:val="000000"/>
                <w:kern w:val="0"/>
                <w:sz w:val="18"/>
                <w:szCs w:val="18"/>
                <w:lang w:eastAsia="zh-CN" w:bidi="ar"/>
              </w:rPr>
              <w:t>。</w:t>
            </w:r>
          </w:p>
        </w:tc>
      </w:tr>
      <w:tr>
        <w:trPr>
          <w:trHeight w:val="390"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其中：财政资金</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61.23</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61.23</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61.23</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2519"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rPr>
          <w:trHeight w:val="409"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财政专户管理资金</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2519"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rPr>
          <w:trHeight w:val="360"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单位资金</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2519"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rPr>
          <w:trHeight w:val="440"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其他资金</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18"/>
                <w:szCs w:val="18"/>
              </w:rPr>
            </w:pPr>
          </w:p>
        </w:tc>
        <w:tc>
          <w:tcPr>
            <w:tcW w:w="2337"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18"/>
                <w:szCs w:val="18"/>
              </w:rPr>
            </w:pP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18"/>
                <w:szCs w:val="18"/>
              </w:rPr>
            </w:pP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2519"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rPr>
          <w:trHeight w:val="454" w:hRule="atLeast"/>
        </w:trPr>
        <w:tc>
          <w:tcPr>
            <w:tcW w:w="8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绩效指标（90分）</w:t>
            </w: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一级指标</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二级指标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三级指标</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指标性质</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指标值</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度量单位</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完成值</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权重</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得分</w:t>
            </w:r>
          </w:p>
        </w:tc>
        <w:tc>
          <w:tcPr>
            <w:tcW w:w="251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未完成原因分析</w:t>
            </w:r>
          </w:p>
        </w:tc>
      </w:tr>
      <w:tr>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产出指标</w:t>
            </w:r>
          </w:p>
        </w:tc>
        <w:tc>
          <w:tcPr>
            <w:tcW w:w="1702"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数量指标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工程建设项目交易量</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500</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786</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251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18"/>
                <w:szCs w:val="18"/>
              </w:rPr>
            </w:pPr>
          </w:p>
        </w:tc>
      </w:tr>
      <w:tr>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土地矿权交易量</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15</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宗</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38</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251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18"/>
                <w:szCs w:val="18"/>
              </w:rPr>
            </w:pPr>
          </w:p>
        </w:tc>
      </w:tr>
      <w:tr>
        <w:trPr>
          <w:trHeight w:val="600"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政府采购项目交易量</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72</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251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本年度代理的集中采购项目个数减少。</w:t>
            </w:r>
          </w:p>
        </w:tc>
      </w:tr>
      <w:tr>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质量指标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资金节约率</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15</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17.4</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251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18"/>
                <w:szCs w:val="18"/>
              </w:rPr>
            </w:pPr>
          </w:p>
        </w:tc>
      </w:tr>
      <w:tr>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项目流标率</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251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18"/>
                <w:szCs w:val="18"/>
              </w:rPr>
            </w:pPr>
          </w:p>
        </w:tc>
      </w:tr>
      <w:tr>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时效指标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任务完成时间</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月</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251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18"/>
                <w:szCs w:val="18"/>
              </w:rPr>
            </w:pPr>
          </w:p>
        </w:tc>
      </w:tr>
      <w:tr>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效益指标</w:t>
            </w:r>
          </w:p>
        </w:tc>
        <w:tc>
          <w:tcPr>
            <w:tcW w:w="1702"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社会效益指标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为市财政年度增收情况</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定性</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好</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好</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251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18"/>
                <w:szCs w:val="18"/>
              </w:rPr>
            </w:pPr>
          </w:p>
        </w:tc>
      </w:tr>
      <w:tr>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提高政府部门服务效率</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定性</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好</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好</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251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18"/>
                <w:szCs w:val="18"/>
              </w:rPr>
            </w:pPr>
          </w:p>
        </w:tc>
      </w:tr>
      <w:tr>
        <w:trPr>
          <w:trHeight w:val="454"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70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对中小企业发展的促进作用</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定性</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好</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好</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251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18"/>
                <w:szCs w:val="18"/>
              </w:rPr>
            </w:pPr>
          </w:p>
        </w:tc>
      </w:tr>
      <w:tr>
        <w:trPr>
          <w:trHeight w:val="454"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满意度指标</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服务对象满意度指标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公共资源交易主体满意度</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98</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98</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251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18"/>
                <w:szCs w:val="18"/>
              </w:rPr>
            </w:pPr>
          </w:p>
        </w:tc>
      </w:tr>
      <w:tr>
        <w:trPr>
          <w:trHeight w:val="338" w:hRule="atLeast"/>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20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成本指标</w:t>
            </w:r>
          </w:p>
        </w:tc>
        <w:tc>
          <w:tcPr>
            <w:tcW w:w="17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经济成本指标</w:t>
            </w:r>
          </w:p>
        </w:tc>
        <w:tc>
          <w:tcPr>
            <w:tcW w:w="222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项目总预算控制数</w:t>
            </w:r>
          </w:p>
        </w:tc>
        <w:tc>
          <w:tcPr>
            <w:tcW w:w="61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61.23</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万元</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61.23</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251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iCs/>
                <w:color w:val="000000"/>
                <w:sz w:val="18"/>
                <w:szCs w:val="18"/>
              </w:rPr>
            </w:pPr>
          </w:p>
        </w:tc>
      </w:tr>
      <w:tr>
        <w:trPr>
          <w:trHeight w:val="285" w:hRule="atLeast"/>
        </w:trPr>
        <w:tc>
          <w:tcPr>
            <w:tcW w:w="10361" w:type="dxa"/>
            <w:gridSpan w:val="8"/>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合计</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98</w:t>
            </w:r>
          </w:p>
        </w:tc>
        <w:tc>
          <w:tcPr>
            <w:tcW w:w="251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rPr>
            </w:pPr>
          </w:p>
        </w:tc>
      </w:tr>
      <w:tr>
        <w:trPr>
          <w:trHeight w:val="604" w:hRule="atLeast"/>
        </w:trPr>
        <w:tc>
          <w:tcPr>
            <w:tcW w:w="80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评价结论</w:t>
            </w:r>
          </w:p>
        </w:tc>
        <w:tc>
          <w:tcPr>
            <w:tcW w:w="13796" w:type="dxa"/>
            <w:gridSpan w:val="10"/>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经自评，该项目得分98分。通过该项目的实施，保障了全市工程建设项目招投标、政府采购、土地矿权出让等公共资源交易活动正常有序开展，提升了公共资源交易服务水平。</w:t>
            </w:r>
          </w:p>
        </w:tc>
      </w:tr>
      <w:tr>
        <w:trPr>
          <w:trHeight w:val="574" w:hRule="atLeast"/>
        </w:trPr>
        <w:tc>
          <w:tcPr>
            <w:tcW w:w="80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存在问题</w:t>
            </w:r>
          </w:p>
        </w:tc>
        <w:tc>
          <w:tcPr>
            <w:tcW w:w="13796" w:type="dxa"/>
            <w:gridSpan w:val="10"/>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由于项目交易量存在许多不确定性，导致部分指标执行情况有偏差。</w:t>
            </w:r>
          </w:p>
        </w:tc>
      </w:tr>
      <w:tr>
        <w:trPr>
          <w:trHeight w:val="634" w:hRule="atLeast"/>
        </w:trPr>
        <w:tc>
          <w:tcPr>
            <w:tcW w:w="80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改进措施</w:t>
            </w:r>
          </w:p>
        </w:tc>
        <w:tc>
          <w:tcPr>
            <w:tcW w:w="13796" w:type="dxa"/>
            <w:gridSpan w:val="10"/>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根据工作实际合理设定年度绩效目标，并细化、量化指标设置，使项目预算安排与绩效目标合理匹配。</w:t>
            </w:r>
          </w:p>
        </w:tc>
      </w:tr>
      <w:tr>
        <w:trPr>
          <w:trHeight w:val="380" w:hRule="atLeast"/>
        </w:trPr>
        <w:tc>
          <w:tcPr>
            <w:tcW w:w="7362"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项目负责人：宁建华</w:t>
            </w:r>
          </w:p>
        </w:tc>
        <w:tc>
          <w:tcPr>
            <w:tcW w:w="7235" w:type="dxa"/>
            <w:gridSpan w:val="6"/>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财务负责人：袁玲</w:t>
            </w:r>
          </w:p>
        </w:tc>
      </w:tr>
    </w:tbl>
    <w:p>
      <w:pPr>
        <w:pStyle w:val="2"/>
        <w:rPr>
          <w:rFonts w:hint="eastAsia"/>
        </w:rPr>
        <w:sectPr>
          <w:pgSz w:w="16838" w:h="11906" w:orient="landscape"/>
          <w:pgMar w:top="1800" w:right="1440" w:bottom="1800" w:left="1440" w:header="851" w:footer="992" w:gutter="0"/>
          <w:pgNumType w:fmt="numberInDash"/>
          <w:cols w:space="425" w:num="1"/>
          <w:titlePg/>
          <w:docGrid w:type="lines" w:linePitch="312" w:charSpace="0"/>
        </w:sectPr>
      </w:pPr>
    </w:p>
    <w:p>
      <w:pPr>
        <w:rPr>
          <w:rFonts w:hint="eastAsia"/>
        </w:rPr>
      </w:pPr>
    </w:p>
    <w:p>
      <w:pPr>
        <w:pStyle w:val="3"/>
        <w:bidi w:val="0"/>
        <w:jc w:val="center"/>
        <w:rPr>
          <w:rFonts w:hint="eastAsia" w:ascii="Times New Roman" w:hAnsi="Times New Roman" w:eastAsia="仿宋_GB2312" w:cs="仿宋_GB2312"/>
          <w:color w:val="auto"/>
          <w:sz w:val="32"/>
          <w:szCs w:val="32"/>
          <w:highlight w:val="none"/>
        </w:rPr>
      </w:pPr>
      <w:bookmarkStart w:id="81" w:name="_Toc32530"/>
      <w:r>
        <w:rPr>
          <w:rFonts w:hint="eastAsia" w:ascii="Times New Roman" w:hAnsi="Times New Roman" w:eastAsia="黑体"/>
          <w:color w:val="auto"/>
          <w:sz w:val="44"/>
          <w:szCs w:val="44"/>
          <w:highlight w:val="none"/>
        </w:rPr>
        <w:t>第</w:t>
      </w:r>
      <w:r>
        <w:rPr>
          <w:rStyle w:val="21"/>
          <w:rFonts w:hint="eastAsia" w:ascii="Times New Roman" w:hAnsi="Times New Roman" w:eastAsia="黑体"/>
          <w:b w:val="0"/>
          <w:bCs/>
          <w:color w:val="auto"/>
          <w:highlight w:val="none"/>
        </w:rPr>
        <w:t>五部分 附表</w:t>
      </w:r>
      <w:bookmarkEnd w:id="74"/>
      <w:bookmarkEnd w:id="80"/>
      <w:bookmarkEnd w:id="81"/>
      <w:bookmarkStart w:id="82" w:name="_Toc15396619"/>
    </w:p>
    <w:p>
      <w:pPr>
        <w:pStyle w:val="4"/>
        <w:bidi w:val="0"/>
        <w:jc w:val="left"/>
        <w:rPr>
          <w:rFonts w:hint="eastAsia"/>
          <w:b w:val="0"/>
          <w:bCs w:val="0"/>
        </w:rPr>
      </w:pPr>
      <w:bookmarkStart w:id="83" w:name="_Toc26202"/>
      <w:r>
        <w:rPr>
          <w:rFonts w:hint="eastAsia"/>
          <w:b w:val="0"/>
          <w:bCs w:val="0"/>
        </w:rPr>
        <w:t>一、收入支出决算总表</w:t>
      </w:r>
      <w:bookmarkEnd w:id="82"/>
      <w:bookmarkEnd w:id="83"/>
    </w:p>
    <w:p>
      <w:pPr>
        <w:pStyle w:val="4"/>
        <w:bidi w:val="0"/>
        <w:jc w:val="left"/>
        <w:rPr>
          <w:rFonts w:hint="eastAsia"/>
          <w:b w:val="0"/>
          <w:bCs w:val="0"/>
        </w:rPr>
      </w:pPr>
      <w:bookmarkStart w:id="84" w:name="_Toc22942"/>
      <w:bookmarkStart w:id="85" w:name="_Toc15396620"/>
      <w:r>
        <w:rPr>
          <w:rFonts w:hint="eastAsia"/>
          <w:b w:val="0"/>
          <w:bCs w:val="0"/>
        </w:rPr>
        <w:t>二、收入决算表</w:t>
      </w:r>
      <w:bookmarkEnd w:id="84"/>
      <w:bookmarkEnd w:id="85"/>
    </w:p>
    <w:p>
      <w:pPr>
        <w:pStyle w:val="4"/>
        <w:bidi w:val="0"/>
        <w:jc w:val="left"/>
        <w:rPr>
          <w:rFonts w:hint="eastAsia"/>
          <w:b w:val="0"/>
          <w:bCs w:val="0"/>
        </w:rPr>
      </w:pPr>
      <w:bookmarkStart w:id="86" w:name="_Toc19816"/>
      <w:bookmarkStart w:id="87" w:name="_Toc15396621"/>
      <w:r>
        <w:rPr>
          <w:rFonts w:hint="eastAsia"/>
          <w:b w:val="0"/>
          <w:bCs w:val="0"/>
        </w:rPr>
        <w:t>三、支出决算表</w:t>
      </w:r>
      <w:bookmarkEnd w:id="86"/>
      <w:bookmarkEnd w:id="87"/>
    </w:p>
    <w:p>
      <w:pPr>
        <w:pStyle w:val="4"/>
        <w:bidi w:val="0"/>
        <w:jc w:val="left"/>
        <w:rPr>
          <w:rFonts w:hint="eastAsia"/>
          <w:b w:val="0"/>
          <w:bCs w:val="0"/>
        </w:rPr>
      </w:pPr>
      <w:bookmarkStart w:id="88" w:name="_Toc28276"/>
      <w:bookmarkStart w:id="89" w:name="_Toc15396622"/>
      <w:r>
        <w:rPr>
          <w:rFonts w:hint="eastAsia"/>
          <w:b w:val="0"/>
          <w:bCs w:val="0"/>
        </w:rPr>
        <w:t>四、财政拨款收入支出决算总表</w:t>
      </w:r>
      <w:bookmarkEnd w:id="88"/>
      <w:bookmarkEnd w:id="89"/>
    </w:p>
    <w:p>
      <w:pPr>
        <w:pStyle w:val="4"/>
        <w:bidi w:val="0"/>
        <w:jc w:val="left"/>
        <w:rPr>
          <w:rFonts w:hint="eastAsia"/>
          <w:b w:val="0"/>
          <w:bCs w:val="0"/>
        </w:rPr>
      </w:pPr>
      <w:bookmarkStart w:id="90" w:name="_Toc15396623"/>
      <w:bookmarkStart w:id="91" w:name="_Toc9861"/>
      <w:r>
        <w:rPr>
          <w:rFonts w:hint="eastAsia"/>
          <w:b w:val="0"/>
          <w:bCs w:val="0"/>
        </w:rPr>
        <w:t>五、财政拨款支出决算明细表</w:t>
      </w:r>
      <w:bookmarkEnd w:id="90"/>
      <w:bookmarkEnd w:id="91"/>
      <w:bookmarkStart w:id="92" w:name="_Toc15396624"/>
    </w:p>
    <w:p>
      <w:pPr>
        <w:pStyle w:val="4"/>
        <w:bidi w:val="0"/>
        <w:jc w:val="left"/>
        <w:rPr>
          <w:rFonts w:hint="eastAsia"/>
          <w:b w:val="0"/>
          <w:bCs w:val="0"/>
        </w:rPr>
      </w:pPr>
      <w:bookmarkStart w:id="93" w:name="_Toc15205"/>
      <w:r>
        <w:rPr>
          <w:rFonts w:hint="eastAsia"/>
          <w:b w:val="0"/>
          <w:bCs w:val="0"/>
        </w:rPr>
        <w:t>六、一般公共预算财政拨款支出决算表</w:t>
      </w:r>
      <w:bookmarkEnd w:id="92"/>
      <w:bookmarkEnd w:id="93"/>
    </w:p>
    <w:p>
      <w:pPr>
        <w:pStyle w:val="4"/>
        <w:bidi w:val="0"/>
        <w:jc w:val="left"/>
        <w:rPr>
          <w:rFonts w:hint="eastAsia"/>
          <w:b w:val="0"/>
          <w:bCs w:val="0"/>
        </w:rPr>
      </w:pPr>
      <w:bookmarkStart w:id="94" w:name="_Toc22904"/>
      <w:bookmarkStart w:id="95" w:name="_Toc15396625"/>
      <w:r>
        <w:rPr>
          <w:rFonts w:hint="eastAsia"/>
          <w:b w:val="0"/>
          <w:bCs w:val="0"/>
        </w:rPr>
        <w:t>七、一般公共预算财政拨款支出决算明细表</w:t>
      </w:r>
      <w:bookmarkEnd w:id="94"/>
      <w:bookmarkEnd w:id="95"/>
    </w:p>
    <w:p>
      <w:pPr>
        <w:pStyle w:val="4"/>
        <w:bidi w:val="0"/>
        <w:jc w:val="left"/>
        <w:rPr>
          <w:rFonts w:hint="eastAsia"/>
          <w:b w:val="0"/>
          <w:bCs w:val="0"/>
        </w:rPr>
      </w:pPr>
      <w:bookmarkStart w:id="96" w:name="_Toc27990"/>
      <w:bookmarkStart w:id="97" w:name="_Toc15396626"/>
      <w:r>
        <w:rPr>
          <w:rFonts w:hint="eastAsia"/>
          <w:b w:val="0"/>
          <w:bCs w:val="0"/>
        </w:rPr>
        <w:t>八、一般公共预算财政拨款基本支出决算表</w:t>
      </w:r>
      <w:bookmarkEnd w:id="96"/>
      <w:bookmarkEnd w:id="97"/>
    </w:p>
    <w:p>
      <w:pPr>
        <w:pStyle w:val="4"/>
        <w:bidi w:val="0"/>
        <w:jc w:val="left"/>
        <w:rPr>
          <w:rFonts w:hint="eastAsia"/>
          <w:b w:val="0"/>
          <w:bCs w:val="0"/>
        </w:rPr>
      </w:pPr>
      <w:bookmarkStart w:id="98" w:name="_Toc6892"/>
      <w:bookmarkStart w:id="99" w:name="_Toc15396627"/>
      <w:r>
        <w:rPr>
          <w:rFonts w:hint="eastAsia"/>
          <w:b w:val="0"/>
          <w:bCs w:val="0"/>
        </w:rPr>
        <w:t>九、一般公共预算财政拨款项目支出决算表</w:t>
      </w:r>
      <w:bookmarkEnd w:id="98"/>
      <w:bookmarkEnd w:id="99"/>
    </w:p>
    <w:p>
      <w:pPr>
        <w:pStyle w:val="4"/>
        <w:bidi w:val="0"/>
        <w:jc w:val="left"/>
        <w:rPr>
          <w:rFonts w:hint="eastAsia"/>
          <w:b w:val="0"/>
          <w:bCs w:val="0"/>
        </w:rPr>
      </w:pPr>
      <w:bookmarkStart w:id="100" w:name="_Toc15396628"/>
      <w:bookmarkStart w:id="101" w:name="_Toc31824"/>
      <w:r>
        <w:rPr>
          <w:rFonts w:hint="eastAsia"/>
          <w:b w:val="0"/>
          <w:bCs w:val="0"/>
        </w:rPr>
        <w:t>十、</w:t>
      </w:r>
      <w:bookmarkEnd w:id="100"/>
      <w:r>
        <w:rPr>
          <w:rFonts w:hint="eastAsia"/>
          <w:b w:val="0"/>
          <w:bCs w:val="0"/>
        </w:rPr>
        <w:t>政府性基金预算财政拨款收入支出决算表</w:t>
      </w:r>
      <w:bookmarkEnd w:id="101"/>
    </w:p>
    <w:p>
      <w:pPr>
        <w:pStyle w:val="4"/>
        <w:bidi w:val="0"/>
        <w:jc w:val="left"/>
        <w:rPr>
          <w:rFonts w:hint="eastAsia"/>
          <w:b w:val="0"/>
          <w:bCs w:val="0"/>
        </w:rPr>
      </w:pPr>
      <w:bookmarkStart w:id="102" w:name="_Toc15396629"/>
      <w:bookmarkStart w:id="103" w:name="_Toc26781"/>
      <w:r>
        <w:rPr>
          <w:rFonts w:hint="eastAsia"/>
          <w:b w:val="0"/>
          <w:bCs w:val="0"/>
        </w:rPr>
        <w:t>十一、</w:t>
      </w:r>
      <w:bookmarkEnd w:id="102"/>
      <w:r>
        <w:rPr>
          <w:rFonts w:hint="eastAsia"/>
          <w:b w:val="0"/>
          <w:bCs w:val="0"/>
        </w:rPr>
        <w:t>国有资本经营预算</w:t>
      </w:r>
      <w:r>
        <w:rPr>
          <w:rFonts w:hint="eastAsia"/>
          <w:b w:val="0"/>
          <w:bCs w:val="0"/>
          <w:lang w:eastAsia="zh-CN"/>
        </w:rPr>
        <w:t>财政拨款收入</w:t>
      </w:r>
      <w:r>
        <w:rPr>
          <w:rFonts w:hint="eastAsia"/>
          <w:b w:val="0"/>
          <w:bCs w:val="0"/>
        </w:rPr>
        <w:t>支出决算表</w:t>
      </w:r>
      <w:bookmarkEnd w:id="103"/>
    </w:p>
    <w:p>
      <w:pPr>
        <w:pStyle w:val="4"/>
        <w:bidi w:val="0"/>
        <w:jc w:val="left"/>
        <w:rPr>
          <w:rFonts w:hint="eastAsia"/>
          <w:b w:val="0"/>
          <w:bCs w:val="0"/>
        </w:rPr>
      </w:pPr>
      <w:bookmarkStart w:id="104" w:name="_Toc15396630"/>
      <w:bookmarkStart w:id="105" w:name="_Toc17783"/>
      <w:r>
        <w:rPr>
          <w:rFonts w:hint="eastAsia"/>
          <w:b w:val="0"/>
          <w:bCs w:val="0"/>
        </w:rPr>
        <w:t>十二、</w:t>
      </w:r>
      <w:bookmarkEnd w:id="104"/>
      <w:r>
        <w:rPr>
          <w:rFonts w:hint="eastAsia"/>
          <w:b w:val="0"/>
          <w:bCs w:val="0"/>
          <w:lang w:eastAsia="zh-CN"/>
        </w:rPr>
        <w:t>国有资本经营预算财政拨款支出决算表</w:t>
      </w:r>
      <w:bookmarkEnd w:id="105"/>
    </w:p>
    <w:p>
      <w:pPr>
        <w:pStyle w:val="4"/>
        <w:bidi w:val="0"/>
        <w:jc w:val="left"/>
        <w:rPr>
          <w:rFonts w:hint="eastAsia"/>
          <w:b w:val="0"/>
          <w:bCs w:val="0"/>
          <w:lang w:eastAsia="zh-CN"/>
        </w:rPr>
      </w:pPr>
      <w:bookmarkStart w:id="106" w:name="_Toc15396631"/>
      <w:bookmarkStart w:id="107" w:name="_Toc4124"/>
      <w:r>
        <w:rPr>
          <w:rFonts w:hint="eastAsia"/>
          <w:b w:val="0"/>
          <w:bCs w:val="0"/>
        </w:rPr>
        <w:t>十三、</w:t>
      </w:r>
      <w:bookmarkEnd w:id="106"/>
      <w:r>
        <w:rPr>
          <w:rFonts w:hint="eastAsia"/>
          <w:b w:val="0"/>
          <w:bCs w:val="0"/>
          <w:lang w:eastAsia="zh-CN"/>
        </w:rPr>
        <w:t>财政拨款“三公”经费支出决算表</w:t>
      </w:r>
      <w:bookmarkEnd w:id="107"/>
    </w:p>
    <w:p>
      <w:pPr>
        <w:keepNext w:val="0"/>
        <w:keepLines w:val="0"/>
        <w:pageBreakBefore w:val="0"/>
        <w:widowControl w:val="0"/>
        <w:kinsoku/>
        <w:wordWrap/>
        <w:overflowPunct/>
        <w:topLinePunct w:val="0"/>
        <w:autoSpaceDE/>
        <w:autoSpaceDN/>
        <w:bidi w:val="0"/>
        <w:spacing w:line="480" w:lineRule="auto"/>
        <w:textAlignment w:val="auto"/>
        <w:rPr>
          <w:rFonts w:hint="eastAsia" w:ascii="Times New Roman" w:hAnsi="Times New Roman"/>
          <w:lang w:eastAsia="zh-CN"/>
        </w:rPr>
      </w:pPr>
    </w:p>
    <w:sectPr>
      <w:pgSz w:w="11906" w:h="16838"/>
      <w:pgMar w:top="1440" w:right="1800" w:bottom="1440" w:left="1800" w:header="851" w:footer="992" w:gutter="0"/>
      <w:pgNumType w:fmt="numberInDash"/>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cript"/>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
    <w:altName w:val="Mangal"/>
    <w:panose1 w:val="00000000000000000000"/>
    <w:charset w:val="00"/>
    <w:family w:val="roman"/>
    <w:pitch w:val="default"/>
    <w:sig w:usb0="00000000" w:usb1="00000000" w:usb2="00000000" w:usb3="00000000" w:csb0="00000000"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微软雅黑">
    <w:altName w:val="黑体"/>
    <w:panose1 w:val="020B0503020204020204"/>
    <w:charset w:val="86"/>
    <w:family w:val="swiss"/>
    <w:pitch w:val="default"/>
    <w:sig w:usb0="00000000" w:usb1="00000000" w:usb2="00000016" w:usb3="00000000" w:csb0="0004001F" w:csb1="00000000"/>
  </w:font>
  <w:font w:name="Lucida Sans">
    <w:panose1 w:val="020B0602030504020204"/>
    <w:charset w:val="00"/>
    <w:family w:val="auto"/>
    <w:pitch w:val="default"/>
    <w:sig w:usb0="00000000" w:usb1="00000000" w:usb2="00000000" w:usb3="00000000" w:csb0="00000000" w:csb1="00000000"/>
  </w:font>
  <w:font w:name="Comic Sans MS">
    <w:panose1 w:val="030F0702030302020204"/>
    <w:charset w:val="00"/>
    <w:family w:val="auto"/>
    <w:pitch w:val="default"/>
    <w:sig w:usb0="00000287" w:usb1="00000000" w:usb2="00000000" w:usb3="00000000" w:csb0="2000009F" w:csb1="00000000"/>
  </w:font>
  <w:font w:name="Noto Sans Syriac Eastern">
    <w:panose1 w:val="02040503050306020203"/>
    <w:charset w:val="86"/>
    <w:family w:val="auto"/>
    <w:pitch w:val="default"/>
    <w:sig w:usb0="00000000" w:usb1="00000000" w:usb2="00000080" w:usb3="00000000" w:csb0="203E0161" w:csb1="D7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p>
  <w:p>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both"/>
    </w:pPr>
  </w:p>
  <w:p>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KgUyDHQIAACsEAAAOAAAAZHJz&#10;L2Uyb0RvYy54bWytU82O0zAQviPxDpbvNGkRS1U1XZVdFSFV7EoFcXYdu4nkP9luk/IA8AacuHDf&#10;5+pz8DlNWgScEBd7xjOen2++md+2WpGD8KG2pqDjUU6JMNyWtdkV9OOH1YspJSEyUzJljSjoUQR6&#10;u3j+bN64mZjYyqpSeIIgJswaV9AqRjfLssAroVkYWScMjNJ6zSJUv8tKzxpE1yqb5PlN1lhfOm+5&#10;CAGv92cjXXTxpRQ8PkgZRCSqoKgtdqfvzm06s8WczXaeuarmfRnsH6rQrDZIegl1zyIje1//EUrX&#10;3NtgZRxxqzMrZc1F1wO6Gee/dbOpmBNdLwAnuAtM4f+F5e8Pj57UJWb3mhLDNGZ0+vb19P3p9OML&#10;wRsAalyYwW/j4BnbN7YtaPR7MZgC3lPrrfQ63WiKwAVoHy8IizYSjsfxdDKd5jBx2AYFKbLrd+dD&#10;fCusJkkoqMcIO2TZYR3i2XVwSdmMXdVKdWNUhjQFvXn5Ku8+XCwIrgxypD7OxSYpttu2b25ryyN6&#10;8/ZMj+D4qkbyNQvxkXnwAQWD4/EBh1QWSWwvUVJZ//lv78kfY4KVkgb8KqjBAlCi3hmML1FxEPwg&#10;bAfB7PWdBWHH2B3HOxEffFSDKL3Vn0D8ZcohmQoIzAxHNoxmEO8itN6IBeJiubzoe+frXXX9DDI6&#10;Ftdm43g/3IRtcMt9BL4d7AmzM1A9lGBkN7h+exLlf9U7r+uOL34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MqBTIMdAgAAKwQAAA4AAAAAAAAAAQAgAAAANQEAAGRycy9lMm9Eb2MueG1sUEsF&#10;BgAAAAAGAAYAWQEAAMQFA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both"/>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Bwn/kHAIAACsEAAAOAAAAZHJz&#10;L2Uyb0RvYy54bWytU0uOEzEQ3SNxB8t70kkQoyhKZxRmFIQUMSMNiLXjttMt+SfbSXc4ANyAFRv2&#10;nCvn4NnpThCwQmzsKle5Pu9VLW47rchB+NBYU9LJaEyJMNxWjdmV9MP79YsZJSEyUzFljSjpUQR6&#10;u3z+bNG6uZja2qpKeIIgJsxbV9I6RjcvisBroVkYWScMjNJ6zSJUvysqz1pE16qYjsc3RWt95bzl&#10;IgS83p+NdJnjSyl4fJAyiEhUSVFbzKfP5zadxXLB5jvPXN3wvgz2D1Vo1hgkvYS6Z5GRvW/+CKUb&#10;7m2wMo641YWVsuEi94BuJuPfunmqmRO5F4AT3AWm8P/C8neHR0+aCtyBKcM0ODp9/XL69uP0/TPB&#10;GwBqXZjD78nBM3avbVfS6PdiMAW8p9Y76XW60RSBC9A+XhAWXSQcj5PZdDYbw8RhGxSkKK7fnQ/x&#10;jbCaJKGkHhRmZNlhE+LZdXBJ2YxdN0plGpUhbUlvXr4a5w8XC4Irgxypj3OxSYrdtuub29rqiN68&#10;PY9HcHzdIPmGhfjIPOYBBWPG4wMOqSyS2F6ipLb+09/ekz9ogpWSFvNVUoMFoES9NaAvjeIg+EHY&#10;DoLZ6zuLgZ1gdxzPIj74qAZReqs/YvBXKYdkKiAwMxzZQM0g3kVovRELxMVqddH3zje7+voZw+hY&#10;3Jgnx3tyE7bBrfYR+GbYE2ZnoHooMZGZuH570sj/qmev644vfw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QcJ/5BwCAAArBAAADgAAAAAAAAABACAAAAA1AQAAZHJzL2Uyb0RvYy54bWxQSwUG&#10;AAAAAAYABgBZAQAAwwU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- 2 -</w:t>
                    </w:r>
                    <w:r>
                      <w:fldChar w:fldCharType="end"/>
                    </w:r>
                  </w:p>
                </w:txbxContent>
              </v:textbox>
            </v:shape>
          </w:pict>
        </mc:Fallback>
      </mc:AlternateContent>
    </w:r>
  </w:p>
  <w:p>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3D77A7"/>
    <w:multiLevelType w:val="singleLevel"/>
    <w:tmpl w:val="373D77A7"/>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4633"/>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2A5EC2"/>
    <w:rsid w:val="015975B8"/>
    <w:rsid w:val="02FEBE30"/>
    <w:rsid w:val="04916F1E"/>
    <w:rsid w:val="061E35DE"/>
    <w:rsid w:val="066E0107"/>
    <w:rsid w:val="07996F6E"/>
    <w:rsid w:val="07DFD8BA"/>
    <w:rsid w:val="07FF0D99"/>
    <w:rsid w:val="09867E8F"/>
    <w:rsid w:val="0A2032A3"/>
    <w:rsid w:val="0CA8290A"/>
    <w:rsid w:val="0D35B1ED"/>
    <w:rsid w:val="0E254B6B"/>
    <w:rsid w:val="0F98263C"/>
    <w:rsid w:val="101860EC"/>
    <w:rsid w:val="101F47CC"/>
    <w:rsid w:val="10C055FF"/>
    <w:rsid w:val="11694EBD"/>
    <w:rsid w:val="11772AA4"/>
    <w:rsid w:val="118107EC"/>
    <w:rsid w:val="12E24EE2"/>
    <w:rsid w:val="13D50BC4"/>
    <w:rsid w:val="14B17F78"/>
    <w:rsid w:val="165E0673"/>
    <w:rsid w:val="16B831D5"/>
    <w:rsid w:val="16BB723D"/>
    <w:rsid w:val="179FFF8F"/>
    <w:rsid w:val="17E50567"/>
    <w:rsid w:val="17EE47E1"/>
    <w:rsid w:val="186504BB"/>
    <w:rsid w:val="19A445FC"/>
    <w:rsid w:val="1BE8440E"/>
    <w:rsid w:val="1D155CEE"/>
    <w:rsid w:val="1D1638FE"/>
    <w:rsid w:val="1E312DEB"/>
    <w:rsid w:val="1E740ACF"/>
    <w:rsid w:val="1FB81503"/>
    <w:rsid w:val="1FBB0739"/>
    <w:rsid w:val="1FF35744"/>
    <w:rsid w:val="1FF6BC77"/>
    <w:rsid w:val="2186353C"/>
    <w:rsid w:val="23395E81"/>
    <w:rsid w:val="23860B96"/>
    <w:rsid w:val="240371BF"/>
    <w:rsid w:val="244F3473"/>
    <w:rsid w:val="24C97D99"/>
    <w:rsid w:val="25A718F0"/>
    <w:rsid w:val="25BB59F6"/>
    <w:rsid w:val="260F557C"/>
    <w:rsid w:val="26970054"/>
    <w:rsid w:val="27AB9F19"/>
    <w:rsid w:val="27FFD1E4"/>
    <w:rsid w:val="281408E2"/>
    <w:rsid w:val="29FD04D3"/>
    <w:rsid w:val="2B5E0195"/>
    <w:rsid w:val="2BFF7BC6"/>
    <w:rsid w:val="2C8A61B5"/>
    <w:rsid w:val="2DB9F0C3"/>
    <w:rsid w:val="2DF04E50"/>
    <w:rsid w:val="2E586DFA"/>
    <w:rsid w:val="2F040D46"/>
    <w:rsid w:val="2F6B035B"/>
    <w:rsid w:val="2FAE5751"/>
    <w:rsid w:val="2FB1A395"/>
    <w:rsid w:val="2FD9A7D8"/>
    <w:rsid w:val="2FDBF714"/>
    <w:rsid w:val="30AB6865"/>
    <w:rsid w:val="319F7F4E"/>
    <w:rsid w:val="32BD1EF1"/>
    <w:rsid w:val="3304709D"/>
    <w:rsid w:val="33A773CB"/>
    <w:rsid w:val="349D6851"/>
    <w:rsid w:val="36AA5135"/>
    <w:rsid w:val="36BE0DA7"/>
    <w:rsid w:val="376B6AA6"/>
    <w:rsid w:val="376D39B2"/>
    <w:rsid w:val="37DE835A"/>
    <w:rsid w:val="37E16F03"/>
    <w:rsid w:val="37F53A3B"/>
    <w:rsid w:val="37F78BBD"/>
    <w:rsid w:val="389B6C89"/>
    <w:rsid w:val="38D469F0"/>
    <w:rsid w:val="39627CCD"/>
    <w:rsid w:val="397BAF1F"/>
    <w:rsid w:val="39EFE713"/>
    <w:rsid w:val="3AB79AF3"/>
    <w:rsid w:val="3AE834C0"/>
    <w:rsid w:val="3B7EF35A"/>
    <w:rsid w:val="3B9FDB6C"/>
    <w:rsid w:val="3BF5BC2F"/>
    <w:rsid w:val="3CC7D9A2"/>
    <w:rsid w:val="3CD3DB7A"/>
    <w:rsid w:val="3CEBA265"/>
    <w:rsid w:val="3D98207C"/>
    <w:rsid w:val="3DBF7698"/>
    <w:rsid w:val="3DDB22F6"/>
    <w:rsid w:val="3DEE7CF3"/>
    <w:rsid w:val="3DF7CC48"/>
    <w:rsid w:val="3E37D186"/>
    <w:rsid w:val="3E740A63"/>
    <w:rsid w:val="3E78745D"/>
    <w:rsid w:val="3E7F4CA3"/>
    <w:rsid w:val="3EE17838"/>
    <w:rsid w:val="3EEF7FC6"/>
    <w:rsid w:val="3F55381A"/>
    <w:rsid w:val="3F7F7599"/>
    <w:rsid w:val="3FB73E27"/>
    <w:rsid w:val="3FF4CAE0"/>
    <w:rsid w:val="3FF73922"/>
    <w:rsid w:val="3FF7B227"/>
    <w:rsid w:val="3FFD3555"/>
    <w:rsid w:val="3FFF2EDB"/>
    <w:rsid w:val="44E268DA"/>
    <w:rsid w:val="450D13D7"/>
    <w:rsid w:val="45506656"/>
    <w:rsid w:val="47F77AA2"/>
    <w:rsid w:val="486A6C7A"/>
    <w:rsid w:val="4A627F82"/>
    <w:rsid w:val="4B0E749A"/>
    <w:rsid w:val="4B2477C4"/>
    <w:rsid w:val="4B4F25DA"/>
    <w:rsid w:val="4BE068DB"/>
    <w:rsid w:val="4D577224"/>
    <w:rsid w:val="4DBF1CEB"/>
    <w:rsid w:val="4DF0007C"/>
    <w:rsid w:val="4EAB630A"/>
    <w:rsid w:val="4ECE2238"/>
    <w:rsid w:val="4F833267"/>
    <w:rsid w:val="4FBFDC6A"/>
    <w:rsid w:val="4FE9BD67"/>
    <w:rsid w:val="4FFB052F"/>
    <w:rsid w:val="537E6D0A"/>
    <w:rsid w:val="53F74C96"/>
    <w:rsid w:val="55170BA8"/>
    <w:rsid w:val="553218C9"/>
    <w:rsid w:val="567E1AA5"/>
    <w:rsid w:val="569B56DB"/>
    <w:rsid w:val="56E47B74"/>
    <w:rsid w:val="57175D52"/>
    <w:rsid w:val="5755E126"/>
    <w:rsid w:val="577F10FD"/>
    <w:rsid w:val="57BD3DD4"/>
    <w:rsid w:val="5AF92295"/>
    <w:rsid w:val="5B250254"/>
    <w:rsid w:val="5BDD79E6"/>
    <w:rsid w:val="5BDFA6D8"/>
    <w:rsid w:val="5BF561CA"/>
    <w:rsid w:val="5BFF5DFC"/>
    <w:rsid w:val="5CD71FC4"/>
    <w:rsid w:val="5D1F11B5"/>
    <w:rsid w:val="5D695134"/>
    <w:rsid w:val="5D6BAB90"/>
    <w:rsid w:val="5D6F6423"/>
    <w:rsid w:val="5DAE1B18"/>
    <w:rsid w:val="5DDBF804"/>
    <w:rsid w:val="5DE7D9E5"/>
    <w:rsid w:val="5ECEC941"/>
    <w:rsid w:val="5EFB5834"/>
    <w:rsid w:val="5FABEFBC"/>
    <w:rsid w:val="5FBF9FF3"/>
    <w:rsid w:val="5FCD4E2C"/>
    <w:rsid w:val="5FDF65BD"/>
    <w:rsid w:val="5FE73D1A"/>
    <w:rsid w:val="5FEAD3DF"/>
    <w:rsid w:val="5FEF394A"/>
    <w:rsid w:val="5FEF5822"/>
    <w:rsid w:val="5FEF8D93"/>
    <w:rsid w:val="5FEFBED0"/>
    <w:rsid w:val="5FF67715"/>
    <w:rsid w:val="5FFFD30E"/>
    <w:rsid w:val="62BF3928"/>
    <w:rsid w:val="63B3701E"/>
    <w:rsid w:val="647F5392"/>
    <w:rsid w:val="64F7DF7A"/>
    <w:rsid w:val="65E66580"/>
    <w:rsid w:val="664B1D71"/>
    <w:rsid w:val="664B4E8E"/>
    <w:rsid w:val="66ADD20E"/>
    <w:rsid w:val="67277B67"/>
    <w:rsid w:val="67AA3209"/>
    <w:rsid w:val="67FA06C0"/>
    <w:rsid w:val="698D0931"/>
    <w:rsid w:val="6A7FE5F3"/>
    <w:rsid w:val="6B053271"/>
    <w:rsid w:val="6BDD78B3"/>
    <w:rsid w:val="6BF5E636"/>
    <w:rsid w:val="6C4A05C8"/>
    <w:rsid w:val="6C8742B8"/>
    <w:rsid w:val="6DBF5E93"/>
    <w:rsid w:val="6DC9F21A"/>
    <w:rsid w:val="6DFAF9B9"/>
    <w:rsid w:val="6DFF077E"/>
    <w:rsid w:val="6E67F74F"/>
    <w:rsid w:val="6E714EF0"/>
    <w:rsid w:val="6E7E3605"/>
    <w:rsid w:val="6E7FDCC7"/>
    <w:rsid w:val="6ED6A62E"/>
    <w:rsid w:val="6EE00B15"/>
    <w:rsid w:val="6F6FB3EB"/>
    <w:rsid w:val="6F8731EA"/>
    <w:rsid w:val="6FAC64DC"/>
    <w:rsid w:val="6FCE6052"/>
    <w:rsid w:val="6FD57C00"/>
    <w:rsid w:val="6FD7F2BB"/>
    <w:rsid w:val="6FE95155"/>
    <w:rsid w:val="6FEFFFD8"/>
    <w:rsid w:val="6FF5CC65"/>
    <w:rsid w:val="6FFB47EC"/>
    <w:rsid w:val="6FFF034A"/>
    <w:rsid w:val="70484440"/>
    <w:rsid w:val="712A28F1"/>
    <w:rsid w:val="715C0E4B"/>
    <w:rsid w:val="71992E7C"/>
    <w:rsid w:val="72233669"/>
    <w:rsid w:val="72734D90"/>
    <w:rsid w:val="73160E6D"/>
    <w:rsid w:val="7332FE48"/>
    <w:rsid w:val="73AB61DA"/>
    <w:rsid w:val="73AD73D5"/>
    <w:rsid w:val="73B6EB34"/>
    <w:rsid w:val="73CFDA19"/>
    <w:rsid w:val="73DF5D86"/>
    <w:rsid w:val="73FA497D"/>
    <w:rsid w:val="73FD1817"/>
    <w:rsid w:val="744731E5"/>
    <w:rsid w:val="74BBD01D"/>
    <w:rsid w:val="74ED5379"/>
    <w:rsid w:val="75611FA9"/>
    <w:rsid w:val="75DEEEC2"/>
    <w:rsid w:val="75E32345"/>
    <w:rsid w:val="767FA7E9"/>
    <w:rsid w:val="76E3355F"/>
    <w:rsid w:val="76FF5125"/>
    <w:rsid w:val="773FD207"/>
    <w:rsid w:val="776F6FFA"/>
    <w:rsid w:val="777CCB3F"/>
    <w:rsid w:val="778769C8"/>
    <w:rsid w:val="77A75DCA"/>
    <w:rsid w:val="77CFACC4"/>
    <w:rsid w:val="77DC22F5"/>
    <w:rsid w:val="77F2E919"/>
    <w:rsid w:val="77FE0990"/>
    <w:rsid w:val="783E271A"/>
    <w:rsid w:val="78616DE9"/>
    <w:rsid w:val="78B6FC87"/>
    <w:rsid w:val="78DB9446"/>
    <w:rsid w:val="78E875D7"/>
    <w:rsid w:val="79086DAD"/>
    <w:rsid w:val="795F3EFF"/>
    <w:rsid w:val="797F2C92"/>
    <w:rsid w:val="797F3670"/>
    <w:rsid w:val="79D7FD79"/>
    <w:rsid w:val="79EE5BA4"/>
    <w:rsid w:val="79F98754"/>
    <w:rsid w:val="7A894339"/>
    <w:rsid w:val="7AB7DECD"/>
    <w:rsid w:val="7AD284E8"/>
    <w:rsid w:val="7AFF7572"/>
    <w:rsid w:val="7B6C7DFB"/>
    <w:rsid w:val="7BB7DC50"/>
    <w:rsid w:val="7BBFBED0"/>
    <w:rsid w:val="7BC3E394"/>
    <w:rsid w:val="7BE6DCE0"/>
    <w:rsid w:val="7BFE712B"/>
    <w:rsid w:val="7BFFB816"/>
    <w:rsid w:val="7C1F3737"/>
    <w:rsid w:val="7CBFC87B"/>
    <w:rsid w:val="7CED5947"/>
    <w:rsid w:val="7CFE0F48"/>
    <w:rsid w:val="7D272ABC"/>
    <w:rsid w:val="7D741EA7"/>
    <w:rsid w:val="7D77E532"/>
    <w:rsid w:val="7D7EC23E"/>
    <w:rsid w:val="7DFDB902"/>
    <w:rsid w:val="7DFF4263"/>
    <w:rsid w:val="7E3F6F05"/>
    <w:rsid w:val="7E59099F"/>
    <w:rsid w:val="7E8ADEBF"/>
    <w:rsid w:val="7EB2A297"/>
    <w:rsid w:val="7EEF11D3"/>
    <w:rsid w:val="7EFC7DFC"/>
    <w:rsid w:val="7EFDA35A"/>
    <w:rsid w:val="7EFE4840"/>
    <w:rsid w:val="7F0971A6"/>
    <w:rsid w:val="7F1D62E7"/>
    <w:rsid w:val="7F3F679B"/>
    <w:rsid w:val="7F4FC4EF"/>
    <w:rsid w:val="7F5DFC0F"/>
    <w:rsid w:val="7F5E4D54"/>
    <w:rsid w:val="7F6E0135"/>
    <w:rsid w:val="7F79F205"/>
    <w:rsid w:val="7F7BD89B"/>
    <w:rsid w:val="7F7F1B37"/>
    <w:rsid w:val="7FA30C79"/>
    <w:rsid w:val="7FA5FB2E"/>
    <w:rsid w:val="7FA79C44"/>
    <w:rsid w:val="7FAF8ABF"/>
    <w:rsid w:val="7FB7269E"/>
    <w:rsid w:val="7FBC8692"/>
    <w:rsid w:val="7FBFB3C4"/>
    <w:rsid w:val="7FBFEE78"/>
    <w:rsid w:val="7FC96657"/>
    <w:rsid w:val="7FDA9588"/>
    <w:rsid w:val="7FDF220F"/>
    <w:rsid w:val="7FE76495"/>
    <w:rsid w:val="7FEDC5F7"/>
    <w:rsid w:val="7FEDD9DE"/>
    <w:rsid w:val="7FEDF605"/>
    <w:rsid w:val="7FF5890D"/>
    <w:rsid w:val="7FF6C8BD"/>
    <w:rsid w:val="7FF93490"/>
    <w:rsid w:val="7FFBBF21"/>
    <w:rsid w:val="7FFDF7CA"/>
    <w:rsid w:val="99FF2014"/>
    <w:rsid w:val="9DB351F1"/>
    <w:rsid w:val="9EE7F226"/>
    <w:rsid w:val="A6DD0D7F"/>
    <w:rsid w:val="ABBFBC3C"/>
    <w:rsid w:val="ACFF4FBB"/>
    <w:rsid w:val="ADC6F725"/>
    <w:rsid w:val="B377CF0D"/>
    <w:rsid w:val="B7CF06AB"/>
    <w:rsid w:val="B7CFA926"/>
    <w:rsid w:val="B7E993A1"/>
    <w:rsid w:val="B7F8786B"/>
    <w:rsid w:val="B9FFC2F9"/>
    <w:rsid w:val="BABB6AA1"/>
    <w:rsid w:val="BB2F4199"/>
    <w:rsid w:val="BB2F9258"/>
    <w:rsid w:val="BCFF495C"/>
    <w:rsid w:val="BCFFB442"/>
    <w:rsid w:val="BD079C78"/>
    <w:rsid w:val="BD733540"/>
    <w:rsid w:val="BDFC2100"/>
    <w:rsid w:val="BF3735D5"/>
    <w:rsid w:val="BF3FC9C5"/>
    <w:rsid w:val="BF7F09AC"/>
    <w:rsid w:val="BFD475C3"/>
    <w:rsid w:val="BFDE5EA6"/>
    <w:rsid w:val="BFFA97C8"/>
    <w:rsid w:val="BFFFB5B5"/>
    <w:rsid w:val="C2F619C0"/>
    <w:rsid w:val="C2FC431D"/>
    <w:rsid w:val="C3DC86F1"/>
    <w:rsid w:val="C96FE212"/>
    <w:rsid w:val="CDFF15C3"/>
    <w:rsid w:val="CF6FC6F3"/>
    <w:rsid w:val="CF75F920"/>
    <w:rsid w:val="CF7DA2E7"/>
    <w:rsid w:val="CFD3D3D7"/>
    <w:rsid w:val="CFDF1009"/>
    <w:rsid w:val="D5E79CDE"/>
    <w:rsid w:val="D771E970"/>
    <w:rsid w:val="D77EDA03"/>
    <w:rsid w:val="D7D7B16A"/>
    <w:rsid w:val="D8D6DB89"/>
    <w:rsid w:val="DB6F4CAB"/>
    <w:rsid w:val="DB777682"/>
    <w:rsid w:val="DBFF888D"/>
    <w:rsid w:val="DCFEAE0F"/>
    <w:rsid w:val="DD1FB521"/>
    <w:rsid w:val="DEF75E6E"/>
    <w:rsid w:val="DEFBFEAE"/>
    <w:rsid w:val="DEFF8CA4"/>
    <w:rsid w:val="DF1F3B80"/>
    <w:rsid w:val="DF6A14BB"/>
    <w:rsid w:val="DF6F9789"/>
    <w:rsid w:val="DF7F0002"/>
    <w:rsid w:val="DFAFCF04"/>
    <w:rsid w:val="DFC75643"/>
    <w:rsid w:val="DFE9BE81"/>
    <w:rsid w:val="DFFDD861"/>
    <w:rsid w:val="DFFE52B7"/>
    <w:rsid w:val="DFFFA9E8"/>
    <w:rsid w:val="E56FB312"/>
    <w:rsid w:val="E5AA2370"/>
    <w:rsid w:val="E5F4E9DC"/>
    <w:rsid w:val="E6DE302E"/>
    <w:rsid w:val="E70FE695"/>
    <w:rsid w:val="E9FFEF1F"/>
    <w:rsid w:val="EAFDA15A"/>
    <w:rsid w:val="EB2E368B"/>
    <w:rsid w:val="EB79BCF5"/>
    <w:rsid w:val="EBDB7F70"/>
    <w:rsid w:val="EBF7244E"/>
    <w:rsid w:val="ECFCEC6A"/>
    <w:rsid w:val="ECFED1BC"/>
    <w:rsid w:val="ED1D69BB"/>
    <w:rsid w:val="ED7FD312"/>
    <w:rsid w:val="EDB7CA46"/>
    <w:rsid w:val="EF2E1AC6"/>
    <w:rsid w:val="EF53993F"/>
    <w:rsid w:val="EF6FD633"/>
    <w:rsid w:val="EFBFAEB3"/>
    <w:rsid w:val="EFBFB2F4"/>
    <w:rsid w:val="EFBFFA21"/>
    <w:rsid w:val="F2BEBCB8"/>
    <w:rsid w:val="F337F591"/>
    <w:rsid w:val="F36FB518"/>
    <w:rsid w:val="F3DE1A04"/>
    <w:rsid w:val="F3F722E5"/>
    <w:rsid w:val="F3F7EA71"/>
    <w:rsid w:val="F3FE5057"/>
    <w:rsid w:val="F4FBCD07"/>
    <w:rsid w:val="F59F97B8"/>
    <w:rsid w:val="F6AE1D7B"/>
    <w:rsid w:val="F79B1AF3"/>
    <w:rsid w:val="F7DEFA81"/>
    <w:rsid w:val="F7DF5C78"/>
    <w:rsid w:val="F7F9B1D3"/>
    <w:rsid w:val="F8DFF2CE"/>
    <w:rsid w:val="FA370FBD"/>
    <w:rsid w:val="FA5F1E70"/>
    <w:rsid w:val="FA5FDB97"/>
    <w:rsid w:val="FAE428B9"/>
    <w:rsid w:val="FAF28974"/>
    <w:rsid w:val="FAF39488"/>
    <w:rsid w:val="FB2093F8"/>
    <w:rsid w:val="FB7F486A"/>
    <w:rsid w:val="FBBEF78F"/>
    <w:rsid w:val="FBDE454B"/>
    <w:rsid w:val="FBF09434"/>
    <w:rsid w:val="FBFF5B2E"/>
    <w:rsid w:val="FC9B6D68"/>
    <w:rsid w:val="FD7FD2A9"/>
    <w:rsid w:val="FD7FFE2B"/>
    <w:rsid w:val="FD7FFFE6"/>
    <w:rsid w:val="FDDEB4F2"/>
    <w:rsid w:val="FDEB21BB"/>
    <w:rsid w:val="FDEE196B"/>
    <w:rsid w:val="FDFB3342"/>
    <w:rsid w:val="FDFE6575"/>
    <w:rsid w:val="FEAE6F24"/>
    <w:rsid w:val="FEBF2DD1"/>
    <w:rsid w:val="FEDFCEE2"/>
    <w:rsid w:val="FEDFDDC2"/>
    <w:rsid w:val="FEED32F6"/>
    <w:rsid w:val="FEF58AFE"/>
    <w:rsid w:val="FEF781DD"/>
    <w:rsid w:val="FEFFC064"/>
    <w:rsid w:val="FEFFD95D"/>
    <w:rsid w:val="FF3B09E4"/>
    <w:rsid w:val="FF3F7E3F"/>
    <w:rsid w:val="FF3FC50F"/>
    <w:rsid w:val="FF74546F"/>
    <w:rsid w:val="FF79C2D1"/>
    <w:rsid w:val="FF9D3231"/>
    <w:rsid w:val="FFAFFE57"/>
    <w:rsid w:val="FFBA12D7"/>
    <w:rsid w:val="FFCBD314"/>
    <w:rsid w:val="FFD3A9EB"/>
    <w:rsid w:val="FFDD2FDF"/>
    <w:rsid w:val="FFDFF91C"/>
    <w:rsid w:val="FFDFFAEE"/>
    <w:rsid w:val="FFEF6777"/>
    <w:rsid w:val="FFF6E28C"/>
    <w:rsid w:val="FFF917C9"/>
    <w:rsid w:val="FFF9B57B"/>
    <w:rsid w:val="FFFA599F"/>
    <w:rsid w:val="FFFAE2FC"/>
    <w:rsid w:val="FFFB31E1"/>
    <w:rsid w:val="FFFC5FAD"/>
    <w:rsid w:val="FFFD61D9"/>
    <w:rsid w:val="FFFD8F59"/>
    <w:rsid w:val="FFFF2BB1"/>
    <w:rsid w:val="FFFFA49F"/>
    <w:rsid w:val="FFFFB04D"/>
    <w:rsid w:val="FFFFFEB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qFormat="1" w:unhideWhenUsed="0" w:uiPriority="0" w:semiHidden="0"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23"/>
    <w:unhideWhenUsed/>
    <w:qFormat/>
    <w:uiPriority w:val="9"/>
    <w:pPr>
      <w:keepNext/>
      <w:keepLines/>
      <w:spacing w:before="260" w:after="260" w:line="416" w:lineRule="auto"/>
      <w:outlineLvl w:val="2"/>
    </w:pPr>
    <w:rPr>
      <w:b/>
      <w:bCs/>
      <w:sz w:val="32"/>
      <w:szCs w:val="32"/>
    </w:rPr>
  </w:style>
  <w:style w:type="character" w:default="1" w:styleId="18">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32"/>
    <w:qFormat/>
    <w:uiPriority w:val="99"/>
    <w:pPr>
      <w:spacing w:beforeLines="30"/>
    </w:pPr>
    <w:rPr>
      <w:rFonts w:ascii="仿宋_GB2312" w:eastAsia="仿宋_GB2312"/>
      <w:kern w:val="0"/>
      <w:sz w:val="30"/>
    </w:rPr>
  </w:style>
  <w:style w:type="paragraph" w:styleId="6">
    <w:name w:val="index 8"/>
    <w:basedOn w:val="1"/>
    <w:next w:val="1"/>
    <w:qFormat/>
    <w:uiPriority w:val="0"/>
    <w:pPr>
      <w:ind w:left="2940"/>
    </w:pPr>
  </w:style>
  <w:style w:type="paragraph" w:styleId="7">
    <w:name w:val="Body Text Indent"/>
    <w:basedOn w:val="1"/>
    <w:next w:val="8"/>
    <w:qFormat/>
    <w:uiPriority w:val="0"/>
    <w:pPr>
      <w:spacing w:after="120"/>
      <w:ind w:leftChars="200"/>
    </w:pPr>
    <w:rPr>
      <w:rFonts w:ascii="仿宋_GB2312"/>
      <w:szCs w:val="32"/>
    </w:rPr>
  </w:style>
  <w:style w:type="paragraph" w:styleId="8">
    <w:name w:val="Body Text First Indent 2"/>
    <w:basedOn w:val="7"/>
    <w:unhideWhenUsed/>
    <w:qFormat/>
    <w:uiPriority w:val="99"/>
    <w:pPr>
      <w:ind w:firstLine="420" w:firstLineChars="200"/>
    </w:pPr>
  </w:style>
  <w:style w:type="paragraph" w:styleId="9">
    <w:name w:val="toc 3"/>
    <w:basedOn w:val="1"/>
    <w:next w:val="1"/>
    <w:unhideWhenUsed/>
    <w:qFormat/>
    <w:uiPriority w:val="39"/>
    <w:pPr>
      <w:tabs>
        <w:tab w:val="right" w:leader="dot" w:pos="8296"/>
      </w:tabs>
      <w:ind w:left="840" w:leftChars="400"/>
    </w:pPr>
  </w:style>
  <w:style w:type="paragraph" w:styleId="10">
    <w:name w:val="Balloon Text"/>
    <w:basedOn w:val="1"/>
    <w:link w:val="36"/>
    <w:semiHidden/>
    <w:unhideWhenUsed/>
    <w:qFormat/>
    <w:uiPriority w:val="99"/>
    <w:rPr>
      <w:sz w:val="18"/>
      <w:szCs w:val="18"/>
    </w:rPr>
  </w:style>
  <w:style w:type="paragraph" w:styleId="11">
    <w:name w:val="footer"/>
    <w:basedOn w:val="1"/>
    <w:link w:val="30"/>
    <w:qFormat/>
    <w:uiPriority w:val="99"/>
    <w:pPr>
      <w:tabs>
        <w:tab w:val="center" w:pos="4153"/>
        <w:tab w:val="right" w:pos="8306"/>
      </w:tabs>
      <w:snapToGrid w:val="0"/>
      <w:jc w:val="left"/>
    </w:pPr>
    <w:rPr>
      <w:rFonts w:ascii="Calibri" w:hAnsi="Calibri"/>
      <w:kern w:val="0"/>
      <w:sz w:val="18"/>
      <w:szCs w:val="18"/>
    </w:rPr>
  </w:style>
  <w:style w:type="paragraph" w:styleId="12">
    <w:name w:val="header"/>
    <w:basedOn w:val="1"/>
    <w:link w:val="28"/>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3">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4">
    <w:name w:val="footnote text"/>
    <w:basedOn w:val="1"/>
    <w:next w:val="8"/>
    <w:semiHidden/>
    <w:qFormat/>
    <w:uiPriority w:val="0"/>
    <w:pPr>
      <w:snapToGrid w:val="0"/>
      <w:jc w:val="left"/>
    </w:pPr>
    <w:rPr>
      <w:sz w:val="18"/>
      <w:szCs w:val="18"/>
    </w:rPr>
  </w:style>
  <w:style w:type="paragraph" w:styleId="15">
    <w:name w:val="toc 2"/>
    <w:basedOn w:val="1"/>
    <w:next w:val="1"/>
    <w:unhideWhenUsed/>
    <w:qFormat/>
    <w:uiPriority w:val="39"/>
    <w:pPr>
      <w:tabs>
        <w:tab w:val="right" w:leader="dot" w:pos="8296"/>
      </w:tabs>
      <w:ind w:left="420" w:leftChars="200"/>
    </w:pPr>
  </w:style>
  <w:style w:type="paragraph" w:styleId="16">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19">
    <w:name w:val="Strong"/>
    <w:basedOn w:val="18"/>
    <w:qFormat/>
    <w:uiPriority w:val="99"/>
    <w:rPr>
      <w:b/>
    </w:rPr>
  </w:style>
  <w:style w:type="character" w:styleId="20">
    <w:name w:val="Hyperlink"/>
    <w:basedOn w:val="18"/>
    <w:unhideWhenUsed/>
    <w:qFormat/>
    <w:uiPriority w:val="99"/>
    <w:rPr>
      <w:color w:val="0000FF" w:themeColor="hyperlink"/>
      <w:u w:val="single"/>
      <w14:textFill>
        <w14:solidFill>
          <w14:schemeClr w14:val="hlink"/>
        </w14:solidFill>
      </w14:textFill>
    </w:rPr>
  </w:style>
  <w:style w:type="character" w:customStyle="1" w:styleId="21">
    <w:name w:val="标题 1 Char"/>
    <w:basedOn w:val="18"/>
    <w:link w:val="3"/>
    <w:qFormat/>
    <w:uiPriority w:val="9"/>
    <w:rPr>
      <w:rFonts w:ascii="Times New Roman" w:hAnsi="Times New Roman"/>
      <w:b/>
      <w:bCs/>
      <w:kern w:val="44"/>
      <w:sz w:val="44"/>
      <w:szCs w:val="44"/>
    </w:rPr>
  </w:style>
  <w:style w:type="character" w:customStyle="1" w:styleId="22">
    <w:name w:val="标题 2 Char"/>
    <w:basedOn w:val="18"/>
    <w:link w:val="4"/>
    <w:qFormat/>
    <w:uiPriority w:val="9"/>
    <w:rPr>
      <w:rFonts w:asciiTheme="majorHAnsi" w:hAnsiTheme="majorHAnsi" w:eastAsiaTheme="majorEastAsia" w:cstheme="majorBidi"/>
      <w:b/>
      <w:bCs/>
      <w:kern w:val="2"/>
      <w:sz w:val="32"/>
      <w:szCs w:val="32"/>
    </w:rPr>
  </w:style>
  <w:style w:type="character" w:customStyle="1" w:styleId="23">
    <w:name w:val="标题 3 Char"/>
    <w:basedOn w:val="18"/>
    <w:link w:val="5"/>
    <w:qFormat/>
    <w:uiPriority w:val="9"/>
    <w:rPr>
      <w:rFonts w:ascii="Times New Roman" w:hAnsi="Times New Roman"/>
      <w:b/>
      <w:bCs/>
      <w:kern w:val="2"/>
      <w:sz w:val="32"/>
      <w:szCs w:val="32"/>
    </w:rPr>
  </w:style>
  <w:style w:type="paragraph" w:customStyle="1" w:styleId="24">
    <w:name w:val="正文-公1"/>
    <w:basedOn w:val="25"/>
    <w:next w:val="1"/>
    <w:qFormat/>
    <w:uiPriority w:val="0"/>
    <w:pPr>
      <w:ind w:firstLine="200" w:firstLineChars="200"/>
    </w:pPr>
  </w:style>
  <w:style w:type="paragraph" w:customStyle="1" w:styleId="25">
    <w:name w:val="正文 New New New New New New New New New New New New New New New New New New New New New New New New New New New New New New New New New New New New New New New New New New New New New New New New New New New New New New New New New New New New New New Ne"/>
    <w:next w:val="24"/>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6">
    <w:name w:val="标题 5（有编号）（绿盟科技）"/>
    <w:next w:val="1"/>
    <w:qFormat/>
    <w:uiPriority w:val="99"/>
    <w:pPr>
      <w:keepNext/>
      <w:keepLines/>
      <w:widowControl w:val="0"/>
      <w:spacing w:before="280" w:after="156" w:line="377" w:lineRule="auto"/>
      <w:jc w:val="left"/>
      <w:outlineLvl w:val="4"/>
    </w:pPr>
    <w:rPr>
      <w:rFonts w:ascii="Arial" w:hAnsi="Arial" w:eastAsia="黑体" w:cs="Times New Roman"/>
      <w:b/>
      <w:kern w:val="2"/>
      <w:sz w:val="24"/>
      <w:szCs w:val="28"/>
      <w:lang w:val="en-US" w:eastAsia="zh-CN" w:bidi="ar-SA"/>
    </w:rPr>
  </w:style>
  <w:style w:type="character" w:customStyle="1" w:styleId="27">
    <w:name w:val="Header Char"/>
    <w:basedOn w:val="18"/>
    <w:semiHidden/>
    <w:qFormat/>
    <w:uiPriority w:val="99"/>
    <w:rPr>
      <w:rFonts w:ascii="Times New Roman" w:hAnsi="Times New Roman"/>
      <w:sz w:val="18"/>
      <w:szCs w:val="18"/>
    </w:rPr>
  </w:style>
  <w:style w:type="character" w:customStyle="1" w:styleId="28">
    <w:name w:val="页眉 Char"/>
    <w:link w:val="12"/>
    <w:semiHidden/>
    <w:qFormat/>
    <w:locked/>
    <w:uiPriority w:val="99"/>
    <w:rPr>
      <w:sz w:val="18"/>
    </w:rPr>
  </w:style>
  <w:style w:type="character" w:customStyle="1" w:styleId="29">
    <w:name w:val="Footer Char"/>
    <w:basedOn w:val="18"/>
    <w:semiHidden/>
    <w:qFormat/>
    <w:uiPriority w:val="99"/>
    <w:rPr>
      <w:rFonts w:ascii="Times New Roman" w:hAnsi="Times New Roman"/>
      <w:sz w:val="18"/>
      <w:szCs w:val="18"/>
    </w:rPr>
  </w:style>
  <w:style w:type="character" w:customStyle="1" w:styleId="30">
    <w:name w:val="页脚 Char"/>
    <w:link w:val="11"/>
    <w:qFormat/>
    <w:locked/>
    <w:uiPriority w:val="99"/>
    <w:rPr>
      <w:sz w:val="18"/>
    </w:rPr>
  </w:style>
  <w:style w:type="character" w:customStyle="1" w:styleId="31">
    <w:name w:val="Body Text Char"/>
    <w:basedOn w:val="18"/>
    <w:semiHidden/>
    <w:qFormat/>
    <w:uiPriority w:val="99"/>
    <w:rPr>
      <w:rFonts w:ascii="Times New Roman" w:hAnsi="Times New Roman"/>
      <w:szCs w:val="24"/>
    </w:rPr>
  </w:style>
  <w:style w:type="character" w:customStyle="1" w:styleId="32">
    <w:name w:val="正文文本 Char"/>
    <w:link w:val="2"/>
    <w:qFormat/>
    <w:locked/>
    <w:uiPriority w:val="99"/>
    <w:rPr>
      <w:rFonts w:ascii="仿宋_GB2312" w:hAnsi="Times New Roman" w:eastAsia="仿宋_GB2312"/>
      <w:sz w:val="24"/>
    </w:rPr>
  </w:style>
  <w:style w:type="paragraph" w:customStyle="1" w:styleId="33">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34">
    <w:name w:val="List Paragraph"/>
    <w:basedOn w:val="1"/>
    <w:qFormat/>
    <w:uiPriority w:val="34"/>
    <w:pPr>
      <w:ind w:firstLine="420" w:firstLineChars="200"/>
    </w:pPr>
  </w:style>
  <w:style w:type="paragraph" w:customStyle="1" w:styleId="35">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6">
    <w:name w:val="批注框文本 Char"/>
    <w:basedOn w:val="18"/>
    <w:link w:val="10"/>
    <w:semiHidden/>
    <w:qFormat/>
    <w:uiPriority w:val="99"/>
    <w:rPr>
      <w:rFonts w:ascii="Times New Roman" w:hAnsi="Times New Roman"/>
      <w:kern w:val="2"/>
      <w:sz w:val="18"/>
      <w:szCs w:val="18"/>
    </w:rPr>
  </w:style>
  <w:style w:type="paragraph" w:customStyle="1" w:styleId="37">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8">
    <w:name w:val="四号正文"/>
    <w:basedOn w:val="1"/>
    <w:qFormat/>
    <w:uiPriority w:val="0"/>
    <w:pPr>
      <w:spacing w:line="360" w:lineRule="auto"/>
    </w:pPr>
    <w:rPr>
      <w:rFonts w:ascii="??" w:hAnsi="??" w:eastAsia="宋体"/>
      <w:color w:val="000000"/>
      <w:kern w:val="0"/>
      <w:sz w:val="28"/>
      <w:szCs w:val="21"/>
      <w:lang w:val="zh-CN" w:eastAsia="zh-CN"/>
    </w:rPr>
  </w:style>
  <w:style w:type="character" w:customStyle="1" w:styleId="39">
    <w:name w:val="font141"/>
    <w:basedOn w:val="18"/>
    <w:qFormat/>
    <w:uiPriority w:val="0"/>
    <w:rPr>
      <w:rFonts w:ascii="黑体" w:hAnsi="宋体" w:eastAsia="黑体" w:cs="黑体"/>
      <w:color w:val="000000"/>
      <w:sz w:val="32"/>
      <w:szCs w:val="32"/>
      <w:u w:val="none"/>
    </w:rPr>
  </w:style>
  <w:style w:type="paragraph" w:customStyle="1" w:styleId="40">
    <w:name w:val="WPSOffice手动目录 1"/>
    <w:qFormat/>
    <w:uiPriority w:val="0"/>
    <w:pPr>
      <w:ind w:leftChars="0"/>
    </w:pPr>
    <w:rPr>
      <w:rFonts w:ascii="Times New Roman" w:hAnsi="Times New Roman" w:eastAsia="宋体" w:cs="Times New Roman"/>
      <w:sz w:val="20"/>
      <w:szCs w:val="20"/>
    </w:rPr>
  </w:style>
  <w:style w:type="paragraph" w:customStyle="1" w:styleId="41">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hart" Target="charts/chart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chart" Target="charts/chart7.xml"/><Relationship Id="rId14" Type="http://schemas.openxmlformats.org/officeDocument/2006/relationships/chart" Target="charts/chart6.xml"/><Relationship Id="rId13" Type="http://schemas.openxmlformats.org/officeDocument/2006/relationships/chart" Target="charts/chart5.xml"/><Relationship Id="rId12" Type="http://schemas.openxmlformats.org/officeDocument/2006/relationships/chart" Target="charts/chart4.xml"/><Relationship Id="rId11" Type="http://schemas.openxmlformats.org/officeDocument/2006/relationships/chart" Target="charts/chart3.xml"/><Relationship Id="rId10" Type="http://schemas.openxmlformats.org/officeDocument/2006/relationships/chart" Target="charts/chart2.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3.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5.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6.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7.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manualLayout>
          <c:layoutTarget val="inner"/>
          <c:xMode val="edge"/>
          <c:yMode val="edge"/>
          <c:x val="0.105515695577974"/>
          <c:y val="0.0296248508895818"/>
          <c:w val="0.861220130823655"/>
          <c:h val="0.891456606327186"/>
        </c:manualLayout>
      </c:layout>
      <c:barChart>
        <c:barDir val="col"/>
        <c:grouping val="stacked"/>
        <c:varyColors val="false"/>
        <c:ser>
          <c:idx val="0"/>
          <c:order val="0"/>
          <c:tx>
            <c:strRef>
              <c:f>Sheet1!$B$1</c:f>
              <c:strCache>
                <c:ptCount val="1"/>
                <c:pt idx="0">
                  <c:v>系列 1</c:v>
                </c:pt>
              </c:strCache>
            </c:strRef>
          </c:tx>
          <c:spPr>
            <a:solidFill>
              <a:schemeClr val="accent1"/>
            </a:solidFill>
            <a:ln>
              <a:noFill/>
            </a:ln>
            <a:effectLst/>
          </c:spPr>
          <c:invertIfNegative val="false"/>
          <c:dLbls>
            <c:dLbl>
              <c:idx val="0"/>
              <c:layout>
                <c:manualLayout>
                  <c:x val="-0.00597626682654293"/>
                  <c:y val="-0.223803369865712"/>
                </c:manualLayout>
              </c:layout>
              <c:dLblPos val="ctr"/>
              <c:showLegendKey val="false"/>
              <c:showVal val="true"/>
              <c:showCatName val="false"/>
              <c:showSerName val="false"/>
              <c:showPercent val="false"/>
              <c:showBubbleSize val="false"/>
              <c:extLst>
                <c:ext xmlns:c15="http://schemas.microsoft.com/office/drawing/2012/chart" uri="{CE6537A1-D6FC-4f65-9D91-7224C49458BB}">
                  <c15:layout/>
                </c:ext>
              </c:extLst>
            </c:dLbl>
            <c:dLbl>
              <c:idx val="1"/>
              <c:layout>
                <c:manualLayout>
                  <c:x val="-0.00194779898714453"/>
                  <c:y val="-0.442304414521902"/>
                </c:manualLayout>
              </c:layout>
              <c:dLblPos val="ctr"/>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false"/>
                <c15:leaderLines>
                  <c:spPr>
                    <a:ln w="9525" cap="flat" cmpd="sng" algn="ctr">
                      <a:solidFill>
                        <a:schemeClr val="tx1">
                          <a:lumMod val="35000"/>
                          <a:lumOff val="65000"/>
                        </a:schemeClr>
                      </a:solidFill>
                      <a:round/>
                    </a:ln>
                    <a:effectLst/>
                  </c:spPr>
                </c15:leaderLines>
              </c:ext>
            </c:extLst>
          </c:dLbls>
          <c:cat>
            <c:strRef>
              <c:f>Sheet1!$A$2:$A$3</c:f>
              <c:strCache>
                <c:ptCount val="2"/>
                <c:pt idx="0">
                  <c:v>  2023年度收、支决算总计</c:v>
                </c:pt>
                <c:pt idx="1">
                  <c:v>  2024年度收、支决算总计</c:v>
                </c:pt>
              </c:strCache>
            </c:strRef>
          </c:cat>
          <c:val>
            <c:numRef>
              <c:f>Sheet1!$B$2:$B$3</c:f>
              <c:numCache>
                <c:formatCode>General</c:formatCode>
                <c:ptCount val="2"/>
                <c:pt idx="0">
                  <c:v>481.08</c:v>
                </c:pt>
                <c:pt idx="1">
                  <c:v>493.22</c:v>
                </c:pt>
              </c:numCache>
            </c:numRef>
          </c:val>
        </c:ser>
        <c:dLbls>
          <c:showLegendKey val="false"/>
          <c:showVal val="true"/>
          <c:showCatName val="false"/>
          <c:showSerName val="false"/>
          <c:showPercent val="false"/>
          <c:showBubbleSize val="false"/>
        </c:dLbls>
        <c:gapWidth val="150"/>
        <c:overlap val="100"/>
        <c:axId val="946362237"/>
        <c:axId val="409956856"/>
      </c:barChart>
      <c:catAx>
        <c:axId val="946362237"/>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1" i="0" u="none" strike="noStrike" kern="1200" baseline="0">
                <a:solidFill>
                  <a:schemeClr val="tx1">
                    <a:lumMod val="65000"/>
                    <a:lumOff val="35000"/>
                  </a:schemeClr>
                </a:solidFill>
                <a:latin typeface="+mn-lt"/>
                <a:ea typeface="+mn-ea"/>
                <a:cs typeface="+mn-cs"/>
              </a:defRPr>
            </a:pPr>
          </a:p>
        </c:txPr>
        <c:crossAx val="409956856"/>
        <c:crosses val="autoZero"/>
        <c:auto val="true"/>
        <c:lblAlgn val="ctr"/>
        <c:lblOffset val="100"/>
        <c:noMultiLvlLbl val="false"/>
      </c:catAx>
      <c:valAx>
        <c:axId val="409956856"/>
        <c:scaling>
          <c:orientation val="minMax"/>
        </c:scaling>
        <c:delete val="false"/>
        <c:axPos val="l"/>
        <c:majorGridlines>
          <c:spPr>
            <a:ln w="9525" cap="flat" cmpd="sng" algn="ctr">
              <a:solidFill>
                <a:schemeClr val="tx1">
                  <a:lumMod val="15000"/>
                  <a:lumOff val="850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946362237"/>
        <c:crosses val="autoZero"/>
        <c:crossBetween val="between"/>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spPr>
        <a:noFill/>
        <a:ln>
          <a:noFill/>
        </a:ln>
        <a:effectLst/>
      </c:spPr>
      <c:txPr>
        <a:bodyPr rot="0" spcFirstLastPara="0" vertOverflow="ellipsis" vert="horz" wrap="square" anchor="ctr" anchorCtr="true"/>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false"/>
    <c:plotArea>
      <c:layout/>
      <c:pieChart>
        <c:varyColors val="true"/>
        <c:ser>
          <c:idx val="0"/>
          <c:order val="0"/>
          <c:tx>
            <c:strRef>
              <c:f>Sheet1!$B$1</c:f>
              <c:strCache>
                <c:ptCount val="1"/>
                <c:pt idx="0">
                  <c:v>2024年度收入</c:v>
                </c:pt>
              </c:strCache>
            </c:strRef>
          </c:tx>
          <c:spPr/>
          <c:explosion val="0"/>
          <c:dPt>
            <c:idx val="0"/>
            <c:bubble3D val="false"/>
            <c:spPr>
              <a:solidFill>
                <a:schemeClr val="accent1"/>
              </a:solidFill>
              <a:ln w="19050">
                <a:solidFill>
                  <a:schemeClr val="lt1"/>
                </a:solidFill>
              </a:ln>
              <a:effectLst/>
            </c:spPr>
          </c:dPt>
          <c:dLbls>
            <c:dLbl>
              <c:idx val="0"/>
              <c:layout>
                <c:manualLayout>
                  <c:x val="-9.04654226915778e-7"/>
                  <c:y val="-0.161286194893611"/>
                </c:manualLayout>
              </c:layout>
              <c:tx>
                <c:rich>
                  <a:bodyPr rot="0" spcFirstLastPara="0" vertOverflow="ellipsis" vert="horz" wrap="square" lIns="38100" tIns="19050" rIns="38100" bIns="19050" anchor="ctr" anchorCtr="true"/>
                  <a:lstStyle/>
                  <a:p>
                    <a:pPr defTabSz="914400">
                      <a:defRPr lang="zh-CN" sz="900" b="0" i="0" u="none" strike="noStrike" kern="1200" baseline="0">
                        <a:solidFill>
                          <a:schemeClr val="tx1">
                            <a:lumMod val="75000"/>
                            <a:lumOff val="25000"/>
                          </a:schemeClr>
                        </a:solidFill>
                        <a:latin typeface="+mn-lt"/>
                        <a:ea typeface="+mn-ea"/>
                        <a:cs typeface="+mn-cs"/>
                      </a:defRPr>
                    </a:pPr>
                    <a:r>
                      <a:rPr lang="en-US" altLang="zh-CN"/>
                      <a:t>489.61</a:t>
                    </a:r>
                    <a:endParaRPr lang="en-US" altLang="zh-CN"/>
                  </a:p>
                </c:rich>
              </c:tx>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一般公共预算财政拨款收入</c:v>
                </c:pt>
              </c:strCache>
            </c:strRef>
          </c:cat>
          <c:val>
            <c:numRef>
              <c:f>Sheet1!$B$2</c:f>
              <c:numCache>
                <c:formatCode>General</c:formatCode>
                <c:ptCount val="1"/>
                <c:pt idx="0">
                  <c:v>1848.54</c:v>
                </c:pt>
              </c:numCache>
            </c:numRef>
          </c:val>
        </c:ser>
        <c:ser>
          <c:idx val="1"/>
          <c:order val="1"/>
          <c:tx>
            <c:strRef>
              <c:f>Sheet1!$C$1</c:f>
              <c:strCache>
                <c:ptCount val="1"/>
                <c:pt idx="0">
                  <c:v/>
                </c:pt>
              </c:strCache>
            </c:strRef>
          </c:tx>
          <c:spPr/>
          <c:explosion val="0"/>
          <c:dPt>
            <c:idx val="0"/>
            <c:bubble3D val="false"/>
            <c:spPr>
              <a:solidFill>
                <a:schemeClr val="accent1"/>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一般公共预算财政拨款收入</c:v>
                </c:pt>
              </c:strCache>
            </c:strRef>
          </c:cat>
          <c:val>
            <c:numRef>
              <c:f>Sheet1!$C$2</c:f>
              <c:numCache>
                <c:formatCode>General</c:formatCode>
                <c:ptCount val="1"/>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b"/>
      <c:legendEntry>
        <c:idx val="0"/>
        <c:txPr>
          <a:bodyPr rot="0" spcFirstLastPara="0" vertOverflow="ellipsis" vert="horz" wrap="square" anchor="ctr" anchorCtr="true"/>
          <a:lstStyle/>
          <a:p>
            <a:pPr>
              <a:defRPr lang="zh-CN" sz="900" b="1" i="0" u="none" strike="noStrike" kern="1200" baseline="0">
                <a:solidFill>
                  <a:schemeClr val="tx1">
                    <a:lumMod val="65000"/>
                    <a:lumOff val="35000"/>
                  </a:schemeClr>
                </a:solidFill>
                <a:latin typeface="+mn-lt"/>
                <a:ea typeface="+mn-ea"/>
                <a:cs typeface="+mn-cs"/>
              </a:defRPr>
            </a:pPr>
          </a:p>
        </c:txPr>
      </c:legendEntry>
      <c:layout>
        <c:manualLayout>
          <c:xMode val="edge"/>
          <c:yMode val="edge"/>
          <c:x val="0.301543332014246"/>
          <c:y val="0.918157181571816"/>
          <c:w val="0.431341511673922"/>
          <c:h val="0.0764227642276423"/>
        </c:manualLayout>
      </c:layout>
      <c:overlay val="false"/>
      <c:spPr>
        <a:noFill/>
        <a:ln>
          <a:noFill/>
        </a:ln>
        <a:effectLst/>
      </c:spPr>
      <c:txPr>
        <a:bodyPr rot="0" spcFirstLastPara="0" vertOverflow="ellipsis" vert="horz" wrap="square" anchor="ctr" anchorCtr="true"/>
        <a:lstStyle/>
        <a:p>
          <a:pPr>
            <a:defRPr lang="zh-CN" sz="900" b="1"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spPr>
        <a:noFill/>
        <a:ln>
          <a:noFill/>
        </a:ln>
        <a:effectLst/>
      </c:spPr>
      <c:txPr>
        <a:bodyPr rot="0" spcFirstLastPara="0" vertOverflow="ellipsis" vert="horz" wrap="square" anchor="ctr" anchorCtr="true"/>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false"/>
    <c:plotArea>
      <c:layout/>
      <c:pieChart>
        <c:varyColors val="true"/>
        <c:ser>
          <c:idx val="0"/>
          <c:order val="0"/>
          <c:tx>
            <c:strRef>
              <c:f>Sheet1!$B$1</c:f>
              <c:strCache>
                <c:ptCount val="1"/>
                <c:pt idx="0">
                  <c:v>2024年度支出</c:v>
                </c:pt>
              </c:strCache>
            </c:strRef>
          </c:tx>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397.97</c:v>
                </c:pt>
                <c:pt idx="1">
                  <c:v>95.23</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b"/>
      <c:legendEntry>
        <c:idx val="0"/>
        <c:txPr>
          <a:bodyPr rot="0" spcFirstLastPara="0" vertOverflow="ellipsis" vert="horz" wrap="square" anchor="ctr" anchorCtr="true"/>
          <a:lstStyle/>
          <a:p>
            <a:pPr>
              <a:defRPr lang="zh-CN" sz="900" b="1" i="0" u="none" strike="noStrike" kern="1200" baseline="0">
                <a:solidFill>
                  <a:schemeClr val="tx1">
                    <a:lumMod val="65000"/>
                    <a:lumOff val="35000"/>
                  </a:schemeClr>
                </a:solidFill>
                <a:latin typeface="+mn-lt"/>
                <a:ea typeface="+mn-ea"/>
                <a:cs typeface="+mn-cs"/>
              </a:defRPr>
            </a:pPr>
          </a:p>
        </c:txPr>
      </c:legendEntry>
      <c:legendEntry>
        <c:idx val="1"/>
        <c:txPr>
          <a:bodyPr rot="0" spcFirstLastPara="0" vertOverflow="ellipsis" vert="horz" wrap="square" anchor="ctr" anchorCtr="true"/>
          <a:lstStyle/>
          <a:p>
            <a:pPr>
              <a:defRPr lang="zh-CN" sz="900" b="1" i="0" u="none" strike="noStrike" kern="1200" baseline="0">
                <a:solidFill>
                  <a:schemeClr val="tx1">
                    <a:lumMod val="65000"/>
                    <a:lumOff val="35000"/>
                  </a:schemeClr>
                </a:solidFill>
                <a:latin typeface="+mn-lt"/>
                <a:ea typeface="+mn-ea"/>
                <a:cs typeface="+mn-cs"/>
              </a:defRPr>
            </a:pPr>
          </a:p>
        </c:txPr>
      </c:legendEntry>
      <c:layout>
        <c:manualLayout>
          <c:xMode val="edge"/>
          <c:yMode val="edge"/>
          <c:x val="0.31575"/>
          <c:y val="0.9245"/>
          <c:w val="0.371375"/>
          <c:h val="0.0555"/>
        </c:manualLayout>
      </c:layout>
      <c:overlay val="false"/>
      <c:spPr>
        <a:noFill/>
        <a:ln>
          <a:noFill/>
        </a:ln>
        <a:effectLst/>
      </c:spPr>
      <c:txPr>
        <a:bodyPr rot="0" spcFirstLastPara="0" vertOverflow="ellipsis" vert="horz" wrap="square" anchor="ctr" anchorCtr="true"/>
        <a:lstStyle/>
        <a:p>
          <a:pPr>
            <a:defRPr lang="zh-CN" sz="900" b="1"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manualLayout>
          <c:layoutTarget val="inner"/>
          <c:xMode val="edge"/>
          <c:yMode val="edge"/>
          <c:x val="0.08195"/>
          <c:y val="0.0483333333333333"/>
          <c:w val="0.8818"/>
          <c:h val="0.883066666666667"/>
        </c:manualLayout>
      </c:layout>
      <c:barChart>
        <c:barDir val="col"/>
        <c:grouping val="stacked"/>
        <c:varyColors val="false"/>
        <c:ser>
          <c:idx val="0"/>
          <c:order val="0"/>
          <c:tx>
            <c:strRef>
              <c:f>Sheet1!$B$1</c:f>
              <c:strCache>
                <c:ptCount val="1"/>
                <c:pt idx="0">
                  <c:v/>
                </c:pt>
              </c:strCache>
            </c:strRef>
          </c:tx>
          <c:spPr>
            <a:solidFill>
              <a:schemeClr val="accent1"/>
            </a:solidFill>
            <a:ln>
              <a:noFill/>
            </a:ln>
            <a:effectLst/>
          </c:spPr>
          <c:invertIfNegative val="false"/>
          <c:dLbls>
            <c:dLbl>
              <c:idx val="0"/>
              <c:layout>
                <c:manualLayout>
                  <c:x val="-0.00539200614911605"/>
                  <c:y val="-0.210412087912088"/>
                </c:manualLayout>
              </c:layout>
              <c:dLblPos val="ctr"/>
              <c:showLegendKey val="false"/>
              <c:showVal val="true"/>
              <c:showCatName val="false"/>
              <c:showSerName val="false"/>
              <c:showPercent val="false"/>
              <c:showBubbleSize val="false"/>
              <c:extLst>
                <c:ext xmlns:c15="http://schemas.microsoft.com/office/drawing/2012/chart" uri="{CE6537A1-D6FC-4f65-9D91-7224C49458BB}">
                  <c15:layout/>
                </c:ext>
              </c:extLst>
            </c:dLbl>
            <c:dLbl>
              <c:idx val="1"/>
              <c:layout>
                <c:manualLayout>
                  <c:x val="-0.0075"/>
                  <c:y val="-0.4425"/>
                </c:manualLayout>
              </c:layout>
              <c:dLblPos val="ctr"/>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false"/>
                <c15:leaderLines>
                  <c:spPr>
                    <a:ln w="9525" cap="flat" cmpd="sng" algn="ctr">
                      <a:solidFill>
                        <a:schemeClr val="tx1">
                          <a:lumMod val="35000"/>
                          <a:lumOff val="65000"/>
                        </a:schemeClr>
                      </a:solidFill>
                      <a:round/>
                    </a:ln>
                    <a:effectLst/>
                  </c:spPr>
                </c15:leaderLines>
              </c:ext>
            </c:extLst>
          </c:dLbls>
          <c:cat>
            <c:strRef>
              <c:f>Sheet1!$A$2:$A$3</c:f>
              <c:strCache>
                <c:ptCount val="2"/>
                <c:pt idx="0">
                  <c:v>2023年度财政拨款收、支总计</c:v>
                </c:pt>
                <c:pt idx="1">
                  <c:v>2024年度财政拨款收、支总计</c:v>
                </c:pt>
              </c:strCache>
            </c:strRef>
          </c:cat>
          <c:val>
            <c:numRef>
              <c:f>Sheet1!$B$2:$B$3</c:f>
              <c:numCache>
                <c:formatCode>General</c:formatCode>
                <c:ptCount val="2"/>
                <c:pt idx="0">
                  <c:v>481.08</c:v>
                </c:pt>
                <c:pt idx="1">
                  <c:v>493.22</c:v>
                </c:pt>
              </c:numCache>
            </c:numRef>
          </c:val>
        </c:ser>
        <c:ser>
          <c:idx val="1"/>
          <c:order val="1"/>
          <c:tx>
            <c:strRef>
              <c:f>Sheet1!$C$1</c:f>
              <c:strCache>
                <c:ptCount val="1"/>
                <c:pt idx="0">
                  <c:v/>
                </c:pt>
              </c:strCache>
            </c:strRef>
          </c:tx>
          <c:spPr>
            <a:solidFill>
              <a:schemeClr val="accent2"/>
            </a:solidFill>
            <a:ln>
              <a:noFill/>
            </a:ln>
            <a:effectLst/>
          </c:spPr>
          <c:invertIfNegative val="false"/>
          <c:dLbls>
            <c:delete val="true"/>
          </c:dLbls>
          <c:cat>
            <c:strRef>
              <c:f>Sheet1!$A$2:$A$3</c:f>
              <c:strCache>
                <c:ptCount val="2"/>
                <c:pt idx="0">
                  <c:v>2023年度财政拨款收、支总计</c:v>
                </c:pt>
                <c:pt idx="1">
                  <c:v>2024年度财政拨款收、支总计</c:v>
                </c:pt>
              </c:strCache>
            </c:strRef>
          </c:cat>
          <c:val>
            <c:numRef>
              <c:f>Sheet1!$C$2:$C$3</c:f>
              <c:numCache>
                <c:formatCode>General</c:formatCode>
                <c:ptCount val="2"/>
              </c:numCache>
            </c:numRef>
          </c:val>
        </c:ser>
        <c:dLbls>
          <c:showLegendKey val="false"/>
          <c:showVal val="false"/>
          <c:showCatName val="false"/>
          <c:showSerName val="false"/>
          <c:showPercent val="false"/>
          <c:showBubbleSize val="false"/>
        </c:dLbls>
        <c:gapWidth val="150"/>
        <c:overlap val="100"/>
        <c:axId val="487666254"/>
        <c:axId val="594749386"/>
      </c:barChart>
      <c:catAx>
        <c:axId val="487666254"/>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1" i="0" u="none" strike="noStrike" kern="1200" baseline="0">
                <a:solidFill>
                  <a:schemeClr val="tx1">
                    <a:lumMod val="65000"/>
                    <a:lumOff val="35000"/>
                  </a:schemeClr>
                </a:solidFill>
                <a:latin typeface="+mn-lt"/>
                <a:ea typeface="+mn-ea"/>
                <a:cs typeface="+mn-cs"/>
              </a:defRPr>
            </a:pPr>
          </a:p>
        </c:txPr>
        <c:crossAx val="594749386"/>
        <c:crosses val="autoZero"/>
        <c:auto val="true"/>
        <c:lblAlgn val="ctr"/>
        <c:lblOffset val="100"/>
        <c:noMultiLvlLbl val="false"/>
      </c:catAx>
      <c:valAx>
        <c:axId val="594749386"/>
        <c:scaling>
          <c:orientation val="minMax"/>
        </c:scaling>
        <c:delete val="false"/>
        <c:axPos val="l"/>
        <c:majorGridlines>
          <c:spPr>
            <a:ln w="9525" cap="flat" cmpd="sng" algn="ctr">
              <a:solidFill>
                <a:schemeClr val="tx1">
                  <a:lumMod val="15000"/>
                  <a:lumOff val="850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487666254"/>
        <c:crosses val="autoZero"/>
        <c:crossBetween val="between"/>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barChart>
        <c:barDir val="col"/>
        <c:grouping val="stacked"/>
        <c:varyColors val="false"/>
        <c:ser>
          <c:idx val="0"/>
          <c:order val="0"/>
          <c:tx>
            <c:strRef>
              <c:f>Sheet1!$B$1</c:f>
              <c:strCache>
                <c:ptCount val="1"/>
                <c:pt idx="0">
                  <c:v/>
                </c:pt>
              </c:strCache>
            </c:strRef>
          </c:tx>
          <c:spPr>
            <a:solidFill>
              <a:schemeClr val="accent1"/>
            </a:solidFill>
            <a:ln>
              <a:noFill/>
            </a:ln>
            <a:effectLst/>
          </c:spPr>
          <c:invertIfNegative val="false"/>
          <c:dLbls>
            <c:dLbl>
              <c:idx val="0"/>
              <c:layout>
                <c:manualLayout>
                  <c:x val="0.0059721300597213"/>
                  <c:y val="-0.235243068742879"/>
                </c:manualLayout>
              </c:layout>
              <c:dLblPos val="ctr"/>
              <c:showLegendKey val="false"/>
              <c:showVal val="true"/>
              <c:showCatName val="false"/>
              <c:showSerName val="false"/>
              <c:showPercent val="false"/>
              <c:showBubbleSize val="false"/>
              <c:extLst>
                <c:ext xmlns:c15="http://schemas.microsoft.com/office/drawing/2012/chart" uri="{CE6537A1-D6FC-4f65-9D91-7224C49458BB}">
                  <c15:layout/>
                </c:ext>
              </c:extLst>
            </c:dLbl>
            <c:dLbl>
              <c:idx val="1"/>
              <c:layout>
                <c:manualLayout>
                  <c:x val="-0.00375000000000005"/>
                  <c:y val="-0.442256931257121"/>
                </c:manualLayout>
              </c:layout>
              <c:dLblPos val="ctr"/>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false"/>
                <c15:leaderLines>
                  <c:spPr>
                    <a:ln w="9525" cap="flat" cmpd="sng" algn="ctr">
                      <a:solidFill>
                        <a:schemeClr val="tx1">
                          <a:lumMod val="35000"/>
                          <a:lumOff val="65000"/>
                        </a:schemeClr>
                      </a:solidFill>
                      <a:round/>
                    </a:ln>
                    <a:effectLst/>
                  </c:spPr>
                </c15:leaderLines>
              </c:ext>
            </c:extLst>
          </c:dLbls>
          <c:cat>
            <c:strRef>
              <c:f>Sheet1!$A$2:$A$3</c:f>
              <c:strCache>
                <c:ptCount val="2"/>
                <c:pt idx="0">
                  <c:v>2023年度一般公共预算财政拨款支出</c:v>
                </c:pt>
                <c:pt idx="1">
                  <c:v>2024年度一般公共预算财政拨款支出</c:v>
                </c:pt>
              </c:strCache>
            </c:strRef>
          </c:cat>
          <c:val>
            <c:numRef>
              <c:f>Sheet1!$B$2:$B$3</c:f>
              <c:numCache>
                <c:formatCode>General</c:formatCode>
                <c:ptCount val="2"/>
                <c:pt idx="0">
                  <c:v>477.48</c:v>
                </c:pt>
                <c:pt idx="1">
                  <c:v>493.2</c:v>
                </c:pt>
              </c:numCache>
            </c:numRef>
          </c:val>
        </c:ser>
        <c:ser>
          <c:idx val="1"/>
          <c:order val="1"/>
          <c:tx>
            <c:strRef>
              <c:f>Sheet1!$C$1</c:f>
              <c:strCache>
                <c:ptCount val="1"/>
                <c:pt idx="0">
                  <c:v/>
                </c:pt>
              </c:strCache>
            </c:strRef>
          </c:tx>
          <c:spPr>
            <a:solidFill>
              <a:schemeClr val="accent2"/>
            </a:solidFill>
            <a:ln>
              <a:noFill/>
            </a:ln>
            <a:effectLst/>
          </c:spPr>
          <c:invertIfNegative val="false"/>
          <c:dLbls>
            <c:delete val="true"/>
          </c:dLbls>
          <c:cat>
            <c:strRef>
              <c:f>Sheet1!$A$2:$A$3</c:f>
              <c:strCache>
                <c:ptCount val="2"/>
                <c:pt idx="0">
                  <c:v>2023年度一般公共预算财政拨款支出</c:v>
                </c:pt>
                <c:pt idx="1">
                  <c:v>2024年度一般公共预算财政拨款支出</c:v>
                </c:pt>
              </c:strCache>
            </c:strRef>
          </c:cat>
          <c:val>
            <c:numRef>
              <c:f>Sheet1!$C$2:$C$3</c:f>
              <c:numCache>
                <c:formatCode>General</c:formatCode>
                <c:ptCount val="2"/>
              </c:numCache>
            </c:numRef>
          </c:val>
        </c:ser>
        <c:dLbls>
          <c:showLegendKey val="false"/>
          <c:showVal val="false"/>
          <c:showCatName val="false"/>
          <c:showSerName val="false"/>
          <c:showPercent val="false"/>
          <c:showBubbleSize val="false"/>
        </c:dLbls>
        <c:gapWidth val="150"/>
        <c:overlap val="100"/>
        <c:axId val="451781960"/>
        <c:axId val="355772721"/>
      </c:barChart>
      <c:catAx>
        <c:axId val="451781960"/>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1" i="0" u="none" strike="noStrike" kern="1200" baseline="0">
                <a:solidFill>
                  <a:schemeClr val="tx1">
                    <a:lumMod val="65000"/>
                    <a:lumOff val="35000"/>
                  </a:schemeClr>
                </a:solidFill>
                <a:latin typeface="+mn-lt"/>
                <a:ea typeface="+mn-ea"/>
                <a:cs typeface="+mn-cs"/>
              </a:defRPr>
            </a:pPr>
          </a:p>
        </c:txPr>
        <c:crossAx val="355772721"/>
        <c:crosses val="autoZero"/>
        <c:auto val="true"/>
        <c:lblAlgn val="ctr"/>
        <c:lblOffset val="100"/>
        <c:noMultiLvlLbl val="false"/>
      </c:catAx>
      <c:valAx>
        <c:axId val="355772721"/>
        <c:scaling>
          <c:orientation val="minMax"/>
        </c:scaling>
        <c:delete val="false"/>
        <c:axPos val="l"/>
        <c:majorGridlines>
          <c:spPr>
            <a:ln w="9525" cap="flat" cmpd="sng" algn="ctr">
              <a:solidFill>
                <a:schemeClr val="tx1">
                  <a:lumMod val="15000"/>
                  <a:lumOff val="850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451781960"/>
        <c:crosses val="autoZero"/>
        <c:crossBetween val="between"/>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manualLayout>
          <c:xMode val="edge"/>
          <c:yMode val="edge"/>
          <c:x val="0.178102385419459"/>
          <c:y val="0.0470914127423823"/>
        </c:manualLayout>
      </c:layout>
      <c:overlay val="false"/>
      <c:spPr>
        <a:noFill/>
        <a:ln>
          <a:noFill/>
        </a:ln>
        <a:effectLst/>
      </c:spPr>
      <c:txPr>
        <a:bodyPr rot="0" spcFirstLastPara="0" vertOverflow="ellipsis" vert="horz" wrap="square" anchor="ctr" anchorCtr="true"/>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false"/>
    <c:plotArea>
      <c:layout/>
      <c:pieChart>
        <c:varyColors val="true"/>
        <c:ser>
          <c:idx val="0"/>
          <c:order val="0"/>
          <c:tx>
            <c:strRef>
              <c:f>Sheet1!$B$1</c:f>
              <c:strCache>
                <c:ptCount val="1"/>
                <c:pt idx="0">
                  <c:v>2024年度一般公共预算财政拨款支出</c:v>
                </c:pt>
              </c:strCache>
            </c:strRef>
          </c:tx>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Pt>
            <c:idx val="2"/>
            <c:bubble3D val="false"/>
            <c:spPr>
              <a:solidFill>
                <a:schemeClr val="accent3"/>
              </a:solidFill>
              <a:ln w="19050">
                <a:solidFill>
                  <a:schemeClr val="lt1"/>
                </a:solidFill>
              </a:ln>
              <a:effectLst/>
            </c:spPr>
          </c:dPt>
          <c:dPt>
            <c:idx val="3"/>
            <c:bubble3D val="false"/>
            <c:spPr>
              <a:solidFill>
                <a:schemeClr val="accent4"/>
              </a:solidFill>
              <a:ln w="19050">
                <a:solidFill>
                  <a:schemeClr val="lt1"/>
                </a:solidFill>
              </a:ln>
              <a:effectLst/>
            </c:spPr>
          </c:dPt>
          <c:dLbls>
            <c:dLbl>
              <c:idx val="0"/>
              <c:layout>
                <c:manualLayout>
                  <c:x val="-0.135604354633668"/>
                  <c:y val="-0.113866025236566"/>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dLbl>
              <c:idx val="1"/>
              <c:layout>
                <c:manualLayout>
                  <c:x val="-0.0827640272575464"/>
                  <c:y val="-0.0312574575768085"/>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dLbl>
              <c:idx val="3"/>
              <c:layout>
                <c:manualLayout>
                  <c:x val="0.0237493408537817"/>
                  <c:y val="0.0238556623174257"/>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Sheet1!$A$2:$A$5</c:f>
              <c:strCache>
                <c:ptCount val="4"/>
                <c:pt idx="0">
                  <c:v>一般公共服务支出</c:v>
                </c:pt>
                <c:pt idx="1">
                  <c:v>社会保障和就业支出</c:v>
                </c:pt>
                <c:pt idx="2">
                  <c:v>卫生健康支出</c:v>
                </c:pt>
                <c:pt idx="3">
                  <c:v>住房保障支出</c:v>
                </c:pt>
              </c:strCache>
            </c:strRef>
          </c:cat>
          <c:val>
            <c:numRef>
              <c:f>Sheet1!$B$2:$B$5</c:f>
              <c:numCache>
                <c:formatCode>General</c:formatCode>
                <c:ptCount val="4"/>
                <c:pt idx="0">
                  <c:v>401.12</c:v>
                </c:pt>
                <c:pt idx="1">
                  <c:v>48.94</c:v>
                </c:pt>
                <c:pt idx="2">
                  <c:v>12.06</c:v>
                </c:pt>
                <c:pt idx="3">
                  <c:v>31.08</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b"/>
      <c:legendEntry>
        <c:idx val="0"/>
        <c:txPr>
          <a:bodyPr rot="0" spcFirstLastPara="0" vertOverflow="ellipsis" vert="horz" wrap="square" anchor="ctr" anchorCtr="true"/>
          <a:lstStyle/>
          <a:p>
            <a:pPr>
              <a:defRPr lang="zh-CN" sz="900" b="1" i="0" u="none" strike="noStrike" kern="1200" baseline="0">
                <a:solidFill>
                  <a:schemeClr val="tx1">
                    <a:lumMod val="65000"/>
                    <a:lumOff val="35000"/>
                  </a:schemeClr>
                </a:solidFill>
                <a:latin typeface="+mn-lt"/>
                <a:ea typeface="+mn-ea"/>
                <a:cs typeface="+mn-cs"/>
              </a:defRPr>
            </a:pPr>
          </a:p>
        </c:txPr>
      </c:legendEntry>
      <c:legendEntry>
        <c:idx val="1"/>
        <c:txPr>
          <a:bodyPr rot="0" spcFirstLastPara="0" vertOverflow="ellipsis" vert="horz" wrap="square" anchor="ctr" anchorCtr="true"/>
          <a:lstStyle/>
          <a:p>
            <a:pPr>
              <a:defRPr lang="zh-CN" sz="900" b="1" i="0" u="none" strike="noStrike" kern="1200" baseline="0">
                <a:solidFill>
                  <a:schemeClr val="tx1">
                    <a:lumMod val="65000"/>
                    <a:lumOff val="35000"/>
                  </a:schemeClr>
                </a:solidFill>
                <a:latin typeface="+mn-lt"/>
                <a:ea typeface="+mn-ea"/>
                <a:cs typeface="+mn-cs"/>
              </a:defRPr>
            </a:pPr>
          </a:p>
        </c:txPr>
      </c:legendEntry>
      <c:legendEntry>
        <c:idx val="2"/>
        <c:txPr>
          <a:bodyPr rot="0" spcFirstLastPara="0" vertOverflow="ellipsis" vert="horz" wrap="square" anchor="ctr" anchorCtr="true"/>
          <a:lstStyle/>
          <a:p>
            <a:pPr>
              <a:defRPr lang="zh-CN" sz="900" b="1" i="0" u="none" strike="noStrike" kern="1200" baseline="0">
                <a:solidFill>
                  <a:schemeClr val="tx1">
                    <a:lumMod val="65000"/>
                    <a:lumOff val="35000"/>
                  </a:schemeClr>
                </a:solidFill>
                <a:latin typeface="+mn-lt"/>
                <a:ea typeface="+mn-ea"/>
                <a:cs typeface="+mn-cs"/>
              </a:defRPr>
            </a:pPr>
          </a:p>
        </c:txPr>
      </c:legendEntry>
      <c:layout/>
      <c:overlay val="false"/>
      <c:spPr>
        <a:noFill/>
        <a:ln>
          <a:noFill/>
        </a:ln>
        <a:effectLst/>
      </c:spPr>
      <c:txPr>
        <a:bodyPr rot="0" spcFirstLastPara="0" vertOverflow="ellipsis" vert="horz" wrap="square" anchor="ctr" anchorCtr="true"/>
        <a:lstStyle/>
        <a:p>
          <a:pPr>
            <a:defRPr lang="zh-CN" sz="900" b="1"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spPr>
        <a:noFill/>
        <a:ln>
          <a:noFill/>
        </a:ln>
        <a:effectLst/>
      </c:spPr>
      <c:txPr>
        <a:bodyPr rot="0" spcFirstLastPara="0" vertOverflow="ellipsis" vert="horz" wrap="square" anchor="ctr" anchorCtr="true"/>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false"/>
    <c:plotArea>
      <c:layout/>
      <c:pieChart>
        <c:varyColors val="true"/>
        <c:ser>
          <c:idx val="0"/>
          <c:order val="0"/>
          <c:tx>
            <c:strRef>
              <c:f>Sheet1!$B$1</c:f>
              <c:strCache>
                <c:ptCount val="1"/>
                <c:pt idx="0">
                  <c:v>2024年度“三公”经费财政拨款支出</c:v>
                </c:pt>
              </c:strCache>
            </c:strRef>
          </c:tx>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Pt>
            <c:idx val="2"/>
            <c:bubble3D val="false"/>
            <c:spPr>
              <a:solidFill>
                <a:schemeClr val="accent3"/>
              </a:solidFill>
              <a:ln w="19050">
                <a:solidFill>
                  <a:schemeClr val="lt1"/>
                </a:solidFill>
              </a:ln>
              <a:effectLst/>
            </c:spPr>
          </c:dPt>
          <c:dLbls>
            <c:dLbl>
              <c:idx val="0"/>
              <c:delete val="true"/>
            </c:dLbl>
            <c:dLbl>
              <c:idx val="1"/>
              <c:delete val="true"/>
            </c:dLbl>
            <c:dLbl>
              <c:idx val="2"/>
              <c:layout>
                <c:manualLayout>
                  <c:x val="-0.0039274513845166"/>
                  <c:y val="-0.206416834680435"/>
                </c:manualLayout>
              </c:layout>
              <c:tx>
                <c:rich>
                  <a:bodyPr rot="0" spcFirstLastPara="0" vertOverflow="ellipsis" vert="horz" wrap="square" lIns="38100" tIns="19050" rIns="38100" bIns="19050" anchor="ctr" anchorCtr="true"/>
                  <a:lstStyle/>
                  <a:p>
                    <a:pPr defTabSz="914400">
                      <a:defRPr lang="zh-CN" sz="900" b="0" i="0" u="none" strike="noStrike" kern="1200" baseline="0">
                        <a:solidFill>
                          <a:schemeClr val="tx1">
                            <a:lumMod val="75000"/>
                            <a:lumOff val="25000"/>
                          </a:schemeClr>
                        </a:solidFill>
                        <a:latin typeface="+mn-lt"/>
                        <a:ea typeface="+mn-ea"/>
                        <a:cs typeface="+mn-cs"/>
                      </a:defRPr>
                    </a:pPr>
                    <a:r>
                      <a:t>0.</a:t>
                    </a:r>
                    <a:r>
                      <a:rPr lang="en-US" altLang="zh-CN"/>
                      <a:t>26</a:t>
                    </a:r>
                    <a:endParaRPr lang="en-US" altLang="zh-CN"/>
                  </a:p>
                </c:rich>
              </c:tx>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fals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Sheet1!$A$2:$A$4</c:f>
              <c:strCache>
                <c:ptCount val="3"/>
                <c:pt idx="0">
                  <c:v>因公出国（境）经费支出</c:v>
                </c:pt>
                <c:pt idx="1">
                  <c:v>公务用车购置及运行维护费支出</c:v>
                </c:pt>
                <c:pt idx="2">
                  <c:v>公务接待费支出</c:v>
                </c:pt>
              </c:strCache>
            </c:strRef>
          </c:cat>
          <c:val>
            <c:numRef>
              <c:f>Sheet1!$B$2:$B$4</c:f>
              <c:numCache>
                <c:formatCode>General</c:formatCode>
                <c:ptCount val="3"/>
                <c:pt idx="2">
                  <c:v>0.75</c:v>
                </c:pt>
              </c:numCache>
            </c:numRef>
          </c:val>
        </c:ser>
        <c:dLbls>
          <c:showLegendKey val="false"/>
          <c:showVal val="false"/>
          <c:showCatName val="false"/>
          <c:showSerName val="false"/>
          <c:showPercent val="false"/>
          <c:showBubbleSize val="false"/>
          <c:showLeaderLines val="true"/>
        </c:dLbls>
        <c:firstSliceAng val="0"/>
      </c:pieChart>
      <c:spPr>
        <a:noFill/>
        <a:ln>
          <a:noFill/>
        </a:ln>
        <a:effectLst/>
      </c:spPr>
    </c:plotArea>
    <c:legend>
      <c:legendPos val="b"/>
      <c:legendEntry>
        <c:idx val="0"/>
        <c:txPr>
          <a:bodyPr rot="0" spcFirstLastPara="0" vertOverflow="ellipsis" vert="horz" wrap="square" anchor="ctr" anchorCtr="true"/>
          <a:lstStyle/>
          <a:p>
            <a:pPr>
              <a:defRPr lang="zh-CN" sz="900" b="1" i="0" u="none" strike="noStrike" kern="1200" baseline="0">
                <a:solidFill>
                  <a:schemeClr val="tx1">
                    <a:lumMod val="65000"/>
                    <a:lumOff val="35000"/>
                  </a:schemeClr>
                </a:solidFill>
                <a:latin typeface="+mn-lt"/>
                <a:ea typeface="+mn-ea"/>
                <a:cs typeface="+mn-cs"/>
              </a:defRPr>
            </a:pPr>
          </a:p>
        </c:txPr>
      </c:legendEntry>
      <c:legendEntry>
        <c:idx val="1"/>
        <c:txPr>
          <a:bodyPr rot="0" spcFirstLastPara="0" vertOverflow="ellipsis" vert="horz" wrap="square" anchor="ctr" anchorCtr="true"/>
          <a:lstStyle/>
          <a:p>
            <a:pPr>
              <a:defRPr lang="zh-CN" sz="900" b="1" i="0" u="none" strike="noStrike" kern="1200" baseline="0">
                <a:solidFill>
                  <a:schemeClr val="tx1">
                    <a:lumMod val="65000"/>
                    <a:lumOff val="35000"/>
                  </a:schemeClr>
                </a:solidFill>
                <a:latin typeface="+mn-lt"/>
                <a:ea typeface="+mn-ea"/>
                <a:cs typeface="+mn-cs"/>
              </a:defRPr>
            </a:pPr>
          </a:p>
        </c:txPr>
      </c:legendEntry>
      <c:legendEntry>
        <c:idx val="2"/>
        <c:txPr>
          <a:bodyPr rot="0" spcFirstLastPara="0" vertOverflow="ellipsis" vert="horz" wrap="square" anchor="ctr" anchorCtr="true"/>
          <a:lstStyle/>
          <a:p>
            <a:pPr>
              <a:defRPr lang="zh-CN" sz="900" b="1" i="0" u="none" strike="noStrike" kern="1200" baseline="0">
                <a:solidFill>
                  <a:schemeClr val="tx1">
                    <a:lumMod val="65000"/>
                    <a:lumOff val="35000"/>
                  </a:schemeClr>
                </a:solidFill>
                <a:latin typeface="+mn-lt"/>
                <a:ea typeface="+mn-ea"/>
                <a:cs typeface="+mn-cs"/>
              </a:defRPr>
            </a:pPr>
          </a:p>
        </c:txPr>
      </c:legendEntry>
      <c:layout/>
      <c:overlay val="false"/>
      <c:spPr>
        <a:noFill/>
        <a:ln>
          <a:noFill/>
        </a:ln>
        <a:effectLst/>
      </c:spPr>
      <c:txPr>
        <a:bodyPr rot="0" spcFirstLastPara="0" vertOverflow="ellipsis" vert="horz" wrap="square" anchor="ctr" anchorCtr="true"/>
        <a:lstStyle/>
        <a:p>
          <a:pPr>
            <a:defRPr lang="zh-CN" sz="900" b="1"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37</Pages>
  <Words>4478</Words>
  <Characters>4894</Characters>
  <Lines>61</Lines>
  <Paragraphs>17</Paragraphs>
  <TotalTime>11</TotalTime>
  <ScaleCrop>false</ScaleCrop>
  <LinksUpToDate>false</LinksUpToDate>
  <CharactersWithSpaces>4962</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2020-08-13T01:49:00Z</dcterms:created>
  <dc:creator>曹颖</dc:creator>
  <cp:lastModifiedBy> </cp:lastModifiedBy>
  <cp:lastPrinted>2025-08-10T09:34:00Z</cp:lastPrinted>
  <dcterms:modified xsi:type="dcterms:W3CDTF">2025-10-11T17:09:53Z</dcterms:modified>
  <dc:title>四川省***</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04787F2533EB45DC91BCDE4AB213247F</vt:lpwstr>
  </property>
  <property fmtid="{D5CDD505-2E9C-101B-9397-08002B2CF9AE}" pid="4" name="KSOTemplateDocerSaveRecord">
    <vt:lpwstr>eyJoZGlkIjoiYTc2ZGZiNzZiNDVlOGViOWVmM2JhOTY0NGJkNjUyYzgiLCJ1c2VySWQiOiIyMjA2OTAwNTAifQ==</vt:lpwstr>
  </property>
</Properties>
</file>