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bookmarkStart w:id="0" w:name="_Toc15377193"/>
      <w:bookmarkStart w:id="1" w:name="_Toc15306267"/>
      <w:bookmarkStart w:id="2" w:name="_Toc15396597"/>
      <w:bookmarkStart w:id="3" w:name="_Toc15396475"/>
      <w:bookmarkStart w:id="4" w:name="_Toc15377425"/>
      <w:bookmarkStart w:id="5" w:name="_Toc15378441"/>
    </w:p>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color w:val="000000"/>
          <w:kern w:val="2"/>
          <w:sz w:val="52"/>
          <w:szCs w:val="52"/>
          <w:lang w:val="zh-CN"/>
        </w:rPr>
        <w:t>202</w:t>
      </w:r>
      <w:r>
        <w:rPr>
          <w:rFonts w:hint="eastAsia" w:ascii="方正小标宋简体" w:hAnsi="方正小标宋简体" w:eastAsia="方正小标宋简体" w:cs="方正小标宋简体"/>
          <w:color w:val="000000"/>
          <w:kern w:val="2"/>
          <w:sz w:val="52"/>
          <w:szCs w:val="52"/>
          <w:lang w:val="en-US" w:eastAsia="zh-CN"/>
        </w:rPr>
        <w:t>4</w:t>
      </w:r>
      <w:r>
        <w:rPr>
          <w:rFonts w:hint="eastAsia" w:ascii="方正小标宋简体" w:hAnsi="方正小标宋简体" w:eastAsia="方正小标宋简体" w:cs="方正小标宋简体"/>
          <w:color w:val="000000"/>
          <w:kern w:val="2"/>
          <w:sz w:val="52"/>
          <w:szCs w:val="52"/>
          <w:lang w:val="zh-CN"/>
        </w:rPr>
        <w:t>年度</w:t>
      </w:r>
      <w:r>
        <w:rPr>
          <w:rFonts w:hint="eastAsia" w:ascii="方正小标宋简体" w:hAnsi="方正小标宋简体" w:eastAsia="方正小标宋简体" w:cs="方正小标宋简体"/>
          <w:sz w:val="52"/>
          <w:szCs w:val="52"/>
          <w:lang w:val="en-US" w:eastAsia="zh-CN"/>
        </w:rPr>
        <w:t>广元市救助管理站</w:t>
      </w: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eastAsia" w:ascii="方正小标宋简体" w:hAnsi="方正小标宋简体" w:eastAsia="方正小标宋简体" w:cs="方正小标宋简体"/>
          <w:color w:val="000000"/>
          <w:kern w:val="2"/>
          <w:sz w:val="72"/>
          <w:szCs w:val="72"/>
          <w:lang w:val="zh-CN"/>
        </w:rPr>
      </w:pPr>
      <w:r>
        <w:rPr>
          <w:rFonts w:hint="eastAsia" w:ascii="方正小标宋简体" w:hAnsi="方正小标宋简体" w:eastAsia="方正小标宋简体" w:cs="方正小标宋简体"/>
          <w:color w:val="000000"/>
          <w:kern w:val="2"/>
          <w:sz w:val="52"/>
          <w:szCs w:val="52"/>
          <w:lang w:val="en-US" w:eastAsia="zh-CN"/>
        </w:rPr>
        <w:t>单位</w:t>
      </w:r>
      <w:r>
        <w:rPr>
          <w:rFonts w:hint="eastAsia" w:ascii="方正小标宋简体" w:hAnsi="方正小标宋简体" w:eastAsia="方正小标宋简体" w:cs="方正小标宋简体"/>
          <w:color w:val="000000"/>
          <w:kern w:val="2"/>
          <w:sz w:val="52"/>
          <w:szCs w:val="52"/>
          <w:lang w:val="zh-CN"/>
        </w:rPr>
        <w:t>决算</w:t>
      </w: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eastAsia" w:ascii="黑体" w:hAnsi="黑体" w:eastAsia="黑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line="600" w:lineRule="exact"/>
        <w:jc w:val="center"/>
        <w:textAlignment w:val="auto"/>
        <w:outlineLvl w:val="9"/>
        <w:rPr>
          <w:rFonts w:ascii="Times New Roman" w:hAnsi="Times New Roman" w:eastAsia="方正小标宋简体"/>
          <w:color w:val="auto"/>
          <w:sz w:val="72"/>
          <w:szCs w:val="72"/>
          <w:highlight w:val="none"/>
        </w:rPr>
      </w:pPr>
    </w:p>
    <w:p>
      <w:pPr>
        <w:pStyle w:val="22"/>
        <w:keepNext w:val="0"/>
        <w:keepLines w:val="0"/>
        <w:pageBreakBefore w:val="0"/>
        <w:widowControl w:val="0"/>
        <w:kinsoku/>
        <w:wordWrap/>
        <w:overflowPunct w:val="0"/>
        <w:topLinePunct/>
        <w:autoSpaceDE w:val="0"/>
        <w:autoSpaceDN w:val="0"/>
        <w:bidi w:val="0"/>
        <w:textAlignment w:val="auto"/>
        <w:outlineLvl w:val="9"/>
        <w:rPr>
          <w:rFonts w:ascii="Times New Roman" w:hAnsi="Times New Roman"/>
        </w:rPr>
        <w:sectPr>
          <w:headerReference r:id="rId3" w:type="default"/>
          <w:footerReference r:id="rId4" w:type="default"/>
          <w:pgSz w:w="11906" w:h="16838"/>
          <w:pgMar w:top="2098" w:right="1474" w:bottom="1984" w:left="1587" w:header="851" w:footer="1304" w:gutter="0"/>
          <w:pgNumType w:fmt="decimal" w:start="1"/>
          <w:cols w:space="0" w:num="1"/>
          <w:titlePg/>
          <w:rtlGutter w:val="0"/>
          <w:docGrid w:type="lines" w:linePitch="312" w:charSpace="0"/>
        </w:sectPr>
      </w:pPr>
    </w:p>
    <w:bookmarkEnd w:id="0"/>
    <w:bookmarkEnd w:id="1"/>
    <w:bookmarkEnd w:id="2"/>
    <w:bookmarkEnd w:id="3"/>
    <w:bookmarkEnd w:id="4"/>
    <w:bookmarkEnd w:id="5"/>
    <w:p>
      <w:pPr>
        <w:keepNext w:val="0"/>
        <w:keepLines w:val="0"/>
        <w:pageBreakBefore w:val="0"/>
        <w:widowControl w:val="0"/>
        <w:kinsoku/>
        <w:wordWrap/>
        <w:overflowPunct w:val="0"/>
        <w:topLinePunct/>
        <w:autoSpaceDE w:val="0"/>
        <w:autoSpaceDN w:val="0"/>
        <w:bidi w:val="0"/>
        <w:jc w:val="center"/>
        <w:textAlignment w:val="auto"/>
        <w:rPr>
          <w:rFonts w:hint="eastAsia" w:ascii="方正小标宋简体" w:hAnsi="方正小标宋简体" w:eastAsia="方正小标宋简体" w:cs="方正小标宋简体"/>
          <w:color w:val="auto"/>
          <w:sz w:val="48"/>
          <w:szCs w:val="48"/>
          <w:highlight w:val="none"/>
        </w:rPr>
      </w:pPr>
      <w:r>
        <w:rPr>
          <w:rFonts w:hint="eastAsia" w:ascii="方正小标宋简体" w:hAnsi="方正小标宋简体" w:eastAsia="方正小标宋简体" w:cs="方正小标宋简体"/>
          <w:color w:val="auto"/>
          <w:sz w:val="48"/>
          <w:szCs w:val="48"/>
          <w:highlight w:val="none"/>
        </w:rPr>
        <w:t>目</w:t>
      </w:r>
      <w:r>
        <w:rPr>
          <w:rFonts w:hint="eastAsia" w:ascii="方正小标宋简体" w:hAnsi="方正小标宋简体" w:eastAsia="方正小标宋简体" w:cs="方正小标宋简体"/>
          <w:color w:val="auto"/>
          <w:sz w:val="48"/>
          <w:szCs w:val="48"/>
          <w:highlight w:val="none"/>
          <w:lang w:val="en-US" w:eastAsia="zh-CN"/>
        </w:rPr>
        <w:t xml:space="preserve">     </w:t>
      </w:r>
      <w:r>
        <w:rPr>
          <w:rFonts w:hint="eastAsia" w:ascii="方正小标宋简体" w:hAnsi="方正小标宋简体" w:eastAsia="方正小标宋简体" w:cs="方正小标宋简体"/>
          <w:color w:val="auto"/>
          <w:sz w:val="48"/>
          <w:szCs w:val="48"/>
          <w:highlight w:val="none"/>
        </w:rPr>
        <w:t>录</w:t>
      </w:r>
    </w:p>
    <w:p>
      <w:pPr>
        <w:pStyle w:val="12"/>
        <w:keepNext w:val="0"/>
        <w:keepLines w:val="0"/>
        <w:pageBreakBefore w:val="0"/>
        <w:widowControl w:val="0"/>
        <w:kinsoku/>
        <w:wordWrap/>
        <w:overflowPunct w:val="0"/>
        <w:topLinePunct/>
        <w:autoSpaceDE w:val="0"/>
        <w:autoSpaceDN w:val="0"/>
        <w:bidi w:val="0"/>
        <w:adjustRightInd/>
        <w:snapToGrid/>
        <w:spacing w:before="313" w:beforeLines="100" w:after="625" w:afterLines="200"/>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公开时间：20</w:t>
      </w:r>
      <w:r>
        <w:rPr>
          <w:rFonts w:hint="eastAsia" w:ascii="楷体_GB2312" w:hAnsi="楷体_GB2312" w:eastAsia="楷体_GB2312" w:cs="楷体_GB2312"/>
          <w:color w:val="auto"/>
          <w:sz w:val="32"/>
          <w:szCs w:val="32"/>
          <w:highlight w:val="none"/>
          <w:lang w:val="en-US" w:eastAsia="zh-CN"/>
        </w:rPr>
        <w:t>25</w:t>
      </w:r>
      <w:r>
        <w:rPr>
          <w:rFonts w:hint="eastAsia" w:ascii="楷体_GB2312" w:hAnsi="楷体_GB2312" w:eastAsia="楷体_GB2312" w:cs="楷体_GB2312"/>
          <w:color w:val="auto"/>
          <w:sz w:val="32"/>
          <w:szCs w:val="32"/>
          <w:highlight w:val="none"/>
        </w:rPr>
        <w:t>年</w:t>
      </w:r>
      <w:r>
        <w:rPr>
          <w:rFonts w:hint="eastAsia" w:ascii="楷体_GB2312" w:hAnsi="楷体_GB2312" w:eastAsia="楷体_GB2312" w:cs="楷体_GB2312"/>
          <w:color w:val="auto"/>
          <w:sz w:val="32"/>
          <w:szCs w:val="32"/>
          <w:highlight w:val="none"/>
          <w:lang w:val="en-US" w:eastAsia="zh-CN"/>
        </w:rPr>
        <w:t>10</w:t>
      </w:r>
      <w:r>
        <w:rPr>
          <w:rFonts w:hint="eastAsia" w:ascii="楷体_GB2312" w:hAnsi="楷体_GB2312" w:eastAsia="楷体_GB2312" w:cs="楷体_GB2312"/>
          <w:color w:val="auto"/>
          <w:sz w:val="32"/>
          <w:szCs w:val="32"/>
          <w:highlight w:val="none"/>
        </w:rPr>
        <w:t>月</w:t>
      </w:r>
      <w:r>
        <w:rPr>
          <w:rFonts w:hint="eastAsia" w:ascii="楷体_GB2312" w:hAnsi="楷体_GB2312" w:eastAsia="楷体_GB2312" w:cs="楷体_GB2312"/>
          <w:color w:val="auto"/>
          <w:sz w:val="32"/>
          <w:szCs w:val="32"/>
          <w:highlight w:val="none"/>
          <w:lang w:val="en-US" w:eastAsia="zh-CN"/>
        </w:rPr>
        <w:t>14</w:t>
      </w:r>
      <w:r>
        <w:rPr>
          <w:rFonts w:hint="eastAsia" w:ascii="楷体_GB2312" w:hAnsi="楷体_GB2312" w:eastAsia="楷体_GB2312" w:cs="楷体_GB2312"/>
          <w:color w:val="auto"/>
          <w:sz w:val="32"/>
          <w:szCs w:val="32"/>
          <w:highlight w:val="none"/>
        </w:rPr>
        <w:t>日</w:t>
      </w:r>
    </w:p>
    <w:sdt>
      <w:sdtPr>
        <w:rPr>
          <w:rFonts w:ascii="宋体" w:hAnsi="宋体" w:eastAsia="宋体" w:cs="Times New Roman"/>
          <w:kern w:val="2"/>
          <w:sz w:val="21"/>
          <w:szCs w:val="24"/>
          <w:lang w:val="en-US" w:eastAsia="zh-CN" w:bidi="ar-SA"/>
        </w:rPr>
        <w:id w:val="147451511"/>
        <w15:color w:val="DBDBDB"/>
        <w:docPartObj>
          <w:docPartGallery w:val="Table of Contents"/>
          <w:docPartUnique/>
        </w:docPartObj>
      </w:sdtPr>
      <w:sdtEndPr>
        <w:rPr>
          <w:rFonts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5"/>
            <w:tabs>
              <w:tab w:val="right" w:leader="dot" w:pos="8306"/>
            </w:tabs>
            <w:rPr>
              <w:b/>
            </w:rPr>
          </w:pPr>
          <w:r>
            <w:fldChar w:fldCharType="begin"/>
          </w:r>
          <w:r>
            <w:instrText xml:space="preserve">TOC \o "1-2" \h \u </w:instrText>
          </w:r>
          <w:r>
            <w:fldChar w:fldCharType="separate"/>
          </w:r>
          <w:r>
            <w:rPr>
              <w:b/>
            </w:rPr>
            <w:fldChar w:fldCharType="begin"/>
          </w:r>
          <w:r>
            <w:rPr>
              <w:b/>
            </w:rPr>
            <w:instrText xml:space="preserve"> HYPERLINK \l _Toc20267 </w:instrText>
          </w:r>
          <w:r>
            <w:rPr>
              <w:b/>
            </w:rPr>
            <w:fldChar w:fldCharType="separate"/>
          </w:r>
          <w:r>
            <w:rPr>
              <w:rFonts w:hint="eastAsia" w:ascii="方正小标宋简体" w:hAnsi="方正小标宋简体" w:eastAsia="方正小标宋简体" w:cs="方正小标宋简体"/>
              <w:b/>
              <w:szCs w:val="44"/>
              <w:highlight w:val="none"/>
            </w:rPr>
            <w:t>第一部分</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小标宋简体" w:hAnsi="方正小标宋简体" w:eastAsia="方正小标宋简体" w:cs="方正小标宋简体"/>
              <w:b/>
              <w:szCs w:val="44"/>
              <w:highlight w:val="none"/>
            </w:rPr>
            <w:t xml:space="preserve"> 单位概况</w:t>
          </w:r>
          <w:r>
            <w:rPr>
              <w:b/>
            </w:rPr>
            <w:tab/>
          </w:r>
          <w:r>
            <w:rPr>
              <w:b/>
            </w:rPr>
            <w:fldChar w:fldCharType="begin"/>
          </w:r>
          <w:r>
            <w:rPr>
              <w:b/>
            </w:rPr>
            <w:instrText xml:space="preserve"> PAGEREF _Toc20267 \h </w:instrText>
          </w:r>
          <w:r>
            <w:rPr>
              <w:b/>
            </w:rPr>
            <w:fldChar w:fldCharType="separate"/>
          </w:r>
          <w:r>
            <w:rPr>
              <w:b/>
            </w:rPr>
            <w:t>1</w:t>
          </w:r>
          <w:r>
            <w:rPr>
              <w:b/>
            </w:rPr>
            <w:fldChar w:fldCharType="end"/>
          </w:r>
          <w:r>
            <w:rPr>
              <w:b/>
            </w:rPr>
            <w:fldChar w:fldCharType="end"/>
          </w:r>
        </w:p>
        <w:p>
          <w:pPr>
            <w:pStyle w:val="36"/>
            <w:tabs>
              <w:tab w:val="right" w:leader="dot" w:pos="8306"/>
            </w:tabs>
          </w:pPr>
          <w:r>
            <w:fldChar w:fldCharType="begin"/>
          </w:r>
          <w:r>
            <w:instrText xml:space="preserve"> HYPERLINK \l _Toc12124 </w:instrText>
          </w:r>
          <w:r>
            <w:fldChar w:fldCharType="separate"/>
          </w:r>
          <w:r>
            <w:rPr>
              <w:rFonts w:hint="eastAsia" w:ascii="Times New Roman" w:hAnsi="Times New Roman" w:eastAsia="黑体"/>
              <w:szCs w:val="32"/>
              <w:lang w:eastAsia="zh-CN"/>
            </w:rPr>
            <w:t xml:space="preserve">一、 </w:t>
          </w:r>
          <w:r>
            <w:rPr>
              <w:rFonts w:hint="eastAsia" w:eastAsia="黑体"/>
              <w:szCs w:val="32"/>
              <w:highlight w:val="none"/>
              <w:lang w:val="en-US" w:eastAsia="zh-CN"/>
            </w:rPr>
            <w:t>主要</w:t>
          </w:r>
          <w:r>
            <w:rPr>
              <w:rFonts w:hint="eastAsia" w:ascii="Times New Roman" w:hAnsi="Times New Roman" w:eastAsia="黑体"/>
              <w:szCs w:val="32"/>
              <w:highlight w:val="none"/>
              <w:lang w:eastAsia="zh-CN"/>
            </w:rPr>
            <w:t>职责</w:t>
          </w:r>
          <w:r>
            <w:tab/>
          </w:r>
          <w:r>
            <w:fldChar w:fldCharType="begin"/>
          </w:r>
          <w:r>
            <w:instrText xml:space="preserve"> PAGEREF _Toc12124 \h </w:instrText>
          </w:r>
          <w:r>
            <w:fldChar w:fldCharType="separate"/>
          </w:r>
          <w:r>
            <w:t>1</w:t>
          </w:r>
          <w:r>
            <w:fldChar w:fldCharType="end"/>
          </w:r>
          <w:r>
            <w:fldChar w:fldCharType="end"/>
          </w:r>
        </w:p>
        <w:p>
          <w:pPr>
            <w:pStyle w:val="36"/>
            <w:tabs>
              <w:tab w:val="right" w:leader="dot" w:pos="8306"/>
            </w:tabs>
          </w:pPr>
          <w:r>
            <w:fldChar w:fldCharType="begin"/>
          </w:r>
          <w:r>
            <w:instrText xml:space="preserve"> HYPERLINK \l _Toc14094 </w:instrText>
          </w:r>
          <w:r>
            <w:fldChar w:fldCharType="separate"/>
          </w:r>
          <w:r>
            <w:rPr>
              <w:rFonts w:hint="eastAsia" w:ascii="Times New Roman" w:hAnsi="Times New Roman" w:eastAsia="黑体"/>
              <w:szCs w:val="32"/>
              <w:highlight w:val="none"/>
            </w:rPr>
            <w:t>二、</w:t>
          </w:r>
          <w:r>
            <w:rPr>
              <w:rFonts w:hint="eastAsia" w:eastAsia="黑体"/>
              <w:szCs w:val="32"/>
              <w:highlight w:val="none"/>
              <w:lang w:val="en-US" w:eastAsia="zh-CN"/>
            </w:rPr>
            <w:t xml:space="preserve"> </w:t>
          </w:r>
          <w:r>
            <w:rPr>
              <w:rFonts w:hint="eastAsia" w:ascii="Times New Roman" w:hAnsi="Times New Roman" w:eastAsia="黑体"/>
              <w:szCs w:val="32"/>
              <w:highlight w:val="none"/>
            </w:rPr>
            <w:t>机构设置</w:t>
          </w:r>
          <w:r>
            <w:tab/>
          </w:r>
          <w:r>
            <w:fldChar w:fldCharType="begin"/>
          </w:r>
          <w:r>
            <w:instrText xml:space="preserve"> PAGEREF _Toc14094 \h </w:instrText>
          </w:r>
          <w:r>
            <w:fldChar w:fldCharType="separate"/>
          </w:r>
          <w:r>
            <w:t>2</w:t>
          </w:r>
          <w:r>
            <w:fldChar w:fldCharType="end"/>
          </w:r>
          <w:r>
            <w:fldChar w:fldCharType="end"/>
          </w:r>
        </w:p>
        <w:p>
          <w:pPr>
            <w:pStyle w:val="35"/>
            <w:tabs>
              <w:tab w:val="right" w:leader="dot" w:pos="8306"/>
            </w:tabs>
            <w:rPr>
              <w:b/>
            </w:rPr>
          </w:pPr>
          <w:r>
            <w:rPr>
              <w:b/>
            </w:rPr>
            <w:fldChar w:fldCharType="begin"/>
          </w:r>
          <w:r>
            <w:rPr>
              <w:b/>
            </w:rPr>
            <w:instrText xml:space="preserve"> HYPERLINK \l _Toc24212 </w:instrText>
          </w:r>
          <w:r>
            <w:rPr>
              <w:b/>
            </w:rPr>
            <w:fldChar w:fldCharType="separate"/>
          </w:r>
          <w:r>
            <w:rPr>
              <w:rFonts w:hint="eastAsia" w:ascii="方正小标宋简体" w:hAnsi="方正小标宋简体" w:eastAsia="方正小标宋简体" w:cs="方正小标宋简体"/>
              <w:b/>
              <w:szCs w:val="44"/>
            </w:rPr>
            <w:t xml:space="preserve">第二部分 </w:t>
          </w:r>
          <w:r>
            <w:rPr>
              <w:rFonts w:hint="eastAsia" w:ascii="方正小标宋简体" w:hAnsi="方正小标宋简体" w:eastAsia="方正小标宋简体" w:cs="方正小标宋简体"/>
              <w:b/>
              <w:szCs w:val="44"/>
              <w:highlight w:val="none"/>
              <w:lang w:val="en-US" w:eastAsia="zh-CN"/>
            </w:rPr>
            <w:t>2024年度单位</w:t>
          </w:r>
          <w:r>
            <w:rPr>
              <w:rFonts w:hint="eastAsia" w:ascii="方正小标宋简体" w:hAnsi="方正小标宋简体" w:eastAsia="方正小标宋简体" w:cs="方正小标宋简体"/>
              <w:b/>
              <w:szCs w:val="44"/>
              <w:highlight w:val="none"/>
            </w:rPr>
            <w:t>决算情况说明</w:t>
          </w:r>
          <w:r>
            <w:rPr>
              <w:b/>
            </w:rPr>
            <w:tab/>
          </w:r>
          <w:r>
            <w:rPr>
              <w:b/>
            </w:rPr>
            <w:fldChar w:fldCharType="begin"/>
          </w:r>
          <w:r>
            <w:rPr>
              <w:b/>
            </w:rPr>
            <w:instrText xml:space="preserve"> PAGEREF _Toc24212 \h </w:instrText>
          </w:r>
          <w:r>
            <w:rPr>
              <w:b/>
            </w:rPr>
            <w:fldChar w:fldCharType="separate"/>
          </w:r>
          <w:r>
            <w:rPr>
              <w:b/>
            </w:rPr>
            <w:t>3</w:t>
          </w:r>
          <w:r>
            <w:rPr>
              <w:b/>
            </w:rPr>
            <w:fldChar w:fldCharType="end"/>
          </w:r>
          <w:r>
            <w:rPr>
              <w:b/>
            </w:rPr>
            <w:fldChar w:fldCharType="end"/>
          </w:r>
        </w:p>
        <w:p>
          <w:pPr>
            <w:pStyle w:val="36"/>
            <w:tabs>
              <w:tab w:val="right" w:leader="dot" w:pos="8306"/>
            </w:tabs>
          </w:pPr>
          <w:r>
            <w:fldChar w:fldCharType="begin"/>
          </w:r>
          <w:r>
            <w:instrText xml:space="preserve"> HYPERLINK \l _Toc17891 </w:instrText>
          </w:r>
          <w: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收入支出决算总体情况说明</w:t>
          </w:r>
          <w:r>
            <w:tab/>
          </w:r>
          <w:r>
            <w:fldChar w:fldCharType="begin"/>
          </w:r>
          <w:r>
            <w:instrText xml:space="preserve"> PAGEREF _Toc17891 \h </w:instrText>
          </w:r>
          <w:r>
            <w:fldChar w:fldCharType="separate"/>
          </w:r>
          <w:r>
            <w:t>3</w:t>
          </w:r>
          <w:r>
            <w:fldChar w:fldCharType="end"/>
          </w:r>
          <w:r>
            <w:fldChar w:fldCharType="end"/>
          </w:r>
        </w:p>
        <w:p>
          <w:pPr>
            <w:pStyle w:val="36"/>
            <w:tabs>
              <w:tab w:val="right" w:leader="dot" w:pos="8306"/>
            </w:tabs>
          </w:pPr>
          <w:r>
            <w:fldChar w:fldCharType="begin"/>
          </w:r>
          <w:r>
            <w:instrText xml:space="preserve"> HYPERLINK \l _Toc26949 </w:instrText>
          </w:r>
          <w: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_Toc26949 \h </w:instrText>
          </w:r>
          <w:r>
            <w:fldChar w:fldCharType="separate"/>
          </w:r>
          <w:r>
            <w:t>3</w:t>
          </w:r>
          <w:r>
            <w:fldChar w:fldCharType="end"/>
          </w:r>
          <w:r>
            <w:fldChar w:fldCharType="end"/>
          </w:r>
        </w:p>
        <w:p>
          <w:pPr>
            <w:pStyle w:val="36"/>
            <w:tabs>
              <w:tab w:val="right" w:leader="dot" w:pos="8306"/>
            </w:tabs>
          </w:pPr>
          <w:r>
            <w:fldChar w:fldCharType="begin"/>
          </w:r>
          <w:r>
            <w:instrText xml:space="preserve"> HYPERLINK \l _Toc23133 </w:instrText>
          </w:r>
          <w: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支出决算情况说明</w:t>
          </w:r>
          <w:r>
            <w:tab/>
          </w:r>
          <w:r>
            <w:fldChar w:fldCharType="begin"/>
          </w:r>
          <w:r>
            <w:instrText xml:space="preserve"> PAGEREF _Toc23133 \h </w:instrText>
          </w:r>
          <w:r>
            <w:fldChar w:fldCharType="separate"/>
          </w:r>
          <w:r>
            <w:t>4</w:t>
          </w:r>
          <w:r>
            <w:fldChar w:fldCharType="end"/>
          </w:r>
          <w:r>
            <w:fldChar w:fldCharType="end"/>
          </w:r>
        </w:p>
        <w:p>
          <w:pPr>
            <w:pStyle w:val="36"/>
            <w:tabs>
              <w:tab w:val="right" w:leader="dot" w:pos="8306"/>
            </w:tabs>
          </w:pPr>
          <w:r>
            <w:fldChar w:fldCharType="begin"/>
          </w:r>
          <w:r>
            <w:instrText xml:space="preserve"> HYPERLINK \l _Toc32710 </w:instrText>
          </w:r>
          <w:r>
            <w:fldChar w:fldCharType="separate"/>
          </w:r>
          <w:r>
            <w:rPr>
              <w:rFonts w:hint="eastAsia" w:ascii="Times New Roman" w:hAnsi="Times New Roman" w:eastAsia="黑体"/>
              <w:szCs w:val="32"/>
              <w:highlight w:val="none"/>
            </w:rPr>
            <w:t>四、财政拨款收入支出决算总体情况说明</w:t>
          </w:r>
          <w:r>
            <w:tab/>
          </w:r>
          <w:r>
            <w:fldChar w:fldCharType="begin"/>
          </w:r>
          <w:r>
            <w:instrText xml:space="preserve"> PAGEREF _Toc32710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_Toc17961 </w:instrText>
          </w:r>
          <w:r>
            <w:fldChar w:fldCharType="separate"/>
          </w:r>
          <w:r>
            <w:rPr>
              <w:rFonts w:hint="eastAsia" w:ascii="Times New Roman" w:hAnsi="Times New Roman" w:eastAsia="黑体"/>
              <w:szCs w:val="32"/>
              <w:highlight w:val="none"/>
            </w:rPr>
            <w:t>五、一般公共预算财政拨款支出决算情况说明</w:t>
          </w:r>
          <w:r>
            <w:tab/>
          </w:r>
          <w:r>
            <w:fldChar w:fldCharType="begin"/>
          </w:r>
          <w:r>
            <w:instrText xml:space="preserve"> PAGEREF _Toc17961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_Toc11540 </w:instrText>
          </w:r>
          <w:r>
            <w:fldChar w:fldCharType="separate"/>
          </w:r>
          <w:r>
            <w:rPr>
              <w:rFonts w:hint="eastAsia" w:ascii="Times New Roman" w:hAnsi="Times New Roman" w:eastAsia="黑体"/>
              <w:szCs w:val="32"/>
              <w:highlight w:val="none"/>
            </w:rPr>
            <w:t>六、一般公共预算财政拨款基本支出决算情况说明</w:t>
          </w:r>
          <w:r>
            <w:tab/>
          </w:r>
          <w:r>
            <w:fldChar w:fldCharType="begin"/>
          </w:r>
          <w:r>
            <w:instrText xml:space="preserve"> PAGEREF _Toc11540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_Toc28744 </w:instrText>
          </w:r>
          <w:r>
            <w:fldChar w:fldCharType="separate"/>
          </w:r>
          <w:r>
            <w:rPr>
              <w:rFonts w:hint="eastAsia" w:ascii="Times New Roman" w:hAnsi="Times New Roman" w:eastAsia="黑体"/>
              <w:szCs w:val="32"/>
              <w:highlight w:val="none"/>
            </w:rPr>
            <w:t>七、财政拨款“三公”经费支出决算情况说明</w:t>
          </w:r>
          <w:r>
            <w:tab/>
          </w:r>
          <w:r>
            <w:fldChar w:fldCharType="begin"/>
          </w:r>
          <w:r>
            <w:instrText xml:space="preserve"> PAGEREF _Toc28744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_Toc3134 </w:instrText>
          </w:r>
          <w:r>
            <w:fldChar w:fldCharType="separate"/>
          </w:r>
          <w:r>
            <w:rPr>
              <w:rFonts w:hint="eastAsia" w:ascii="Times New Roman" w:hAnsi="Times New Roman" w:eastAsia="黑体"/>
              <w:szCs w:val="32"/>
              <w:highlight w:val="none"/>
            </w:rPr>
            <w:t>八、政府性基金预算支出决算情况说明</w:t>
          </w:r>
          <w:r>
            <w:tab/>
          </w:r>
          <w:r>
            <w:fldChar w:fldCharType="begin"/>
          </w:r>
          <w:r>
            <w:instrText xml:space="preserve"> PAGEREF _Toc3134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_Toc24406 </w:instrText>
          </w:r>
          <w:r>
            <w:fldChar w:fldCharType="separate"/>
          </w:r>
          <w:r>
            <w:rPr>
              <w:rFonts w:hint="eastAsia" w:ascii="Times New Roman" w:hAnsi="Times New Roman" w:eastAsia="黑体"/>
              <w:szCs w:val="32"/>
              <w:highlight w:val="none"/>
              <w:lang w:eastAsia="zh-CN"/>
            </w:rPr>
            <w:t>九、</w:t>
          </w:r>
          <w:r>
            <w:rPr>
              <w:rFonts w:hint="eastAsia" w:ascii="Times New Roman" w:hAnsi="Times New Roman" w:eastAsia="黑体"/>
              <w:szCs w:val="32"/>
              <w:highlight w:val="none"/>
            </w:rPr>
            <w:t>国有资本经营预算支出决算情况说明</w:t>
          </w:r>
          <w:r>
            <w:tab/>
          </w:r>
          <w:r>
            <w:fldChar w:fldCharType="begin"/>
          </w:r>
          <w:r>
            <w:instrText xml:space="preserve"> PAGEREF _Toc24406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_Toc10772 </w:instrText>
          </w:r>
          <w:r>
            <w:fldChar w:fldCharType="separate"/>
          </w:r>
          <w:r>
            <w:rPr>
              <w:rFonts w:hint="eastAsia" w:ascii="Times New Roman" w:hAnsi="Times New Roman" w:eastAsia="黑体"/>
              <w:szCs w:val="32"/>
              <w:highlight w:val="none"/>
              <w:lang w:eastAsia="zh-CN"/>
            </w:rPr>
            <w:t>十、</w:t>
          </w:r>
          <w:r>
            <w:rPr>
              <w:rFonts w:hint="eastAsia" w:ascii="Times New Roman" w:hAnsi="Times New Roman" w:eastAsia="黑体"/>
              <w:szCs w:val="32"/>
              <w:highlight w:val="none"/>
            </w:rPr>
            <w:t>其他重要事项的情况说明</w:t>
          </w:r>
          <w:r>
            <w:tab/>
          </w:r>
          <w:r>
            <w:fldChar w:fldCharType="begin"/>
          </w:r>
          <w:r>
            <w:instrText xml:space="preserve"> PAGEREF _Toc10772 \h </w:instrText>
          </w:r>
          <w:r>
            <w:fldChar w:fldCharType="separate"/>
          </w:r>
          <w:r>
            <w:t>10</w:t>
          </w:r>
          <w:r>
            <w:fldChar w:fldCharType="end"/>
          </w:r>
          <w:r>
            <w:fldChar w:fldCharType="end"/>
          </w:r>
        </w:p>
        <w:p>
          <w:pPr>
            <w:pStyle w:val="35"/>
            <w:tabs>
              <w:tab w:val="right" w:leader="dot" w:pos="8306"/>
            </w:tabs>
            <w:rPr>
              <w:b/>
            </w:rPr>
          </w:pPr>
          <w:r>
            <w:rPr>
              <w:b/>
            </w:rPr>
            <w:fldChar w:fldCharType="begin"/>
          </w:r>
          <w:r>
            <w:rPr>
              <w:b/>
            </w:rPr>
            <w:instrText xml:space="preserve"> HYPERLINK \l _Toc4863 </w:instrText>
          </w:r>
          <w:r>
            <w:rPr>
              <w:b/>
            </w:rPr>
            <w:fldChar w:fldCharType="separate"/>
          </w:r>
          <w:r>
            <w:rPr>
              <w:rFonts w:hint="eastAsia" w:ascii="方正小标宋简体" w:hAnsi="方正小标宋简体" w:eastAsia="方正小标宋简体" w:cs="方正小标宋简体"/>
              <w:b/>
              <w:szCs w:val="44"/>
              <w:highlight w:val="none"/>
            </w:rPr>
            <w:t>第</w:t>
          </w:r>
          <w:r>
            <w:rPr>
              <w:rFonts w:hint="eastAsia" w:ascii="方正小标宋简体" w:hAnsi="方正小标宋简体" w:eastAsia="方正小标宋简体" w:cs="方正小标宋简体"/>
              <w:b/>
              <w:szCs w:val="44"/>
              <w:highlight w:val="none"/>
              <w:lang w:eastAsia="zh-CN"/>
            </w:rPr>
            <w:t>三</w:t>
          </w:r>
          <w:r>
            <w:rPr>
              <w:rFonts w:hint="eastAsia" w:ascii="方正小标宋简体" w:hAnsi="方正小标宋简体" w:eastAsia="方正小标宋简体" w:cs="方正小标宋简体"/>
              <w:b/>
              <w:szCs w:val="44"/>
              <w:highlight w:val="none"/>
            </w:rPr>
            <w:t>部分</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小标宋简体" w:hAnsi="方正小标宋简体" w:eastAsia="方正小标宋简体" w:cs="方正小标宋简体"/>
              <w:b/>
              <w:szCs w:val="44"/>
              <w:highlight w:val="none"/>
            </w:rPr>
            <w:t>名词解释</w:t>
          </w:r>
          <w:r>
            <w:rPr>
              <w:b/>
            </w:rPr>
            <w:tab/>
          </w:r>
          <w:r>
            <w:rPr>
              <w:b/>
            </w:rPr>
            <w:fldChar w:fldCharType="begin"/>
          </w:r>
          <w:r>
            <w:rPr>
              <w:b/>
            </w:rPr>
            <w:instrText xml:space="preserve"> PAGEREF _Toc4863 \h </w:instrText>
          </w:r>
          <w:r>
            <w:rPr>
              <w:b/>
            </w:rPr>
            <w:fldChar w:fldCharType="separate"/>
          </w:r>
          <w:r>
            <w:rPr>
              <w:b/>
            </w:rPr>
            <w:t>12</w:t>
          </w:r>
          <w:r>
            <w:rPr>
              <w:b/>
            </w:rPr>
            <w:fldChar w:fldCharType="end"/>
          </w:r>
          <w:r>
            <w:rPr>
              <w:b/>
            </w:rPr>
            <w:fldChar w:fldCharType="end"/>
          </w:r>
        </w:p>
        <w:p>
          <w:pPr>
            <w:pStyle w:val="35"/>
            <w:tabs>
              <w:tab w:val="right" w:leader="dot" w:pos="8306"/>
            </w:tabs>
            <w:rPr>
              <w:b/>
            </w:rPr>
          </w:pPr>
          <w:r>
            <w:rPr>
              <w:b/>
            </w:rPr>
            <w:fldChar w:fldCharType="begin"/>
          </w:r>
          <w:r>
            <w:rPr>
              <w:b/>
            </w:rPr>
            <w:instrText xml:space="preserve"> HYPERLINK \l _Toc32060 </w:instrText>
          </w:r>
          <w:r>
            <w:rPr>
              <w:b/>
            </w:rPr>
            <w:fldChar w:fldCharType="separate"/>
          </w:r>
          <w:r>
            <w:rPr>
              <w:rFonts w:hint="eastAsia" w:ascii="方正小标宋简体" w:hAnsi="方正小标宋简体" w:eastAsia="方正小标宋简体" w:cs="方正小标宋简体"/>
              <w:b/>
              <w:szCs w:val="44"/>
              <w:highlight w:val="none"/>
            </w:rPr>
            <w:t>第四部分</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小标宋简体" w:hAnsi="方正小标宋简体" w:eastAsia="方正小标宋简体" w:cs="方正小标宋简体"/>
              <w:b/>
              <w:szCs w:val="44"/>
              <w:highlight w:val="none"/>
            </w:rPr>
            <w:t xml:space="preserve"> 附件</w:t>
          </w:r>
          <w:r>
            <w:rPr>
              <w:b/>
            </w:rPr>
            <w:tab/>
          </w:r>
          <w:r>
            <w:rPr>
              <w:b/>
            </w:rPr>
            <w:fldChar w:fldCharType="begin"/>
          </w:r>
          <w:r>
            <w:rPr>
              <w:b/>
            </w:rPr>
            <w:instrText xml:space="preserve"> PAGEREF _Toc32060 \h </w:instrText>
          </w:r>
          <w:r>
            <w:rPr>
              <w:b/>
            </w:rPr>
            <w:fldChar w:fldCharType="separate"/>
          </w:r>
          <w:r>
            <w:rPr>
              <w:b/>
            </w:rPr>
            <w:t>14</w:t>
          </w:r>
          <w:r>
            <w:rPr>
              <w:b/>
            </w:rPr>
            <w:fldChar w:fldCharType="end"/>
          </w:r>
          <w:r>
            <w:rPr>
              <w:b/>
            </w:rPr>
            <w:fldChar w:fldCharType="end"/>
          </w:r>
        </w:p>
        <w:p>
          <w:pPr>
            <w:pStyle w:val="35"/>
            <w:tabs>
              <w:tab w:val="right" w:leader="dot" w:pos="8306"/>
            </w:tabs>
            <w:rPr>
              <w:b/>
            </w:rPr>
          </w:pPr>
          <w:r>
            <w:rPr>
              <w:b/>
            </w:rPr>
            <w:fldChar w:fldCharType="begin"/>
          </w:r>
          <w:r>
            <w:rPr>
              <w:b/>
            </w:rPr>
            <w:instrText xml:space="preserve"> HYPERLINK \l _Toc3637 </w:instrText>
          </w:r>
          <w:r>
            <w:rPr>
              <w:b/>
            </w:rPr>
            <w:fldChar w:fldCharType="separate"/>
          </w:r>
          <w:r>
            <w:rPr>
              <w:rFonts w:hint="eastAsia" w:ascii="方正小标宋简体" w:hAnsi="方正小标宋简体" w:eastAsia="方正小标宋简体" w:cs="方正小标宋简体"/>
              <w:b/>
              <w:szCs w:val="44"/>
              <w:highlight w:val="none"/>
            </w:rPr>
            <w:t xml:space="preserve">第五部分 </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小标宋简体" w:hAnsi="方正小标宋简体" w:eastAsia="方正小标宋简体" w:cs="方正小标宋简体"/>
              <w:b/>
              <w:szCs w:val="44"/>
              <w:highlight w:val="none"/>
            </w:rPr>
            <w:t>附表</w:t>
          </w:r>
          <w:r>
            <w:rPr>
              <w:b/>
            </w:rPr>
            <w:tab/>
          </w:r>
          <w:r>
            <w:rPr>
              <w:b/>
            </w:rPr>
            <w:fldChar w:fldCharType="begin"/>
          </w:r>
          <w:r>
            <w:rPr>
              <w:b/>
            </w:rPr>
            <w:instrText xml:space="preserve"> PAGEREF _Toc3637 \h </w:instrText>
          </w:r>
          <w:r>
            <w:rPr>
              <w:b/>
            </w:rPr>
            <w:fldChar w:fldCharType="separate"/>
          </w:r>
          <w:r>
            <w:rPr>
              <w:b/>
            </w:rPr>
            <w:t>15</w:t>
          </w:r>
          <w:r>
            <w:rPr>
              <w:b/>
            </w:rPr>
            <w:fldChar w:fldCharType="end"/>
          </w:r>
          <w:r>
            <w:rPr>
              <w:b/>
            </w:rPr>
            <w:fldChar w:fldCharType="end"/>
          </w:r>
        </w:p>
        <w:p>
          <w:pPr>
            <w:pStyle w:val="36"/>
            <w:tabs>
              <w:tab w:val="right" w:leader="dot" w:pos="8306"/>
            </w:tabs>
          </w:pPr>
          <w:r>
            <w:fldChar w:fldCharType="begin"/>
          </w:r>
          <w:r>
            <w:instrText xml:space="preserve"> HYPERLINK \l _Toc28715 </w:instrText>
          </w:r>
          <w:r>
            <w:fldChar w:fldCharType="separate"/>
          </w:r>
          <w:r>
            <w:rPr>
              <w:rFonts w:hint="eastAsia" w:ascii="Times New Roman" w:hAnsi="Times New Roman" w:eastAsia="仿宋_GB2312" w:cs="仿宋_GB2312"/>
              <w:szCs w:val="32"/>
              <w:highlight w:val="none"/>
            </w:rPr>
            <w:t>一、收入支出决算总表</w:t>
          </w:r>
          <w:r>
            <w:tab/>
          </w:r>
          <w:r>
            <w:fldChar w:fldCharType="begin"/>
          </w:r>
          <w:r>
            <w:instrText xml:space="preserve"> PAGEREF _Toc28715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_Toc16345 </w:instrText>
          </w:r>
          <w:r>
            <w:fldChar w:fldCharType="separate"/>
          </w:r>
          <w:r>
            <w:rPr>
              <w:rFonts w:hint="eastAsia" w:ascii="Times New Roman" w:hAnsi="Times New Roman" w:eastAsia="仿宋_GB2312" w:cs="仿宋_GB2312"/>
              <w:szCs w:val="32"/>
              <w:highlight w:val="none"/>
            </w:rPr>
            <w:t>二、收入决算表</w:t>
          </w:r>
          <w:r>
            <w:tab/>
          </w:r>
          <w:r>
            <w:fldChar w:fldCharType="begin"/>
          </w:r>
          <w:r>
            <w:instrText xml:space="preserve"> PAGEREF _Toc16345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_Toc5001 </w:instrText>
          </w:r>
          <w:r>
            <w:fldChar w:fldCharType="separate"/>
          </w:r>
          <w:r>
            <w:rPr>
              <w:rFonts w:hint="eastAsia" w:ascii="Times New Roman" w:hAnsi="Times New Roman" w:eastAsia="仿宋_GB2312" w:cs="仿宋_GB2312"/>
              <w:szCs w:val="32"/>
              <w:highlight w:val="none"/>
            </w:rPr>
            <w:t>三、支出决算表</w:t>
          </w:r>
          <w:r>
            <w:tab/>
          </w:r>
          <w:r>
            <w:fldChar w:fldCharType="begin"/>
          </w:r>
          <w:r>
            <w:instrText xml:space="preserve"> PAGEREF _Toc5001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_Toc9726 </w:instrText>
          </w:r>
          <w:r>
            <w:fldChar w:fldCharType="separate"/>
          </w:r>
          <w:r>
            <w:rPr>
              <w:rFonts w:hint="eastAsia" w:ascii="Times New Roman" w:hAnsi="Times New Roman" w:eastAsia="仿宋_GB2312" w:cs="仿宋_GB2312"/>
              <w:szCs w:val="32"/>
              <w:highlight w:val="none"/>
            </w:rPr>
            <w:t>四、财政拨款收入支出决算总表</w:t>
          </w:r>
          <w:r>
            <w:tab/>
          </w:r>
          <w:r>
            <w:fldChar w:fldCharType="begin"/>
          </w:r>
          <w:r>
            <w:instrText xml:space="preserve"> PAGEREF _Toc9726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_Toc1285 </w:instrText>
          </w:r>
          <w:r>
            <w:fldChar w:fldCharType="separate"/>
          </w:r>
          <w:r>
            <w:rPr>
              <w:rFonts w:hint="eastAsia" w:ascii="Times New Roman" w:hAnsi="Times New Roman" w:eastAsia="仿宋_GB2312" w:cs="仿宋_GB2312"/>
              <w:szCs w:val="32"/>
              <w:highlight w:val="none"/>
            </w:rPr>
            <w:t>五、财政拨款支出决算明细表</w:t>
          </w:r>
          <w:r>
            <w:tab/>
          </w:r>
          <w:r>
            <w:fldChar w:fldCharType="begin"/>
          </w:r>
          <w:r>
            <w:instrText xml:space="preserve"> PAGEREF _Toc1285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_Toc10220 </w:instrText>
          </w:r>
          <w:r>
            <w:fldChar w:fldCharType="separate"/>
          </w:r>
          <w:r>
            <w:rPr>
              <w:rFonts w:hint="eastAsia" w:ascii="Times New Roman" w:hAnsi="Times New Roman" w:eastAsia="仿宋_GB2312" w:cs="仿宋_GB2312"/>
              <w:szCs w:val="32"/>
              <w:highlight w:val="none"/>
            </w:rPr>
            <w:t>六、一般公共预算财政拨款支出决算表</w:t>
          </w:r>
          <w:r>
            <w:tab/>
          </w:r>
          <w:r>
            <w:fldChar w:fldCharType="begin"/>
          </w:r>
          <w:r>
            <w:instrText xml:space="preserve"> PAGEREF _Toc10220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_Toc13750 </w:instrText>
          </w:r>
          <w:r>
            <w:fldChar w:fldCharType="separate"/>
          </w:r>
          <w:r>
            <w:rPr>
              <w:rFonts w:hint="eastAsia" w:ascii="Times New Roman" w:hAnsi="Times New Roman" w:eastAsia="仿宋_GB2312" w:cs="仿宋_GB2312"/>
              <w:szCs w:val="32"/>
              <w:highlight w:val="none"/>
            </w:rPr>
            <w:t>七、一般公共预算财政拨款支出决算明细表</w:t>
          </w:r>
          <w:r>
            <w:tab/>
          </w:r>
          <w:r>
            <w:fldChar w:fldCharType="begin"/>
          </w:r>
          <w:r>
            <w:instrText xml:space="preserve"> PAGEREF _Toc13750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_Toc17800 </w:instrText>
          </w:r>
          <w:r>
            <w:fldChar w:fldCharType="separate"/>
          </w:r>
          <w:r>
            <w:rPr>
              <w:rFonts w:hint="eastAsia" w:ascii="Times New Roman" w:hAnsi="Times New Roman" w:eastAsia="仿宋_GB2312" w:cs="仿宋_GB2312"/>
              <w:szCs w:val="32"/>
              <w:highlight w:val="none"/>
            </w:rPr>
            <w:t>八、一般公共预算财政拨款基本支出决算表</w:t>
          </w:r>
          <w:r>
            <w:tab/>
          </w:r>
          <w:r>
            <w:fldChar w:fldCharType="begin"/>
          </w:r>
          <w:r>
            <w:instrText xml:space="preserve"> PAGEREF _Toc17800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_Toc21614 </w:instrText>
          </w:r>
          <w:r>
            <w:fldChar w:fldCharType="separate"/>
          </w:r>
          <w:r>
            <w:rPr>
              <w:rFonts w:hint="eastAsia" w:ascii="Times New Roman" w:hAnsi="Times New Roman" w:eastAsia="仿宋_GB2312" w:cs="仿宋_GB2312"/>
              <w:szCs w:val="32"/>
              <w:highlight w:val="none"/>
            </w:rPr>
            <w:t>九、一般公共预算财政拨款项目支出决算表</w:t>
          </w:r>
          <w:r>
            <w:tab/>
          </w:r>
          <w:r>
            <w:fldChar w:fldCharType="begin"/>
          </w:r>
          <w:r>
            <w:instrText xml:space="preserve"> PAGEREF _Toc21614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_Toc28378 </w:instrText>
          </w:r>
          <w:r>
            <w:fldChar w:fldCharType="separate"/>
          </w:r>
          <w:r>
            <w:rPr>
              <w:rFonts w:hint="eastAsia" w:ascii="Times New Roman" w:hAnsi="Times New Roman" w:eastAsia="仿宋_GB2312" w:cs="仿宋_GB2312"/>
              <w:szCs w:val="32"/>
              <w:highlight w:val="none"/>
            </w:rPr>
            <w:t>十、政府性基金预算财政拨款收入支出决算表</w:t>
          </w:r>
          <w:r>
            <w:tab/>
          </w:r>
          <w:r>
            <w:fldChar w:fldCharType="begin"/>
          </w:r>
          <w:r>
            <w:instrText xml:space="preserve"> PAGEREF _Toc28378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_Toc936 </w:instrText>
          </w:r>
          <w:r>
            <w:fldChar w:fldCharType="separate"/>
          </w:r>
          <w:r>
            <w:rPr>
              <w:rFonts w:hint="eastAsia" w:ascii="Times New Roman" w:hAnsi="Times New Roman" w:eastAsia="仿宋_GB2312" w:cs="仿宋_GB2312"/>
              <w:szCs w:val="32"/>
              <w:highlight w:val="none"/>
            </w:rPr>
            <w:t>十一、国有资本经营预算</w:t>
          </w:r>
          <w:r>
            <w:rPr>
              <w:rFonts w:hint="eastAsia" w:ascii="Times New Roman" w:hAnsi="Times New Roman" w:eastAsia="仿宋_GB2312" w:cs="仿宋_GB2312"/>
              <w:szCs w:val="32"/>
              <w:highlight w:val="none"/>
              <w:lang w:eastAsia="zh-CN"/>
            </w:rPr>
            <w:t>财政拨款收入</w:t>
          </w:r>
          <w:r>
            <w:rPr>
              <w:rFonts w:hint="eastAsia" w:ascii="Times New Roman" w:hAnsi="Times New Roman" w:eastAsia="仿宋_GB2312" w:cs="仿宋_GB2312"/>
              <w:szCs w:val="32"/>
              <w:highlight w:val="none"/>
            </w:rPr>
            <w:t>支出决算表</w:t>
          </w:r>
          <w:r>
            <w:tab/>
          </w:r>
          <w:r>
            <w:fldChar w:fldCharType="begin"/>
          </w:r>
          <w:r>
            <w:instrText xml:space="preserve"> PAGEREF _Toc936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_Toc11450 </w:instrText>
          </w:r>
          <w:r>
            <w:fldChar w:fldCharType="separate"/>
          </w:r>
          <w:r>
            <w:rPr>
              <w:rFonts w:hint="eastAsia" w:ascii="Times New Roman" w:hAnsi="Times New Roman" w:eastAsia="仿宋_GB2312" w:cs="仿宋_GB2312"/>
              <w:szCs w:val="32"/>
              <w:highlight w:val="none"/>
            </w:rPr>
            <w:t>十二、</w:t>
          </w:r>
          <w:r>
            <w:rPr>
              <w:rFonts w:hint="eastAsia" w:ascii="Times New Roman" w:hAnsi="Times New Roman" w:eastAsia="仿宋_GB2312" w:cs="仿宋_GB2312"/>
              <w:szCs w:val="32"/>
              <w:highlight w:val="none"/>
              <w:lang w:eastAsia="zh-CN"/>
            </w:rPr>
            <w:t>国有资本经营预算财政拨款支出决算表</w:t>
          </w:r>
          <w:r>
            <w:tab/>
          </w:r>
          <w:r>
            <w:fldChar w:fldCharType="begin"/>
          </w:r>
          <w:r>
            <w:instrText xml:space="preserve"> PAGEREF _Toc11450 \h </w:instrText>
          </w:r>
          <w:r>
            <w:fldChar w:fldCharType="separate"/>
          </w:r>
          <w:r>
            <w:t>15</w:t>
          </w:r>
          <w:r>
            <w:fldChar w:fldCharType="end"/>
          </w:r>
          <w:r>
            <w:fldChar w:fldCharType="end"/>
          </w:r>
        </w:p>
        <w:p>
          <w:pPr>
            <w:pStyle w:val="36"/>
            <w:tabs>
              <w:tab w:val="right" w:leader="dot" w:pos="8306"/>
            </w:tabs>
            <w:rPr>
              <w:rFonts w:ascii="Times New Roman" w:hAnsi="Times New Roman" w:eastAsia="宋体" w:cs="Times New Roman"/>
              <w:b/>
              <w:kern w:val="2"/>
              <w:sz w:val="21"/>
              <w:szCs w:val="24"/>
              <w:lang w:val="en-US" w:eastAsia="zh-CN" w:bidi="ar-SA"/>
            </w:rPr>
          </w:pPr>
          <w:r>
            <w:fldChar w:fldCharType="begin"/>
          </w:r>
          <w:r>
            <w:instrText xml:space="preserve"> HYPERLINK \l _Toc0 </w:instrText>
          </w:r>
          <w:r>
            <w:fldChar w:fldCharType="separate"/>
          </w:r>
          <w:r>
            <w:rPr>
              <w:rFonts w:hint="eastAsia" w:ascii="Times New Roman" w:hAnsi="Times New Roman" w:eastAsia="仿宋_GB2312" w:cs="仿宋_GB2312"/>
              <w:szCs w:val="32"/>
              <w:highlight w:val="none"/>
            </w:rPr>
            <w:t>十三、</w:t>
          </w:r>
          <w:r>
            <w:rPr>
              <w:rFonts w:hint="eastAsia" w:ascii="Times New Roman" w:hAnsi="Times New Roman" w:eastAsia="仿宋_GB2312" w:cs="仿宋_GB2312"/>
              <w:szCs w:val="32"/>
              <w:highlight w:val="none"/>
              <w:lang w:eastAsia="zh-CN"/>
            </w:rPr>
            <w:t>财政拨款“三公”经费支出决算表</w:t>
          </w:r>
          <w:r>
            <w:tab/>
          </w:r>
          <w:r>
            <w:fldChar w:fldCharType="begin"/>
          </w:r>
          <w:r>
            <w:instrText xml:space="preserve"> PAGEREF _Toc0 \h </w:instrText>
          </w:r>
          <w:r>
            <w:fldChar w:fldCharType="separate"/>
          </w:r>
          <w:r>
            <w:t>15</w:t>
          </w:r>
          <w:r>
            <w:fldChar w:fldCharType="end"/>
          </w:r>
          <w:r>
            <w:fldChar w:fldCharType="end"/>
          </w:r>
          <w:r>
            <w:rPr>
              <w:b/>
            </w:rPr>
            <w:fldChar w:fldCharType="end"/>
          </w:r>
        </w:p>
      </w:sdtContent>
    </w:sdt>
    <w:p>
      <w:pPr>
        <w:rPr>
          <w:rFonts w:hint="eastAsia"/>
        </w:rPr>
      </w:pP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sectPr>
          <w:footerReference r:id="rId6" w:type="first"/>
          <w:footerReference r:id="rId5" w:type="default"/>
          <w:pgSz w:w="11906" w:h="16838"/>
          <w:pgMar w:top="2098" w:right="1474" w:bottom="1984" w:left="1587" w:header="851" w:footer="1304" w:gutter="0"/>
          <w:pgNumType w:fmt="decimal" w:start="1"/>
          <w:cols w:space="0" w:num="1"/>
          <w:titlePg/>
          <w:rtlGutter w:val="0"/>
          <w:docGrid w:type="lines" w:linePitch="312" w:charSpace="0"/>
        </w:sectPr>
      </w:pPr>
      <w:bookmarkStart w:id="6" w:name="_Toc13039"/>
      <w:bookmarkStart w:id="7" w:name="_Toc20267"/>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第一部分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 xml:space="preserve"> </w:t>
      </w:r>
      <w:bookmarkEnd w:id="6"/>
      <w:r>
        <w:rPr>
          <w:rFonts w:hint="eastAsia" w:ascii="方正小标宋简体" w:hAnsi="方正小标宋简体" w:eastAsia="方正小标宋简体" w:cs="方正小标宋简体"/>
          <w:color w:val="auto"/>
          <w:sz w:val="44"/>
          <w:szCs w:val="44"/>
          <w:highlight w:val="none"/>
        </w:rPr>
        <w:t>单位概况</w:t>
      </w:r>
      <w:bookmarkEnd w:id="7"/>
    </w:p>
    <w:p>
      <w:pPr>
        <w:keepNext w:val="0"/>
        <w:keepLines w:val="0"/>
        <w:pageBreakBefore w:val="0"/>
        <w:widowControl w:val="0"/>
        <w:kinsoku/>
        <w:wordWrap/>
        <w:overflowPunct w:val="0"/>
        <w:topLinePunct/>
        <w:autoSpaceDE w:val="0"/>
        <w:autoSpaceDN w:val="0"/>
        <w:bidi w:val="0"/>
        <w:adjustRightInd/>
        <w:snapToGrid/>
        <w:spacing w:line="576" w:lineRule="exact"/>
        <w:textAlignment w:val="auto"/>
        <w:rPr>
          <w:rFonts w:hint="eastAsia"/>
        </w:rPr>
      </w:pPr>
    </w:p>
    <w:p>
      <w:pPr>
        <w:keepNext w:val="0"/>
        <w:keepLines w:val="0"/>
        <w:pageBreakBefore w:val="0"/>
        <w:widowControl w:val="0"/>
        <w:numPr>
          <w:ilvl w:val="0"/>
          <w:numId w:val="1"/>
        </w:numPr>
        <w:kinsoku/>
        <w:wordWrap/>
        <w:overflowPunct w:val="0"/>
        <w:topLinePunct/>
        <w:autoSpaceDE w:val="0"/>
        <w:autoSpaceDN w:val="0"/>
        <w:bidi w:val="0"/>
        <w:adjustRightInd/>
        <w:snapToGrid/>
        <w:spacing w:before="0" w:after="0" w:line="576" w:lineRule="exact"/>
        <w:ind w:firstLine="640" w:firstLineChars="200"/>
        <w:textAlignment w:val="auto"/>
        <w:outlineLvl w:val="1"/>
        <w:rPr>
          <w:rFonts w:hint="eastAsia" w:ascii="Times New Roman" w:hAnsi="Times New Roman" w:eastAsia="黑体"/>
          <w:b w:val="0"/>
          <w:color w:val="auto"/>
          <w:sz w:val="32"/>
          <w:szCs w:val="32"/>
          <w:highlight w:val="none"/>
          <w:lang w:eastAsia="zh-CN"/>
        </w:rPr>
      </w:pPr>
      <w:bookmarkStart w:id="8" w:name="_Toc12124"/>
      <w:bookmarkStart w:id="9" w:name="_Toc5068"/>
      <w:r>
        <w:rPr>
          <w:rFonts w:hint="eastAsia" w:eastAsia="黑体"/>
          <w:b w:val="0"/>
          <w:color w:val="auto"/>
          <w:sz w:val="32"/>
          <w:szCs w:val="32"/>
          <w:highlight w:val="none"/>
          <w:lang w:val="en-US" w:eastAsia="zh-CN"/>
        </w:rPr>
        <w:t>主要</w:t>
      </w:r>
      <w:r>
        <w:rPr>
          <w:rFonts w:hint="eastAsia" w:ascii="Times New Roman" w:hAnsi="Times New Roman" w:eastAsia="黑体"/>
          <w:b w:val="0"/>
          <w:color w:val="auto"/>
          <w:sz w:val="32"/>
          <w:szCs w:val="32"/>
          <w:highlight w:val="none"/>
          <w:lang w:eastAsia="zh-CN"/>
        </w:rPr>
        <w:t>职责</w:t>
      </w:r>
      <w:bookmarkEnd w:id="8"/>
      <w:bookmarkEnd w:id="9"/>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bookmarkStart w:id="10" w:name="_Toc15396602"/>
      <w:bookmarkStart w:id="11" w:name="_Toc15377204"/>
      <w:r>
        <w:rPr>
          <w:rFonts w:hint="eastAsia" w:ascii="仿宋_GB2312" w:hAnsi="黑体" w:eastAsia="仿宋_GB2312"/>
          <w:color w:val="000000" w:themeColor="text1"/>
          <w:sz w:val="32"/>
          <w:szCs w:val="32"/>
          <w14:textFill>
            <w14:solidFill>
              <w14:schemeClr w14:val="tx1"/>
            </w14:solidFill>
          </w14:textFill>
        </w:rPr>
        <w:t>广元市救助管理站负责为全市生活无着的流浪乞讨人员提供救助服务，承担我省对北方十省（市、区）跨省救助业务，为农村留守儿童和困境未成年人提供关爱、保护，为家庭暴力受害者提供临时庇护等。</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1</w:t>
      </w:r>
      <w:r>
        <w:rPr>
          <w:rFonts w:hint="eastAsia" w:ascii="仿宋_GB2312" w:hAnsi="黑体" w:eastAsia="仿宋_GB2312"/>
          <w:color w:val="000000" w:themeColor="text1"/>
          <w:sz w:val="32"/>
          <w:szCs w:val="32"/>
          <w:lang w:eastAsia="zh-CN"/>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认真研究市局下达的目标任务，结合我站实际制定全年工作计划，确保高质量、高标准完成全年救助工作和未保工作目标任务。</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延展“2+2+N”服务工作内涵，契合“双减”大政策，科学分配资源，优化服务质量，创新服务方式。</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3.</w:t>
      </w:r>
      <w:r>
        <w:rPr>
          <w:rFonts w:hint="eastAsia" w:ascii="仿宋_GB2312" w:hAnsi="黑体" w:eastAsia="仿宋_GB2312"/>
          <w:color w:val="000000" w:themeColor="text1"/>
          <w:sz w:val="32"/>
          <w:szCs w:val="32"/>
          <w14:textFill>
            <w14:solidFill>
              <w14:schemeClr w14:val="tx1"/>
            </w14:solidFill>
          </w14:textFill>
        </w:rPr>
        <w:t>持续推动项目建设，加快推进广元市未成年人社会保护中心未成年人救助保护机构能力建设项目。</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4.</w:t>
      </w:r>
      <w:r>
        <w:rPr>
          <w:rFonts w:hint="eastAsia" w:ascii="仿宋_GB2312" w:hAnsi="黑体" w:eastAsia="仿宋_GB2312"/>
          <w:color w:val="000000" w:themeColor="text1"/>
          <w:sz w:val="32"/>
          <w:szCs w:val="32"/>
          <w14:textFill>
            <w14:solidFill>
              <w14:schemeClr w14:val="tx1"/>
            </w14:solidFill>
          </w14:textFill>
        </w:rPr>
        <w:t>健全完善各项安全制度和突发事件应急预案，常态化检查站内各类设施设备，做好安全台账记录，定期开展安全培训及现场演习，确保不出现安全事故。</w:t>
      </w:r>
      <w:bookmarkStart w:id="12" w:name="_Toc15396601"/>
      <w:bookmarkStart w:id="13" w:name="_Toc15377200"/>
    </w:p>
    <w:p>
      <w:pPr>
        <w:pStyle w:val="2"/>
        <w:keepNext w:val="0"/>
        <w:keepLines w:val="0"/>
        <w:pageBreakBefore w:val="0"/>
        <w:widowControl w:val="0"/>
        <w:kinsoku/>
        <w:wordWrap/>
        <w:bidi w:val="0"/>
        <w:spacing w:line="576" w:lineRule="exact"/>
        <w:textAlignment w:val="auto"/>
        <w:rPr>
          <w:rFonts w:hint="eastAsia" w:ascii="仿宋_GB2312" w:hAnsi="黑体" w:eastAsia="仿宋_GB2312"/>
          <w:color w:val="000000" w:themeColor="text1"/>
          <w:sz w:val="32"/>
          <w:szCs w:val="32"/>
          <w14:textFill>
            <w14:solidFill>
              <w14:schemeClr w14:val="tx1"/>
            </w14:solidFill>
          </w14:textFill>
        </w:rPr>
      </w:pPr>
    </w:p>
    <w:p>
      <w:pPr>
        <w:pStyle w:val="2"/>
        <w:keepNext w:val="0"/>
        <w:keepLines w:val="0"/>
        <w:pageBreakBefore w:val="0"/>
        <w:widowControl w:val="0"/>
        <w:kinsoku/>
        <w:wordWrap/>
        <w:bidi w:val="0"/>
        <w:spacing w:line="576" w:lineRule="exact"/>
        <w:textAlignment w:val="auto"/>
        <w:rPr>
          <w:rFonts w:hint="eastAsia" w:ascii="仿宋_GB2312" w:hAnsi="黑体" w:eastAsia="仿宋_GB2312"/>
          <w:color w:val="000000" w:themeColor="text1"/>
          <w:sz w:val="32"/>
          <w:szCs w:val="32"/>
          <w14:textFill>
            <w14:solidFill>
              <w14:schemeClr w14:val="tx1"/>
            </w14:solidFill>
          </w14:textFill>
        </w:rPr>
      </w:pPr>
    </w:p>
    <w:p>
      <w:pPr>
        <w:pStyle w:val="2"/>
        <w:keepNext w:val="0"/>
        <w:keepLines w:val="0"/>
        <w:pageBreakBefore w:val="0"/>
        <w:widowControl w:val="0"/>
        <w:kinsoku/>
        <w:wordWrap/>
        <w:bidi w:val="0"/>
        <w:spacing w:line="576" w:lineRule="exact"/>
        <w:textAlignment w:val="auto"/>
        <w:rPr>
          <w:rFonts w:hint="eastAsia" w:ascii="仿宋_GB2312" w:hAnsi="黑体" w:eastAsia="仿宋_GB2312"/>
          <w:color w:val="000000" w:themeColor="text1"/>
          <w:sz w:val="32"/>
          <w:szCs w:val="32"/>
          <w14:textFill>
            <w14:solidFill>
              <w14:schemeClr w14:val="tx1"/>
            </w14:solidFill>
          </w14:textFill>
        </w:rPr>
      </w:pPr>
    </w:p>
    <w:p>
      <w:pPr>
        <w:pStyle w:val="2"/>
        <w:keepNext w:val="0"/>
        <w:keepLines w:val="0"/>
        <w:pageBreakBefore w:val="0"/>
        <w:widowControl w:val="0"/>
        <w:kinsoku/>
        <w:wordWrap/>
        <w:bidi w:val="0"/>
        <w:spacing w:line="576" w:lineRule="exact"/>
        <w:textAlignment w:val="auto"/>
        <w:rPr>
          <w:rFonts w:hint="eastAsia" w:ascii="仿宋_GB2312" w:hAnsi="黑体" w:eastAsia="仿宋_GB2312"/>
          <w:color w:val="000000" w:themeColor="text1"/>
          <w:sz w:val="32"/>
          <w:szCs w:val="32"/>
          <w14:textFill>
            <w14:solidFill>
              <w14:schemeClr w14:val="tx1"/>
            </w14:solidFill>
          </w14:textFill>
        </w:rPr>
      </w:pPr>
    </w:p>
    <w:bookmarkEnd w:id="12"/>
    <w:bookmarkEnd w:id="13"/>
    <w:p>
      <w:pPr>
        <w:keepNext w:val="0"/>
        <w:keepLines w:val="0"/>
        <w:pageBreakBefore w:val="0"/>
        <w:widowControl w:val="0"/>
        <w:kinsoku/>
        <w:wordWrap/>
        <w:overflowPunct w:val="0"/>
        <w:topLinePunct/>
        <w:autoSpaceDE w:val="0"/>
        <w:autoSpaceDN w:val="0"/>
        <w:bidi w:val="0"/>
        <w:spacing w:before="0" w:after="0" w:line="576" w:lineRule="exact"/>
        <w:ind w:firstLine="640" w:firstLineChars="200"/>
        <w:textAlignment w:val="auto"/>
        <w:outlineLvl w:val="1"/>
        <w:rPr>
          <w:rStyle w:val="20"/>
          <w:rFonts w:ascii="Times New Roman" w:hAnsi="Times New Roman"/>
          <w:b w:val="0"/>
          <w:bCs w:val="0"/>
          <w:color w:val="auto"/>
          <w:sz w:val="32"/>
          <w:szCs w:val="32"/>
          <w:highlight w:val="none"/>
        </w:rPr>
      </w:pPr>
      <w:bookmarkStart w:id="14" w:name="_Toc14094"/>
      <w:r>
        <w:rPr>
          <w:rFonts w:hint="eastAsia" w:ascii="Times New Roman" w:hAnsi="Times New Roman" w:eastAsia="黑体"/>
          <w:b w:val="0"/>
          <w:color w:val="auto"/>
          <w:sz w:val="32"/>
          <w:szCs w:val="32"/>
          <w:highlight w:val="none"/>
        </w:rPr>
        <w:t>二、机构设置</w:t>
      </w:r>
      <w:bookmarkEnd w:id="14"/>
    </w:p>
    <w:p>
      <w:pPr>
        <w:keepNext w:val="0"/>
        <w:keepLines w:val="0"/>
        <w:pageBreakBefore w:val="0"/>
        <w:widowControl w:val="0"/>
        <w:numPr>
          <w:ilvl w:val="0"/>
          <w:numId w:val="0"/>
        </w:numPr>
        <w:tabs>
          <w:tab w:val="left" w:pos="806"/>
        </w:tabs>
        <w:kinsoku/>
        <w:wordWrap/>
        <w:overflowPunct w:val="0"/>
        <w:topLinePunct/>
        <w:autoSpaceDE w:val="0"/>
        <w:autoSpaceDN w:val="0"/>
        <w:bidi w:val="0"/>
        <w:adjustRightInd/>
        <w:snapToGrid/>
        <w:spacing w:line="576" w:lineRule="exact"/>
        <w:ind w:firstLine="640" w:firstLineChars="200"/>
        <w:jc w:val="left"/>
        <w:textAlignment w:val="auto"/>
        <w:outlineLvl w:val="9"/>
        <w:rPr>
          <w:rFonts w:hint="eastAsia"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sz w:val="32"/>
          <w:szCs w:val="32"/>
          <w:lang w:val="en-US" w:eastAsia="zh-CN"/>
        </w:rPr>
        <w:t>广元市救助管理站属于广元市民政局部门下属的二级预算单位，下设独立编制机构1个，其中行政机构0个，参照公务员法管理的事业机构0个，其他事业机构1个。</w:t>
      </w:r>
    </w:p>
    <w:p>
      <w:pPr>
        <w:keepNext w:val="0"/>
        <w:keepLines w:val="0"/>
        <w:pageBreakBefore w:val="0"/>
        <w:widowControl w:val="0"/>
        <w:numPr>
          <w:ilvl w:val="0"/>
          <w:numId w:val="0"/>
        </w:numPr>
        <w:tabs>
          <w:tab w:val="left" w:pos="806"/>
        </w:tabs>
        <w:kinsoku/>
        <w:wordWrap/>
        <w:overflowPunct w:val="0"/>
        <w:topLinePunct/>
        <w:autoSpaceDE w:val="0"/>
        <w:autoSpaceDN w:val="0"/>
        <w:bidi w:val="0"/>
        <w:adjustRightInd/>
        <w:snapToGrid/>
        <w:spacing w:line="576" w:lineRule="exact"/>
        <w:ind w:firstLine="640" w:firstLineChars="200"/>
        <w:jc w:val="left"/>
        <w:textAlignment w:val="auto"/>
        <w:outlineLvl w:val="9"/>
        <w:rPr>
          <w:rFonts w:hint="eastAsia"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sz w:val="32"/>
          <w:szCs w:val="32"/>
          <w:lang w:val="en-US" w:eastAsia="zh-CN"/>
        </w:rPr>
        <w:t>纳入2024年度单位决算编制范围的独立编制机构包括：</w:t>
      </w:r>
    </w:p>
    <w:p>
      <w:pPr>
        <w:keepNext w:val="0"/>
        <w:keepLines w:val="0"/>
        <w:pageBreakBefore w:val="0"/>
        <w:widowControl w:val="0"/>
        <w:numPr>
          <w:ilvl w:val="0"/>
          <w:numId w:val="0"/>
        </w:numPr>
        <w:tabs>
          <w:tab w:val="left" w:pos="806"/>
        </w:tabs>
        <w:kinsoku/>
        <w:wordWrap/>
        <w:overflowPunct w:val="0"/>
        <w:topLinePunct/>
        <w:autoSpaceDE w:val="0"/>
        <w:autoSpaceDN w:val="0"/>
        <w:bidi w:val="0"/>
        <w:adjustRightInd/>
        <w:snapToGrid/>
        <w:spacing w:line="576" w:lineRule="exact"/>
        <w:ind w:firstLine="640" w:firstLineChars="200"/>
        <w:jc w:val="left"/>
        <w:textAlignment w:val="auto"/>
        <w:outlineLvl w:val="9"/>
        <w:rPr>
          <w:rFonts w:hint="default"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sz w:val="32"/>
          <w:szCs w:val="32"/>
          <w:lang w:val="en-US" w:eastAsia="zh-CN"/>
        </w:rPr>
        <w:t>1．广元市救助管理站</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both"/>
        <w:textAlignment w:val="auto"/>
        <w:outlineLvl w:val="9"/>
        <w:rPr>
          <w:rFonts w:hint="eastAsia" w:ascii="方正小标宋简体" w:hAnsi="方正小标宋简体" w:eastAsia="方正小标宋简体" w:cs="方正小标宋简体"/>
          <w:color w:val="auto"/>
          <w:sz w:val="44"/>
          <w:szCs w:val="44"/>
          <w:highlight w:val="none"/>
        </w:rPr>
      </w:pPr>
    </w:p>
    <w:p>
      <w:pPr>
        <w:pStyle w:val="22"/>
        <w:pageBreakBefore w:val="0"/>
        <w:widowControl w:val="0"/>
        <w:kinsoku/>
        <w:wordWrap/>
        <w:bidi w:val="0"/>
        <w:spacing w:line="576" w:lineRule="exact"/>
        <w:textAlignment w:val="auto"/>
        <w:outlineLvl w:val="9"/>
        <w:rPr>
          <w:rFonts w:hint="eastAsia" w:ascii="方正小标宋简体" w:hAnsi="方正小标宋简体" w:eastAsia="方正小标宋简体" w:cs="方正小标宋简体"/>
          <w:color w:val="auto"/>
          <w:sz w:val="44"/>
          <w:szCs w:val="44"/>
          <w:highlight w:val="none"/>
        </w:rPr>
      </w:pPr>
    </w:p>
    <w:p>
      <w:pPr>
        <w:pageBreakBefore w:val="0"/>
        <w:widowControl w:val="0"/>
        <w:kinsoku/>
        <w:wordWrap/>
        <w:bidi w:val="0"/>
        <w:spacing w:line="576" w:lineRule="exact"/>
        <w:textAlignment w:val="auto"/>
        <w:rPr>
          <w:rFonts w:hint="eastAsia" w:ascii="方正小标宋简体" w:hAnsi="方正小标宋简体" w:eastAsia="方正小标宋简体" w:cs="方正小标宋简体"/>
          <w:color w:val="auto"/>
          <w:sz w:val="44"/>
          <w:szCs w:val="44"/>
          <w:highlight w:val="none"/>
        </w:rPr>
      </w:pPr>
    </w:p>
    <w:p>
      <w:pPr>
        <w:pageBreakBefore w:val="0"/>
        <w:widowControl w:val="0"/>
        <w:kinsoku/>
        <w:wordWrap/>
        <w:bidi w:val="0"/>
        <w:spacing w:line="576" w:lineRule="exact"/>
        <w:textAlignment w:val="auto"/>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9"/>
        <w:rPr>
          <w:rFonts w:hint="eastAsia" w:ascii="方正小标宋简体" w:hAnsi="方正小标宋简体" w:eastAsia="方正小标宋简体" w:cs="方正小标宋简体"/>
          <w:color w:val="auto"/>
          <w:sz w:val="44"/>
          <w:szCs w:val="44"/>
          <w:highlight w:val="none"/>
        </w:rPr>
      </w:pPr>
    </w:p>
    <w:p>
      <w:pPr>
        <w:keepNext w:val="0"/>
        <w:keepLines w:val="0"/>
        <w:pageBreakBefore w:val="0"/>
        <w:widowControl w:val="0"/>
        <w:numPr>
          <w:ilvl w:val="0"/>
          <w:numId w:val="2"/>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bookmarkStart w:id="15" w:name="_Toc31223"/>
      <w:r>
        <w:rPr>
          <w:rFonts w:hint="eastAsia" w:ascii="方正小标宋简体" w:hAnsi="方正小标宋简体" w:eastAsia="方正小标宋简体" w:cs="方正小标宋简体"/>
          <w:color w:val="auto"/>
          <w:sz w:val="44"/>
          <w:szCs w:val="44"/>
          <w:highlight w:val="none"/>
        </w:rPr>
        <w:t xml:space="preserve"> </w:t>
      </w:r>
      <w:bookmarkStart w:id="16" w:name="_Toc24212"/>
      <w:r>
        <w:rPr>
          <w:rFonts w:hint="eastAsia" w:ascii="方正小标宋简体" w:hAnsi="方正小标宋简体" w:eastAsia="方正小标宋简体" w:cs="方正小标宋简体"/>
          <w:color w:val="auto"/>
          <w:sz w:val="44"/>
          <w:szCs w:val="44"/>
          <w:highlight w:val="none"/>
          <w:lang w:val="en-US" w:eastAsia="zh-CN"/>
        </w:rPr>
        <w:t>2024年度单位</w:t>
      </w:r>
      <w:r>
        <w:rPr>
          <w:rFonts w:hint="eastAsia" w:ascii="方正小标宋简体" w:hAnsi="方正小标宋简体" w:eastAsia="方正小标宋简体" w:cs="方正小标宋简体"/>
          <w:color w:val="auto"/>
          <w:sz w:val="44"/>
          <w:szCs w:val="44"/>
          <w:highlight w:val="none"/>
        </w:rPr>
        <w:t>决算情况说明</w:t>
      </w:r>
      <w:bookmarkEnd w:id="10"/>
      <w:bookmarkEnd w:id="11"/>
      <w:bookmarkEnd w:id="15"/>
      <w:bookmarkEnd w:id="16"/>
    </w:p>
    <w:p>
      <w:pPr>
        <w:pStyle w:val="22"/>
        <w:numPr>
          <w:ilvl w:val="0"/>
          <w:numId w:val="0"/>
        </w:numPr>
        <w:outlineLvl w:val="9"/>
      </w:pP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hint="eastAsia" w:ascii="Times New Roman" w:hAnsi="Times New Roman" w:eastAsia="黑体"/>
          <w:b w:val="0"/>
          <w:color w:val="auto"/>
          <w:sz w:val="32"/>
          <w:szCs w:val="32"/>
          <w:highlight w:val="none"/>
        </w:rPr>
      </w:pPr>
      <w:bookmarkStart w:id="17" w:name="_Toc15396603"/>
      <w:bookmarkStart w:id="18" w:name="_Toc17891"/>
      <w:bookmarkStart w:id="19" w:name="_Toc15377205"/>
      <w:bookmarkStart w:id="20" w:name="_Toc25206"/>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0"/>
          <w:rFonts w:hint="eastAsia" w:ascii="Times New Roman" w:hAnsi="Times New Roman" w:eastAsia="黑体"/>
          <w:b w:val="0"/>
          <w:color w:val="auto"/>
          <w:sz w:val="32"/>
          <w:szCs w:val="32"/>
          <w:highlight w:val="none"/>
        </w:rPr>
        <w:t>入支出决算总体情况说明</w:t>
      </w:r>
      <w:bookmarkEnd w:id="17"/>
      <w:bookmarkEnd w:id="18"/>
      <w:bookmarkEnd w:id="19"/>
      <w:bookmarkEnd w:id="20"/>
    </w:p>
    <w:p>
      <w:pPr>
        <w:keepNext w:val="0"/>
        <w:keepLines w:val="0"/>
        <w:pageBreakBefore w:val="0"/>
        <w:widowControl w:val="0"/>
        <w:numPr>
          <w:ilvl w:val="0"/>
          <w:numId w:val="0"/>
        </w:numPr>
        <w:tabs>
          <w:tab w:val="left" w:pos="806"/>
        </w:tabs>
        <w:kinsoku/>
        <w:wordWrap/>
        <w:overflowPunct w:val="0"/>
        <w:topLinePunct/>
        <w:autoSpaceDE w:val="0"/>
        <w:autoSpaceDN w:val="0"/>
        <w:bidi w:val="0"/>
        <w:adjustRightInd/>
        <w:snapToGrid/>
        <w:spacing w:line="576" w:lineRule="exact"/>
        <w:ind w:firstLine="640" w:firstLineChars="200"/>
        <w:jc w:val="left"/>
        <w:textAlignment w:val="auto"/>
        <w:outlineLvl w:val="9"/>
        <w:rPr>
          <w:rFonts w:hint="eastAsia"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sz w:val="32"/>
          <w:szCs w:val="32"/>
          <w:lang w:val="en-US" w:eastAsia="zh-CN"/>
        </w:rPr>
        <w:t>2024年度收入、支出总计均为1,503.14万元。与2023年度相比，收入、支出总计各增减少175.2万元，下降10.4%。主要变动原因是本年度项目及人员减少，财政拨款收入、支出减少。</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5104765" cy="3157220"/>
            <wp:effectExtent l="0" t="0" r="635" b="5080"/>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10"/>
                    <a:stretch>
                      <a:fillRect/>
                    </a:stretch>
                  </pic:blipFill>
                  <pic:spPr>
                    <a:xfrm>
                      <a:off x="0" y="0"/>
                      <a:ext cx="5104765" cy="315722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default" w:ascii="仿宋_GB2312" w:hAnsi="仿宋_GB2312" w:eastAsia="仿宋_GB2312"/>
          <w:color w:val="000000"/>
          <w:kern w:val="2"/>
          <w:sz w:val="32"/>
          <w:szCs w:val="32"/>
          <w:highlight w:val="none"/>
          <w:lang w:val="en-US" w:eastAsia="zh-CN"/>
        </w:rPr>
      </w:pPr>
      <w:r>
        <w:rPr>
          <w:rFonts w:hint="eastAsia" w:ascii="仿宋_GB2312" w:hAnsi="仿宋_GB2312" w:eastAsia="仿宋_GB2312"/>
          <w:color w:val="000000"/>
          <w:kern w:val="2"/>
          <w:sz w:val="32"/>
          <w:szCs w:val="32"/>
          <w:highlight w:val="none"/>
          <w:lang w:val="en-US"/>
        </w:rPr>
        <w:t>图1：收、支决算总计变动情况图</w:t>
      </w:r>
      <w:r>
        <w:rPr>
          <w:rFonts w:hint="eastAsia" w:ascii="仿宋_GB2312" w:hAnsi="仿宋_GB2312" w:eastAsia="仿宋_GB2312"/>
          <w:color w:val="000000"/>
          <w:kern w:val="2"/>
          <w:sz w:val="32"/>
          <w:szCs w:val="32"/>
          <w:highlight w:val="none"/>
          <w:lang w:val="en-US" w:eastAsia="zh-CN"/>
        </w:rPr>
        <w:t>（单位：万元）</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1"/>
        <w:rPr>
          <w:rFonts w:hint="eastAsia" w:ascii="Times New Roman" w:hAnsi="Times New Roman" w:eastAsia="黑体"/>
          <w:color w:val="auto"/>
          <w:sz w:val="32"/>
          <w:szCs w:val="32"/>
          <w:highlight w:val="none"/>
          <w:lang w:eastAsia="zh-CN"/>
        </w:rPr>
      </w:pPr>
      <w:bookmarkStart w:id="21" w:name="_Toc15377206"/>
      <w:bookmarkStart w:id="22" w:name="_Toc26949"/>
      <w:bookmarkStart w:id="23" w:name="_Toc15396604"/>
      <w:bookmarkStart w:id="24" w:name="_Toc12167"/>
      <w:r>
        <w:rPr>
          <w:rFonts w:hint="eastAsia" w:ascii="Times New Roman" w:hAnsi="Times New Roman" w:eastAsia="黑体"/>
          <w:color w:val="auto"/>
          <w:sz w:val="32"/>
          <w:szCs w:val="32"/>
          <w:highlight w:val="none"/>
          <w:lang w:eastAsia="zh-CN"/>
        </w:rPr>
        <w:t>二、收入决算情况说明</w:t>
      </w:r>
      <w:bookmarkEnd w:id="21"/>
      <w:bookmarkEnd w:id="22"/>
      <w:bookmarkEnd w:id="23"/>
      <w:bookmarkEnd w:id="24"/>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highlight w:val="none"/>
          <w:lang w:val="en-US" w:eastAsia="zh-CN" w:bidi="ar-SA"/>
        </w:rPr>
      </w:pPr>
      <w:r>
        <w:rPr>
          <w:rFonts w:hint="eastAsia" w:ascii="仿宋_GB2312" w:hAnsi="仿宋_GB2312" w:eastAsia="仿宋_GB2312" w:cs="Times New Roman"/>
          <w:color w:val="000000"/>
          <w:kern w:val="2"/>
          <w:sz w:val="32"/>
          <w:szCs w:val="32"/>
          <w:lang w:val="en-US" w:eastAsia="zh-CN" w:bidi="ar-SA"/>
        </w:rPr>
        <w:t>2024年度本年收入合计1,493.12万元，其中：一般公共预算财政拨款收入1,462.84万元，占9</w:t>
      </w:r>
      <w:r>
        <w:rPr>
          <w:rFonts w:hint="eastAsia" w:ascii="仿宋_GB2312" w:hAnsi="仿宋_GB2312" w:eastAsia="仿宋_GB2312" w:cs="Times New Roman"/>
          <w:color w:val="000000"/>
          <w:kern w:val="2"/>
          <w:sz w:val="32"/>
          <w:szCs w:val="32"/>
          <w:highlight w:val="none"/>
          <w:lang w:val="en-US" w:eastAsia="zh-CN" w:bidi="ar-SA"/>
        </w:rPr>
        <w:t>8%；政府性基金预算财政拨款收入30.28万元，占2%。</w:t>
      </w:r>
    </w:p>
    <w:p>
      <w:pPr>
        <w:keepNext w:val="0"/>
        <w:keepLines w:val="0"/>
        <w:pageBreakBefore w:val="0"/>
        <w:widowControl w:val="0"/>
        <w:kinsoku/>
        <w:wordWrap/>
        <w:overflowPunct w:val="0"/>
        <w:topLinePunct/>
        <w:autoSpaceDE w:val="0"/>
        <w:autoSpaceDN w:val="0"/>
        <w:bidi w:val="0"/>
        <w:adjustRightInd/>
        <w:snapToGrid/>
        <w:spacing w:line="576" w:lineRule="exact"/>
        <w:jc w:val="both"/>
        <w:textAlignment w:val="auto"/>
        <w:outlineLvl w:val="9"/>
        <w:rPr>
          <w:rFonts w:hint="eastAsia" w:ascii="仿宋_GB2312" w:hAnsi="仿宋_GB2312" w:eastAsia="仿宋_GB2312" w:cs="Times New Roman"/>
          <w:color w:val="000000"/>
          <w:kern w:val="2"/>
          <w:sz w:val="32"/>
          <w:szCs w:val="32"/>
          <w:lang w:val="en-US" w:eastAsia="zh-CN" w:bidi="ar-SA"/>
        </w:rPr>
      </w:pPr>
    </w:p>
    <w:p>
      <w:pPr>
        <w:keepNext w:val="0"/>
        <w:keepLines w:val="0"/>
        <w:pageBreakBefore w:val="0"/>
        <w:widowControl w:val="0"/>
        <w:kinsoku/>
        <w:wordWrap/>
        <w:overflowPunct w:val="0"/>
        <w:topLinePunct/>
        <w:autoSpaceDE w:val="0"/>
        <w:autoSpaceDN w:val="0"/>
        <w:bidi w:val="0"/>
        <w:adjustRightInd/>
        <w:snapToGrid/>
        <w:spacing w:line="240" w:lineRule="auto"/>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5233670" cy="3145790"/>
            <wp:effectExtent l="0" t="0" r="5080" b="16510"/>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pic:cNvPicPr>
                  </pic:nvPicPr>
                  <pic:blipFill>
                    <a:blip r:embed="rId11"/>
                    <a:stretch>
                      <a:fillRect/>
                    </a:stretch>
                  </pic:blipFill>
                  <pic:spPr>
                    <a:xfrm>
                      <a:off x="0" y="0"/>
                      <a:ext cx="5233670" cy="314579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仿宋_GB2312" w:hAnsi="仿宋_GB2312" w:eastAsia="仿宋_GB2312"/>
          <w:color w:val="000000"/>
          <w:kern w:val="2"/>
          <w:sz w:val="32"/>
          <w:szCs w:val="32"/>
          <w:lang w:val="en-US" w:eastAsia="zh-CN"/>
        </w:rPr>
      </w:pPr>
      <w:r>
        <w:rPr>
          <w:rFonts w:hint="eastAsia" w:ascii="仿宋_GB2312" w:hAnsi="仿宋_GB2312" w:eastAsia="仿宋_GB2312"/>
          <w:color w:val="000000"/>
          <w:kern w:val="2"/>
          <w:sz w:val="32"/>
          <w:szCs w:val="32"/>
          <w:highlight w:val="none"/>
          <w:lang w:val="en-US"/>
        </w:rPr>
        <w:t>图2：收入决算结构图</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hint="eastAsia" w:ascii="Times New Roman" w:hAnsi="Times New Roman" w:eastAsia="黑体"/>
          <w:b w:val="0"/>
          <w:color w:val="auto"/>
          <w:sz w:val="32"/>
          <w:szCs w:val="32"/>
          <w:highlight w:val="none"/>
        </w:rPr>
      </w:pPr>
      <w:bookmarkStart w:id="25" w:name="_Toc15377207"/>
      <w:bookmarkStart w:id="26" w:name="_Toc15127"/>
      <w:bookmarkStart w:id="27" w:name="_Toc23133"/>
      <w:bookmarkStart w:id="28"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0"/>
          <w:rFonts w:hint="eastAsia" w:ascii="Times New Roman" w:hAnsi="Times New Roman" w:eastAsia="黑体"/>
          <w:b w:val="0"/>
          <w:color w:val="auto"/>
          <w:sz w:val="32"/>
          <w:szCs w:val="32"/>
          <w:highlight w:val="none"/>
        </w:rPr>
        <w:t>出决算情况说明</w:t>
      </w:r>
      <w:bookmarkEnd w:id="25"/>
      <w:bookmarkEnd w:id="26"/>
      <w:bookmarkEnd w:id="27"/>
      <w:bookmarkEnd w:id="28"/>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2024年度本年支出合计1,503.14万元，其中：基本支出915.49万元，占60.9%；项目支出587.65万元，占39.1%。</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4940935" cy="2969895"/>
            <wp:effectExtent l="0" t="0" r="12065" b="1905"/>
            <wp:docPr id="7"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true"/>
                    </pic:cNvPicPr>
                  </pic:nvPicPr>
                  <pic:blipFill>
                    <a:blip r:embed="rId12"/>
                    <a:stretch>
                      <a:fillRect/>
                    </a:stretch>
                  </pic:blipFill>
                  <pic:spPr>
                    <a:xfrm>
                      <a:off x="0" y="0"/>
                      <a:ext cx="4940935" cy="296989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图3：支出决算结构图</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ascii="Times New Roman" w:hAnsi="Times New Roman" w:eastAsia="黑体"/>
          <w:b w:val="0"/>
          <w:color w:val="auto"/>
          <w:sz w:val="32"/>
          <w:szCs w:val="32"/>
          <w:highlight w:val="none"/>
        </w:rPr>
      </w:pPr>
      <w:bookmarkStart w:id="29" w:name="_Toc32710"/>
      <w:bookmarkStart w:id="30" w:name="_Toc27853"/>
      <w:bookmarkStart w:id="31" w:name="_Toc15377208"/>
      <w:bookmarkStart w:id="32" w:name="_Toc15396606"/>
      <w:r>
        <w:rPr>
          <w:rFonts w:hint="eastAsia" w:ascii="Times New Roman" w:hAnsi="Times New Roman" w:eastAsia="黑体"/>
          <w:color w:val="auto"/>
          <w:sz w:val="32"/>
          <w:szCs w:val="32"/>
          <w:highlight w:val="none"/>
        </w:rPr>
        <w:t>四、财</w:t>
      </w:r>
      <w:r>
        <w:rPr>
          <w:rStyle w:val="20"/>
          <w:rFonts w:hint="eastAsia" w:ascii="Times New Roman" w:hAnsi="Times New Roman" w:eastAsia="黑体"/>
          <w:b w:val="0"/>
          <w:color w:val="auto"/>
          <w:sz w:val="32"/>
          <w:szCs w:val="32"/>
          <w:highlight w:val="none"/>
        </w:rPr>
        <w:t>政拨款收入支出决算总体情况说明</w:t>
      </w:r>
      <w:bookmarkEnd w:id="29"/>
      <w:bookmarkEnd w:id="30"/>
      <w:bookmarkEnd w:id="31"/>
      <w:bookmarkEnd w:id="32"/>
    </w:p>
    <w:p>
      <w:pPr>
        <w:keepNext w:val="0"/>
        <w:keepLines w:val="0"/>
        <w:pageBreakBefore w:val="0"/>
        <w:widowControl w:val="0"/>
        <w:numPr>
          <w:ilvl w:val="0"/>
          <w:numId w:val="0"/>
        </w:numPr>
        <w:tabs>
          <w:tab w:val="left" w:pos="806"/>
        </w:tabs>
        <w:kinsoku/>
        <w:wordWrap/>
        <w:overflowPunct w:val="0"/>
        <w:topLinePunct/>
        <w:autoSpaceDE w:val="0"/>
        <w:autoSpaceDN w:val="0"/>
        <w:bidi w:val="0"/>
        <w:adjustRightInd/>
        <w:snapToGrid/>
        <w:spacing w:line="576" w:lineRule="exact"/>
        <w:ind w:firstLine="640" w:firstLineChars="200"/>
        <w:jc w:val="left"/>
        <w:textAlignment w:val="auto"/>
        <w:outlineLvl w:val="9"/>
        <w:rPr>
          <w:rFonts w:hint="eastAsia"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kern w:val="2"/>
          <w:sz w:val="32"/>
          <w:szCs w:val="32"/>
          <w:lang w:val="en-US" w:eastAsia="zh-CN" w:bidi="ar-SA"/>
        </w:rPr>
        <w:t>2024年度财政拨款收入、支出总计均为</w:t>
      </w:r>
      <w:r>
        <w:rPr>
          <w:rFonts w:hint="eastAsia" w:ascii="仿宋_GB2312" w:hAnsi="仿宋_GB2312" w:eastAsia="仿宋_GB2312" w:cs="Times New Roman"/>
          <w:color w:val="000000"/>
          <w:sz w:val="32"/>
          <w:szCs w:val="32"/>
          <w:lang w:val="en-US" w:eastAsia="zh-CN"/>
        </w:rPr>
        <w:t>1,503.14万元。与2023年度相比，收入、支出总计各增减少175.2万元，下降10.4%。主要变动原因是本年度项目及人员减少导致财政拨款收入、支出减少。</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5104765" cy="3157220"/>
            <wp:effectExtent l="0" t="0" r="635" b="5080"/>
            <wp:docPr id="8"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true"/>
                    </pic:cNvPicPr>
                  </pic:nvPicPr>
                  <pic:blipFill>
                    <a:blip r:embed="rId10"/>
                    <a:stretch>
                      <a:fillRect/>
                    </a:stretch>
                  </pic:blipFill>
                  <pic:spPr>
                    <a:xfrm>
                      <a:off x="0" y="0"/>
                      <a:ext cx="5104765" cy="315722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图4：财政拨款收、支决算总计变动情况</w:t>
      </w:r>
      <w:r>
        <w:rPr>
          <w:rFonts w:hint="eastAsia" w:ascii="仿宋_GB2312" w:hAnsi="仿宋_GB2312" w:eastAsia="仿宋_GB2312"/>
          <w:color w:val="000000"/>
          <w:kern w:val="2"/>
          <w:sz w:val="32"/>
          <w:szCs w:val="32"/>
          <w:highlight w:val="none"/>
          <w:lang w:val="en-US" w:eastAsia="zh-CN"/>
        </w:rPr>
        <w:t>（单位：万元）</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ascii="Times New Roman" w:hAnsi="Times New Roman" w:eastAsia="黑体"/>
          <w:b w:val="0"/>
          <w:color w:val="auto"/>
          <w:sz w:val="32"/>
          <w:szCs w:val="32"/>
          <w:highlight w:val="none"/>
        </w:rPr>
      </w:pPr>
      <w:bookmarkStart w:id="33" w:name="_Toc15377209"/>
      <w:bookmarkStart w:id="34" w:name="_Toc17961"/>
      <w:bookmarkStart w:id="35" w:name="_Toc15396607"/>
      <w:bookmarkStart w:id="36" w:name="_Toc522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0"/>
          <w:rFonts w:hint="eastAsia" w:ascii="Times New Roman" w:hAnsi="Times New Roman" w:eastAsia="黑体"/>
          <w:b w:val="0"/>
          <w:color w:val="auto"/>
          <w:sz w:val="32"/>
          <w:szCs w:val="32"/>
          <w:highlight w:val="none"/>
        </w:rPr>
        <w:t>般公共预算财政拨款支出决算情况说明</w:t>
      </w:r>
      <w:bookmarkEnd w:id="33"/>
      <w:bookmarkEnd w:id="34"/>
      <w:bookmarkEnd w:id="35"/>
      <w:bookmarkEnd w:id="36"/>
    </w:p>
    <w:p>
      <w:pPr>
        <w:overflowPunct w:val="0"/>
        <w:topLinePunct/>
        <w:autoSpaceDE w:val="0"/>
        <w:autoSpaceDN w:val="0"/>
        <w:adjustRightInd w:val="0"/>
        <w:spacing w:beforeLines="0" w:afterLines="0" w:line="576" w:lineRule="exact"/>
        <w:ind w:firstLine="642" w:firstLineChars="200"/>
        <w:jc w:val="both"/>
        <w:outlineLvl w:val="2"/>
        <w:rPr>
          <w:rFonts w:hint="eastAsia" w:ascii="仿宋_GB2312" w:hAnsi="仿宋_GB2312" w:eastAsia="仿宋_GB2312" w:cs="Times New Roman"/>
          <w:b/>
          <w:color w:val="000000"/>
          <w:kern w:val="2"/>
          <w:sz w:val="32"/>
          <w:szCs w:val="24"/>
          <w:lang w:val="en-US"/>
        </w:rPr>
      </w:pPr>
      <w:bookmarkStart w:id="37" w:name="_Toc31109"/>
      <w:bookmarkStart w:id="38" w:name="_Toc15377210"/>
      <w:r>
        <w:rPr>
          <w:rFonts w:hint="eastAsia" w:ascii="仿宋_GB2312" w:hAnsi="仿宋_GB2312" w:eastAsia="仿宋_GB2312" w:cs="Times New Roman"/>
          <w:b/>
          <w:color w:val="000000"/>
          <w:kern w:val="2"/>
          <w:sz w:val="32"/>
          <w:szCs w:val="24"/>
          <w:lang w:val="en-US"/>
        </w:rPr>
        <w:t>（一）一般公共预算财政拨款支出决算总体情况</w:t>
      </w:r>
      <w:bookmarkEnd w:id="37"/>
      <w:bookmarkEnd w:id="38"/>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2024年度一般公共预算财政拨款支出1,462.84万元，占本年支出合计的97.32%。与2023年度相比，</w:t>
      </w:r>
      <w:r>
        <w:rPr>
          <w:rFonts w:hint="eastAsia" w:ascii="仿宋_GB2312" w:hAnsi="仿宋_GB2312" w:eastAsia="仿宋_GB2312" w:cs="仿宋_GB2312"/>
          <w:sz w:val="32"/>
          <w:szCs w:val="32"/>
        </w:rPr>
        <w:t>一般公共预算财政拨款支出</w:t>
      </w:r>
      <w:r>
        <w:rPr>
          <w:rFonts w:hint="eastAsia" w:ascii="仿宋_GB2312" w:hAnsi="仿宋_GB2312" w:eastAsia="仿宋_GB2312" w:cs="仿宋_GB2312"/>
          <w:sz w:val="32"/>
          <w:szCs w:val="32"/>
          <w:lang w:val="en-US" w:eastAsia="zh-CN"/>
        </w:rPr>
        <w:t>减少215.5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下降12.8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val="en-US" w:eastAsia="zh-CN"/>
        </w:rPr>
        <w:t>本年度</w:t>
      </w:r>
      <w:r>
        <w:rPr>
          <w:rFonts w:hint="eastAsia" w:ascii="仿宋_GB2312" w:hAnsi="仿宋_GB2312" w:eastAsia="仿宋_GB2312" w:cs="仿宋_GB2312"/>
          <w:sz w:val="32"/>
          <w:szCs w:val="32"/>
        </w:rPr>
        <w:t>项目及人员减少</w:t>
      </w:r>
      <w:r>
        <w:rPr>
          <w:rFonts w:hint="eastAsia" w:ascii="仿宋_GB2312" w:hAnsi="仿宋_GB2312" w:eastAsia="仿宋_GB2312" w:cs="仿宋_GB2312"/>
          <w:sz w:val="32"/>
          <w:szCs w:val="32"/>
          <w:lang w:eastAsia="zh-CN"/>
        </w:rPr>
        <w:t>导致</w:t>
      </w:r>
      <w:r>
        <w:rPr>
          <w:rFonts w:hint="eastAsia" w:ascii="仿宋_GB2312" w:hAnsi="仿宋_GB2312" w:eastAsia="仿宋_GB2312" w:cs="仿宋_GB2312"/>
          <w:sz w:val="32"/>
          <w:szCs w:val="32"/>
        </w:rPr>
        <w:t>财政拨款收入减少。</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Times New Roman" w:hAnsi="Times New Roman" w:eastAsia="仿宋_GB2312" w:cs="仿宋_GB2312"/>
          <w:color w:val="auto"/>
          <w:kern w:val="2"/>
          <w:sz w:val="32"/>
          <w:szCs w:val="32"/>
          <w:highlight w:val="yellow"/>
          <w:lang w:val="en-US" w:eastAsia="zh-CN" w:bidi="ar-SA"/>
        </w:rPr>
      </w:pPr>
      <w:r>
        <w:drawing>
          <wp:inline distT="0" distB="0" distL="114300" distR="114300">
            <wp:extent cx="4939665" cy="2481580"/>
            <wp:effectExtent l="0" t="0" r="13335" b="13970"/>
            <wp:docPr id="9"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true"/>
                    </pic:cNvPicPr>
                  </pic:nvPicPr>
                  <pic:blipFill>
                    <a:blip r:embed="rId13"/>
                    <a:stretch>
                      <a:fillRect/>
                    </a:stretch>
                  </pic:blipFill>
                  <pic:spPr>
                    <a:xfrm>
                      <a:off x="0" y="0"/>
                      <a:ext cx="4939665" cy="248158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Times New Roman" w:hAnsi="Times New Roman" w:eastAsia="楷体_GB2312" w:cs="楷体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bookmarkStart w:id="39" w:name="_Toc15377211"/>
      <w:r>
        <w:rPr>
          <w:rFonts w:hint="eastAsia" w:ascii="仿宋_GB2312" w:hAnsi="仿宋_GB2312" w:eastAsia="仿宋_GB2312"/>
          <w:color w:val="000000"/>
          <w:kern w:val="2"/>
          <w:sz w:val="32"/>
          <w:szCs w:val="32"/>
          <w:highlight w:val="none"/>
          <w:lang w:val="en-US" w:eastAsia="zh-CN"/>
        </w:rPr>
        <w:t>（单位：万元）</w:t>
      </w:r>
    </w:p>
    <w:p>
      <w:pPr>
        <w:overflowPunct w:val="0"/>
        <w:topLinePunct/>
        <w:autoSpaceDE w:val="0"/>
        <w:autoSpaceDN w:val="0"/>
        <w:adjustRightInd w:val="0"/>
        <w:spacing w:beforeLines="0" w:afterLines="0" w:line="576" w:lineRule="exact"/>
        <w:ind w:firstLine="642" w:firstLineChars="200"/>
        <w:jc w:val="both"/>
        <w:outlineLvl w:val="2"/>
        <w:rPr>
          <w:rFonts w:hint="eastAsia" w:ascii="仿宋_GB2312" w:hAnsi="仿宋_GB2312" w:eastAsia="仿宋_GB2312" w:cs="Times New Roman"/>
          <w:b/>
          <w:color w:val="000000"/>
          <w:kern w:val="2"/>
          <w:sz w:val="32"/>
          <w:szCs w:val="24"/>
          <w:lang w:val="en-US"/>
        </w:rPr>
      </w:pPr>
      <w:bookmarkStart w:id="40" w:name="_Toc16331"/>
      <w:r>
        <w:rPr>
          <w:rFonts w:hint="eastAsia" w:ascii="仿宋_GB2312" w:hAnsi="仿宋_GB2312" w:eastAsia="仿宋_GB2312" w:cs="Times New Roman"/>
          <w:b/>
          <w:color w:val="000000"/>
          <w:kern w:val="2"/>
          <w:sz w:val="32"/>
          <w:szCs w:val="24"/>
          <w:lang w:val="en-US"/>
        </w:rPr>
        <w:t>（二）一般公共预算财政拨款支出决算结构情况</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Times New Roman"/>
          <w:color w:val="000000"/>
          <w:kern w:val="2"/>
          <w:sz w:val="32"/>
          <w:szCs w:val="32"/>
          <w:lang w:val="en-US" w:eastAsia="zh-CN" w:bidi="ar-SA"/>
        </w:rPr>
        <w:t>2024年度一般公共预算财政拨款支出1,462.84万元，主要用于以下方面：</w:t>
      </w:r>
      <w:r>
        <w:rPr>
          <w:rFonts w:hint="eastAsia" w:ascii="仿宋_GB2312" w:hAnsi="仿宋_GB2312" w:eastAsia="仿宋_GB2312" w:cs="仿宋_GB2312"/>
          <w:b/>
          <w:sz w:val="32"/>
          <w:szCs w:val="32"/>
        </w:rPr>
        <w:t>社会保障和就业支出</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368.04万元，占</w:t>
      </w:r>
      <w:r>
        <w:rPr>
          <w:rFonts w:ascii="仿宋_GB2312" w:hAnsi="仿宋_GB2312" w:eastAsia="仿宋_GB2312" w:cs="仿宋_GB2312"/>
          <w:sz w:val="32"/>
          <w:szCs w:val="32"/>
        </w:rPr>
        <w:t>93.5%</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卫生健康支出</w:t>
      </w:r>
      <w:r>
        <w:rPr>
          <w:rFonts w:hint="eastAsia" w:ascii="仿宋_GB2312" w:hAnsi="仿宋_GB2312" w:eastAsia="仿宋_GB2312" w:cs="仿宋_GB2312"/>
          <w:sz w:val="32"/>
          <w:szCs w:val="32"/>
          <w:lang w:val="en-US" w:eastAsia="zh-CN"/>
        </w:rPr>
        <w:t>27.14</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住房保障支出</w:t>
      </w:r>
      <w:r>
        <w:rPr>
          <w:rFonts w:hint="eastAsia" w:ascii="仿宋_GB2312" w:hAnsi="仿宋_GB2312" w:eastAsia="仿宋_GB2312" w:cs="仿宋_GB2312"/>
          <w:sz w:val="32"/>
          <w:szCs w:val="32"/>
          <w:lang w:val="en-US" w:eastAsia="zh-CN"/>
        </w:rPr>
        <w:t>67.66</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drawing>
          <wp:inline distT="0" distB="0" distL="114300" distR="114300">
            <wp:extent cx="5282565" cy="2618740"/>
            <wp:effectExtent l="0" t="0" r="13335" b="10160"/>
            <wp:docPr id="10"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true"/>
                    </pic:cNvPicPr>
                  </pic:nvPicPr>
                  <pic:blipFill>
                    <a:blip r:embed="rId14"/>
                    <a:stretch>
                      <a:fillRect/>
                    </a:stretch>
                  </pic:blipFill>
                  <pic:spPr>
                    <a:xfrm>
                      <a:off x="0" y="0"/>
                      <a:ext cx="5282565" cy="261874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图6：一般公共预算财政拨款支出决算结构</w:t>
      </w:r>
    </w:p>
    <w:p>
      <w:pPr>
        <w:overflowPunct w:val="0"/>
        <w:topLinePunct/>
        <w:autoSpaceDE w:val="0"/>
        <w:autoSpaceDN w:val="0"/>
        <w:adjustRightInd w:val="0"/>
        <w:spacing w:beforeLines="0" w:afterLines="0" w:line="576" w:lineRule="exact"/>
        <w:ind w:firstLine="642" w:firstLineChars="200"/>
        <w:jc w:val="both"/>
        <w:outlineLvl w:val="2"/>
        <w:rPr>
          <w:rFonts w:hint="eastAsia" w:ascii="仿宋_GB2312" w:hAnsi="仿宋_GB2312" w:eastAsia="仿宋_GB2312" w:cs="Times New Roman"/>
          <w:b/>
          <w:color w:val="000000"/>
          <w:kern w:val="2"/>
          <w:sz w:val="32"/>
          <w:szCs w:val="24"/>
          <w:lang w:val="en-US"/>
        </w:rPr>
      </w:pPr>
      <w:bookmarkStart w:id="41" w:name="_Toc15377212"/>
      <w:bookmarkStart w:id="42" w:name="_Toc12264"/>
      <w:r>
        <w:rPr>
          <w:rFonts w:hint="eastAsia" w:ascii="仿宋_GB2312" w:hAnsi="仿宋_GB2312" w:eastAsia="仿宋_GB2312" w:cs="Times New Roman"/>
          <w:b/>
          <w:color w:val="000000"/>
          <w:kern w:val="2"/>
          <w:sz w:val="32"/>
          <w:szCs w:val="24"/>
          <w:lang w:val="en-US"/>
        </w:rPr>
        <w:t>（三）一般公共预算财政拨款支出决算具体情况</w:t>
      </w:r>
      <w:bookmarkEnd w:id="41"/>
      <w:bookmarkEnd w:id="42"/>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bookmarkStart w:id="43" w:name="_Toc15377444"/>
      <w:bookmarkStart w:id="44" w:name="_Toc15377213"/>
      <w:bookmarkStart w:id="45" w:name="_Toc15378460"/>
      <w:r>
        <w:rPr>
          <w:rFonts w:hint="eastAsia" w:ascii="仿宋_GB2312" w:hAnsi="仿宋_GB2312" w:eastAsia="仿宋_GB2312" w:cs="Times New Roman"/>
          <w:color w:val="000000"/>
          <w:kern w:val="2"/>
          <w:sz w:val="32"/>
          <w:szCs w:val="32"/>
          <w:lang w:val="en-US" w:eastAsia="zh-CN" w:bidi="ar-SA"/>
        </w:rPr>
        <w:t>2024年度一般公共预算财政拨款支出决算数为1,462.84万元，完成预算100%。其中：</w:t>
      </w:r>
      <w:bookmarkEnd w:id="43"/>
      <w:bookmarkEnd w:id="44"/>
      <w:bookmarkEnd w:id="45"/>
    </w:p>
    <w:p>
      <w:pPr>
        <w:spacing w:line="600" w:lineRule="exact"/>
        <w:ind w:firstLine="642" w:firstLineChars="200"/>
        <w:outlineLvl w:val="9"/>
        <w:rPr>
          <w:rFonts w:ascii="仿宋_GB2312" w:hAnsi="仿宋_GB2312" w:eastAsia="仿宋_GB2312" w:cs="仿宋_GB2312"/>
          <w:sz w:val="32"/>
          <w:szCs w:val="32"/>
        </w:rPr>
      </w:pPr>
      <w:bookmarkStart w:id="46" w:name="_Toc15396608"/>
      <w:bookmarkStart w:id="47" w:name="_Toc15377214"/>
      <w:r>
        <w:rPr>
          <w:rFonts w:hint="eastAsia" w:ascii="仿宋_GB2312" w:hAnsi="仿宋_GB2312" w:eastAsia="仿宋_GB2312" w:cs="仿宋_GB2312"/>
          <w:b/>
          <w:sz w:val="32"/>
          <w:szCs w:val="32"/>
          <w:lang w:val="en-US" w:eastAsia="zh-CN"/>
        </w:rPr>
        <w:t>1</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社会保障和就业支出（类）人力资源和社会保障管理事务（款）引进人才费用（项）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社会保障和就业支出（类）民政管理事务（款）其他民政管理事务支出（项）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0.67</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3</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社会保障和就业支出（类）行政事业单位养老支出（款）机关事业单位基本养老保险缴费支出（项）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79.48</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ascii="仿宋_GB2312" w:hAnsi="仿宋_GB2312" w:eastAsia="仿宋_GB2312" w:cs="仿宋_GB2312"/>
          <w:b/>
          <w:sz w:val="32"/>
          <w:szCs w:val="32"/>
        </w:rPr>
        <w:t>4.</w:t>
      </w:r>
      <w:r>
        <w:rPr>
          <w:rFonts w:hint="eastAsia" w:ascii="仿宋_GB2312" w:hAnsi="仿宋_GB2312" w:eastAsia="仿宋_GB2312" w:cs="仿宋_GB2312"/>
          <w:b/>
          <w:sz w:val="32"/>
          <w:szCs w:val="32"/>
        </w:rPr>
        <w:t>社会保障和就业支出（类）临时救助（款）流浪乞讨人员救助支出（项）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支出决算为1,282.81万元，完成预算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ascii="仿宋_GB2312" w:hAnsi="仿宋_GB2312" w:eastAsia="仿宋_GB2312" w:cs="仿宋_GB2312"/>
          <w:b/>
          <w:sz w:val="32"/>
          <w:szCs w:val="32"/>
        </w:rPr>
        <w:t>5.</w:t>
      </w:r>
      <w:r>
        <w:rPr>
          <w:rFonts w:hint="eastAsia" w:ascii="仿宋_GB2312" w:hAnsi="仿宋_GB2312" w:eastAsia="仿宋_GB2312" w:cs="仿宋_GB2312"/>
          <w:b/>
          <w:sz w:val="32"/>
          <w:szCs w:val="32"/>
        </w:rPr>
        <w:t>社会保障和就业支出（类）其他社会保障和就业支出（款）其他社会保障和就业支出（项）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2.93</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Style w:val="17"/>
          <w:rFonts w:ascii="仿宋" w:hAnsi="仿宋" w:eastAsia="仿宋"/>
          <w:b w:val="0"/>
          <w:bCs/>
          <w:sz w:val="32"/>
          <w:szCs w:val="32"/>
        </w:rPr>
      </w:pPr>
      <w:r>
        <w:rPr>
          <w:rFonts w:ascii="仿宋_GB2312" w:hAnsi="仿宋_GB2312" w:eastAsia="仿宋_GB2312" w:cs="仿宋_GB2312"/>
          <w:b/>
          <w:sz w:val="32"/>
          <w:szCs w:val="32"/>
        </w:rPr>
        <w:t>6.</w:t>
      </w:r>
      <w:r>
        <w:rPr>
          <w:rFonts w:hint="eastAsia" w:ascii="仿宋_GB2312" w:hAnsi="仿宋_GB2312" w:eastAsia="仿宋_GB2312" w:cs="仿宋_GB2312"/>
          <w:b/>
          <w:sz w:val="32"/>
          <w:szCs w:val="32"/>
        </w:rPr>
        <w:t>卫生健康支出（类）行政事业单位医疗（款）事业单位医疗（项）</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27.14</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ascii="仿宋_GB2312" w:hAnsi="仿宋_GB2312" w:eastAsia="仿宋_GB2312" w:cs="仿宋_GB2312"/>
          <w:b/>
          <w:sz w:val="32"/>
          <w:szCs w:val="32"/>
        </w:rPr>
        <w:t>7.</w:t>
      </w:r>
      <w:r>
        <w:rPr>
          <w:rFonts w:hint="eastAsia" w:ascii="仿宋_GB2312" w:hAnsi="仿宋_GB2312" w:eastAsia="仿宋_GB2312" w:cs="仿宋_GB2312"/>
          <w:b/>
          <w:sz w:val="32"/>
          <w:szCs w:val="32"/>
        </w:rPr>
        <w:t>住房保障支出（类）住房改革支出（款）住房公积金（项）</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67.66</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ascii="Times New Roman" w:hAnsi="Times New Roman"/>
          <w:color w:val="auto"/>
          <w:sz w:val="32"/>
          <w:szCs w:val="32"/>
          <w:highlight w:val="none"/>
        </w:rPr>
      </w:pPr>
      <w:bookmarkStart w:id="48" w:name="_Toc27569"/>
      <w:bookmarkStart w:id="49" w:name="_Toc11540"/>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0"/>
          <w:rFonts w:hint="eastAsia" w:ascii="Times New Roman" w:hAnsi="Times New Roman" w:eastAsia="黑体"/>
          <w:b w:val="0"/>
          <w:color w:val="auto"/>
          <w:sz w:val="32"/>
          <w:szCs w:val="32"/>
          <w:highlight w:val="none"/>
        </w:rPr>
        <w:t>般公共预算财政拨款基本支出决算情况说明</w:t>
      </w:r>
      <w:bookmarkEnd w:id="46"/>
      <w:bookmarkEnd w:id="47"/>
      <w:bookmarkEnd w:id="48"/>
      <w:bookmarkEnd w:id="49"/>
      <w:r>
        <w:rPr>
          <w:rStyle w:val="20"/>
          <w:rFonts w:ascii="Times New Roman" w:hAnsi="Times New Roman" w:eastAsia="黑体"/>
          <w:b w:val="0"/>
          <w:color w:val="auto"/>
          <w:sz w:val="32"/>
          <w:szCs w:val="32"/>
          <w:highlight w:val="none"/>
        </w:rPr>
        <w:tab/>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2024年度一般公共预算财政拨款基本支出915.49万元，其中：</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eastAsia="仿宋_GB2312" w:cs="仿宋_GB2312"/>
          <w:color w:val="auto"/>
          <w:kern w:val="2"/>
          <w:sz w:val="32"/>
          <w:szCs w:val="32"/>
          <w:highlight w:val="none"/>
          <w:lang w:val="en-US" w:eastAsia="zh-CN" w:bidi="ar-SA"/>
        </w:rPr>
      </w:pPr>
      <w:r>
        <w:rPr>
          <w:rFonts w:hint="eastAsia" w:ascii="仿宋_GB2312" w:hAnsi="仿宋_GB2312" w:eastAsia="仿宋_GB2312" w:cs="Times New Roman"/>
          <w:color w:val="000000"/>
          <w:kern w:val="2"/>
          <w:sz w:val="32"/>
          <w:szCs w:val="32"/>
          <w:lang w:val="en-US" w:eastAsia="zh-CN" w:bidi="ar-SA"/>
        </w:rPr>
        <w:t>人员经费848.55万元，主要包括：基本工资198.8万元、津贴补贴41.46万元、奖金212.08万元、绩效工资124.85万元、机关事业单位基本养老保险缴费79.48万元、职工基本医疗保险缴费27.14万元、其他社会保障缴费2.93万元、住房公积金67.66万元、生活补助94.16万元。</w:t>
      </w:r>
      <w:r>
        <w:rPr>
          <w:rFonts w:hint="eastAsia" w:ascii="仿宋_GB2312" w:hAnsi="仿宋_GB2312" w:eastAsia="仿宋_GB2312" w:cs="Times New Roman"/>
          <w:color w:val="000000"/>
          <w:kern w:val="2"/>
          <w:sz w:val="32"/>
          <w:szCs w:val="32"/>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w:t>
      </w:r>
      <w:r>
        <w:rPr>
          <w:rFonts w:hint="eastAsia" w:ascii="仿宋_GB2312" w:hAnsi="仿宋_GB2312" w:eastAsia="仿宋_GB2312" w:cs="Times New Roman"/>
          <w:color w:val="000000"/>
          <w:kern w:val="2"/>
          <w:sz w:val="32"/>
          <w:szCs w:val="32"/>
          <w:lang w:val="en-US" w:eastAsia="zh-CN" w:bidi="ar-SA"/>
        </w:rPr>
        <w:t>公用经费66.94万元，主要包括：办公费10.19万元、咨询费1.04万元、水费1.65万元、电费1.73万元、邮电费4万元、物业管理费6.19万元、差旅费4.53万元、维修（护）费4.51万元、公务接待费1.18万元、劳务费3.37万元、工会经费7.49万元、福利费5.1万元、 公务用车运行维护费3.7万元、其他商品和服务支出12.28万元</w:t>
      </w:r>
      <w:bookmarkStart w:id="50" w:name="_Toc15377215"/>
      <w:bookmarkStart w:id="51" w:name="_Toc15396609"/>
      <w:r>
        <w:rPr>
          <w:rFonts w:hint="eastAsia" w:ascii="仿宋_GB2312" w:hAnsi="仿宋_GB2312" w:eastAsia="仿宋_GB2312" w:cs="Times New Roman"/>
          <w:color w:val="000000"/>
          <w:kern w:val="2"/>
          <w:sz w:val="32"/>
          <w:szCs w:val="32"/>
          <w:lang w:val="en-US" w:eastAsia="zh-CN" w:bidi="ar-SA"/>
        </w:rPr>
        <w:t>。</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ascii="Times New Roman" w:hAnsi="Times New Roman" w:eastAsia="黑体"/>
          <w:b w:val="0"/>
          <w:color w:val="auto"/>
          <w:sz w:val="32"/>
          <w:szCs w:val="32"/>
          <w:highlight w:val="none"/>
        </w:rPr>
      </w:pPr>
      <w:bookmarkStart w:id="52" w:name="_Toc28744"/>
      <w:bookmarkStart w:id="53" w:name="_Toc21802"/>
      <w:r>
        <w:rPr>
          <w:rFonts w:hint="eastAsia" w:ascii="Times New Roman" w:hAnsi="Times New Roman" w:eastAsia="黑体"/>
          <w:color w:val="auto"/>
          <w:sz w:val="32"/>
          <w:szCs w:val="32"/>
          <w:highlight w:val="none"/>
        </w:rPr>
        <w:t>七、</w:t>
      </w:r>
      <w:r>
        <w:rPr>
          <w:rStyle w:val="20"/>
          <w:rFonts w:hint="eastAsia" w:ascii="Times New Roman" w:hAnsi="Times New Roman" w:eastAsia="黑体"/>
          <w:b w:val="0"/>
          <w:color w:val="auto"/>
          <w:sz w:val="32"/>
          <w:szCs w:val="32"/>
          <w:highlight w:val="none"/>
        </w:rPr>
        <w:t>财政拨款</w:t>
      </w:r>
      <w:r>
        <w:rPr>
          <w:rStyle w:val="20"/>
          <w:rFonts w:hint="eastAsia" w:ascii="Times New Roman" w:hAnsi="Times New Roman" w:eastAsia="黑体"/>
          <w:color w:val="auto"/>
          <w:sz w:val="32"/>
          <w:szCs w:val="32"/>
          <w:highlight w:val="none"/>
        </w:rPr>
        <w:t>“</w:t>
      </w:r>
      <w:r>
        <w:rPr>
          <w:rStyle w:val="20"/>
          <w:rFonts w:hint="eastAsia" w:ascii="Times New Roman" w:hAnsi="Times New Roman" w:eastAsia="黑体"/>
          <w:b w:val="0"/>
          <w:color w:val="auto"/>
          <w:sz w:val="32"/>
          <w:szCs w:val="32"/>
          <w:highlight w:val="none"/>
        </w:rPr>
        <w:t>三公”经费支出决算情况说明</w:t>
      </w:r>
      <w:bookmarkEnd w:id="50"/>
      <w:bookmarkEnd w:id="51"/>
      <w:bookmarkEnd w:id="52"/>
      <w:bookmarkEnd w:id="53"/>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2" w:firstLineChars="200"/>
        <w:jc w:val="both"/>
        <w:textAlignment w:val="auto"/>
        <w:outlineLvl w:val="2"/>
        <w:rPr>
          <w:rFonts w:hint="eastAsia" w:ascii="仿宋_GB2312" w:hAnsi="仿宋_GB2312" w:eastAsia="仿宋_GB2312" w:cs="Times New Roman"/>
          <w:b/>
          <w:color w:val="000000"/>
          <w:kern w:val="2"/>
          <w:sz w:val="32"/>
          <w:szCs w:val="24"/>
          <w:lang w:val="en-US" w:eastAsia="zh-CN"/>
        </w:rPr>
      </w:pPr>
      <w:bookmarkStart w:id="54" w:name="_Toc16050"/>
      <w:bookmarkStart w:id="55" w:name="_Toc15377216"/>
      <w:r>
        <w:rPr>
          <w:rFonts w:hint="eastAsia" w:ascii="仿宋_GB2312" w:hAnsi="仿宋_GB2312" w:eastAsia="仿宋_GB2312" w:cs="Times New Roman"/>
          <w:b/>
          <w:color w:val="000000"/>
          <w:kern w:val="2"/>
          <w:sz w:val="32"/>
          <w:szCs w:val="24"/>
          <w:lang w:val="en-US" w:eastAsia="zh-CN"/>
        </w:rPr>
        <w:t>（一）“三公”经费财政拨款支出决算总体情况说明</w:t>
      </w:r>
      <w:bookmarkEnd w:id="54"/>
      <w:bookmarkEnd w:id="55"/>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2024年度“三公”经费财政拨款支出决算为4.88万元，完成预算69.91%，较上年度减少1.54万元，下降24%。决算数小于预算数的主要原因是单位公务接待人次减少，决算数较上年下降的主要原因是单位缩减开支。</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2" w:firstLineChars="200"/>
        <w:jc w:val="both"/>
        <w:textAlignment w:val="auto"/>
        <w:outlineLvl w:val="2"/>
        <w:rPr>
          <w:rFonts w:hint="eastAsia" w:ascii="仿宋_GB2312" w:hAnsi="仿宋_GB2312" w:eastAsia="仿宋_GB2312" w:cs="Times New Roman"/>
          <w:b/>
          <w:color w:val="000000"/>
          <w:kern w:val="2"/>
          <w:sz w:val="32"/>
          <w:szCs w:val="24"/>
          <w:lang w:val="en-US" w:eastAsia="zh-CN"/>
        </w:rPr>
      </w:pPr>
      <w:bookmarkStart w:id="56" w:name="_Toc23282"/>
      <w:bookmarkStart w:id="57" w:name="_Toc15377217"/>
      <w:r>
        <w:rPr>
          <w:rFonts w:hint="eastAsia" w:ascii="仿宋_GB2312" w:hAnsi="仿宋_GB2312" w:eastAsia="仿宋_GB2312" w:cs="Times New Roman"/>
          <w:b/>
          <w:color w:val="000000"/>
          <w:kern w:val="2"/>
          <w:sz w:val="32"/>
          <w:szCs w:val="24"/>
          <w:lang w:val="en-US" w:eastAsia="zh-CN"/>
        </w:rPr>
        <w:t>（二）“三公”经费财政拨款支出决算具体情况说明</w:t>
      </w:r>
      <w:bookmarkEnd w:id="56"/>
      <w:bookmarkEnd w:id="57"/>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2024年度“三公”经费财政拨款支出决算中，因公出国（境）</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费支出决算0万元，占0%；公务用车购置及运行维护费支出决算3.7万元，占75.8%；公务接待费支出决算1.18万元，占24.2%。具体情况如下：</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Times New Roman" w:hAnsi="Times New Roman" w:eastAsia="仿宋_GB2312" w:cs="仿宋_GB2312"/>
          <w:color w:val="auto"/>
          <w:kern w:val="2"/>
          <w:sz w:val="32"/>
          <w:szCs w:val="32"/>
          <w:highlight w:val="yellow"/>
          <w:lang w:val="en-US" w:eastAsia="zh-CN" w:bidi="ar-SA"/>
        </w:rPr>
      </w:pPr>
      <w:r>
        <w:drawing>
          <wp:inline distT="0" distB="0" distL="114300" distR="114300">
            <wp:extent cx="5059680" cy="3041015"/>
            <wp:effectExtent l="0" t="0" r="7620" b="6985"/>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15"/>
                    <a:stretch>
                      <a:fillRect/>
                    </a:stretch>
                  </pic:blipFill>
                  <pic:spPr>
                    <a:xfrm>
                      <a:off x="0" y="0"/>
                      <a:ext cx="5059680" cy="304101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en-US"/>
        </w:rPr>
        <w:t>1.因公出国（境）经费</w:t>
      </w:r>
      <w:r>
        <w:rPr>
          <w:rFonts w:hint="eastAsia" w:ascii="仿宋_GB2312" w:hAnsi="仿宋_GB2312" w:eastAsia="仿宋_GB2312"/>
          <w:color w:val="000000"/>
          <w:kern w:val="2"/>
          <w:sz w:val="32"/>
          <w:szCs w:val="24"/>
          <w:lang w:val="en-US"/>
        </w:rPr>
        <w:t>预算为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万元，年初未安排预算</w:t>
      </w:r>
      <w:r>
        <w:rPr>
          <w:rFonts w:hint="eastAsia" w:ascii="仿宋_GB2312" w:hAnsi="仿宋_GB2312" w:eastAsia="仿宋_GB2312"/>
          <w:color w:val="000000"/>
          <w:kern w:val="2"/>
          <w:sz w:val="32"/>
          <w:szCs w:val="24"/>
          <w:lang w:val="en-US" w:eastAsia="zh-CN"/>
        </w:rPr>
        <w:t>，较上年无变化</w:t>
      </w:r>
      <w:r>
        <w:rPr>
          <w:rFonts w:hint="eastAsia" w:ascii="仿宋_GB2312" w:hAnsi="仿宋_GB2312" w:eastAsia="仿宋_GB2312"/>
          <w:color w:val="000000"/>
          <w:kern w:val="2"/>
          <w:sz w:val="32"/>
          <w:szCs w:val="24"/>
          <w:lang w:val="en-US"/>
        </w:rPr>
        <w:t>。</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olor w:val="000000"/>
          <w:kern w:val="2"/>
          <w:sz w:val="32"/>
          <w:szCs w:val="24"/>
          <w:lang w:val="en-US"/>
        </w:rPr>
      </w:pPr>
      <w:r>
        <w:rPr>
          <w:rFonts w:hint="eastAsia" w:ascii="仿宋_GB2312" w:hAnsi="仿宋_GB2312" w:eastAsia="仿宋_GB2312"/>
          <w:b/>
          <w:color w:val="auto"/>
          <w:kern w:val="2"/>
          <w:sz w:val="32"/>
          <w:szCs w:val="24"/>
          <w:lang w:val="en-US"/>
        </w:rPr>
        <w:t>2.公务用车</w:t>
      </w:r>
      <w:r>
        <w:rPr>
          <w:rFonts w:hint="eastAsia" w:ascii="仿宋_GB2312" w:hAnsi="仿宋_GB2312" w:eastAsia="仿宋_GB2312"/>
          <w:b/>
          <w:color w:val="000000"/>
          <w:kern w:val="2"/>
          <w:sz w:val="32"/>
          <w:szCs w:val="24"/>
          <w:lang w:val="en-US"/>
        </w:rPr>
        <w:t>购置及运行维护费</w:t>
      </w:r>
      <w:r>
        <w:rPr>
          <w:rFonts w:hint="eastAsia" w:ascii="仿宋_GB2312" w:hAnsi="仿宋_GB2312" w:eastAsia="仿宋_GB2312"/>
          <w:color w:val="000000"/>
          <w:kern w:val="2"/>
          <w:sz w:val="32"/>
          <w:szCs w:val="24"/>
          <w:lang w:val="en-US"/>
        </w:rPr>
        <w:t>预算为</w:t>
      </w:r>
      <w:r>
        <w:rPr>
          <w:rFonts w:hint="eastAsia" w:ascii="仿宋_GB2312" w:hAnsi="仿宋_GB2312" w:eastAsia="仿宋_GB2312"/>
          <w:color w:val="000000"/>
          <w:kern w:val="2"/>
          <w:sz w:val="32"/>
          <w:szCs w:val="24"/>
          <w:lang w:val="en-US" w:eastAsia="zh-CN"/>
        </w:rPr>
        <w:t>3.99</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r>
        <w:rPr>
          <w:rFonts w:hint="eastAsia" w:ascii="仿宋_GB2312" w:hAnsi="仿宋_GB2312" w:eastAsia="仿宋_GB2312"/>
          <w:color w:val="000000"/>
          <w:kern w:val="2"/>
          <w:sz w:val="32"/>
          <w:szCs w:val="24"/>
          <w:lang w:val="en-US"/>
        </w:rPr>
        <w:t>支出决算为</w:t>
      </w:r>
      <w:r>
        <w:rPr>
          <w:rFonts w:hint="eastAsia" w:ascii="仿宋_GB2312" w:hAnsi="仿宋_GB2312" w:eastAsia="仿宋_GB2312"/>
          <w:color w:val="000000"/>
          <w:kern w:val="2"/>
          <w:sz w:val="32"/>
          <w:szCs w:val="24"/>
          <w:lang w:val="en-US" w:eastAsia="zh-CN"/>
        </w:rPr>
        <w:t>3.7</w:t>
      </w:r>
      <w:r>
        <w:rPr>
          <w:rFonts w:hint="eastAsia" w:ascii="仿宋_GB2312" w:hAnsi="仿宋_GB2312" w:eastAsia="仿宋_GB2312"/>
          <w:color w:val="000000"/>
          <w:kern w:val="2"/>
          <w:sz w:val="32"/>
          <w:szCs w:val="24"/>
          <w:lang w:val="en-US"/>
        </w:rPr>
        <w:t>万元，完成预算的</w:t>
      </w:r>
      <w:r>
        <w:rPr>
          <w:rFonts w:hint="eastAsia" w:ascii="仿宋_GB2312" w:hAnsi="仿宋_GB2312" w:eastAsia="仿宋_GB2312"/>
          <w:color w:val="000000"/>
          <w:kern w:val="2"/>
          <w:sz w:val="32"/>
          <w:szCs w:val="24"/>
          <w:lang w:val="en-US" w:eastAsia="zh-CN"/>
        </w:rPr>
        <w:t>92.7</w:t>
      </w:r>
      <w:r>
        <w:rPr>
          <w:rFonts w:hint="eastAsia" w:ascii="仿宋_GB2312" w:hAnsi="仿宋_GB2312" w:eastAsia="仿宋_GB2312"/>
          <w:color w:val="000000"/>
          <w:kern w:val="2"/>
          <w:sz w:val="32"/>
          <w:szCs w:val="24"/>
          <w:lang w:val="en-US"/>
        </w:rPr>
        <w:t>%。公务用车购置及运行维护费支出决算</w:t>
      </w:r>
      <w:r>
        <w:rPr>
          <w:rFonts w:hint="eastAsia" w:ascii="仿宋_GB2312" w:hAnsi="仿宋_GB2312" w:eastAsia="仿宋_GB2312"/>
          <w:color w:val="000000"/>
          <w:kern w:val="2"/>
          <w:sz w:val="32"/>
          <w:szCs w:val="24"/>
          <w:lang w:val="en-US" w:eastAsia="zh-CN"/>
        </w:rPr>
        <w:t>比</w:t>
      </w:r>
      <w:r>
        <w:rPr>
          <w:rFonts w:hint="eastAsia" w:ascii="仿宋_GB2312" w:hAnsi="仿宋_GB2312" w:eastAsia="仿宋_GB2312"/>
          <w:color w:val="000000"/>
          <w:kern w:val="2"/>
          <w:sz w:val="32"/>
          <w:szCs w:val="24"/>
          <w:lang w:val="en-US"/>
        </w:rPr>
        <w:t>202</w:t>
      </w:r>
      <w:r>
        <w:rPr>
          <w:rFonts w:hint="eastAsia" w:ascii="仿宋_GB2312" w:hAnsi="仿宋_GB2312" w:eastAsia="仿宋_GB2312"/>
          <w:color w:val="000000"/>
          <w:kern w:val="2"/>
          <w:sz w:val="32"/>
          <w:szCs w:val="24"/>
          <w:lang w:val="en-US" w:eastAsia="zh-CN"/>
        </w:rPr>
        <w:t>3</w:t>
      </w:r>
      <w:r>
        <w:rPr>
          <w:rFonts w:hint="eastAsia" w:ascii="仿宋_GB2312" w:hAnsi="仿宋_GB2312" w:eastAsia="仿宋_GB2312"/>
          <w:color w:val="000000"/>
          <w:kern w:val="2"/>
          <w:sz w:val="32"/>
          <w:szCs w:val="24"/>
          <w:lang w:val="en-US"/>
        </w:rPr>
        <w:t>年度</w:t>
      </w:r>
      <w:r>
        <w:rPr>
          <w:rFonts w:hint="eastAsia" w:ascii="仿宋_GB2312" w:hAnsi="仿宋_GB2312" w:eastAsia="仿宋_GB2312"/>
          <w:color w:val="000000"/>
          <w:kern w:val="2"/>
          <w:sz w:val="32"/>
          <w:szCs w:val="24"/>
          <w:lang w:val="en-US" w:eastAsia="zh-CN"/>
        </w:rPr>
        <w:t>减少0.3万元，下降7.5%。主要原因是本年度公务用车运行维护费减少。</w:t>
      </w:r>
      <w:r>
        <w:rPr>
          <w:rFonts w:hint="eastAsia" w:ascii="仿宋_GB2312" w:hAnsi="仿宋_GB2312" w:eastAsia="仿宋_GB2312"/>
          <w:color w:val="000000"/>
          <w:kern w:val="2"/>
          <w:sz w:val="32"/>
          <w:szCs w:val="24"/>
          <w:lang w:val="en-US"/>
        </w:rPr>
        <w:t>其中：</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b/>
          <w:bCs/>
          <w:color w:val="000000"/>
          <w:kern w:val="2"/>
          <w:sz w:val="32"/>
          <w:szCs w:val="24"/>
          <w:lang w:val="en-US"/>
        </w:rPr>
        <w:t>公务用车购置费支出</w:t>
      </w:r>
      <w:r>
        <w:rPr>
          <w:rFonts w:hint="eastAsia" w:ascii="仿宋_GB2312" w:hAnsi="仿宋_GB2312" w:eastAsia="仿宋_GB2312"/>
          <w:b/>
          <w:bCs/>
          <w:color w:val="000000"/>
          <w:kern w:val="2"/>
          <w:sz w:val="32"/>
          <w:szCs w:val="24"/>
          <w:lang w:val="en-US" w:eastAsia="zh-CN"/>
        </w:rPr>
        <w:t>0</w:t>
      </w:r>
      <w:r>
        <w:rPr>
          <w:rFonts w:hint="eastAsia" w:ascii="仿宋_GB2312" w:hAnsi="仿宋_GB2312" w:eastAsia="仿宋_GB2312"/>
          <w:b/>
          <w:bCs/>
          <w:color w:val="000000"/>
          <w:kern w:val="2"/>
          <w:sz w:val="32"/>
          <w:szCs w:val="24"/>
          <w:lang w:val="en-US"/>
        </w:rPr>
        <w:t>万元</w:t>
      </w:r>
      <w:r>
        <w:rPr>
          <w:rFonts w:hint="eastAsia" w:ascii="仿宋_GB2312" w:hAnsi="仿宋_GB2312" w:eastAsia="仿宋_GB2312"/>
          <w:color w:val="000000"/>
          <w:kern w:val="2"/>
          <w:sz w:val="32"/>
          <w:szCs w:val="24"/>
          <w:lang w:val="en-US"/>
        </w:rPr>
        <w:t>。本年未购置公务用车。</w:t>
      </w:r>
      <w:r>
        <w:rPr>
          <w:rFonts w:hint="eastAsia" w:ascii="仿宋_GB2312" w:hAnsi="仿宋_GB2312" w:eastAsia="仿宋_GB2312"/>
          <w:color w:val="000000"/>
          <w:kern w:val="2"/>
          <w:sz w:val="32"/>
          <w:szCs w:val="24"/>
          <w:lang w:val="en-US" w:eastAsia="zh-CN"/>
        </w:rPr>
        <w:t>截至2024</w:t>
      </w:r>
      <w:r>
        <w:rPr>
          <w:rFonts w:hint="eastAsia" w:ascii="仿宋_GB2312" w:hAnsi="仿宋_GB2312" w:eastAsia="仿宋_GB2312"/>
          <w:color w:val="000000"/>
          <w:kern w:val="2"/>
          <w:sz w:val="32"/>
          <w:szCs w:val="24"/>
          <w:lang w:val="en-US"/>
        </w:rPr>
        <w:t>年12月</w:t>
      </w:r>
      <w:r>
        <w:rPr>
          <w:rFonts w:hint="eastAsia" w:ascii="仿宋_GB2312" w:hAnsi="仿宋_GB2312" w:eastAsia="仿宋_GB2312"/>
          <w:color w:val="000000"/>
          <w:kern w:val="2"/>
          <w:sz w:val="32"/>
          <w:szCs w:val="24"/>
          <w:lang w:val="en-US" w:eastAsia="zh-CN"/>
        </w:rPr>
        <w:t>31日</w:t>
      </w:r>
      <w:r>
        <w:rPr>
          <w:rFonts w:hint="eastAsia" w:ascii="仿宋_GB2312" w:hAnsi="仿宋_GB2312" w:eastAsia="仿宋_GB2312"/>
          <w:color w:val="000000"/>
          <w:kern w:val="2"/>
          <w:sz w:val="32"/>
          <w:szCs w:val="24"/>
          <w:lang w:val="en-US"/>
        </w:rPr>
        <w:t>，单位共有公务用车</w:t>
      </w:r>
      <w:r>
        <w:rPr>
          <w:rFonts w:hint="eastAsia" w:ascii="仿宋_GB2312" w:hAnsi="仿宋_GB2312" w:eastAsia="仿宋_GB2312"/>
          <w:color w:val="000000"/>
          <w:kern w:val="2"/>
          <w:sz w:val="32"/>
          <w:szCs w:val="24"/>
          <w:lang w:val="en-US" w:eastAsia="zh-CN"/>
        </w:rPr>
        <w:t>5</w:t>
      </w:r>
      <w:r>
        <w:rPr>
          <w:rFonts w:hint="eastAsia" w:ascii="仿宋_GB2312" w:hAnsi="仿宋_GB2312" w:eastAsia="仿宋_GB2312"/>
          <w:color w:val="000000"/>
          <w:kern w:val="2"/>
          <w:sz w:val="32"/>
          <w:szCs w:val="24"/>
          <w:lang w:val="en-US"/>
        </w:rPr>
        <w:t>辆</w:t>
      </w:r>
      <w:r>
        <w:rPr>
          <w:rFonts w:hint="eastAsia" w:ascii="仿宋_GB2312" w:hAnsi="仿宋_GB2312" w:eastAsia="仿宋_GB2312"/>
          <w:color w:val="000000"/>
          <w:kern w:val="2"/>
          <w:sz w:val="32"/>
          <w:szCs w:val="24"/>
          <w:lang w:val="en-US" w:eastAsia="zh-CN"/>
        </w:rPr>
        <w:t>，</w:t>
      </w:r>
      <w:r>
        <w:rPr>
          <w:rFonts w:hint="eastAsia" w:ascii="仿宋_GB2312" w:hAnsi="仿宋_GB2312" w:eastAsia="仿宋_GB2312"/>
          <w:color w:val="000000"/>
          <w:kern w:val="2"/>
          <w:sz w:val="32"/>
          <w:szCs w:val="24"/>
          <w:lang w:val="en-US"/>
        </w:rPr>
        <w:t>其中：轿车</w:t>
      </w:r>
      <w:r>
        <w:rPr>
          <w:rFonts w:hint="eastAsia" w:ascii="仿宋_GB2312" w:hAnsi="仿宋_GB2312" w:eastAsia="仿宋_GB2312"/>
          <w:color w:val="000000"/>
          <w:kern w:val="2"/>
          <w:sz w:val="32"/>
          <w:szCs w:val="24"/>
          <w:lang w:val="en-US" w:eastAsia="zh-CN"/>
        </w:rPr>
        <w:t>1</w:t>
      </w:r>
      <w:r>
        <w:rPr>
          <w:rFonts w:hint="eastAsia" w:ascii="仿宋_GB2312" w:hAnsi="仿宋_GB2312" w:eastAsia="仿宋_GB2312"/>
          <w:color w:val="000000"/>
          <w:kern w:val="2"/>
          <w:sz w:val="32"/>
          <w:szCs w:val="24"/>
          <w:lang w:val="en-US"/>
        </w:rPr>
        <w:t>辆、载客汽车</w:t>
      </w:r>
      <w:r>
        <w:rPr>
          <w:rFonts w:hint="eastAsia" w:ascii="仿宋_GB2312" w:hAnsi="仿宋_GB2312" w:eastAsia="仿宋_GB2312"/>
          <w:color w:val="000000"/>
          <w:kern w:val="2"/>
          <w:sz w:val="32"/>
          <w:szCs w:val="24"/>
          <w:lang w:val="en-US" w:eastAsia="zh-CN"/>
        </w:rPr>
        <w:t>4</w:t>
      </w:r>
      <w:r>
        <w:rPr>
          <w:rFonts w:hint="eastAsia" w:ascii="仿宋_GB2312" w:hAnsi="仿宋_GB2312" w:eastAsia="仿宋_GB2312"/>
          <w:color w:val="000000"/>
          <w:kern w:val="2"/>
          <w:sz w:val="32"/>
          <w:szCs w:val="24"/>
          <w:lang w:val="en-US"/>
        </w:rPr>
        <w:t>辆。</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9"/>
        <w:rPr>
          <w:rFonts w:hint="eastAsia" w:ascii="仿宋_GB2312" w:eastAsia="仿宋_GB2312"/>
          <w:sz w:val="32"/>
          <w:szCs w:val="32"/>
        </w:rPr>
      </w:pPr>
      <w:r>
        <w:rPr>
          <w:rFonts w:hint="eastAsia" w:ascii="仿宋_GB2312" w:hAnsi="仿宋_GB2312" w:eastAsia="仿宋_GB2312"/>
          <w:b/>
          <w:color w:val="000000"/>
          <w:kern w:val="2"/>
          <w:sz w:val="32"/>
          <w:szCs w:val="24"/>
          <w:lang w:val="en-US"/>
        </w:rPr>
        <w:t>公务用车运行维护费</w:t>
      </w:r>
      <w:r>
        <w:rPr>
          <w:rFonts w:hint="eastAsia" w:ascii="仿宋_GB2312" w:hAnsi="仿宋_GB2312" w:eastAsia="仿宋_GB2312"/>
          <w:color w:val="000000"/>
          <w:kern w:val="2"/>
          <w:sz w:val="32"/>
          <w:szCs w:val="24"/>
          <w:lang w:val="en-US"/>
        </w:rPr>
        <w:t>支出</w:t>
      </w:r>
      <w:r>
        <w:rPr>
          <w:rFonts w:hint="eastAsia" w:ascii="仿宋_GB2312" w:hAnsi="仿宋_GB2312" w:eastAsia="仿宋_GB2312"/>
          <w:color w:val="000000"/>
          <w:kern w:val="2"/>
          <w:sz w:val="32"/>
          <w:szCs w:val="24"/>
          <w:lang w:val="en-US" w:eastAsia="zh-CN"/>
        </w:rPr>
        <w:t>3.7</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r>
        <w:rPr>
          <w:rFonts w:hint="eastAsia" w:ascii="仿宋_GB2312" w:eastAsia="仿宋_GB2312"/>
          <w:sz w:val="32"/>
          <w:szCs w:val="32"/>
        </w:rPr>
        <w:t>主要用于流浪乞讨人员的流动救助及特殊救助对象</w:t>
      </w:r>
      <w:bookmarkStart w:id="126" w:name="_GoBack"/>
      <w:bookmarkEnd w:id="126"/>
      <w:r>
        <w:rPr>
          <w:rFonts w:hint="eastAsia" w:ascii="仿宋_GB2312" w:eastAsia="仿宋_GB2312"/>
          <w:sz w:val="32"/>
          <w:szCs w:val="32"/>
        </w:rPr>
        <w:t>的护送工作等所需的公务用车燃料费、维修费、过路过桥费、保险费等支出。</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b/>
          <w:color w:val="000000"/>
          <w:kern w:val="2"/>
          <w:sz w:val="32"/>
          <w:szCs w:val="24"/>
          <w:lang w:val="en-US" w:eastAsia="zh-CN"/>
        </w:rPr>
        <w:t>3.公务接待费支出1.18万元，完成预算39.5%。</w:t>
      </w:r>
      <w:r>
        <w:rPr>
          <w:rFonts w:hint="eastAsia" w:ascii="仿宋_GB2312" w:hAnsi="仿宋_GB2312" w:eastAsia="仿宋_GB2312"/>
          <w:color w:val="000000"/>
          <w:kern w:val="2"/>
          <w:sz w:val="32"/>
          <w:szCs w:val="24"/>
          <w:lang w:val="en-US" w:eastAsia="zh-CN"/>
        </w:rPr>
        <w:t>公务接待费支出决算比2023年度减少1.25万元，下降51.4%。主要原因是本年公务接待任务减少。其中：</w:t>
      </w:r>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color w:val="000000"/>
          <w:kern w:val="2"/>
          <w:sz w:val="32"/>
          <w:szCs w:val="24"/>
          <w:lang w:val="en-US" w:eastAsia="zh-CN"/>
        </w:rPr>
        <w:t>国内公务接待支出1.18万元，主要用于来客用餐费等。国内公务接待23批次，132余人次，共计支出1.18万元，具体内容包括接待邯郸市救助站、太原市救助站等</w:t>
      </w:r>
      <w:r>
        <w:rPr>
          <w:rFonts w:hint="eastAsia" w:ascii="仿宋_GB2312" w:hAnsi="仿宋_GB2312" w:eastAsia="仿宋_GB2312"/>
          <w:color w:val="000000"/>
          <w:kern w:val="2"/>
          <w:sz w:val="32"/>
          <w:szCs w:val="24"/>
          <w:lang w:val="en-US"/>
        </w:rPr>
        <w:t>。</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9"/>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en-US"/>
        </w:rPr>
        <w:t>外事接待</w:t>
      </w:r>
      <w:r>
        <w:rPr>
          <w:rFonts w:hint="eastAsia" w:ascii="仿宋_GB2312" w:hAnsi="仿宋_GB2312" w:eastAsia="仿宋_GB2312"/>
          <w:color w:val="000000"/>
          <w:kern w:val="2"/>
          <w:sz w:val="32"/>
          <w:szCs w:val="24"/>
          <w:lang w:val="en-US"/>
        </w:rPr>
        <w:t>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万元，外事接待</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批次，</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人，共计支出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1"/>
        <w:rPr>
          <w:rStyle w:val="20"/>
          <w:rFonts w:ascii="Times New Roman" w:hAnsi="Times New Roman" w:eastAsia="黑体"/>
          <w:color w:val="auto"/>
          <w:sz w:val="32"/>
          <w:szCs w:val="32"/>
          <w:highlight w:val="none"/>
        </w:rPr>
      </w:pPr>
      <w:bookmarkStart w:id="58" w:name="_Toc15396610"/>
      <w:bookmarkStart w:id="59" w:name="_Toc23450"/>
      <w:bookmarkStart w:id="60" w:name="_Toc3134"/>
      <w:bookmarkStart w:id="61" w:name="_Toc15377218"/>
      <w:r>
        <w:rPr>
          <w:rFonts w:hint="eastAsia" w:ascii="Times New Roman" w:hAnsi="Times New Roman" w:eastAsia="黑体"/>
          <w:color w:val="auto"/>
          <w:sz w:val="32"/>
          <w:szCs w:val="32"/>
          <w:highlight w:val="none"/>
        </w:rPr>
        <w:t>八、</w:t>
      </w:r>
      <w:r>
        <w:rPr>
          <w:rStyle w:val="20"/>
          <w:rFonts w:hint="eastAsia" w:ascii="Times New Roman" w:hAnsi="Times New Roman" w:eastAsia="黑体"/>
          <w:b w:val="0"/>
          <w:color w:val="auto"/>
          <w:sz w:val="32"/>
          <w:szCs w:val="32"/>
          <w:highlight w:val="none"/>
        </w:rPr>
        <w:t>政府性基金预算支出决算情况说明</w:t>
      </w:r>
      <w:bookmarkEnd w:id="58"/>
      <w:bookmarkEnd w:id="59"/>
      <w:bookmarkEnd w:id="60"/>
      <w:bookmarkEnd w:id="61"/>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62" w:name="_Toc15396611"/>
      <w:bookmarkStart w:id="63" w:name="_Toc15377219"/>
      <w:r>
        <w:rPr>
          <w:rFonts w:hint="eastAsia" w:ascii="仿宋_GB2312" w:hAnsi="仿宋_GB2312" w:eastAsia="仿宋_GB2312" w:cs="仿宋_GB2312"/>
          <w:color w:val="auto"/>
          <w:kern w:val="2"/>
          <w:sz w:val="32"/>
          <w:szCs w:val="32"/>
          <w:highlight w:val="none"/>
          <w:lang w:val="en-US" w:eastAsia="zh-CN" w:bidi="ar-SA"/>
        </w:rPr>
        <w:t>2024年度政府性基金预算财政拨款支出40.3万元。</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1"/>
        <w:rPr>
          <w:rStyle w:val="20"/>
          <w:rFonts w:ascii="Times New Roman" w:hAnsi="Times New Roman" w:eastAsia="黑体"/>
          <w:b w:val="0"/>
          <w:color w:val="auto"/>
          <w:sz w:val="32"/>
          <w:szCs w:val="32"/>
          <w:highlight w:val="none"/>
        </w:rPr>
      </w:pPr>
      <w:bookmarkStart w:id="64" w:name="_Toc31124"/>
      <w:bookmarkStart w:id="65" w:name="_Toc24406"/>
      <w:r>
        <w:rPr>
          <w:rStyle w:val="20"/>
          <w:rFonts w:hint="eastAsia" w:ascii="Times New Roman" w:hAnsi="Times New Roman" w:eastAsia="黑体"/>
          <w:b w:val="0"/>
          <w:color w:val="auto"/>
          <w:sz w:val="32"/>
          <w:szCs w:val="32"/>
          <w:highlight w:val="none"/>
          <w:lang w:eastAsia="zh-CN"/>
        </w:rPr>
        <w:t>九、</w:t>
      </w:r>
      <w:r>
        <w:rPr>
          <w:rStyle w:val="20"/>
          <w:rFonts w:hint="eastAsia" w:ascii="Times New Roman" w:hAnsi="Times New Roman" w:eastAsia="黑体"/>
          <w:b w:val="0"/>
          <w:color w:val="auto"/>
          <w:sz w:val="32"/>
          <w:szCs w:val="32"/>
          <w:highlight w:val="none"/>
        </w:rPr>
        <w:t>国有资本经营预算支出决算情况说明</w:t>
      </w:r>
      <w:bookmarkEnd w:id="62"/>
      <w:bookmarkEnd w:id="63"/>
      <w:bookmarkEnd w:id="64"/>
      <w:bookmarkEnd w:id="65"/>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rPr>
          <w:rFonts w:hint="eastAsia" w:ascii="仿宋_GB2312" w:hAnsi="仿宋_GB2312" w:eastAsia="仿宋_GB2312"/>
          <w:color w:val="000000"/>
          <w:kern w:val="2"/>
          <w:sz w:val="32"/>
          <w:szCs w:val="24"/>
          <w:lang w:val="en-US"/>
        </w:rPr>
      </w:pPr>
      <w:bookmarkStart w:id="66" w:name="_Toc15377221"/>
      <w:bookmarkStart w:id="67" w:name="_Toc15396612"/>
      <w:r>
        <w:rPr>
          <w:rFonts w:hint="eastAsia" w:ascii="仿宋_GB2312" w:hAnsi="仿宋_GB2312" w:eastAsia="仿宋_GB2312"/>
          <w:color w:val="000000"/>
          <w:kern w:val="2"/>
          <w:sz w:val="32"/>
          <w:szCs w:val="24"/>
          <w:lang w:val="en-US"/>
        </w:rPr>
        <w:t>2024年度国有资本经营预算财政拨款支出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1"/>
        <w:rPr>
          <w:rStyle w:val="20"/>
          <w:rFonts w:hint="eastAsia" w:ascii="Times New Roman" w:hAnsi="Times New Roman" w:eastAsia="黑体"/>
          <w:b w:val="0"/>
          <w:color w:val="auto"/>
          <w:sz w:val="32"/>
          <w:szCs w:val="32"/>
          <w:highlight w:val="none"/>
        </w:rPr>
      </w:pPr>
      <w:bookmarkStart w:id="68" w:name="_Toc8003"/>
      <w:bookmarkStart w:id="69" w:name="_Toc10772"/>
      <w:r>
        <w:rPr>
          <w:rStyle w:val="20"/>
          <w:rFonts w:hint="eastAsia" w:ascii="Times New Roman" w:hAnsi="Times New Roman" w:eastAsia="黑体"/>
          <w:b w:val="0"/>
          <w:color w:val="auto"/>
          <w:sz w:val="32"/>
          <w:szCs w:val="32"/>
          <w:highlight w:val="none"/>
          <w:lang w:eastAsia="zh-CN"/>
        </w:rPr>
        <w:t>十、</w:t>
      </w:r>
      <w:r>
        <w:rPr>
          <w:rStyle w:val="20"/>
          <w:rFonts w:hint="eastAsia" w:ascii="Times New Roman" w:hAnsi="Times New Roman" w:eastAsia="黑体"/>
          <w:b w:val="0"/>
          <w:color w:val="auto"/>
          <w:sz w:val="32"/>
          <w:szCs w:val="32"/>
          <w:highlight w:val="none"/>
        </w:rPr>
        <w:t>其他重要事项的情况说明</w:t>
      </w:r>
      <w:bookmarkEnd w:id="66"/>
      <w:bookmarkEnd w:id="67"/>
      <w:bookmarkEnd w:id="68"/>
      <w:bookmarkEnd w:id="69"/>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70" w:name="_Toc20753"/>
      <w:bookmarkStart w:id="71" w:name="_Toc15377222"/>
      <w:r>
        <w:rPr>
          <w:rFonts w:hint="eastAsia" w:ascii="仿宋_GB2312" w:hAnsi="仿宋_GB2312" w:eastAsia="仿宋_GB2312" w:cs="仿宋_GB2312"/>
          <w:b/>
          <w:bCs/>
          <w:color w:val="auto"/>
          <w:kern w:val="2"/>
          <w:sz w:val="32"/>
          <w:szCs w:val="32"/>
          <w:highlight w:val="none"/>
          <w:lang w:val="en-US" w:eastAsia="zh-CN" w:bidi="ar-SA"/>
        </w:rPr>
        <w:t>（一）机关运行经费支出情况</w:t>
      </w:r>
      <w:bookmarkEnd w:id="70"/>
      <w:bookmarkEnd w:id="71"/>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ascii="仿宋_GB2312" w:eastAsia="仿宋_GB2312"/>
          <w:sz w:val="32"/>
          <w:szCs w:val="32"/>
        </w:rPr>
        <w:t>广元市救助管理站</w:t>
      </w:r>
      <w:r>
        <w:rPr>
          <w:rFonts w:hint="eastAsia" w:ascii="仿宋_GB2312" w:hAnsi="仿宋_GB2312" w:eastAsia="仿宋_GB2312" w:cs="仿宋_GB2312"/>
          <w:color w:val="auto"/>
          <w:kern w:val="2"/>
          <w:sz w:val="32"/>
          <w:szCs w:val="32"/>
          <w:highlight w:val="none"/>
          <w:lang w:val="en-US" w:eastAsia="zh-CN" w:bidi="ar-SA"/>
        </w:rPr>
        <w:t>属于财政补助的事业单位，2024年未发生机关运行经费，与2023年决算数持平。</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72" w:name="_Toc15377223"/>
      <w:bookmarkStart w:id="73" w:name="_Toc11784"/>
      <w:r>
        <w:rPr>
          <w:rFonts w:hint="eastAsia" w:ascii="仿宋_GB2312" w:hAnsi="仿宋_GB2312" w:eastAsia="仿宋_GB2312" w:cs="仿宋_GB2312"/>
          <w:b/>
          <w:bCs/>
          <w:color w:val="auto"/>
          <w:kern w:val="2"/>
          <w:sz w:val="32"/>
          <w:szCs w:val="32"/>
          <w:highlight w:val="none"/>
          <w:lang w:val="en-US" w:eastAsia="zh-CN" w:bidi="ar-SA"/>
        </w:rPr>
        <w:t>（二）政府采购支出情况</w:t>
      </w:r>
      <w:bookmarkEnd w:id="72"/>
      <w:bookmarkEnd w:id="73"/>
    </w:p>
    <w:p>
      <w:pPr>
        <w:spacing w:line="600" w:lineRule="exact"/>
        <w:ind w:firstLine="640" w:firstLineChars="20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ascii="仿宋_GB2312" w:eastAsia="仿宋_GB2312"/>
          <w:sz w:val="32"/>
          <w:szCs w:val="32"/>
        </w:rPr>
        <w:t>广元市救助管理站</w:t>
      </w:r>
      <w:r>
        <w:rPr>
          <w:rFonts w:hint="eastAsia" w:ascii="仿宋_GB2312" w:hAnsi="仿宋_GB2312" w:eastAsia="仿宋_GB2312" w:cs="仿宋_GB2312"/>
          <w:color w:val="auto"/>
          <w:kern w:val="2"/>
          <w:sz w:val="32"/>
          <w:szCs w:val="32"/>
          <w:highlight w:val="none"/>
          <w:lang w:val="en-US" w:eastAsia="zh-CN" w:bidi="ar-SA"/>
        </w:rPr>
        <w:t>政府采购支出总额0万元。</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74" w:name="_Toc28460"/>
      <w:r>
        <w:rPr>
          <w:rFonts w:hint="eastAsia" w:ascii="仿宋_GB2312" w:hAnsi="仿宋_GB2312" w:eastAsia="仿宋_GB2312" w:cs="仿宋_GB2312"/>
          <w:b/>
          <w:bCs/>
          <w:color w:val="auto"/>
          <w:kern w:val="2"/>
          <w:sz w:val="32"/>
          <w:szCs w:val="32"/>
          <w:highlight w:val="none"/>
          <w:lang w:val="en-US" w:eastAsia="zh-CN" w:bidi="ar-SA"/>
        </w:rPr>
        <w:t>（三）国有资产占有使用情况</w:t>
      </w:r>
      <w:bookmarkEnd w:id="74"/>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截至2024年12月31日，广元市救助管理站共有车辆5辆，其中</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sz w:val="32"/>
          <w:szCs w:val="32"/>
        </w:rPr>
        <w:t>我站的流浪乞讨人员救助工作及未成年人社会保护工作</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overflowPunct w:val="0"/>
        <w:topLinePunct/>
        <w:spacing w:beforeLines="0" w:afterLines="0" w:line="576" w:lineRule="exact"/>
        <w:ind w:firstLine="642" w:firstLineChars="200"/>
        <w:jc w:val="both"/>
        <w:outlineLvl w:val="2"/>
        <w:rPr>
          <w:rFonts w:hint="eastAsia" w:ascii="仿宋_GB2312" w:hAnsi="仿宋_GB2312" w:eastAsia="仿宋_GB2312"/>
          <w:b/>
          <w:color w:val="000000"/>
          <w:kern w:val="2"/>
          <w:sz w:val="32"/>
          <w:szCs w:val="24"/>
          <w:lang w:val="en-US"/>
        </w:rPr>
      </w:pPr>
      <w:bookmarkStart w:id="75" w:name="_Toc22035"/>
      <w:r>
        <w:rPr>
          <w:rFonts w:hint="eastAsia" w:ascii="仿宋_GB2312" w:hAnsi="仿宋_GB2312" w:eastAsia="仿宋_GB2312"/>
          <w:b/>
          <w:color w:val="000000"/>
          <w:kern w:val="2"/>
          <w:sz w:val="32"/>
          <w:szCs w:val="24"/>
          <w:lang w:val="en-US"/>
        </w:rPr>
        <w:t>（四）预算绩效管理情况</w:t>
      </w:r>
      <w:bookmarkEnd w:id="75"/>
    </w:p>
    <w:p>
      <w:pPr>
        <w:spacing w:line="600" w:lineRule="exact"/>
        <w:ind w:firstLine="640" w:firstLineChars="200"/>
        <w:rPr>
          <w:rFonts w:ascii="仿宋_GB2312" w:eastAsia="仿宋_GB2312"/>
          <w:sz w:val="32"/>
          <w:szCs w:val="32"/>
        </w:rPr>
      </w:pPr>
      <w:r>
        <w:rPr>
          <w:rFonts w:hint="eastAsia" w:ascii="仿宋_GB2312" w:hAnsi="仿宋_GB2312" w:eastAsia="仿宋_GB2312" w:cs="仿宋_GB2312"/>
          <w:color w:val="auto"/>
          <w:kern w:val="2"/>
          <w:sz w:val="32"/>
          <w:szCs w:val="32"/>
          <w:highlight w:val="none"/>
          <w:lang w:val="en-US" w:eastAsia="zh-CN" w:bidi="ar-SA"/>
        </w:rPr>
        <w:t>根据预算绩效管理要求，广元市救助管理站在2024年度预算编制阶段，</w:t>
      </w:r>
      <w:r>
        <w:rPr>
          <w:rFonts w:hint="eastAsia" w:ascii="仿宋_GB2312" w:hAnsi="仿宋_GB2312" w:eastAsia="仿宋_GB2312" w:cs="仿宋_GB2312"/>
          <w:color w:val="auto"/>
          <w:sz w:val="32"/>
          <w:szCs w:val="32"/>
          <w:highlight w:val="none"/>
        </w:rPr>
        <w:t>组织对</w:t>
      </w:r>
      <w:r>
        <w:rPr>
          <w:rFonts w:hint="eastAsia" w:ascii="仿宋_GB2312" w:hAnsi="仿宋_GB2312" w:eastAsia="仿宋_GB2312" w:cs="仿宋_GB2312"/>
          <w:color w:val="auto"/>
          <w:kern w:val="2"/>
          <w:sz w:val="32"/>
          <w:szCs w:val="32"/>
          <w:highlight w:val="none"/>
          <w:lang w:val="en-US" w:eastAsia="zh-CN" w:bidi="ar-SA"/>
        </w:rPr>
        <w:t>流浪乞讨人员救助、乡村振兴工作经费、困难群众救助补助、流浪乞讨人员救助工作经费、未成年人社会保护工作系列活动、广元市救助管理站改造提升建设项目、流浪乞讨人员救助、接返等工作经费等7个项目开展了预算事前绩效评估，对17个项目编制了绩效目标，预算执行过程中，选取7个项目开展绩效监控，</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17个项目开展绩效自评，绩效自评表详见第四部分附件。</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Times New Roman" w:hAnsi="Times New Roman" w:eastAsia="仿宋_GB2312" w:cs="仿宋_GB2312"/>
          <w:b/>
          <w:bCs/>
          <w:color w:val="auto"/>
          <w:kern w:val="2"/>
          <w:sz w:val="32"/>
          <w:szCs w:val="32"/>
          <w:highlight w:val="yellow"/>
          <w:lang w:val="en-US" w:eastAsia="zh-CN" w:bidi="ar-SA"/>
        </w:rPr>
      </w:pPr>
    </w:p>
    <w:p>
      <w:pPr>
        <w:keepNext w:val="0"/>
        <w:keepLines w:val="0"/>
        <w:pageBreakBefore w:val="0"/>
        <w:widowControl w:val="0"/>
        <w:kinsoku/>
        <w:wordWrap/>
        <w:overflowPunct w:val="0"/>
        <w:topLinePunct/>
        <w:autoSpaceDE w:val="0"/>
        <w:autoSpaceDN w:val="0"/>
        <w:bidi w:val="0"/>
        <w:spacing w:line="576" w:lineRule="exact"/>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br w:type="page"/>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bookmarkStart w:id="76" w:name="_Toc15396613"/>
      <w:bookmarkStart w:id="77" w:name="_Toc4863"/>
      <w:bookmarkStart w:id="78" w:name="_Toc15377225"/>
      <w:bookmarkStart w:id="79" w:name="_Toc19222"/>
      <w:r>
        <w:rPr>
          <w:rFonts w:hint="eastAsia" w:ascii="方正小标宋简体" w:hAnsi="方正小标宋简体" w:eastAsia="方正小标宋简体" w:cs="方正小标宋简体"/>
          <w:color w:val="auto"/>
          <w:sz w:val="44"/>
          <w:szCs w:val="44"/>
          <w:highlight w:val="none"/>
        </w:rPr>
        <w:t>第</w:t>
      </w:r>
      <w:r>
        <w:rPr>
          <w:rFonts w:hint="eastAsia" w:ascii="方正小标宋简体" w:hAnsi="方正小标宋简体" w:eastAsia="方正小标宋简体" w:cs="方正小标宋简体"/>
          <w:color w:val="auto"/>
          <w:sz w:val="44"/>
          <w:szCs w:val="44"/>
          <w:highlight w:val="none"/>
          <w:lang w:eastAsia="zh-CN"/>
        </w:rPr>
        <w:t>三</w:t>
      </w:r>
      <w:r>
        <w:rPr>
          <w:rFonts w:hint="eastAsia" w:ascii="方正小标宋简体" w:hAnsi="方正小标宋简体" w:eastAsia="方正小标宋简体" w:cs="方正小标宋简体"/>
          <w:color w:val="auto"/>
          <w:sz w:val="44"/>
          <w:szCs w:val="44"/>
          <w:highlight w:val="none"/>
        </w:rPr>
        <w:t>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名词解释</w:t>
      </w:r>
      <w:bookmarkEnd w:id="76"/>
      <w:bookmarkEnd w:id="77"/>
      <w:bookmarkEnd w:id="78"/>
      <w:bookmarkEnd w:id="79"/>
    </w:p>
    <w:p>
      <w:pPr>
        <w:keepNext w:val="0"/>
        <w:keepLines w:val="0"/>
        <w:pageBreakBefore w:val="0"/>
        <w:widowControl w:val="0"/>
        <w:kinsoku/>
        <w:wordWrap/>
        <w:overflowPunct w:val="0"/>
        <w:topLinePunct/>
        <w:autoSpaceDE w:val="0"/>
        <w:autoSpaceDN w:val="0"/>
        <w:bidi w:val="0"/>
        <w:spacing w:line="576" w:lineRule="exact"/>
        <w:jc w:val="left"/>
        <w:textAlignment w:val="auto"/>
        <w:rPr>
          <w:rFonts w:ascii="Times New Roman" w:hAnsi="Times New Roman"/>
          <w:b/>
          <w:color w:val="auto"/>
          <w:sz w:val="44"/>
          <w:szCs w:val="44"/>
          <w:highlight w:val="none"/>
        </w:rPr>
      </w:pPr>
    </w:p>
    <w:p>
      <w:pPr>
        <w:pStyle w:val="29"/>
        <w:spacing w:line="560" w:lineRule="exact"/>
        <w:ind w:firstLine="640" w:firstLineChars="200"/>
        <w:rPr>
          <w:rFonts w:ascii="仿宋_GB2312" w:eastAsia="仿宋_GB2312"/>
          <w:color w:val="auto"/>
          <w:sz w:val="32"/>
          <w:szCs w:val="32"/>
        </w:rPr>
      </w:pPr>
      <w:bookmarkStart w:id="80" w:name="_Toc15396614"/>
      <w:bookmarkStart w:id="81" w:name="_Toc15377226"/>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年初结转和结余：指以前年度尚未完成、结转到本年按有关规定继续使用的资金。</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.社会保障和就业支出（类）人力资源和社会保障管理事务（款）引进人才费用（项）：反映</w:t>
      </w:r>
      <w:r>
        <w:rPr>
          <w:rFonts w:hint="eastAsia" w:ascii="仿宋_GB2312" w:eastAsia="仿宋_GB2312"/>
          <w:color w:val="auto"/>
          <w:sz w:val="32"/>
          <w:szCs w:val="32"/>
          <w:lang w:val="en-US" w:eastAsia="zh-CN"/>
        </w:rPr>
        <w:t>用于引进外国专家补助、引智成果推广等方面的</w:t>
      </w:r>
      <w:r>
        <w:rPr>
          <w:rFonts w:hint="eastAsia" w:ascii="仿宋_GB2312" w:eastAsia="仿宋_GB2312"/>
          <w:color w:val="auto"/>
          <w:sz w:val="32"/>
          <w:szCs w:val="32"/>
        </w:rPr>
        <w:t>支出。</w:t>
      </w:r>
    </w:p>
    <w:p>
      <w:pPr>
        <w:pStyle w:val="29"/>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.社会保障和就业支出（类）民政管理事务（款）其他民政管理事务支出（项）：反映</w:t>
      </w:r>
      <w:r>
        <w:rPr>
          <w:rFonts w:hint="eastAsia" w:ascii="仿宋_GB2312" w:eastAsia="仿宋_GB2312"/>
          <w:color w:val="auto"/>
          <w:sz w:val="32"/>
          <w:szCs w:val="32"/>
          <w:lang w:val="en-US" w:eastAsia="zh-CN"/>
        </w:rPr>
        <w:t>用于其他民政管理事务的</w:t>
      </w:r>
      <w:r>
        <w:rPr>
          <w:rFonts w:hint="eastAsia" w:ascii="仿宋_GB2312" w:eastAsia="仿宋_GB2312"/>
          <w:color w:val="auto"/>
          <w:sz w:val="32"/>
          <w:szCs w:val="32"/>
        </w:rPr>
        <w:t>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.社会保障和就业支出（类）行政事业单位养老支出（款）机关事业单位基本养老保险缴费支出（项）：反映机关事业单位实施养老保险制度由单位缴纳的基本养老保险费支出。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6.社会保障和就业支出（类）临时救助（款）流浪乞讨人员救助支出（项）：反映城乡生活困难居民的临时生活救助等支出。</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.社会保障和就业支出（类）其他社会保障和就业支出（款）其他社会保障和就业支出（项）：反映其他用于社会保障和就业方面的支出。</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.卫生健康支出（类）行政事业单位医疗（款）事业单位医疗（项）：是指事业单位医疗方面的支出。反映财政部门集中安排的事业单位基本医疗保险缴费经费。</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9</w:t>
      </w:r>
      <w:r>
        <w:rPr>
          <w:rFonts w:hint="eastAsia" w:ascii="仿宋_GB2312" w:eastAsia="仿宋_GB2312"/>
          <w:color w:val="auto"/>
          <w:sz w:val="32"/>
          <w:szCs w:val="32"/>
        </w:rPr>
        <w:t>.住房保障支出（类）住房改革支出（款）住房公积金（项）：反映行政事业单位按人力资源和社会保障部、财政部规定的基本工资和津贴补贴以及规定比例为职工缴纳的住房公积金。</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10</w:t>
      </w:r>
      <w:r>
        <w:rPr>
          <w:rFonts w:hint="eastAsia" w:ascii="仿宋_GB2312" w:eastAsia="仿宋_GB2312"/>
          <w:color w:val="auto"/>
          <w:sz w:val="32"/>
          <w:szCs w:val="32"/>
        </w:rPr>
        <w:t>.其他支出（类）彩票公益金安排的支出（款）用于社会福利的彩票公益金支出（项）：反映</w:t>
      </w:r>
      <w:r>
        <w:rPr>
          <w:rFonts w:hint="eastAsia" w:ascii="仿宋_GB2312" w:eastAsia="仿宋_GB2312"/>
          <w:color w:val="auto"/>
          <w:sz w:val="32"/>
          <w:szCs w:val="32"/>
          <w:lang w:val="en-US" w:eastAsia="zh-CN"/>
        </w:rPr>
        <w:t>用于社会福利和社会救助的彩票公益金支出</w:t>
      </w:r>
      <w:r>
        <w:rPr>
          <w:rFonts w:hint="eastAsia" w:ascii="仿宋_GB2312" w:eastAsia="仿宋_GB2312"/>
          <w:color w:val="auto"/>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Times New Roman" w:hAnsi="Times New Roman" w:eastAsia="黑体"/>
          <w:color w:val="auto"/>
          <w:sz w:val="44"/>
          <w:szCs w:val="44"/>
          <w:highlight w:val="none"/>
        </w:rPr>
      </w:pPr>
      <w:r>
        <w:rPr>
          <w:rFonts w:ascii="仿宋_GB2312" w:eastAsia="仿宋_GB2312"/>
          <w:color w:val="auto"/>
          <w:sz w:val="32"/>
          <w:szCs w:val="32"/>
        </w:rPr>
        <w:t>1</w:t>
      </w: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Times New Roman" w:hAnsi="Times New Roman" w:eastAsia="黑体"/>
          <w:color w:val="auto"/>
          <w:sz w:val="44"/>
          <w:szCs w:val="44"/>
          <w:highlight w:val="none"/>
        </w:rPr>
        <w:br w:type="page"/>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lang w:eastAsia="zh-CN"/>
        </w:rPr>
      </w:pPr>
      <w:bookmarkStart w:id="82" w:name="_Toc32060"/>
      <w:bookmarkStart w:id="83" w:name="_Toc13523"/>
      <w:r>
        <w:rPr>
          <w:rFonts w:hint="eastAsia" w:ascii="方正小标宋简体" w:hAnsi="方正小标宋简体" w:eastAsia="方正小标宋简体" w:cs="方正小标宋简体"/>
          <w:color w:val="auto"/>
          <w:sz w:val="44"/>
          <w:szCs w:val="44"/>
          <w:highlight w:val="none"/>
        </w:rPr>
        <w:t>第四部分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 xml:space="preserve"> 附件</w:t>
      </w:r>
      <w:bookmarkEnd w:id="80"/>
      <w:bookmarkEnd w:id="82"/>
      <w:bookmarkEnd w:id="83"/>
    </w:p>
    <w:p>
      <w:pPr>
        <w:keepNext w:val="0"/>
        <w:keepLines w:val="0"/>
        <w:pageBreakBefore w:val="0"/>
        <w:widowControl w:val="0"/>
        <w:kinsoku/>
        <w:wordWrap/>
        <w:overflowPunct w:val="0"/>
        <w:topLinePunct/>
        <w:autoSpaceDE w:val="0"/>
        <w:autoSpaceDN w:val="0"/>
        <w:bidi w:val="0"/>
        <w:spacing w:line="576"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pStyle w:val="7"/>
        <w:keepNext w:val="0"/>
        <w:keepLines w:val="0"/>
        <w:pageBreakBefore w:val="0"/>
        <w:widowControl w:val="0"/>
        <w:numPr>
          <w:ilvl w:val="0"/>
          <w:numId w:val="0"/>
        </w:numPr>
        <w:kinsoku/>
        <w:wordWrap/>
        <w:overflowPunct w:val="0"/>
        <w:topLinePunct/>
        <w:autoSpaceDE w:val="0"/>
        <w:autoSpaceDN w:val="0"/>
        <w:bidi w:val="0"/>
        <w:spacing w:line="576"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7"/>
        <w:keepNext w:val="0"/>
        <w:keepLines w:val="0"/>
        <w:pageBreakBefore w:val="0"/>
        <w:widowControl w:val="0"/>
        <w:numPr>
          <w:ilvl w:val="0"/>
          <w:numId w:val="0"/>
        </w:numPr>
        <w:kinsoku/>
        <w:wordWrap/>
        <w:overflowPunct w:val="0"/>
        <w:topLinePunct/>
        <w:autoSpaceDE w:val="0"/>
        <w:autoSpaceDN w:val="0"/>
        <w:bidi w:val="0"/>
        <w:spacing w:line="576"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2"/>
        <w:rPr>
          <w:rFonts w:hint="default"/>
          <w:lang w:val="en-US" w:eastAsia="zh-CN"/>
        </w:rPr>
      </w:pPr>
      <w:r>
        <w:rPr>
          <w:rFonts w:hint="eastAsia"/>
          <w:lang w:val="en-US" w:eastAsia="zh-CN"/>
        </w:rPr>
        <w:t xml:space="preserve">     具体内容见附表</w:t>
      </w: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pStyle w:val="2"/>
        <w:rPr>
          <w:rFonts w:hint="eastAsia"/>
          <w:lang w:val="zh-CN" w:eastAsia="zh-CN"/>
        </w:rPr>
      </w:pP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bookmarkStart w:id="84" w:name="_Toc2939"/>
      <w:bookmarkStart w:id="85" w:name="_Toc15396618"/>
      <w:bookmarkStart w:id="86" w:name="_Toc3637"/>
      <w:r>
        <w:rPr>
          <w:rFonts w:hint="eastAsia" w:ascii="方正小标宋简体" w:hAnsi="方正小标宋简体" w:eastAsia="方正小标宋简体" w:cs="方正小标宋简体"/>
          <w:color w:val="auto"/>
          <w:sz w:val="44"/>
          <w:szCs w:val="44"/>
          <w:highlight w:val="none"/>
        </w:rPr>
        <w:t xml:space="preserve">第五部分 </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附表</w:t>
      </w:r>
      <w:bookmarkEnd w:id="81"/>
      <w:bookmarkEnd w:id="84"/>
      <w:bookmarkEnd w:id="85"/>
      <w:bookmarkEnd w:id="86"/>
      <w:bookmarkStart w:id="87" w:name="_Toc15396619"/>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88" w:name="_Toc28715"/>
      <w:bookmarkStart w:id="89" w:name="_Toc16727"/>
      <w:r>
        <w:rPr>
          <w:rFonts w:hint="eastAsia" w:ascii="Times New Roman" w:hAnsi="Times New Roman" w:eastAsia="仿宋_GB2312" w:cs="仿宋_GB2312"/>
          <w:color w:val="auto"/>
          <w:sz w:val="32"/>
          <w:szCs w:val="32"/>
          <w:highlight w:val="none"/>
        </w:rPr>
        <w:t>一、收入支出决算总表</w:t>
      </w:r>
      <w:bookmarkEnd w:id="87"/>
      <w:bookmarkEnd w:id="88"/>
      <w:bookmarkEnd w:id="89"/>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90" w:name="_Toc15396620"/>
      <w:bookmarkStart w:id="91" w:name="_Toc16345"/>
      <w:bookmarkStart w:id="92" w:name="_Toc20984"/>
      <w:r>
        <w:rPr>
          <w:rFonts w:hint="eastAsia" w:ascii="Times New Roman" w:hAnsi="Times New Roman" w:eastAsia="仿宋_GB2312" w:cs="仿宋_GB2312"/>
          <w:color w:val="auto"/>
          <w:sz w:val="32"/>
          <w:szCs w:val="32"/>
          <w:highlight w:val="none"/>
        </w:rPr>
        <w:t>二、收入决算表</w:t>
      </w:r>
      <w:bookmarkEnd w:id="90"/>
      <w:bookmarkEnd w:id="91"/>
      <w:bookmarkEnd w:id="92"/>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93" w:name="_Toc15396621"/>
      <w:bookmarkStart w:id="94" w:name="_Toc10859"/>
      <w:bookmarkStart w:id="95" w:name="_Toc5001"/>
      <w:r>
        <w:rPr>
          <w:rFonts w:hint="eastAsia" w:ascii="Times New Roman" w:hAnsi="Times New Roman" w:eastAsia="仿宋_GB2312" w:cs="仿宋_GB2312"/>
          <w:color w:val="auto"/>
          <w:sz w:val="32"/>
          <w:szCs w:val="32"/>
          <w:highlight w:val="none"/>
        </w:rPr>
        <w:t>三、支出决算表</w:t>
      </w:r>
      <w:bookmarkEnd w:id="93"/>
      <w:bookmarkEnd w:id="94"/>
      <w:bookmarkEnd w:id="95"/>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96" w:name="_Toc9726"/>
      <w:bookmarkStart w:id="97" w:name="_Toc15396622"/>
      <w:bookmarkStart w:id="98" w:name="_Toc24384"/>
      <w:r>
        <w:rPr>
          <w:rFonts w:hint="eastAsia" w:ascii="Times New Roman" w:hAnsi="Times New Roman" w:eastAsia="仿宋_GB2312" w:cs="仿宋_GB2312"/>
          <w:color w:val="auto"/>
          <w:sz w:val="32"/>
          <w:szCs w:val="32"/>
          <w:highlight w:val="none"/>
        </w:rPr>
        <w:t>四、财政拨款收入支出决算总表</w:t>
      </w:r>
      <w:bookmarkEnd w:id="96"/>
      <w:bookmarkEnd w:id="97"/>
      <w:bookmarkEnd w:id="98"/>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99" w:name="_Toc15396623"/>
      <w:bookmarkStart w:id="100" w:name="_Toc11940"/>
      <w:bookmarkStart w:id="101" w:name="_Toc1285"/>
      <w:r>
        <w:rPr>
          <w:rFonts w:hint="eastAsia" w:ascii="Times New Roman" w:hAnsi="Times New Roman" w:eastAsia="仿宋_GB2312" w:cs="仿宋_GB2312"/>
          <w:color w:val="auto"/>
          <w:sz w:val="32"/>
          <w:szCs w:val="32"/>
          <w:highlight w:val="none"/>
        </w:rPr>
        <w:t>五、财政拨款支出决算明细表</w:t>
      </w:r>
      <w:bookmarkEnd w:id="99"/>
      <w:bookmarkEnd w:id="100"/>
      <w:bookmarkEnd w:id="101"/>
      <w:bookmarkStart w:id="102" w:name="_Toc15396624"/>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03" w:name="_Toc15744"/>
      <w:bookmarkStart w:id="104" w:name="_Toc10220"/>
      <w:r>
        <w:rPr>
          <w:rFonts w:hint="eastAsia" w:ascii="Times New Roman" w:hAnsi="Times New Roman" w:eastAsia="仿宋_GB2312" w:cs="仿宋_GB2312"/>
          <w:color w:val="auto"/>
          <w:sz w:val="32"/>
          <w:szCs w:val="32"/>
          <w:highlight w:val="none"/>
        </w:rPr>
        <w:t>六、一般公共预算财政拨款支出决算表</w:t>
      </w:r>
      <w:bookmarkEnd w:id="102"/>
      <w:bookmarkEnd w:id="103"/>
      <w:bookmarkEnd w:id="104"/>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05" w:name="_Toc13750"/>
      <w:bookmarkStart w:id="106" w:name="_Toc15396625"/>
      <w:bookmarkStart w:id="107" w:name="_Toc1471"/>
      <w:r>
        <w:rPr>
          <w:rFonts w:hint="eastAsia" w:ascii="Times New Roman" w:hAnsi="Times New Roman" w:eastAsia="仿宋_GB2312" w:cs="仿宋_GB2312"/>
          <w:color w:val="auto"/>
          <w:sz w:val="32"/>
          <w:szCs w:val="32"/>
          <w:highlight w:val="none"/>
        </w:rPr>
        <w:t>七、一般公共预算财政拨款支出决算明细表</w:t>
      </w:r>
      <w:bookmarkEnd w:id="105"/>
      <w:bookmarkEnd w:id="106"/>
      <w:bookmarkEnd w:id="107"/>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08" w:name="_Toc15396626"/>
      <w:bookmarkStart w:id="109" w:name="_Toc19135"/>
      <w:bookmarkStart w:id="110" w:name="_Toc17800"/>
      <w:r>
        <w:rPr>
          <w:rFonts w:hint="eastAsia" w:ascii="Times New Roman" w:hAnsi="Times New Roman" w:eastAsia="仿宋_GB2312" w:cs="仿宋_GB2312"/>
          <w:color w:val="auto"/>
          <w:sz w:val="32"/>
          <w:szCs w:val="32"/>
          <w:highlight w:val="none"/>
        </w:rPr>
        <w:t>八、一般公共预算财政拨款基本支出决算表</w:t>
      </w:r>
      <w:bookmarkEnd w:id="108"/>
      <w:bookmarkEnd w:id="109"/>
      <w:bookmarkEnd w:id="110"/>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11" w:name="_Toc21614"/>
      <w:bookmarkStart w:id="112" w:name="_Toc28154"/>
      <w:bookmarkStart w:id="113" w:name="_Toc15396627"/>
      <w:r>
        <w:rPr>
          <w:rFonts w:hint="eastAsia" w:ascii="Times New Roman" w:hAnsi="Times New Roman" w:eastAsia="仿宋_GB2312" w:cs="仿宋_GB2312"/>
          <w:color w:val="auto"/>
          <w:sz w:val="32"/>
          <w:szCs w:val="32"/>
          <w:highlight w:val="none"/>
        </w:rPr>
        <w:t>九、一般公共预算财政拨款项目支出决算表</w:t>
      </w:r>
      <w:bookmarkEnd w:id="111"/>
      <w:bookmarkEnd w:id="112"/>
      <w:bookmarkEnd w:id="113"/>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14" w:name="_Toc15396628"/>
      <w:bookmarkStart w:id="115" w:name="_Toc28378"/>
      <w:bookmarkStart w:id="116" w:name="_Toc2885"/>
      <w:r>
        <w:rPr>
          <w:rFonts w:hint="eastAsia" w:ascii="Times New Roman" w:hAnsi="Times New Roman" w:eastAsia="仿宋_GB2312" w:cs="仿宋_GB2312"/>
          <w:color w:val="auto"/>
          <w:sz w:val="32"/>
          <w:szCs w:val="32"/>
          <w:highlight w:val="none"/>
        </w:rPr>
        <w:t>十、</w:t>
      </w:r>
      <w:bookmarkEnd w:id="114"/>
      <w:r>
        <w:rPr>
          <w:rFonts w:hint="eastAsia" w:ascii="Times New Roman" w:hAnsi="Times New Roman" w:eastAsia="仿宋_GB2312" w:cs="仿宋_GB2312"/>
          <w:color w:val="auto"/>
          <w:sz w:val="32"/>
          <w:szCs w:val="32"/>
          <w:highlight w:val="none"/>
        </w:rPr>
        <w:t>政府性基金预算财政拨款收入支出决算表</w:t>
      </w:r>
      <w:bookmarkEnd w:id="115"/>
      <w:bookmarkEnd w:id="116"/>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17" w:name="_Toc15396629"/>
      <w:bookmarkStart w:id="118" w:name="_Toc936"/>
      <w:bookmarkStart w:id="119" w:name="_Toc17757"/>
      <w:r>
        <w:rPr>
          <w:rFonts w:hint="eastAsia" w:ascii="Times New Roman" w:hAnsi="Times New Roman" w:eastAsia="仿宋_GB2312" w:cs="仿宋_GB2312"/>
          <w:color w:val="auto"/>
          <w:sz w:val="32"/>
          <w:szCs w:val="32"/>
          <w:highlight w:val="none"/>
        </w:rPr>
        <w:t>十一、</w:t>
      </w:r>
      <w:bookmarkEnd w:id="117"/>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bookmarkEnd w:id="118"/>
      <w:bookmarkEnd w:id="119"/>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eastAsia="仿宋_GB2312" w:cs="仿宋_GB2312"/>
          <w:color w:val="auto"/>
          <w:sz w:val="32"/>
          <w:szCs w:val="32"/>
          <w:highlight w:val="none"/>
        </w:rPr>
      </w:pPr>
      <w:bookmarkStart w:id="120" w:name="_Toc15396630"/>
      <w:bookmarkStart w:id="121" w:name="_Toc11355"/>
      <w:bookmarkStart w:id="122" w:name="_Toc11450"/>
      <w:r>
        <w:rPr>
          <w:rFonts w:hint="eastAsia" w:ascii="Times New Roman" w:hAnsi="Times New Roman" w:eastAsia="仿宋_GB2312" w:cs="仿宋_GB2312"/>
          <w:color w:val="auto"/>
          <w:sz w:val="32"/>
          <w:szCs w:val="32"/>
          <w:highlight w:val="none"/>
        </w:rPr>
        <w:t>十二、</w:t>
      </w:r>
      <w:bookmarkEnd w:id="120"/>
      <w:r>
        <w:rPr>
          <w:rFonts w:hint="eastAsia" w:ascii="Times New Roman" w:hAnsi="Times New Roman" w:eastAsia="仿宋_GB2312" w:cs="仿宋_GB2312"/>
          <w:color w:val="auto"/>
          <w:sz w:val="32"/>
          <w:szCs w:val="32"/>
          <w:highlight w:val="none"/>
          <w:lang w:eastAsia="zh-CN"/>
        </w:rPr>
        <w:t>国有资本经营预算财政拨款支出决算表</w:t>
      </w:r>
      <w:bookmarkEnd w:id="121"/>
      <w:bookmarkEnd w:id="122"/>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outlineLvl w:val="1"/>
        <w:rPr>
          <w:rFonts w:hint="eastAsia" w:ascii="Times New Roman" w:hAnsi="Times New Roman"/>
          <w:sz w:val="32"/>
          <w:szCs w:val="32"/>
          <w:lang w:eastAsia="zh-CN"/>
        </w:rPr>
      </w:pPr>
      <w:bookmarkStart w:id="123" w:name="_Toc15396631"/>
      <w:bookmarkStart w:id="124" w:name="_Toc5633"/>
      <w:bookmarkStart w:id="125" w:name="_Toc0"/>
      <w:r>
        <w:rPr>
          <w:rFonts w:hint="eastAsia" w:ascii="Times New Roman" w:hAnsi="Times New Roman" w:eastAsia="仿宋_GB2312" w:cs="仿宋_GB2312"/>
          <w:color w:val="auto"/>
          <w:sz w:val="32"/>
          <w:szCs w:val="32"/>
          <w:highlight w:val="none"/>
        </w:rPr>
        <w:t>十三、</w:t>
      </w:r>
      <w:bookmarkEnd w:id="123"/>
      <w:r>
        <w:rPr>
          <w:rFonts w:hint="eastAsia" w:ascii="Times New Roman" w:hAnsi="Times New Roman" w:eastAsia="仿宋_GB2312" w:cs="仿宋_GB2312"/>
          <w:color w:val="auto"/>
          <w:sz w:val="32"/>
          <w:szCs w:val="32"/>
          <w:highlight w:val="none"/>
          <w:lang w:eastAsia="zh-CN"/>
        </w:rPr>
        <w:t>财政拨款“三公”经费支出决算表</w:t>
      </w:r>
      <w:bookmarkEnd w:id="124"/>
      <w:bookmarkEnd w:id="125"/>
    </w:p>
    <w:sectPr>
      <w:footerReference r:id="rId8" w:type="first"/>
      <w:footerReference r:id="rId7" w:type="default"/>
      <w:pgSz w:w="11906" w:h="16838"/>
      <w:pgMar w:top="2098" w:right="1474" w:bottom="1984" w:left="1587" w:header="851" w:footer="1304" w:gutter="0"/>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-106045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35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A1jM051gAAAAgBAAAPAAAAAAAAAAEAIAAAADgAAABkcnMvZG93bnJldi54bWxQ&#10;SwECFAAUAAAACACHTuJASQizEBwCAAApBAAADgAAAAAAAAABACAAAAA7AQAAZHJzL2Uyb0RvYy54&#10;bWxQSwUGAAAAAAYABgBZAQAAyQ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-106045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35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NYzNOdYAAAAIAQAADwAAAAAAAAABACAAAAA4AAAAZHJzL2Rvd25yZXYueG1s&#10;UEsBAhQAFAAAAAgAh07iQIDxM9IdAgAAKQQAAA4AAAAAAAAAAQAgAAAAOwEAAGRycy9lMm9Eb2Mu&#10;eG1sUEsFBgAAAAAGAAYAWQEAAMoFAAAAAA==&#10;">
              <v:fill on="f" focussize="0,0"/>
              <v:stroke on="f" weight="0.5pt"/>
              <v:imagedata o:title=""/>
              <o:lock v:ext="edit" aspectratio="f"/>
              <v:textbox inset="0mm,0mm,0mm,0mm" style="mso-fit-shape-to-text:t;">
                <w:txbxContent>
                  <w:p>
                    <w:pPr>
                      <w:pStyle w:val="1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4B434B"/>
    <w:multiLevelType w:val="singleLevel"/>
    <w:tmpl w:val="AA4B434B"/>
    <w:lvl w:ilvl="0" w:tentative="0">
      <w:start w:val="2"/>
      <w:numFmt w:val="chineseCounting"/>
      <w:suff w:val="space"/>
      <w:lvlText w:val="第%1部分"/>
      <w:lvlJc w:val="left"/>
      <w:rPr>
        <w:rFonts w:hint="eastAsia"/>
      </w:rPr>
    </w:lvl>
  </w:abstractNum>
  <w:abstractNum w:abstractNumId="1">
    <w:nsid w:val="13DE4603"/>
    <w:multiLevelType w:val="singleLevel"/>
    <w:tmpl w:val="13DE460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406A"/>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C6492"/>
    <w:rsid w:val="012A5EC2"/>
    <w:rsid w:val="015975B8"/>
    <w:rsid w:val="021751E4"/>
    <w:rsid w:val="025B75AD"/>
    <w:rsid w:val="02FEBE30"/>
    <w:rsid w:val="032C4E8C"/>
    <w:rsid w:val="03B15391"/>
    <w:rsid w:val="04273641"/>
    <w:rsid w:val="04363AE8"/>
    <w:rsid w:val="04916F1E"/>
    <w:rsid w:val="052C24FC"/>
    <w:rsid w:val="055E19B0"/>
    <w:rsid w:val="05852631"/>
    <w:rsid w:val="06041631"/>
    <w:rsid w:val="061E35DE"/>
    <w:rsid w:val="066E0107"/>
    <w:rsid w:val="06BC02D5"/>
    <w:rsid w:val="078B7CA7"/>
    <w:rsid w:val="07996F6E"/>
    <w:rsid w:val="07DFD8BA"/>
    <w:rsid w:val="08460754"/>
    <w:rsid w:val="084F2ED5"/>
    <w:rsid w:val="08935065"/>
    <w:rsid w:val="089F6FB8"/>
    <w:rsid w:val="0955056D"/>
    <w:rsid w:val="09867E8F"/>
    <w:rsid w:val="09930631"/>
    <w:rsid w:val="0A2032A3"/>
    <w:rsid w:val="0A9E6FA0"/>
    <w:rsid w:val="0AC30636"/>
    <w:rsid w:val="0B331380"/>
    <w:rsid w:val="0CA8290A"/>
    <w:rsid w:val="0CFF716D"/>
    <w:rsid w:val="0D35B1ED"/>
    <w:rsid w:val="0D464D9C"/>
    <w:rsid w:val="0D516797"/>
    <w:rsid w:val="0D924597"/>
    <w:rsid w:val="0DBB2F07"/>
    <w:rsid w:val="0E254B6B"/>
    <w:rsid w:val="0E5F4D59"/>
    <w:rsid w:val="0E6354DA"/>
    <w:rsid w:val="0E655DDB"/>
    <w:rsid w:val="0E737E58"/>
    <w:rsid w:val="0EF461F4"/>
    <w:rsid w:val="0F22032E"/>
    <w:rsid w:val="0F480212"/>
    <w:rsid w:val="0F672DA8"/>
    <w:rsid w:val="0F7D10F0"/>
    <w:rsid w:val="0F98263C"/>
    <w:rsid w:val="0FC1695C"/>
    <w:rsid w:val="0FFFC00F"/>
    <w:rsid w:val="1007166D"/>
    <w:rsid w:val="101860EC"/>
    <w:rsid w:val="101F47CC"/>
    <w:rsid w:val="109202F8"/>
    <w:rsid w:val="10C055FF"/>
    <w:rsid w:val="11694EBD"/>
    <w:rsid w:val="11772AA4"/>
    <w:rsid w:val="118107EC"/>
    <w:rsid w:val="12B6795C"/>
    <w:rsid w:val="12B75DF4"/>
    <w:rsid w:val="12E24EE2"/>
    <w:rsid w:val="13631AD8"/>
    <w:rsid w:val="139D5DA3"/>
    <w:rsid w:val="13D50BC4"/>
    <w:rsid w:val="13FA068E"/>
    <w:rsid w:val="145C6C53"/>
    <w:rsid w:val="14B17F78"/>
    <w:rsid w:val="14E72741"/>
    <w:rsid w:val="14F12AE8"/>
    <w:rsid w:val="150248BB"/>
    <w:rsid w:val="1517701E"/>
    <w:rsid w:val="1598015F"/>
    <w:rsid w:val="16257519"/>
    <w:rsid w:val="165E0673"/>
    <w:rsid w:val="16B831D5"/>
    <w:rsid w:val="16BB723D"/>
    <w:rsid w:val="17BC3C60"/>
    <w:rsid w:val="17CC78C9"/>
    <w:rsid w:val="17DF7E88"/>
    <w:rsid w:val="17E50567"/>
    <w:rsid w:val="180970F2"/>
    <w:rsid w:val="183D4FEE"/>
    <w:rsid w:val="186504BB"/>
    <w:rsid w:val="18E95288"/>
    <w:rsid w:val="18F7519C"/>
    <w:rsid w:val="19A445FC"/>
    <w:rsid w:val="19AC7FDD"/>
    <w:rsid w:val="19D0297A"/>
    <w:rsid w:val="1A240213"/>
    <w:rsid w:val="1A266374"/>
    <w:rsid w:val="1A6836D7"/>
    <w:rsid w:val="1AC90DBB"/>
    <w:rsid w:val="1BBF0F0E"/>
    <w:rsid w:val="1BD01CD5"/>
    <w:rsid w:val="1BE8440E"/>
    <w:rsid w:val="1C2362A8"/>
    <w:rsid w:val="1CA613B3"/>
    <w:rsid w:val="1CDD28FB"/>
    <w:rsid w:val="1CE04199"/>
    <w:rsid w:val="1CE63CF9"/>
    <w:rsid w:val="1CF87735"/>
    <w:rsid w:val="1D021C88"/>
    <w:rsid w:val="1D155CEE"/>
    <w:rsid w:val="1D1638FE"/>
    <w:rsid w:val="1D5C5F16"/>
    <w:rsid w:val="1D7F5880"/>
    <w:rsid w:val="1D806B84"/>
    <w:rsid w:val="1DD0420E"/>
    <w:rsid w:val="1E312DEB"/>
    <w:rsid w:val="1E740ACF"/>
    <w:rsid w:val="1ECF44C6"/>
    <w:rsid w:val="1ED65854"/>
    <w:rsid w:val="1F7C7975"/>
    <w:rsid w:val="1F8B4EC7"/>
    <w:rsid w:val="1FF35744"/>
    <w:rsid w:val="1FF6BC77"/>
    <w:rsid w:val="201D2648"/>
    <w:rsid w:val="20D120A4"/>
    <w:rsid w:val="2129111C"/>
    <w:rsid w:val="21735B37"/>
    <w:rsid w:val="21794818"/>
    <w:rsid w:val="2186353C"/>
    <w:rsid w:val="21AA5705"/>
    <w:rsid w:val="22121299"/>
    <w:rsid w:val="22665141"/>
    <w:rsid w:val="226C09A9"/>
    <w:rsid w:val="23270D74"/>
    <w:rsid w:val="23860B96"/>
    <w:rsid w:val="240371BF"/>
    <w:rsid w:val="241E5CD3"/>
    <w:rsid w:val="244F3473"/>
    <w:rsid w:val="24AA7567"/>
    <w:rsid w:val="24C97D99"/>
    <w:rsid w:val="24DD793C"/>
    <w:rsid w:val="25176CCA"/>
    <w:rsid w:val="25A718F0"/>
    <w:rsid w:val="25BB59F6"/>
    <w:rsid w:val="260F557C"/>
    <w:rsid w:val="26306E8C"/>
    <w:rsid w:val="268B161A"/>
    <w:rsid w:val="26970054"/>
    <w:rsid w:val="26E2034B"/>
    <w:rsid w:val="26E33204"/>
    <w:rsid w:val="281408E2"/>
    <w:rsid w:val="282E04AF"/>
    <w:rsid w:val="28CF3A40"/>
    <w:rsid w:val="29D62BAC"/>
    <w:rsid w:val="29FD04D3"/>
    <w:rsid w:val="2A074F02"/>
    <w:rsid w:val="2A0F58A6"/>
    <w:rsid w:val="2AD31260"/>
    <w:rsid w:val="2B3F36CD"/>
    <w:rsid w:val="2B5076BD"/>
    <w:rsid w:val="2B8B30E0"/>
    <w:rsid w:val="2BBD05CD"/>
    <w:rsid w:val="2BFF7BC6"/>
    <w:rsid w:val="2C1F4CDE"/>
    <w:rsid w:val="2C7D5DC7"/>
    <w:rsid w:val="2C8A61B5"/>
    <w:rsid w:val="2CA174A1"/>
    <w:rsid w:val="2CC73FC4"/>
    <w:rsid w:val="2CEE159E"/>
    <w:rsid w:val="2CF04B0A"/>
    <w:rsid w:val="2D4C7B7F"/>
    <w:rsid w:val="2D7A6E3D"/>
    <w:rsid w:val="2D895183"/>
    <w:rsid w:val="2DA80DA1"/>
    <w:rsid w:val="2DF04E50"/>
    <w:rsid w:val="2E586DFA"/>
    <w:rsid w:val="2E5F13C2"/>
    <w:rsid w:val="2E6C3ADF"/>
    <w:rsid w:val="2ED718A0"/>
    <w:rsid w:val="2F040D46"/>
    <w:rsid w:val="2F5A3CC3"/>
    <w:rsid w:val="2F6B035B"/>
    <w:rsid w:val="2FAE5751"/>
    <w:rsid w:val="2FB14AB3"/>
    <w:rsid w:val="2FB1A395"/>
    <w:rsid w:val="2FD9A7D8"/>
    <w:rsid w:val="2FDBF714"/>
    <w:rsid w:val="2FE73D65"/>
    <w:rsid w:val="30A864ED"/>
    <w:rsid w:val="30AB6865"/>
    <w:rsid w:val="30F46B5D"/>
    <w:rsid w:val="314F1BC2"/>
    <w:rsid w:val="319F7F4E"/>
    <w:rsid w:val="31B772F8"/>
    <w:rsid w:val="31D54993"/>
    <w:rsid w:val="32BD1EF1"/>
    <w:rsid w:val="3304709D"/>
    <w:rsid w:val="3369683F"/>
    <w:rsid w:val="33A773CB"/>
    <w:rsid w:val="34054E22"/>
    <w:rsid w:val="340F7C20"/>
    <w:rsid w:val="3417273F"/>
    <w:rsid w:val="34346E4D"/>
    <w:rsid w:val="348953EB"/>
    <w:rsid w:val="349D6851"/>
    <w:rsid w:val="34E6283D"/>
    <w:rsid w:val="3518051D"/>
    <w:rsid w:val="361138EA"/>
    <w:rsid w:val="361C36BC"/>
    <w:rsid w:val="36AA5135"/>
    <w:rsid w:val="36AC3612"/>
    <w:rsid w:val="36BE0DA7"/>
    <w:rsid w:val="375752FB"/>
    <w:rsid w:val="376B6AA6"/>
    <w:rsid w:val="376D39B2"/>
    <w:rsid w:val="37E16F03"/>
    <w:rsid w:val="37F53A3B"/>
    <w:rsid w:val="38356709"/>
    <w:rsid w:val="38697929"/>
    <w:rsid w:val="386C3059"/>
    <w:rsid w:val="389B6C89"/>
    <w:rsid w:val="38D469F0"/>
    <w:rsid w:val="39627CCD"/>
    <w:rsid w:val="397BAF1F"/>
    <w:rsid w:val="39BE5B37"/>
    <w:rsid w:val="39E17A17"/>
    <w:rsid w:val="3A1B1419"/>
    <w:rsid w:val="3AB79AF3"/>
    <w:rsid w:val="3ABC7B9C"/>
    <w:rsid w:val="3AE834C0"/>
    <w:rsid w:val="3B0752BB"/>
    <w:rsid w:val="3B7EF35A"/>
    <w:rsid w:val="3B9FDB6C"/>
    <w:rsid w:val="3BA66882"/>
    <w:rsid w:val="3BF5BC2F"/>
    <w:rsid w:val="3CD44981"/>
    <w:rsid w:val="3CDE204C"/>
    <w:rsid w:val="3CEBA265"/>
    <w:rsid w:val="3D7B5AED"/>
    <w:rsid w:val="3D98207C"/>
    <w:rsid w:val="3DEE7CF3"/>
    <w:rsid w:val="3E740A63"/>
    <w:rsid w:val="3E78745D"/>
    <w:rsid w:val="3EE17838"/>
    <w:rsid w:val="3F55381A"/>
    <w:rsid w:val="3F7F7599"/>
    <w:rsid w:val="3FEB5645"/>
    <w:rsid w:val="3FF4CAE0"/>
    <w:rsid w:val="3FF7B227"/>
    <w:rsid w:val="4036290E"/>
    <w:rsid w:val="40ED4F53"/>
    <w:rsid w:val="410450ED"/>
    <w:rsid w:val="41AD7188"/>
    <w:rsid w:val="436C6603"/>
    <w:rsid w:val="43994F1E"/>
    <w:rsid w:val="43BE56FA"/>
    <w:rsid w:val="44C67F95"/>
    <w:rsid w:val="44E268DA"/>
    <w:rsid w:val="450D13D7"/>
    <w:rsid w:val="451B17FB"/>
    <w:rsid w:val="452463AD"/>
    <w:rsid w:val="45506656"/>
    <w:rsid w:val="45B47580"/>
    <w:rsid w:val="45BE6EBE"/>
    <w:rsid w:val="45D00592"/>
    <w:rsid w:val="45F97EF6"/>
    <w:rsid w:val="46353A70"/>
    <w:rsid w:val="46671304"/>
    <w:rsid w:val="466B37D3"/>
    <w:rsid w:val="472D60AA"/>
    <w:rsid w:val="477C6AB3"/>
    <w:rsid w:val="47B71E17"/>
    <w:rsid w:val="482A25E9"/>
    <w:rsid w:val="48314E68"/>
    <w:rsid w:val="486A6C7A"/>
    <w:rsid w:val="49285A8A"/>
    <w:rsid w:val="49520049"/>
    <w:rsid w:val="496821C2"/>
    <w:rsid w:val="49770F4B"/>
    <w:rsid w:val="49E770C2"/>
    <w:rsid w:val="4A1D0657"/>
    <w:rsid w:val="4A627F82"/>
    <w:rsid w:val="4AF601D7"/>
    <w:rsid w:val="4B0E749A"/>
    <w:rsid w:val="4B2477C4"/>
    <w:rsid w:val="4B4F25DA"/>
    <w:rsid w:val="4B903C5B"/>
    <w:rsid w:val="4BC57579"/>
    <w:rsid w:val="4BE068DB"/>
    <w:rsid w:val="4BF47196"/>
    <w:rsid w:val="4CC17D34"/>
    <w:rsid w:val="4CE55F35"/>
    <w:rsid w:val="4D333CEE"/>
    <w:rsid w:val="4D372C3B"/>
    <w:rsid w:val="4D577224"/>
    <w:rsid w:val="4DB766CD"/>
    <w:rsid w:val="4DBF1CEB"/>
    <w:rsid w:val="4DF0007C"/>
    <w:rsid w:val="4DFF0B8D"/>
    <w:rsid w:val="4E604FB7"/>
    <w:rsid w:val="4EAB630A"/>
    <w:rsid w:val="4EC76DE4"/>
    <w:rsid w:val="4ECE2238"/>
    <w:rsid w:val="4F3A35D0"/>
    <w:rsid w:val="4F4305AB"/>
    <w:rsid w:val="4F833267"/>
    <w:rsid w:val="4FBC446F"/>
    <w:rsid w:val="4FDF02B0"/>
    <w:rsid w:val="4FE9BD67"/>
    <w:rsid w:val="4FFB052F"/>
    <w:rsid w:val="509F6806"/>
    <w:rsid w:val="50A13664"/>
    <w:rsid w:val="513D016B"/>
    <w:rsid w:val="51426BF5"/>
    <w:rsid w:val="51C72D33"/>
    <w:rsid w:val="51E97071"/>
    <w:rsid w:val="52224331"/>
    <w:rsid w:val="525941F7"/>
    <w:rsid w:val="537E6D0A"/>
    <w:rsid w:val="538F3C48"/>
    <w:rsid w:val="53D1600F"/>
    <w:rsid w:val="53F74C96"/>
    <w:rsid w:val="544607AB"/>
    <w:rsid w:val="5479292E"/>
    <w:rsid w:val="55170BA8"/>
    <w:rsid w:val="553218C9"/>
    <w:rsid w:val="553A1364"/>
    <w:rsid w:val="553E1482"/>
    <w:rsid w:val="55450A62"/>
    <w:rsid w:val="55E24503"/>
    <w:rsid w:val="567E1AA5"/>
    <w:rsid w:val="56BB5D8A"/>
    <w:rsid w:val="56E47B74"/>
    <w:rsid w:val="56EB5639"/>
    <w:rsid w:val="57175D52"/>
    <w:rsid w:val="571B7984"/>
    <w:rsid w:val="575E405D"/>
    <w:rsid w:val="57BD3DD4"/>
    <w:rsid w:val="57C41DCA"/>
    <w:rsid w:val="57D367F9"/>
    <w:rsid w:val="58E81E30"/>
    <w:rsid w:val="592C545B"/>
    <w:rsid w:val="5AF92295"/>
    <w:rsid w:val="5B250254"/>
    <w:rsid w:val="5BDD79E6"/>
    <w:rsid w:val="5BE4354C"/>
    <w:rsid w:val="5BF561CA"/>
    <w:rsid w:val="5BF64864"/>
    <w:rsid w:val="5BFC4C54"/>
    <w:rsid w:val="5BFF5DFC"/>
    <w:rsid w:val="5C202D8B"/>
    <w:rsid w:val="5C33339D"/>
    <w:rsid w:val="5C7FE3DA"/>
    <w:rsid w:val="5CB669D8"/>
    <w:rsid w:val="5CD71FC4"/>
    <w:rsid w:val="5D125D26"/>
    <w:rsid w:val="5D1F11B5"/>
    <w:rsid w:val="5D695134"/>
    <w:rsid w:val="5D724260"/>
    <w:rsid w:val="5DAE1B18"/>
    <w:rsid w:val="5DE439BE"/>
    <w:rsid w:val="5DE7D9E5"/>
    <w:rsid w:val="5ECEC941"/>
    <w:rsid w:val="5EDF3926"/>
    <w:rsid w:val="5EF14FC9"/>
    <w:rsid w:val="5F177DFA"/>
    <w:rsid w:val="5F503D12"/>
    <w:rsid w:val="5F5B3D91"/>
    <w:rsid w:val="5FBF9FF3"/>
    <w:rsid w:val="5FCD4E2C"/>
    <w:rsid w:val="5FE3014C"/>
    <w:rsid w:val="5FE94ADE"/>
    <w:rsid w:val="5FEF394A"/>
    <w:rsid w:val="5FF67715"/>
    <w:rsid w:val="60477D84"/>
    <w:rsid w:val="606F72DB"/>
    <w:rsid w:val="60824919"/>
    <w:rsid w:val="60B60A66"/>
    <w:rsid w:val="60E02CC9"/>
    <w:rsid w:val="61167757"/>
    <w:rsid w:val="614E0C9F"/>
    <w:rsid w:val="614E5143"/>
    <w:rsid w:val="61A358F0"/>
    <w:rsid w:val="61D00200"/>
    <w:rsid w:val="623D18A4"/>
    <w:rsid w:val="62BF3928"/>
    <w:rsid w:val="62E57515"/>
    <w:rsid w:val="63B3701E"/>
    <w:rsid w:val="63D43986"/>
    <w:rsid w:val="647F5392"/>
    <w:rsid w:val="648275DD"/>
    <w:rsid w:val="65510D5D"/>
    <w:rsid w:val="65805743"/>
    <w:rsid w:val="65A07531"/>
    <w:rsid w:val="65E66580"/>
    <w:rsid w:val="65F8742B"/>
    <w:rsid w:val="664B1D71"/>
    <w:rsid w:val="664B4E8E"/>
    <w:rsid w:val="66805D9E"/>
    <w:rsid w:val="66840416"/>
    <w:rsid w:val="66B843BC"/>
    <w:rsid w:val="67277B67"/>
    <w:rsid w:val="67AA3209"/>
    <w:rsid w:val="67B11F87"/>
    <w:rsid w:val="67E67E83"/>
    <w:rsid w:val="68BB30BE"/>
    <w:rsid w:val="69112CDD"/>
    <w:rsid w:val="69707179"/>
    <w:rsid w:val="698D0931"/>
    <w:rsid w:val="69995197"/>
    <w:rsid w:val="69AF415E"/>
    <w:rsid w:val="69F71CE1"/>
    <w:rsid w:val="6A1D56B2"/>
    <w:rsid w:val="6A585BEB"/>
    <w:rsid w:val="6A7FE5F3"/>
    <w:rsid w:val="6A89220C"/>
    <w:rsid w:val="6B053271"/>
    <w:rsid w:val="6BDD78B3"/>
    <w:rsid w:val="6C33740F"/>
    <w:rsid w:val="6C4A05C8"/>
    <w:rsid w:val="6C8742B8"/>
    <w:rsid w:val="6CB22A29"/>
    <w:rsid w:val="6CBA6439"/>
    <w:rsid w:val="6CD1631D"/>
    <w:rsid w:val="6CDE3F67"/>
    <w:rsid w:val="6D7B5984"/>
    <w:rsid w:val="6DBF5E93"/>
    <w:rsid w:val="6DFF077E"/>
    <w:rsid w:val="6E714EF0"/>
    <w:rsid w:val="6E7E3605"/>
    <w:rsid w:val="6E7FDCC7"/>
    <w:rsid w:val="6ED6A62E"/>
    <w:rsid w:val="6EE00B15"/>
    <w:rsid w:val="6F3239AE"/>
    <w:rsid w:val="6F6FB3EB"/>
    <w:rsid w:val="6F7659DC"/>
    <w:rsid w:val="6F8731EA"/>
    <w:rsid w:val="6F9957DB"/>
    <w:rsid w:val="6FB504F7"/>
    <w:rsid w:val="6FCE6052"/>
    <w:rsid w:val="6FD57C00"/>
    <w:rsid w:val="6FEFFFD8"/>
    <w:rsid w:val="6FF43359"/>
    <w:rsid w:val="6FF5CC65"/>
    <w:rsid w:val="6FFB47EC"/>
    <w:rsid w:val="6FFF034A"/>
    <w:rsid w:val="700D2479"/>
    <w:rsid w:val="70484440"/>
    <w:rsid w:val="7078567F"/>
    <w:rsid w:val="70AE4D5E"/>
    <w:rsid w:val="70FD163D"/>
    <w:rsid w:val="712A28F1"/>
    <w:rsid w:val="715C0E4B"/>
    <w:rsid w:val="717604C9"/>
    <w:rsid w:val="71992E7C"/>
    <w:rsid w:val="72233669"/>
    <w:rsid w:val="72273572"/>
    <w:rsid w:val="72734D90"/>
    <w:rsid w:val="72DA6468"/>
    <w:rsid w:val="73085AC2"/>
    <w:rsid w:val="73160E6D"/>
    <w:rsid w:val="732951AB"/>
    <w:rsid w:val="7332FE48"/>
    <w:rsid w:val="733E18BB"/>
    <w:rsid w:val="738F7621"/>
    <w:rsid w:val="739058DB"/>
    <w:rsid w:val="73AB61DA"/>
    <w:rsid w:val="73AD73D5"/>
    <w:rsid w:val="73B6EB34"/>
    <w:rsid w:val="73C10152"/>
    <w:rsid w:val="73CE3539"/>
    <w:rsid w:val="73FA497D"/>
    <w:rsid w:val="74277859"/>
    <w:rsid w:val="744731E5"/>
    <w:rsid w:val="744C3764"/>
    <w:rsid w:val="74534AF2"/>
    <w:rsid w:val="74BBD01D"/>
    <w:rsid w:val="74D2412F"/>
    <w:rsid w:val="74ED5379"/>
    <w:rsid w:val="75295853"/>
    <w:rsid w:val="75593140"/>
    <w:rsid w:val="758E3908"/>
    <w:rsid w:val="75B5227F"/>
    <w:rsid w:val="75DEEEC2"/>
    <w:rsid w:val="75E32345"/>
    <w:rsid w:val="76967C6D"/>
    <w:rsid w:val="76E3355F"/>
    <w:rsid w:val="76FF5125"/>
    <w:rsid w:val="776F6FFA"/>
    <w:rsid w:val="778769C8"/>
    <w:rsid w:val="77A75DCA"/>
    <w:rsid w:val="77BFDDCB"/>
    <w:rsid w:val="77DC22F5"/>
    <w:rsid w:val="78253FD9"/>
    <w:rsid w:val="78302628"/>
    <w:rsid w:val="783E271A"/>
    <w:rsid w:val="78616DE9"/>
    <w:rsid w:val="78E875D7"/>
    <w:rsid w:val="78EF290F"/>
    <w:rsid w:val="79086DAD"/>
    <w:rsid w:val="79840511"/>
    <w:rsid w:val="79D7FD79"/>
    <w:rsid w:val="79EE5BA4"/>
    <w:rsid w:val="79F37840"/>
    <w:rsid w:val="7A344A7E"/>
    <w:rsid w:val="7A854F2C"/>
    <w:rsid w:val="7A894339"/>
    <w:rsid w:val="7AB80E65"/>
    <w:rsid w:val="7ACF69FC"/>
    <w:rsid w:val="7AD284E8"/>
    <w:rsid w:val="7AFF7572"/>
    <w:rsid w:val="7B6C7DFB"/>
    <w:rsid w:val="7BA914C7"/>
    <w:rsid w:val="7BBFBED0"/>
    <w:rsid w:val="7BC3E394"/>
    <w:rsid w:val="7BF91591"/>
    <w:rsid w:val="7C1F3737"/>
    <w:rsid w:val="7CBFC87B"/>
    <w:rsid w:val="7CFE0F48"/>
    <w:rsid w:val="7D076C60"/>
    <w:rsid w:val="7D272ABC"/>
    <w:rsid w:val="7D7EC23E"/>
    <w:rsid w:val="7D86CF4D"/>
    <w:rsid w:val="7D874C2B"/>
    <w:rsid w:val="7DDB16B4"/>
    <w:rsid w:val="7E135FDB"/>
    <w:rsid w:val="7E8ADEBF"/>
    <w:rsid w:val="7ECC2682"/>
    <w:rsid w:val="7EDA5AF5"/>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8F61DA2C"/>
    <w:rsid w:val="99FF2014"/>
    <w:rsid w:val="A6DD0D7F"/>
    <w:rsid w:val="ACFB1B08"/>
    <w:rsid w:val="ACFF4FBB"/>
    <w:rsid w:val="ADC6F725"/>
    <w:rsid w:val="AEBFC050"/>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E4DFCD"/>
    <w:rsid w:val="FBFF5B2E"/>
    <w:rsid w:val="FD7FFE2B"/>
    <w:rsid w:val="FDDEC2B7"/>
    <w:rsid w:val="FDEE196B"/>
    <w:rsid w:val="FDFE6575"/>
    <w:rsid w:val="FEDFDDC2"/>
    <w:rsid w:val="FEED32F6"/>
    <w:rsid w:val="FEF781DD"/>
    <w:rsid w:val="FF3F7E3F"/>
    <w:rsid w:val="FF8EE10D"/>
    <w:rsid w:val="FFBA12D7"/>
    <w:rsid w:val="FFCBD314"/>
    <w:rsid w:val="FFDFF91C"/>
    <w:rsid w:val="FFDFFAEE"/>
    <w:rsid w:val="FFEF6777"/>
    <w:rsid w:val="FFF29A12"/>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9"/>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 w:type="paragraph" w:customStyle="1" w:styleId="3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28</Words>
  <Characters>36</Characters>
  <Lines>61</Lines>
  <Paragraphs>17</Paragraphs>
  <TotalTime>6</TotalTime>
  <ScaleCrop>false</ScaleCrop>
  <LinksUpToDate>false</LinksUpToDate>
  <CharactersWithSpaces>41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2025-10-13T14:38:50Z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459545F4B2384B26966676500B53F1D9</vt:lpwstr>
  </property>
  <property fmtid="{D5CDD505-2E9C-101B-9397-08002B2CF9AE}" pid="4" name="KSOTemplateDocerSaveRecord">
    <vt:lpwstr>eyJoZGlkIjoiYTc2ZGZiNzZiNDVlOGViOWVmM2JhOTY0NGJkNjUyYzgiLCJ1c2VySWQiOiIyMjA2OTAwNTAifQ==</vt:lpwstr>
  </property>
</Properties>
</file>