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0"/>
        <w:rPr>
          <w:rFonts w:ascii="方正小标宋简体" w:hAnsi="宋体" w:eastAsia="方正小标宋简体"/>
          <w:szCs w:val="21"/>
        </w:rPr>
      </w:pPr>
      <w:bookmarkStart w:id="0" w:name="_Toc15306267"/>
    </w:p>
    <w:p>
      <w:pPr>
        <w:pStyle w:val="2"/>
        <w:spacing w:before="93"/>
      </w:pPr>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widowControl/>
        <w:suppressAutoHyphens/>
        <w:bidi w:val="0"/>
        <w:jc w:val="center"/>
        <w:rPr>
          <w:rFonts w:ascii="方正小标宋简体" w:hAnsi="方正小标宋简体" w:eastAsia="方正小标宋简体" w:cs="方正小标宋简体"/>
          <w:sz w:val="72"/>
          <w:szCs w:val="72"/>
        </w:rPr>
      </w:pPr>
      <w:bookmarkStart w:id="1" w:name="_Toc15396475"/>
      <w:bookmarkStart w:id="2" w:name="_Toc15396597"/>
      <w:bookmarkStart w:id="3" w:name="_Toc15378441"/>
      <w:bookmarkStart w:id="4" w:name="_Toc15377425"/>
      <w:bookmarkStart w:id="5" w:name="_Toc15377193"/>
      <w:r>
        <w:rPr>
          <w:rFonts w:hint="eastAsia" w:ascii="方正小标宋简体" w:hAnsi="宋体" w:eastAsia="方正小标宋简体" w:cs="Times New Roman"/>
          <w:color w:val="auto"/>
          <w:w w:val="90"/>
          <w:kern w:val="2"/>
          <w:sz w:val="44"/>
          <w:szCs w:val="44"/>
          <w:highlight w:val="none"/>
          <w:lang w:val="en-US" w:eastAsia="zh-CN" w:bidi="ar-SA"/>
        </w:rPr>
        <w:t>2024年度</w:t>
      </w:r>
      <w:bookmarkEnd w:id="0"/>
      <w:bookmarkEnd w:id="1"/>
      <w:bookmarkEnd w:id="2"/>
      <w:bookmarkEnd w:id="3"/>
      <w:bookmarkEnd w:id="4"/>
      <w:bookmarkEnd w:id="5"/>
      <w:bookmarkStart w:id="6" w:name="_Toc15306268"/>
      <w:bookmarkStart w:id="7" w:name="_Toc15396476"/>
      <w:bookmarkStart w:id="8" w:name="_Toc15377194"/>
      <w:bookmarkStart w:id="9" w:name="_Toc15377426"/>
      <w:bookmarkStart w:id="10" w:name="_Toc15378442"/>
      <w:bookmarkStart w:id="11" w:name="_Toc15396598"/>
      <w:r>
        <w:rPr>
          <w:rFonts w:hint="eastAsia" w:ascii="方正小标宋简体" w:hAnsi="宋体" w:eastAsia="方正小标宋简体" w:cs="Times New Roman"/>
          <w:color w:val="auto"/>
          <w:w w:val="90"/>
          <w:kern w:val="2"/>
          <w:sz w:val="44"/>
          <w:szCs w:val="44"/>
          <w:highlight w:val="none"/>
          <w:lang w:val="en-US" w:eastAsia="zh-CN" w:bidi="ar-SA"/>
        </w:rPr>
        <w:t>广元市光荣院单位决算</w:t>
      </w:r>
      <w:bookmarkEnd w:id="6"/>
      <w:bookmarkEnd w:id="7"/>
      <w:bookmarkEnd w:id="8"/>
      <w:bookmarkEnd w:id="9"/>
      <w:bookmarkEnd w:id="10"/>
      <w:bookmarkEnd w:id="11"/>
    </w:p>
    <w:p>
      <w:pPr>
        <w:widowControl/>
        <w:jc w:val="center"/>
        <w:rPr>
          <w:rFonts w:ascii="黑体" w:hAnsi="黑体" w:eastAsia="黑体" w:cstheme="minorBidi"/>
          <w:sz w:val="28"/>
          <w:szCs w:val="28"/>
          <w:highlight w:val="yellow"/>
        </w:rPr>
      </w:pPr>
      <w:r>
        <w:rPr>
          <w:rFonts w:ascii="方正小标宋简体" w:hAnsi="宋体" w:eastAsia="方正小标宋简体"/>
          <w:sz w:val="36"/>
          <w:szCs w:val="36"/>
        </w:rPr>
        <w:br w:type="page"/>
      </w:r>
      <w:r>
        <w:rPr>
          <w:rFonts w:hint="eastAsia" w:ascii="黑体" w:hAnsi="黑体" w:eastAsia="黑体"/>
          <w:sz w:val="48"/>
          <w:szCs w:val="48"/>
          <w:highlight w:val="none"/>
        </w:rPr>
        <w:t>目录</w:t>
      </w:r>
    </w:p>
    <w:p>
      <w:pPr>
        <w:pStyle w:val="3"/>
        <w:rPr>
          <w:highlight w:val="none"/>
        </w:rPr>
      </w:pPr>
      <w:r>
        <w:rPr>
          <w:rFonts w:hint="eastAsia"/>
          <w:highlight w:val="none"/>
        </w:rPr>
        <w:t>公开时间：202</w:t>
      </w:r>
      <w:r>
        <w:rPr>
          <w:rFonts w:hint="eastAsia"/>
          <w:highlight w:val="none"/>
          <w:lang w:val="en-US" w:eastAsia="zh-CN"/>
        </w:rPr>
        <w:t>5</w:t>
      </w:r>
      <w:r>
        <w:rPr>
          <w:rFonts w:hint="eastAsia"/>
          <w:highlight w:val="none"/>
        </w:rPr>
        <w:t>年</w:t>
      </w:r>
      <w:r>
        <w:rPr>
          <w:rFonts w:hint="eastAsia"/>
          <w:highlight w:val="none"/>
          <w:lang w:val="en-US" w:eastAsia="zh-CN"/>
        </w:rPr>
        <w:t>10</w:t>
      </w:r>
      <w:r>
        <w:rPr>
          <w:rFonts w:hint="eastAsia"/>
          <w:highlight w:val="none"/>
        </w:rPr>
        <w:t>月</w:t>
      </w:r>
      <w:r>
        <w:rPr>
          <w:rFonts w:hint="eastAsia"/>
          <w:highlight w:val="none"/>
          <w:lang w:val="en-US" w:eastAsia="zh-CN"/>
        </w:rPr>
        <w:t>14</w:t>
      </w:r>
      <w:r>
        <w:rPr>
          <w:rFonts w:hint="eastAsia"/>
          <w:highlight w:val="none"/>
        </w:rPr>
        <w:t>日</w:t>
      </w:r>
    </w:p>
    <w:sdt>
      <w:sdtPr>
        <w:rPr>
          <w:rFonts w:ascii="宋体" w:hAnsi="宋体" w:eastAsia="宋体" w:cs="Times New Roman"/>
          <w:kern w:val="2"/>
          <w:sz w:val="21"/>
          <w:szCs w:val="24"/>
          <w:lang w:val="en-US" w:eastAsia="zh-CN" w:bidi="ar-SA"/>
        </w:rPr>
        <w:id w:val="147480369"/>
        <w15:color w:val="DBDBDB"/>
        <w:docPartObj>
          <w:docPartGallery w:val="Table of Contents"/>
          <w:docPartUnique/>
        </w:docPartObj>
      </w:sdtPr>
      <w:sdtEndPr>
        <w:rPr>
          <w:rFonts w:ascii="宋体" w:hAnsi="宋体" w:eastAsia="宋体" w:cs="Times New Roman"/>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bookmarkStart w:id="12" w:name="_Toc15396599"/>
          <w:bookmarkStart w:id="13" w:name="_Toc15377196"/>
        </w:p>
        <w:p>
          <w:pPr>
            <w:pStyle w:val="3"/>
            <w:tabs>
              <w:tab w:val="right" w:leader="dot" w:pos="8306"/>
              <w:tab w:val="clear" w:pos="8296"/>
            </w:tabs>
          </w:pPr>
          <w:r>
            <w:fldChar w:fldCharType="begin"/>
          </w:r>
          <w:r>
            <w:instrText xml:space="preserve">TOC \o "1-2" \h \u </w:instrText>
          </w:r>
          <w:r>
            <w:fldChar w:fldCharType="separate"/>
          </w:r>
          <w:r>
            <w:fldChar w:fldCharType="begin"/>
          </w:r>
          <w:r>
            <w:instrText xml:space="preserve"> HYPERLINK \l _Toc20871 </w:instrText>
          </w:r>
          <w:r>
            <w:fldChar w:fldCharType="separate"/>
          </w:r>
          <w:r>
            <w:rPr>
              <w:rFonts w:hint="eastAsia" w:ascii="黑体" w:hAnsi="黑体" w:eastAsia="黑体"/>
              <w:highlight w:val="none"/>
            </w:rPr>
            <w:t>第一部分 单位</w:t>
          </w:r>
          <w:r>
            <w:rPr>
              <w:rFonts w:hint="eastAsia" w:ascii="黑体" w:hAnsi="黑体" w:eastAsia="黑体"/>
              <w:bCs w:val="0"/>
              <w:highlight w:val="none"/>
            </w:rPr>
            <w:t>概况</w:t>
          </w:r>
          <w:r>
            <w:tab/>
          </w:r>
          <w:r>
            <w:fldChar w:fldCharType="begin"/>
          </w:r>
          <w:r>
            <w:instrText xml:space="preserve"> PAGEREF _Toc20871 \h </w:instrText>
          </w:r>
          <w:r>
            <w:fldChar w:fldCharType="separate"/>
          </w:r>
          <w:r>
            <w:t>3</w:t>
          </w:r>
          <w:r>
            <w:fldChar w:fldCharType="end"/>
          </w:r>
          <w:r>
            <w:fldChar w:fldCharType="end"/>
          </w:r>
        </w:p>
        <w:p>
          <w:pPr>
            <w:pStyle w:val="12"/>
            <w:tabs>
              <w:tab w:val="right" w:leader="dot" w:pos="8306"/>
              <w:tab w:val="clear" w:pos="8296"/>
            </w:tabs>
          </w:pPr>
          <w:r>
            <w:fldChar w:fldCharType="begin"/>
          </w:r>
          <w:r>
            <w:instrText xml:space="preserve"> HYPERLINK \l _Toc6664 </w:instrText>
          </w:r>
          <w:r>
            <w:fldChar w:fldCharType="separate"/>
          </w:r>
          <w:r>
            <w:rPr>
              <w:rFonts w:hint="eastAsia" w:ascii="仿宋_GB2312" w:hAnsi="仿宋_GB2312" w:eastAsia="仿宋_GB2312" w:cs="仿宋_GB2312"/>
              <w:bCs w:val="0"/>
              <w:kern w:val="2"/>
              <w:szCs w:val="32"/>
              <w:lang w:val="en-US" w:eastAsia="zh-CN" w:bidi="ar-SA"/>
            </w:rPr>
            <w:t xml:space="preserve">一、 </w:t>
          </w:r>
          <w:r>
            <w:rPr>
              <w:rFonts w:hint="eastAsia" w:ascii="黑体" w:hAnsi="黑体" w:eastAsia="黑体"/>
              <w:bCs w:val="0"/>
              <w:highlight w:val="none"/>
              <w:lang w:eastAsia="zh-CN"/>
            </w:rPr>
            <w:t>主要职责</w:t>
          </w:r>
          <w:r>
            <w:tab/>
          </w:r>
          <w:r>
            <w:fldChar w:fldCharType="begin"/>
          </w:r>
          <w:r>
            <w:instrText xml:space="preserve"> PAGEREF _Toc6664 \h </w:instrText>
          </w:r>
          <w:r>
            <w:fldChar w:fldCharType="separate"/>
          </w:r>
          <w:r>
            <w:t>3</w:t>
          </w:r>
          <w:r>
            <w:fldChar w:fldCharType="end"/>
          </w:r>
          <w:r>
            <w:fldChar w:fldCharType="end"/>
          </w:r>
        </w:p>
        <w:p>
          <w:pPr>
            <w:pStyle w:val="12"/>
            <w:tabs>
              <w:tab w:val="right" w:leader="dot" w:pos="8306"/>
              <w:tab w:val="clear" w:pos="8296"/>
            </w:tabs>
          </w:pPr>
          <w:r>
            <w:fldChar w:fldCharType="begin"/>
          </w:r>
          <w:r>
            <w:instrText xml:space="preserve"> HYPERLINK \l _Toc29050 </w:instrText>
          </w:r>
          <w:r>
            <w:fldChar w:fldCharType="separate"/>
          </w:r>
          <w:r>
            <w:rPr>
              <w:rFonts w:hint="eastAsia" w:ascii="仿宋" w:hAnsi="仿宋" w:eastAsia="仿宋"/>
              <w:szCs w:val="32"/>
            </w:rPr>
            <w:t xml:space="preserve">二、 </w:t>
          </w:r>
          <w:r>
            <w:rPr>
              <w:rFonts w:hint="eastAsia" w:ascii="黑体" w:hAnsi="黑体" w:eastAsia="黑体"/>
              <w:highlight w:val="none"/>
              <w:lang w:val="en-US" w:eastAsia="zh-CN"/>
            </w:rPr>
            <w:t>机构设置</w:t>
          </w:r>
          <w:r>
            <w:tab/>
          </w:r>
          <w:r>
            <w:fldChar w:fldCharType="begin"/>
          </w:r>
          <w:r>
            <w:instrText xml:space="preserve"> PAGEREF _Toc29050 \h </w:instrText>
          </w:r>
          <w:r>
            <w:fldChar w:fldCharType="separate"/>
          </w:r>
          <w:r>
            <w:t>3</w:t>
          </w:r>
          <w:r>
            <w:fldChar w:fldCharType="end"/>
          </w:r>
          <w:r>
            <w:fldChar w:fldCharType="end"/>
          </w:r>
        </w:p>
        <w:p>
          <w:pPr>
            <w:pStyle w:val="3"/>
            <w:tabs>
              <w:tab w:val="right" w:leader="dot" w:pos="8306"/>
              <w:tab w:val="clear" w:pos="8296"/>
            </w:tabs>
          </w:pPr>
          <w:r>
            <w:fldChar w:fldCharType="begin"/>
          </w:r>
          <w:r>
            <w:instrText xml:space="preserve"> HYPERLINK \l _Toc5154 </w:instrText>
          </w:r>
          <w:r>
            <w:fldChar w:fldCharType="separate"/>
          </w:r>
          <w:r>
            <w:rPr>
              <w:rFonts w:hint="eastAsia" w:ascii="黑体" w:hAnsi="黑体" w:eastAsia="黑体"/>
            </w:rPr>
            <w:t>第二部分 202</w:t>
          </w:r>
          <w:r>
            <w:rPr>
              <w:rFonts w:hint="eastAsia" w:ascii="黑体" w:hAnsi="黑体" w:eastAsia="黑体"/>
              <w:lang w:val="en-US" w:eastAsia="zh-CN"/>
            </w:rPr>
            <w:t>4</w:t>
          </w:r>
          <w:r>
            <w:rPr>
              <w:rFonts w:hint="eastAsia" w:ascii="黑体" w:hAnsi="黑体" w:eastAsia="黑体"/>
            </w:rPr>
            <w:t>年度</w:t>
          </w:r>
          <w:r>
            <w:rPr>
              <w:rFonts w:hint="eastAsia" w:ascii="黑体" w:hAnsi="黑体" w:eastAsia="黑体"/>
              <w:bCs/>
            </w:rPr>
            <w:t>单位决算情况说明</w:t>
          </w:r>
          <w:r>
            <w:tab/>
          </w:r>
          <w:r>
            <w:fldChar w:fldCharType="begin"/>
          </w:r>
          <w:r>
            <w:instrText xml:space="preserve"> PAGEREF _Toc5154 \h </w:instrText>
          </w:r>
          <w:r>
            <w:fldChar w:fldCharType="separate"/>
          </w:r>
          <w:r>
            <w:t>4</w:t>
          </w:r>
          <w:r>
            <w:fldChar w:fldCharType="end"/>
          </w:r>
          <w:r>
            <w:fldChar w:fldCharType="end"/>
          </w:r>
        </w:p>
        <w:p>
          <w:pPr>
            <w:pStyle w:val="12"/>
            <w:tabs>
              <w:tab w:val="right" w:leader="dot" w:pos="8306"/>
              <w:tab w:val="clear" w:pos="8296"/>
            </w:tabs>
          </w:pPr>
          <w:r>
            <w:fldChar w:fldCharType="begin"/>
          </w:r>
          <w:r>
            <w:instrText xml:space="preserve"> HYPERLINK \l _Toc25414 </w:instrText>
          </w:r>
          <w:r>
            <w:fldChar w:fldCharType="separate"/>
          </w:r>
          <w:r>
            <w:rPr>
              <w:rFonts w:hint="default" w:ascii="黑体" w:hAnsi="黑体" w:eastAsia="黑体"/>
            </w:rPr>
            <w:t xml:space="preserve">一、 </w:t>
          </w:r>
          <w:r>
            <w:rPr>
              <w:rFonts w:hint="eastAsia" w:ascii="黑体" w:hAnsi="黑体" w:eastAsia="黑体"/>
              <w:szCs w:val="32"/>
            </w:rPr>
            <w:t>收</w:t>
          </w:r>
          <w:r>
            <w:rPr>
              <w:rFonts w:hint="eastAsia" w:ascii="黑体" w:hAnsi="黑体" w:eastAsia="黑体"/>
            </w:rPr>
            <w:t>入支出决算总体情况说明</w:t>
          </w:r>
          <w:r>
            <w:tab/>
          </w:r>
          <w:r>
            <w:fldChar w:fldCharType="begin"/>
          </w:r>
          <w:r>
            <w:instrText xml:space="preserve"> PAGEREF _Toc25414 \h </w:instrText>
          </w:r>
          <w:r>
            <w:fldChar w:fldCharType="separate"/>
          </w:r>
          <w:r>
            <w:t>4</w:t>
          </w:r>
          <w:r>
            <w:fldChar w:fldCharType="end"/>
          </w:r>
          <w:r>
            <w:fldChar w:fldCharType="end"/>
          </w:r>
        </w:p>
        <w:p>
          <w:pPr>
            <w:pStyle w:val="12"/>
            <w:tabs>
              <w:tab w:val="right" w:leader="dot" w:pos="8306"/>
              <w:tab w:val="clear" w:pos="8296"/>
            </w:tabs>
          </w:pPr>
          <w:r>
            <w:fldChar w:fldCharType="begin"/>
          </w:r>
          <w:r>
            <w:instrText xml:space="preserve"> HYPERLINK \l _Toc4470 </w:instrText>
          </w:r>
          <w:r>
            <w:fldChar w:fldCharType="separate"/>
          </w:r>
          <w:r>
            <w:rPr>
              <w:rFonts w:hint="default" w:ascii="黑体" w:hAnsi="黑体" w:eastAsia="黑体"/>
            </w:rPr>
            <w:t xml:space="preserve">二、 </w:t>
          </w:r>
          <w:r>
            <w:rPr>
              <w:rFonts w:hint="eastAsia" w:ascii="黑体" w:hAnsi="黑体" w:eastAsia="黑体"/>
              <w:szCs w:val="32"/>
            </w:rPr>
            <w:t>收</w:t>
          </w:r>
          <w:r>
            <w:rPr>
              <w:rFonts w:hint="eastAsia" w:ascii="黑体" w:hAnsi="黑体" w:eastAsia="黑体"/>
            </w:rPr>
            <w:t>入决算情况说明</w:t>
          </w:r>
          <w:r>
            <w:tab/>
          </w:r>
          <w:r>
            <w:fldChar w:fldCharType="begin"/>
          </w:r>
          <w:r>
            <w:instrText xml:space="preserve"> PAGEREF _Toc4470 \h </w:instrText>
          </w:r>
          <w:r>
            <w:fldChar w:fldCharType="separate"/>
          </w:r>
          <w:r>
            <w:t>4</w:t>
          </w:r>
          <w:r>
            <w:fldChar w:fldCharType="end"/>
          </w:r>
          <w:r>
            <w:fldChar w:fldCharType="end"/>
          </w:r>
        </w:p>
        <w:p>
          <w:pPr>
            <w:pStyle w:val="12"/>
            <w:tabs>
              <w:tab w:val="right" w:leader="dot" w:pos="8306"/>
              <w:tab w:val="clear" w:pos="8296"/>
            </w:tabs>
          </w:pPr>
          <w:r>
            <w:fldChar w:fldCharType="begin"/>
          </w:r>
          <w:r>
            <w:instrText xml:space="preserve"> HYPERLINK \l _Toc6997 </w:instrText>
          </w:r>
          <w:r>
            <w:fldChar w:fldCharType="separate"/>
          </w:r>
          <w:r>
            <w:rPr>
              <w:rFonts w:hint="default" w:ascii="黑体" w:hAnsi="黑体" w:eastAsia="黑体"/>
            </w:rPr>
            <w:t xml:space="preserve">三、 </w:t>
          </w:r>
          <w:r>
            <w:rPr>
              <w:rFonts w:hint="eastAsia" w:ascii="黑体" w:hAnsi="黑体" w:eastAsia="黑体"/>
              <w:szCs w:val="32"/>
            </w:rPr>
            <w:t>支</w:t>
          </w:r>
          <w:r>
            <w:rPr>
              <w:rFonts w:hint="eastAsia" w:ascii="黑体" w:hAnsi="黑体" w:eastAsia="黑体"/>
            </w:rPr>
            <w:t>出决算情况说明</w:t>
          </w:r>
          <w:r>
            <w:tab/>
          </w:r>
          <w:r>
            <w:fldChar w:fldCharType="begin"/>
          </w:r>
          <w:r>
            <w:instrText xml:space="preserve"> PAGEREF _Toc6997 \h </w:instrText>
          </w:r>
          <w:r>
            <w:fldChar w:fldCharType="separate"/>
          </w:r>
          <w:r>
            <w:t>5</w:t>
          </w:r>
          <w:r>
            <w:fldChar w:fldCharType="end"/>
          </w:r>
          <w:r>
            <w:fldChar w:fldCharType="end"/>
          </w:r>
        </w:p>
        <w:p>
          <w:pPr>
            <w:pStyle w:val="12"/>
            <w:tabs>
              <w:tab w:val="right" w:leader="dot" w:pos="8306"/>
              <w:tab w:val="clear" w:pos="8296"/>
            </w:tabs>
          </w:pPr>
          <w:r>
            <w:fldChar w:fldCharType="begin"/>
          </w:r>
          <w:r>
            <w:instrText xml:space="preserve"> HYPERLINK \l _Toc28577 </w:instrText>
          </w:r>
          <w:r>
            <w:fldChar w:fldCharType="separate"/>
          </w:r>
          <w:r>
            <w:rPr>
              <w:rFonts w:hint="eastAsia" w:ascii="黑体" w:hAnsi="黑体" w:eastAsia="黑体"/>
              <w:szCs w:val="32"/>
            </w:rPr>
            <w:t>四、财</w:t>
          </w:r>
          <w:r>
            <w:rPr>
              <w:rFonts w:hint="eastAsia" w:ascii="黑体" w:hAnsi="黑体" w:eastAsia="黑体"/>
            </w:rPr>
            <w:t>政拨款收入支出决算总体情况说明</w:t>
          </w:r>
          <w:r>
            <w:tab/>
          </w:r>
          <w:r>
            <w:fldChar w:fldCharType="begin"/>
          </w:r>
          <w:r>
            <w:instrText xml:space="preserve"> PAGEREF _Toc28577 \h </w:instrText>
          </w:r>
          <w:r>
            <w:fldChar w:fldCharType="separate"/>
          </w:r>
          <w:r>
            <w:t>5</w:t>
          </w:r>
          <w:r>
            <w:fldChar w:fldCharType="end"/>
          </w:r>
          <w:r>
            <w:fldChar w:fldCharType="end"/>
          </w:r>
        </w:p>
        <w:p>
          <w:pPr>
            <w:pStyle w:val="12"/>
            <w:tabs>
              <w:tab w:val="right" w:leader="dot" w:pos="8306"/>
              <w:tab w:val="clear" w:pos="8296"/>
            </w:tabs>
          </w:pPr>
          <w:r>
            <w:fldChar w:fldCharType="begin"/>
          </w:r>
          <w:r>
            <w:instrText xml:space="preserve"> HYPERLINK \l _Toc11671 </w:instrText>
          </w:r>
          <w:r>
            <w:fldChar w:fldCharType="separate"/>
          </w:r>
          <w:r>
            <w:rPr>
              <w:rFonts w:hint="eastAsia" w:ascii="黑体" w:hAnsi="黑体" w:eastAsia="黑体"/>
              <w:szCs w:val="32"/>
            </w:rPr>
            <w:t>五、一</w:t>
          </w:r>
          <w:r>
            <w:rPr>
              <w:rFonts w:hint="eastAsia" w:ascii="黑体" w:hAnsi="黑体" w:eastAsia="黑体"/>
            </w:rPr>
            <w:t>般公共预算财政拨款支出决算情况说明</w:t>
          </w:r>
          <w:r>
            <w:tab/>
          </w:r>
          <w:r>
            <w:fldChar w:fldCharType="begin"/>
          </w:r>
          <w:r>
            <w:instrText xml:space="preserve"> PAGEREF _Toc11671 \h </w:instrText>
          </w:r>
          <w:r>
            <w:fldChar w:fldCharType="separate"/>
          </w:r>
          <w:r>
            <w:t>6</w:t>
          </w:r>
          <w:r>
            <w:fldChar w:fldCharType="end"/>
          </w:r>
          <w:r>
            <w:fldChar w:fldCharType="end"/>
          </w:r>
        </w:p>
        <w:p>
          <w:pPr>
            <w:pStyle w:val="12"/>
            <w:tabs>
              <w:tab w:val="right" w:leader="dot" w:pos="8306"/>
              <w:tab w:val="clear" w:pos="8296"/>
            </w:tabs>
          </w:pPr>
          <w:r>
            <w:fldChar w:fldCharType="begin"/>
          </w:r>
          <w:r>
            <w:instrText xml:space="preserve"> HYPERLINK \l _Toc5560 </w:instrText>
          </w:r>
          <w:r>
            <w:fldChar w:fldCharType="separate"/>
          </w:r>
          <w:r>
            <w:rPr>
              <w:rFonts w:hint="eastAsia" w:ascii="黑体" w:eastAsia="黑体"/>
              <w:szCs w:val="32"/>
            </w:rPr>
            <w:t>六、</w:t>
          </w:r>
          <w:r>
            <w:rPr>
              <w:rFonts w:hint="eastAsia" w:ascii="黑体" w:hAnsi="黑体" w:eastAsia="黑体"/>
              <w:szCs w:val="32"/>
            </w:rPr>
            <w:t>一</w:t>
          </w:r>
          <w:r>
            <w:rPr>
              <w:rFonts w:hint="eastAsia" w:ascii="黑体" w:hAnsi="黑体" w:eastAsia="黑体"/>
            </w:rPr>
            <w:t>般公共预算财政拨款基本支出决算情况说明</w:t>
          </w:r>
          <w:r>
            <w:tab/>
          </w:r>
          <w:r>
            <w:fldChar w:fldCharType="begin"/>
          </w:r>
          <w:r>
            <w:instrText xml:space="preserve"> PAGEREF _Toc5560 \h </w:instrText>
          </w:r>
          <w:r>
            <w:fldChar w:fldCharType="separate"/>
          </w:r>
          <w:r>
            <w:t>8</w:t>
          </w:r>
          <w:r>
            <w:fldChar w:fldCharType="end"/>
          </w:r>
          <w:r>
            <w:fldChar w:fldCharType="end"/>
          </w:r>
        </w:p>
        <w:p>
          <w:pPr>
            <w:pStyle w:val="12"/>
            <w:tabs>
              <w:tab w:val="right" w:leader="dot" w:pos="8306"/>
              <w:tab w:val="clear" w:pos="8296"/>
            </w:tabs>
          </w:pPr>
          <w:r>
            <w:fldChar w:fldCharType="begin"/>
          </w:r>
          <w:r>
            <w:instrText xml:space="preserve"> HYPERLINK \l _Toc24761 </w:instrText>
          </w:r>
          <w:r>
            <w:fldChar w:fldCharType="separate"/>
          </w:r>
          <w:r>
            <w:rPr>
              <w:rFonts w:hint="eastAsia" w:ascii="黑体" w:eastAsia="黑体"/>
              <w:szCs w:val="32"/>
            </w:rPr>
            <w:t>七、</w:t>
          </w:r>
          <w:r>
            <w:rPr>
              <w:rFonts w:hint="eastAsia" w:ascii="黑体" w:hAnsi="黑体" w:eastAsia="黑体"/>
            </w:rPr>
            <w:t>财政拨款“三公”经费支出决算情况说明</w:t>
          </w:r>
          <w:r>
            <w:tab/>
          </w:r>
          <w:r>
            <w:fldChar w:fldCharType="begin"/>
          </w:r>
          <w:r>
            <w:instrText xml:space="preserve"> PAGEREF _Toc24761 \h </w:instrText>
          </w:r>
          <w:r>
            <w:fldChar w:fldCharType="separate"/>
          </w:r>
          <w:r>
            <w:t>8</w:t>
          </w:r>
          <w:r>
            <w:fldChar w:fldCharType="end"/>
          </w:r>
          <w:r>
            <w:fldChar w:fldCharType="end"/>
          </w:r>
        </w:p>
        <w:p>
          <w:pPr>
            <w:pStyle w:val="12"/>
            <w:tabs>
              <w:tab w:val="right" w:leader="dot" w:pos="8306"/>
              <w:tab w:val="clear" w:pos="8296"/>
            </w:tabs>
          </w:pPr>
          <w:r>
            <w:fldChar w:fldCharType="begin"/>
          </w:r>
          <w:r>
            <w:instrText xml:space="preserve"> HYPERLINK \l _Toc548 </w:instrText>
          </w:r>
          <w:r>
            <w:fldChar w:fldCharType="separate"/>
          </w:r>
          <w:r>
            <w:rPr>
              <w:rFonts w:hint="eastAsia" w:ascii="黑体" w:eastAsia="黑体"/>
              <w:szCs w:val="32"/>
            </w:rPr>
            <w:t>八、</w:t>
          </w:r>
          <w:r>
            <w:rPr>
              <w:rFonts w:hint="eastAsia" w:ascii="黑体" w:hAnsi="黑体" w:eastAsia="黑体"/>
            </w:rPr>
            <w:t>政府性基金预算支出决算情况说明</w:t>
          </w:r>
          <w:r>
            <w:tab/>
          </w:r>
          <w:r>
            <w:fldChar w:fldCharType="begin"/>
          </w:r>
          <w:r>
            <w:instrText xml:space="preserve"> PAGEREF _Toc548 \h </w:instrText>
          </w:r>
          <w:r>
            <w:fldChar w:fldCharType="separate"/>
          </w:r>
          <w:r>
            <w:t>10</w:t>
          </w:r>
          <w:r>
            <w:fldChar w:fldCharType="end"/>
          </w:r>
          <w:r>
            <w:fldChar w:fldCharType="end"/>
          </w:r>
        </w:p>
        <w:p>
          <w:pPr>
            <w:pStyle w:val="12"/>
            <w:tabs>
              <w:tab w:val="right" w:leader="dot" w:pos="8306"/>
              <w:tab w:val="clear" w:pos="8296"/>
            </w:tabs>
          </w:pPr>
          <w:r>
            <w:fldChar w:fldCharType="begin"/>
          </w:r>
          <w:r>
            <w:instrText xml:space="preserve"> HYPERLINK \l _Toc5389 </w:instrText>
          </w:r>
          <w:r>
            <w:fldChar w:fldCharType="separate"/>
          </w:r>
          <w:r>
            <w:rPr>
              <w:rFonts w:hint="eastAsia" w:ascii="黑体" w:hAnsi="黑体" w:eastAsia="黑体"/>
            </w:rPr>
            <w:t>九、 国有资本经营预算支出决算情况说明</w:t>
          </w:r>
          <w:r>
            <w:tab/>
          </w:r>
          <w:r>
            <w:fldChar w:fldCharType="begin"/>
          </w:r>
          <w:r>
            <w:instrText xml:space="preserve"> PAGEREF _Toc5389 \h </w:instrText>
          </w:r>
          <w:r>
            <w:fldChar w:fldCharType="separate"/>
          </w:r>
          <w:r>
            <w:t>10</w:t>
          </w:r>
          <w:r>
            <w:fldChar w:fldCharType="end"/>
          </w:r>
          <w:r>
            <w:fldChar w:fldCharType="end"/>
          </w:r>
        </w:p>
        <w:p>
          <w:pPr>
            <w:pStyle w:val="12"/>
            <w:tabs>
              <w:tab w:val="right" w:leader="dot" w:pos="8306"/>
              <w:tab w:val="clear" w:pos="8296"/>
            </w:tabs>
          </w:pPr>
          <w:r>
            <w:fldChar w:fldCharType="begin"/>
          </w:r>
          <w:r>
            <w:instrText xml:space="preserve"> HYPERLINK \l _Toc15239 </w:instrText>
          </w:r>
          <w:r>
            <w:fldChar w:fldCharType="separate"/>
          </w:r>
          <w:r>
            <w:rPr>
              <w:rFonts w:hint="eastAsia" w:ascii="黑体" w:hAnsi="黑体" w:eastAsia="黑体"/>
            </w:rPr>
            <w:t>十、 其他重要事项的情况说明</w:t>
          </w:r>
          <w:r>
            <w:tab/>
          </w:r>
          <w:r>
            <w:fldChar w:fldCharType="begin"/>
          </w:r>
          <w:r>
            <w:instrText xml:space="preserve"> PAGEREF _Toc15239 \h </w:instrText>
          </w:r>
          <w:r>
            <w:fldChar w:fldCharType="separate"/>
          </w:r>
          <w:r>
            <w:t>10</w:t>
          </w:r>
          <w:r>
            <w:fldChar w:fldCharType="end"/>
          </w:r>
          <w:r>
            <w:fldChar w:fldCharType="end"/>
          </w:r>
        </w:p>
        <w:p>
          <w:pPr>
            <w:pStyle w:val="3"/>
            <w:tabs>
              <w:tab w:val="right" w:leader="dot" w:pos="8306"/>
              <w:tab w:val="clear" w:pos="8296"/>
            </w:tabs>
          </w:pPr>
          <w:r>
            <w:fldChar w:fldCharType="begin"/>
          </w:r>
          <w:r>
            <w:instrText xml:space="preserve"> HYPERLINK \l _Toc7276 </w:instrText>
          </w:r>
          <w:r>
            <w:fldChar w:fldCharType="separate"/>
          </w:r>
          <w:r>
            <w:rPr>
              <w:rFonts w:hint="eastAsia" w:ascii="黑体" w:hAnsi="黑体" w:eastAsia="黑体" w:cs="黑体"/>
              <w:szCs w:val="44"/>
            </w:rPr>
            <w:t xml:space="preserve">第三部分 </w:t>
          </w:r>
          <w:r>
            <w:rPr>
              <w:rFonts w:hint="eastAsia" w:ascii="黑体" w:hAnsi="黑体" w:eastAsia="黑体"/>
              <w:szCs w:val="44"/>
            </w:rPr>
            <w:t>名</w:t>
          </w:r>
          <w:r>
            <w:rPr>
              <w:rFonts w:hint="eastAsia" w:ascii="黑体" w:hAnsi="黑体" w:eastAsia="黑体"/>
            </w:rPr>
            <w:t>词解释</w:t>
          </w:r>
          <w:r>
            <w:tab/>
          </w:r>
          <w:r>
            <w:fldChar w:fldCharType="begin"/>
          </w:r>
          <w:r>
            <w:instrText xml:space="preserve"> PAGEREF _Toc7276 \h </w:instrText>
          </w:r>
          <w:r>
            <w:fldChar w:fldCharType="separate"/>
          </w:r>
          <w:r>
            <w:t>12</w:t>
          </w:r>
          <w:r>
            <w:fldChar w:fldCharType="end"/>
          </w:r>
          <w:r>
            <w:fldChar w:fldCharType="end"/>
          </w:r>
        </w:p>
        <w:p>
          <w:pPr>
            <w:pStyle w:val="3"/>
            <w:tabs>
              <w:tab w:val="right" w:leader="dot" w:pos="8306"/>
              <w:tab w:val="clear" w:pos="8296"/>
            </w:tabs>
          </w:pPr>
          <w:r>
            <w:fldChar w:fldCharType="begin"/>
          </w:r>
          <w:r>
            <w:instrText xml:space="preserve"> HYPERLINK \l _Toc26351 </w:instrText>
          </w:r>
          <w:r>
            <w:fldChar w:fldCharType="separate"/>
          </w:r>
          <w:r>
            <w:rPr>
              <w:rFonts w:hint="eastAsia" w:ascii="黑体" w:hAnsi="黑体" w:eastAsia="黑体"/>
              <w:szCs w:val="44"/>
              <w:highlight w:val="none"/>
            </w:rPr>
            <w:t>第</w:t>
          </w:r>
          <w:r>
            <w:rPr>
              <w:rFonts w:hint="eastAsia" w:ascii="黑体" w:hAnsi="黑体" w:eastAsia="黑体"/>
              <w:highlight w:val="none"/>
            </w:rPr>
            <w:t>四部分 附件</w:t>
          </w:r>
          <w:r>
            <w:tab/>
          </w:r>
          <w:r>
            <w:fldChar w:fldCharType="begin"/>
          </w:r>
          <w:r>
            <w:instrText xml:space="preserve"> PAGEREF _Toc26351 \h </w:instrText>
          </w:r>
          <w:r>
            <w:fldChar w:fldCharType="separate"/>
          </w:r>
          <w:r>
            <w:t>14</w:t>
          </w:r>
          <w:r>
            <w:fldChar w:fldCharType="end"/>
          </w:r>
          <w:r>
            <w:fldChar w:fldCharType="end"/>
          </w:r>
        </w:p>
        <w:p>
          <w:pPr>
            <w:pStyle w:val="3"/>
            <w:tabs>
              <w:tab w:val="right" w:leader="dot" w:pos="8306"/>
              <w:tab w:val="clear" w:pos="8296"/>
            </w:tabs>
          </w:pPr>
          <w:r>
            <w:fldChar w:fldCharType="begin"/>
          </w:r>
          <w:r>
            <w:instrText xml:space="preserve"> HYPERLINK \l _Toc16486 </w:instrText>
          </w:r>
          <w:r>
            <w:fldChar w:fldCharType="separate"/>
          </w:r>
          <w:r>
            <w:rPr>
              <w:rFonts w:hint="eastAsia" w:ascii="黑体" w:hAnsi="黑体" w:eastAsia="黑体"/>
              <w:szCs w:val="44"/>
            </w:rPr>
            <w:t>第</w:t>
          </w:r>
          <w:r>
            <w:rPr>
              <w:rFonts w:hint="eastAsia" w:ascii="黑体" w:hAnsi="黑体" w:eastAsia="黑体"/>
            </w:rPr>
            <w:t>五部分 附表</w:t>
          </w:r>
          <w:r>
            <w:tab/>
          </w:r>
          <w:r>
            <w:fldChar w:fldCharType="begin"/>
          </w:r>
          <w:r>
            <w:instrText xml:space="preserve"> PAGEREF _Toc16486 \h </w:instrText>
          </w:r>
          <w:r>
            <w:fldChar w:fldCharType="separate"/>
          </w:r>
          <w:r>
            <w:t>15</w:t>
          </w:r>
          <w:r>
            <w:fldChar w:fldCharType="end"/>
          </w:r>
          <w:r>
            <w:fldChar w:fldCharType="end"/>
          </w:r>
        </w:p>
        <w:p>
          <w:pPr>
            <w:pStyle w:val="12"/>
            <w:tabs>
              <w:tab w:val="right" w:leader="dot" w:pos="8306"/>
              <w:tab w:val="clear" w:pos="8296"/>
            </w:tabs>
          </w:pPr>
          <w:r>
            <w:fldChar w:fldCharType="begin"/>
          </w:r>
          <w:r>
            <w:instrText xml:space="preserve"> HYPERLINK \l _Toc9616 </w:instrText>
          </w:r>
          <w:r>
            <w:fldChar w:fldCharType="separate"/>
          </w:r>
          <w:r>
            <w:rPr>
              <w:rFonts w:hint="eastAsia" w:ascii="仿宋" w:hAnsi="仿宋" w:eastAsia="仿宋"/>
            </w:rPr>
            <w:t>一、收</w:t>
          </w:r>
          <w:r>
            <w:rPr>
              <w:rFonts w:hint="eastAsia" w:ascii="仿宋" w:hAnsi="仿宋" w:eastAsia="仿宋"/>
              <w:bCs w:val="0"/>
            </w:rPr>
            <w:t>入支出决算总表</w:t>
          </w:r>
          <w:r>
            <w:tab/>
          </w:r>
          <w:r>
            <w:fldChar w:fldCharType="begin"/>
          </w:r>
          <w:r>
            <w:instrText xml:space="preserve"> PAGEREF _Toc9616 \h </w:instrText>
          </w:r>
          <w:r>
            <w:fldChar w:fldCharType="separate"/>
          </w:r>
          <w:r>
            <w:t>15</w:t>
          </w:r>
          <w:r>
            <w:fldChar w:fldCharType="end"/>
          </w:r>
          <w:r>
            <w:fldChar w:fldCharType="end"/>
          </w:r>
        </w:p>
        <w:p>
          <w:pPr>
            <w:pStyle w:val="12"/>
            <w:tabs>
              <w:tab w:val="right" w:leader="dot" w:pos="8306"/>
              <w:tab w:val="clear" w:pos="8296"/>
            </w:tabs>
          </w:pPr>
          <w:r>
            <w:fldChar w:fldCharType="begin"/>
          </w:r>
          <w:r>
            <w:instrText xml:space="preserve"> HYPERLINK \l _Toc26501 </w:instrText>
          </w:r>
          <w:r>
            <w:fldChar w:fldCharType="separate"/>
          </w:r>
          <w:r>
            <w:rPr>
              <w:rFonts w:hint="eastAsia" w:ascii="仿宋" w:hAnsi="仿宋" w:eastAsia="仿宋"/>
            </w:rPr>
            <w:t>二、收</w:t>
          </w:r>
          <w:r>
            <w:rPr>
              <w:rFonts w:hint="eastAsia" w:ascii="仿宋" w:hAnsi="仿宋" w:eastAsia="仿宋"/>
              <w:bCs w:val="0"/>
            </w:rPr>
            <w:t>入决算表</w:t>
          </w:r>
          <w:r>
            <w:tab/>
          </w:r>
          <w:r>
            <w:fldChar w:fldCharType="begin"/>
          </w:r>
          <w:r>
            <w:instrText xml:space="preserve"> PAGEREF _Toc26501 \h </w:instrText>
          </w:r>
          <w:r>
            <w:fldChar w:fldCharType="separate"/>
          </w:r>
          <w:r>
            <w:t>15</w:t>
          </w:r>
          <w:r>
            <w:fldChar w:fldCharType="end"/>
          </w:r>
          <w:r>
            <w:fldChar w:fldCharType="end"/>
          </w:r>
        </w:p>
        <w:p>
          <w:pPr>
            <w:pStyle w:val="12"/>
            <w:tabs>
              <w:tab w:val="right" w:leader="dot" w:pos="8306"/>
              <w:tab w:val="clear" w:pos="8296"/>
            </w:tabs>
          </w:pPr>
          <w:r>
            <w:fldChar w:fldCharType="begin"/>
          </w:r>
          <w:r>
            <w:instrText xml:space="preserve"> HYPERLINK \l _Toc16830 </w:instrText>
          </w:r>
          <w:r>
            <w:fldChar w:fldCharType="separate"/>
          </w:r>
          <w:r>
            <w:rPr>
              <w:rFonts w:hint="eastAsia" w:ascii="仿宋" w:hAnsi="仿宋" w:eastAsia="仿宋"/>
              <w:bCs w:val="0"/>
            </w:rPr>
            <w:t>三、</w:t>
          </w:r>
          <w:r>
            <w:rPr>
              <w:rFonts w:hint="eastAsia" w:ascii="仿宋" w:hAnsi="仿宋" w:eastAsia="仿宋"/>
            </w:rPr>
            <w:t>支</w:t>
          </w:r>
          <w:r>
            <w:rPr>
              <w:rFonts w:hint="eastAsia" w:ascii="仿宋" w:hAnsi="仿宋" w:eastAsia="仿宋"/>
              <w:bCs w:val="0"/>
            </w:rPr>
            <w:t>出决算表</w:t>
          </w:r>
          <w:r>
            <w:tab/>
          </w:r>
          <w:r>
            <w:fldChar w:fldCharType="begin"/>
          </w:r>
          <w:r>
            <w:instrText xml:space="preserve"> PAGEREF _Toc16830 \h </w:instrText>
          </w:r>
          <w:r>
            <w:fldChar w:fldCharType="separate"/>
          </w:r>
          <w:r>
            <w:t>15</w:t>
          </w:r>
          <w:r>
            <w:fldChar w:fldCharType="end"/>
          </w:r>
          <w:r>
            <w:fldChar w:fldCharType="end"/>
          </w:r>
        </w:p>
        <w:p>
          <w:pPr>
            <w:pStyle w:val="12"/>
            <w:tabs>
              <w:tab w:val="right" w:leader="dot" w:pos="8306"/>
              <w:tab w:val="clear" w:pos="8296"/>
            </w:tabs>
          </w:pPr>
          <w:r>
            <w:fldChar w:fldCharType="begin"/>
          </w:r>
          <w:r>
            <w:instrText xml:space="preserve"> HYPERLINK \l _Toc13689 </w:instrText>
          </w:r>
          <w:r>
            <w:fldChar w:fldCharType="separate"/>
          </w:r>
          <w:r>
            <w:rPr>
              <w:rFonts w:hint="eastAsia" w:ascii="仿宋" w:hAnsi="仿宋" w:eastAsia="仿宋"/>
              <w:bCs w:val="0"/>
            </w:rPr>
            <w:t>四、</w:t>
          </w:r>
          <w:r>
            <w:rPr>
              <w:rFonts w:hint="eastAsia" w:ascii="仿宋" w:hAnsi="仿宋" w:eastAsia="仿宋"/>
            </w:rPr>
            <w:t>财</w:t>
          </w:r>
          <w:r>
            <w:rPr>
              <w:rFonts w:hint="eastAsia" w:ascii="仿宋" w:hAnsi="仿宋" w:eastAsia="仿宋"/>
              <w:bCs w:val="0"/>
            </w:rPr>
            <w:t>政拨款收入支出决算总表</w:t>
          </w:r>
          <w:r>
            <w:tab/>
          </w:r>
          <w:r>
            <w:fldChar w:fldCharType="begin"/>
          </w:r>
          <w:r>
            <w:instrText xml:space="preserve"> PAGEREF _Toc13689 \h </w:instrText>
          </w:r>
          <w:r>
            <w:fldChar w:fldCharType="separate"/>
          </w:r>
          <w:r>
            <w:t>15</w:t>
          </w:r>
          <w:r>
            <w:fldChar w:fldCharType="end"/>
          </w:r>
          <w:r>
            <w:fldChar w:fldCharType="end"/>
          </w:r>
        </w:p>
        <w:p>
          <w:pPr>
            <w:pStyle w:val="12"/>
            <w:tabs>
              <w:tab w:val="right" w:leader="dot" w:pos="8306"/>
              <w:tab w:val="clear" w:pos="8296"/>
            </w:tabs>
          </w:pPr>
          <w:r>
            <w:fldChar w:fldCharType="begin"/>
          </w:r>
          <w:r>
            <w:instrText xml:space="preserve"> HYPERLINK \l _Toc27398 </w:instrText>
          </w:r>
          <w:r>
            <w:fldChar w:fldCharType="separate"/>
          </w:r>
          <w:r>
            <w:rPr>
              <w:rFonts w:hint="eastAsia" w:ascii="仿宋" w:hAnsi="仿宋" w:eastAsia="仿宋"/>
              <w:bCs w:val="0"/>
            </w:rPr>
            <w:t>五、</w:t>
          </w:r>
          <w:r>
            <w:rPr>
              <w:rFonts w:hint="eastAsia" w:ascii="仿宋" w:hAnsi="仿宋" w:eastAsia="仿宋"/>
            </w:rPr>
            <w:t>财</w:t>
          </w:r>
          <w:r>
            <w:rPr>
              <w:rFonts w:hint="eastAsia" w:ascii="仿宋" w:hAnsi="仿宋" w:eastAsia="仿宋"/>
              <w:bCs w:val="0"/>
            </w:rPr>
            <w:t>政拨款支出决算明细表</w:t>
          </w:r>
          <w:r>
            <w:tab/>
          </w:r>
          <w:r>
            <w:fldChar w:fldCharType="begin"/>
          </w:r>
          <w:r>
            <w:instrText xml:space="preserve"> PAGEREF _Toc27398 \h </w:instrText>
          </w:r>
          <w:r>
            <w:fldChar w:fldCharType="separate"/>
          </w:r>
          <w:r>
            <w:t>15</w:t>
          </w:r>
          <w:r>
            <w:fldChar w:fldCharType="end"/>
          </w:r>
          <w:r>
            <w:fldChar w:fldCharType="end"/>
          </w:r>
        </w:p>
        <w:p>
          <w:pPr>
            <w:pStyle w:val="12"/>
            <w:tabs>
              <w:tab w:val="right" w:leader="dot" w:pos="8306"/>
              <w:tab w:val="clear" w:pos="8296"/>
            </w:tabs>
          </w:pPr>
          <w:r>
            <w:fldChar w:fldCharType="begin"/>
          </w:r>
          <w:r>
            <w:instrText xml:space="preserve"> HYPERLINK \l _Toc4174 </w:instrText>
          </w:r>
          <w:r>
            <w:fldChar w:fldCharType="separate"/>
          </w:r>
          <w:r>
            <w:rPr>
              <w:rFonts w:hint="eastAsia" w:ascii="仿宋" w:hAnsi="仿宋" w:eastAsia="仿宋"/>
              <w:bCs w:val="0"/>
            </w:rPr>
            <w:t>六、</w:t>
          </w:r>
          <w:r>
            <w:rPr>
              <w:rFonts w:hint="eastAsia" w:ascii="仿宋" w:hAnsi="仿宋" w:eastAsia="仿宋"/>
            </w:rPr>
            <w:t>一</w:t>
          </w:r>
          <w:r>
            <w:rPr>
              <w:rFonts w:hint="eastAsia" w:ascii="仿宋" w:hAnsi="仿宋" w:eastAsia="仿宋"/>
              <w:bCs w:val="0"/>
            </w:rPr>
            <w:t>般公共预算财政拨款支出决算表</w:t>
          </w:r>
          <w:r>
            <w:tab/>
          </w:r>
          <w:r>
            <w:fldChar w:fldCharType="begin"/>
          </w:r>
          <w:r>
            <w:instrText xml:space="preserve"> PAGEREF _Toc4174 \h </w:instrText>
          </w:r>
          <w:r>
            <w:fldChar w:fldCharType="separate"/>
          </w:r>
          <w:r>
            <w:t>15</w:t>
          </w:r>
          <w:r>
            <w:fldChar w:fldCharType="end"/>
          </w:r>
          <w:r>
            <w:fldChar w:fldCharType="end"/>
          </w:r>
        </w:p>
        <w:p>
          <w:pPr>
            <w:pStyle w:val="12"/>
            <w:tabs>
              <w:tab w:val="right" w:leader="dot" w:pos="8306"/>
              <w:tab w:val="clear" w:pos="8296"/>
            </w:tabs>
          </w:pPr>
          <w:r>
            <w:fldChar w:fldCharType="begin"/>
          </w:r>
          <w:r>
            <w:instrText xml:space="preserve"> HYPERLINK \l _Toc9753 </w:instrText>
          </w:r>
          <w:r>
            <w:fldChar w:fldCharType="separate"/>
          </w:r>
          <w:r>
            <w:rPr>
              <w:rFonts w:hint="eastAsia" w:ascii="仿宋" w:hAnsi="仿宋" w:eastAsia="仿宋"/>
              <w:bCs w:val="0"/>
            </w:rPr>
            <w:t>七、</w:t>
          </w:r>
          <w:r>
            <w:rPr>
              <w:rFonts w:hint="eastAsia" w:ascii="仿宋" w:hAnsi="仿宋" w:eastAsia="仿宋"/>
            </w:rPr>
            <w:t>一</w:t>
          </w:r>
          <w:r>
            <w:rPr>
              <w:rFonts w:hint="eastAsia" w:ascii="仿宋" w:hAnsi="仿宋" w:eastAsia="仿宋"/>
              <w:bCs w:val="0"/>
            </w:rPr>
            <w:t>般公共预算财政拨款支出决算明细表</w:t>
          </w:r>
          <w:r>
            <w:tab/>
          </w:r>
          <w:r>
            <w:fldChar w:fldCharType="begin"/>
          </w:r>
          <w:r>
            <w:instrText xml:space="preserve"> PAGEREF _Toc9753 \h </w:instrText>
          </w:r>
          <w:r>
            <w:fldChar w:fldCharType="separate"/>
          </w:r>
          <w:r>
            <w:t>15</w:t>
          </w:r>
          <w:r>
            <w:fldChar w:fldCharType="end"/>
          </w:r>
          <w:r>
            <w:fldChar w:fldCharType="end"/>
          </w:r>
        </w:p>
        <w:p>
          <w:pPr>
            <w:pStyle w:val="12"/>
            <w:tabs>
              <w:tab w:val="right" w:leader="dot" w:pos="8306"/>
              <w:tab w:val="clear" w:pos="8296"/>
            </w:tabs>
          </w:pPr>
          <w:r>
            <w:fldChar w:fldCharType="begin"/>
          </w:r>
          <w:r>
            <w:instrText xml:space="preserve"> HYPERLINK \l _Toc3456 </w:instrText>
          </w:r>
          <w:r>
            <w:fldChar w:fldCharType="separate"/>
          </w:r>
          <w:r>
            <w:rPr>
              <w:rFonts w:hint="eastAsia" w:ascii="仿宋" w:hAnsi="仿宋" w:eastAsia="仿宋"/>
              <w:bCs w:val="0"/>
            </w:rPr>
            <w:t>八、</w:t>
          </w:r>
          <w:r>
            <w:rPr>
              <w:rFonts w:hint="eastAsia" w:ascii="仿宋" w:hAnsi="仿宋" w:eastAsia="仿宋"/>
            </w:rPr>
            <w:t>一</w:t>
          </w:r>
          <w:r>
            <w:rPr>
              <w:rFonts w:hint="eastAsia" w:ascii="仿宋" w:hAnsi="仿宋" w:eastAsia="仿宋"/>
              <w:bCs w:val="0"/>
            </w:rPr>
            <w:t>般公共预算财政拨款基本支出决算表</w:t>
          </w:r>
          <w:r>
            <w:tab/>
          </w:r>
          <w:r>
            <w:fldChar w:fldCharType="begin"/>
          </w:r>
          <w:r>
            <w:instrText xml:space="preserve"> PAGEREF _Toc3456 \h </w:instrText>
          </w:r>
          <w:r>
            <w:fldChar w:fldCharType="separate"/>
          </w:r>
          <w:r>
            <w:t>15</w:t>
          </w:r>
          <w:r>
            <w:fldChar w:fldCharType="end"/>
          </w:r>
          <w:r>
            <w:fldChar w:fldCharType="end"/>
          </w:r>
        </w:p>
        <w:p>
          <w:pPr>
            <w:pStyle w:val="12"/>
            <w:tabs>
              <w:tab w:val="right" w:leader="dot" w:pos="8306"/>
              <w:tab w:val="clear" w:pos="8296"/>
            </w:tabs>
          </w:pPr>
          <w:r>
            <w:fldChar w:fldCharType="begin"/>
          </w:r>
          <w:r>
            <w:instrText xml:space="preserve"> HYPERLINK \l _Toc28645 </w:instrText>
          </w:r>
          <w:r>
            <w:fldChar w:fldCharType="separate"/>
          </w:r>
          <w:r>
            <w:rPr>
              <w:rFonts w:hint="eastAsia" w:ascii="仿宋" w:hAnsi="仿宋" w:eastAsia="仿宋"/>
              <w:bCs w:val="0"/>
            </w:rPr>
            <w:t>九、</w:t>
          </w:r>
          <w:r>
            <w:rPr>
              <w:rFonts w:hint="eastAsia" w:ascii="仿宋" w:hAnsi="仿宋" w:eastAsia="仿宋"/>
            </w:rPr>
            <w:t>一</w:t>
          </w:r>
          <w:r>
            <w:rPr>
              <w:rFonts w:hint="eastAsia" w:ascii="仿宋" w:hAnsi="仿宋" w:eastAsia="仿宋"/>
              <w:bCs w:val="0"/>
            </w:rPr>
            <w:t>般公共预算财政拨款项目支出决算表</w:t>
          </w:r>
          <w:r>
            <w:tab/>
          </w:r>
          <w:r>
            <w:fldChar w:fldCharType="begin"/>
          </w:r>
          <w:r>
            <w:instrText xml:space="preserve"> PAGEREF _Toc28645 \h </w:instrText>
          </w:r>
          <w:r>
            <w:fldChar w:fldCharType="separate"/>
          </w:r>
          <w:r>
            <w:t>15</w:t>
          </w:r>
          <w:r>
            <w:fldChar w:fldCharType="end"/>
          </w:r>
          <w:r>
            <w:fldChar w:fldCharType="end"/>
          </w:r>
        </w:p>
        <w:p>
          <w:pPr>
            <w:pStyle w:val="12"/>
            <w:tabs>
              <w:tab w:val="right" w:leader="dot" w:pos="8306"/>
              <w:tab w:val="clear" w:pos="8296"/>
            </w:tabs>
          </w:pPr>
          <w:r>
            <w:fldChar w:fldCharType="begin"/>
          </w:r>
          <w:r>
            <w:instrText xml:space="preserve"> HYPERLINK \l _Toc1565 </w:instrText>
          </w:r>
          <w:r>
            <w:fldChar w:fldCharType="separate"/>
          </w:r>
          <w:r>
            <w:rPr>
              <w:rFonts w:hint="eastAsia" w:ascii="仿宋" w:hAnsi="仿宋" w:eastAsia="仿宋"/>
              <w:bCs w:val="0"/>
            </w:rPr>
            <w:t>十、</w:t>
          </w:r>
          <w:r>
            <w:rPr>
              <w:rFonts w:hint="eastAsia" w:ascii="仿宋" w:hAnsi="仿宋" w:eastAsia="仿宋"/>
            </w:rPr>
            <w:t>政</w:t>
          </w:r>
          <w:r>
            <w:rPr>
              <w:rFonts w:hint="eastAsia" w:ascii="仿宋" w:hAnsi="仿宋" w:eastAsia="仿宋"/>
              <w:bCs w:val="0"/>
            </w:rPr>
            <w:t>府性基金预算财政拨款收入支出决算表</w:t>
          </w:r>
          <w:r>
            <w:tab/>
          </w:r>
          <w:r>
            <w:fldChar w:fldCharType="begin"/>
          </w:r>
          <w:r>
            <w:instrText xml:space="preserve"> PAGEREF _Toc1565 \h </w:instrText>
          </w:r>
          <w:r>
            <w:fldChar w:fldCharType="separate"/>
          </w:r>
          <w:r>
            <w:t>15</w:t>
          </w:r>
          <w:r>
            <w:fldChar w:fldCharType="end"/>
          </w:r>
          <w:r>
            <w:fldChar w:fldCharType="end"/>
          </w:r>
        </w:p>
        <w:p>
          <w:pPr>
            <w:pStyle w:val="12"/>
            <w:tabs>
              <w:tab w:val="right" w:leader="dot" w:pos="8306"/>
              <w:tab w:val="clear" w:pos="8296"/>
            </w:tabs>
          </w:pPr>
          <w:r>
            <w:fldChar w:fldCharType="begin"/>
          </w:r>
          <w:r>
            <w:instrText xml:space="preserve"> HYPERLINK \l _Toc13740 </w:instrText>
          </w:r>
          <w:r>
            <w:fldChar w:fldCharType="separate"/>
          </w:r>
          <w:r>
            <w:rPr>
              <w:rFonts w:hint="eastAsia" w:ascii="仿宋" w:hAnsi="仿宋" w:eastAsia="仿宋"/>
              <w:bCs w:val="0"/>
            </w:rPr>
            <w:t>十一、</w:t>
          </w:r>
          <w:r>
            <w:rPr>
              <w:rFonts w:hint="eastAsia" w:ascii="仿宋" w:hAnsi="仿宋" w:eastAsia="仿宋"/>
            </w:rPr>
            <w:t>国</w:t>
          </w:r>
          <w:r>
            <w:rPr>
              <w:rFonts w:hint="eastAsia" w:ascii="仿宋" w:hAnsi="仿宋" w:eastAsia="仿宋"/>
              <w:bCs w:val="0"/>
            </w:rPr>
            <w:t>有资本经营预算财政拨款收入支出决算表</w:t>
          </w:r>
          <w:r>
            <w:tab/>
          </w:r>
          <w:r>
            <w:fldChar w:fldCharType="begin"/>
          </w:r>
          <w:r>
            <w:instrText xml:space="preserve"> PAGEREF _Toc13740 \h </w:instrText>
          </w:r>
          <w:r>
            <w:fldChar w:fldCharType="separate"/>
          </w:r>
          <w:r>
            <w:t>15</w:t>
          </w:r>
          <w:r>
            <w:fldChar w:fldCharType="end"/>
          </w:r>
          <w:r>
            <w:fldChar w:fldCharType="end"/>
          </w:r>
        </w:p>
        <w:p>
          <w:pPr>
            <w:pStyle w:val="12"/>
            <w:tabs>
              <w:tab w:val="right" w:leader="dot" w:pos="8306"/>
              <w:tab w:val="clear" w:pos="8296"/>
            </w:tabs>
          </w:pPr>
          <w:r>
            <w:fldChar w:fldCharType="begin"/>
          </w:r>
          <w:r>
            <w:instrText xml:space="preserve"> HYPERLINK \l _Toc4358 </w:instrText>
          </w:r>
          <w:r>
            <w:fldChar w:fldCharType="separate"/>
          </w:r>
          <w:r>
            <w:rPr>
              <w:rFonts w:hint="eastAsia" w:ascii="仿宋" w:hAnsi="仿宋" w:eastAsia="仿宋"/>
              <w:bCs w:val="0"/>
            </w:rPr>
            <w:t>十二、国有资本经营预算财政拨款支出决算表</w:t>
          </w:r>
          <w:r>
            <w:tab/>
          </w:r>
          <w:r>
            <w:fldChar w:fldCharType="begin"/>
          </w:r>
          <w:r>
            <w:instrText xml:space="preserve"> PAGEREF _Toc4358 \h </w:instrText>
          </w:r>
          <w:r>
            <w:fldChar w:fldCharType="separate"/>
          </w:r>
          <w:r>
            <w:t>15</w:t>
          </w:r>
          <w:r>
            <w:fldChar w:fldCharType="end"/>
          </w:r>
          <w:r>
            <w:fldChar w:fldCharType="end"/>
          </w:r>
        </w:p>
        <w:p>
          <w:pPr>
            <w:pStyle w:val="12"/>
            <w:tabs>
              <w:tab w:val="right" w:leader="dot" w:pos="8306"/>
              <w:tab w:val="clear" w:pos="8296"/>
            </w:tabs>
          </w:pPr>
          <w:r>
            <w:fldChar w:fldCharType="begin"/>
          </w:r>
          <w:r>
            <w:instrText xml:space="preserve"> HYPERLINK \l _Toc16084 </w:instrText>
          </w:r>
          <w:r>
            <w:fldChar w:fldCharType="separate"/>
          </w:r>
          <w:r>
            <w:rPr>
              <w:rFonts w:hint="eastAsia" w:ascii="仿宋" w:hAnsi="仿宋" w:eastAsia="仿宋"/>
              <w:bCs w:val="0"/>
            </w:rPr>
            <w:t>十三、财政拨款“三公”经费支出决算表</w:t>
          </w:r>
          <w:r>
            <w:tab/>
          </w:r>
          <w:r>
            <w:fldChar w:fldCharType="begin"/>
          </w:r>
          <w:r>
            <w:instrText xml:space="preserve"> PAGEREF _Toc16084 \h </w:instrText>
          </w:r>
          <w:r>
            <w:fldChar w:fldCharType="separate"/>
          </w:r>
          <w:r>
            <w:t>15</w:t>
          </w:r>
          <w:r>
            <w:fldChar w:fldCharType="end"/>
          </w:r>
          <w:r>
            <w:fldChar w:fldCharType="end"/>
          </w:r>
        </w:p>
        <w:p>
          <w:r>
            <w:fldChar w:fldCharType="end"/>
          </w:r>
        </w:p>
      </w:sdtContent>
    </w:sdt>
    <w:p/>
    <w:p>
      <w:pPr>
        <w:widowControl/>
        <w:spacing w:line="440" w:lineRule="exact"/>
        <w:jc w:val="left"/>
        <w:rPr>
          <w:rFonts w:ascii="仿宋" w:hAnsi="仿宋" w:eastAsia="仿宋"/>
          <w:bCs/>
          <w:kern w:val="44"/>
          <w:sz w:val="24"/>
          <w:highlight w:val="none"/>
        </w:rPr>
      </w:pPr>
      <w:r>
        <w:rPr>
          <w:rFonts w:ascii="仿宋" w:hAnsi="仿宋" w:eastAsia="仿宋"/>
          <w:b/>
          <w:sz w:val="24"/>
          <w:highlight w:val="none"/>
        </w:rPr>
        <w:br w:type="page"/>
      </w:r>
    </w:p>
    <w:p>
      <w:pPr>
        <w:pStyle w:val="4"/>
        <w:jc w:val="center"/>
        <w:rPr>
          <w:rStyle w:val="28"/>
          <w:rFonts w:ascii="黑体" w:hAnsi="黑体" w:eastAsia="黑体"/>
          <w:b/>
          <w:bCs w:val="0"/>
          <w:highlight w:val="none"/>
        </w:rPr>
      </w:pPr>
      <w:bookmarkStart w:id="14" w:name="_Toc20871"/>
      <w:r>
        <w:rPr>
          <w:rFonts w:hint="eastAsia" w:ascii="黑体" w:hAnsi="黑体" w:eastAsia="黑体"/>
          <w:b w:val="0"/>
          <w:highlight w:val="none"/>
        </w:rPr>
        <w:t>第一部分 单位</w:t>
      </w:r>
      <w:r>
        <w:rPr>
          <w:rStyle w:val="28"/>
          <w:rFonts w:hint="eastAsia" w:ascii="黑体" w:hAnsi="黑体" w:eastAsia="黑体"/>
          <w:b w:val="0"/>
          <w:bCs w:val="0"/>
          <w:highlight w:val="none"/>
        </w:rPr>
        <w:t>概况</w:t>
      </w:r>
      <w:bookmarkEnd w:id="12"/>
      <w:bookmarkEnd w:id="13"/>
      <w:bookmarkEnd w:id="14"/>
    </w:p>
    <w:p>
      <w:pPr>
        <w:widowControl/>
        <w:jc w:val="left"/>
        <w:rPr>
          <w:rFonts w:ascii="黑体" w:eastAsia="黑体"/>
          <w:sz w:val="32"/>
          <w:szCs w:val="32"/>
          <w:highlight w:val="none"/>
        </w:rPr>
      </w:pPr>
    </w:p>
    <w:p>
      <w:pPr>
        <w:pStyle w:val="5"/>
        <w:numPr>
          <w:ilvl w:val="0"/>
          <w:numId w:val="1"/>
        </w:numPr>
        <w:rPr>
          <w:rFonts w:hint="eastAsia" w:ascii="仿宋_GB2312" w:hAnsi="仿宋_GB2312" w:eastAsia="仿宋_GB2312" w:cs="仿宋_GB2312"/>
          <w:b w:val="0"/>
          <w:bCs w:val="0"/>
          <w:color w:val="auto"/>
          <w:kern w:val="2"/>
          <w:sz w:val="32"/>
          <w:szCs w:val="32"/>
          <w:highlight w:val="none"/>
          <w:lang w:val="en-US" w:eastAsia="zh-CN" w:bidi="ar-SA"/>
        </w:rPr>
      </w:pPr>
      <w:bookmarkStart w:id="15" w:name="_Toc20304"/>
      <w:bookmarkStart w:id="16" w:name="_Toc6664"/>
      <w:bookmarkStart w:id="17" w:name="_Toc15396600"/>
      <w:bookmarkStart w:id="18" w:name="_Toc15377197"/>
      <w:r>
        <w:rPr>
          <w:rStyle w:val="18"/>
          <w:rFonts w:hint="eastAsia" w:ascii="黑体" w:hAnsi="黑体" w:eastAsia="黑体"/>
          <w:b w:val="0"/>
          <w:bCs w:val="0"/>
          <w:color w:val="auto"/>
          <w:highlight w:val="none"/>
          <w:lang w:eastAsia="zh-CN"/>
        </w:rPr>
        <w:t>主要职责</w:t>
      </w:r>
      <w:bookmarkEnd w:id="15"/>
      <w:bookmarkEnd w:id="16"/>
    </w:p>
    <w:p>
      <w:pPr>
        <w:pStyle w:val="5"/>
        <w:numPr>
          <w:ilvl w:val="0"/>
          <w:numId w:val="0"/>
        </w:numPr>
        <w:ind w:leftChars="0"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bookmarkStart w:id="19" w:name="_Toc15379"/>
      <w:bookmarkStart w:id="20" w:name="_Toc5900"/>
      <w:r>
        <w:rPr>
          <w:rFonts w:hint="eastAsia" w:ascii="仿宋_GB2312" w:hAnsi="仿宋_GB2312" w:eastAsia="仿宋_GB2312" w:cs="仿宋_GB2312"/>
          <w:b w:val="0"/>
          <w:bCs w:val="0"/>
          <w:color w:val="auto"/>
          <w:kern w:val="2"/>
          <w:sz w:val="32"/>
          <w:szCs w:val="32"/>
          <w:highlight w:val="none"/>
          <w:lang w:val="en-US" w:eastAsia="zh-CN" w:bidi="ar-SA"/>
        </w:rPr>
        <w:t>承担全市集中供养对象供养服务及红色文化传承教育等工作；为全市不享受国家定期抚恤补助的孤老优抚对象提供优惠服务；为退役军人和其他优抚对象提供优先或优惠优待服务；为现役军人配偶父母和退役军人父母、配偶、配偶父母提供服务；承担全市优抚对象医疗巡诊及建档服务，为在院服务对象提供医疗服务和生活保障；承担全市优抚对象休养、疗养服务。</w:t>
      </w:r>
      <w:bookmarkEnd w:id="19"/>
    </w:p>
    <w:p>
      <w:pPr>
        <w:pStyle w:val="5"/>
        <w:numPr>
          <w:ilvl w:val="0"/>
          <w:numId w:val="1"/>
        </w:numPr>
        <w:rPr>
          <w:rFonts w:ascii="仿宋" w:hAnsi="仿宋" w:eastAsia="仿宋"/>
          <w:sz w:val="32"/>
          <w:szCs w:val="32"/>
          <w:highlight w:val="none"/>
        </w:rPr>
      </w:pPr>
      <w:bookmarkStart w:id="21" w:name="_Toc29050"/>
      <w:r>
        <w:rPr>
          <w:rFonts w:hint="eastAsia" w:ascii="黑体" w:hAnsi="黑体" w:eastAsia="黑体"/>
          <w:b w:val="0"/>
          <w:color w:val="auto"/>
          <w:highlight w:val="none"/>
          <w:lang w:val="en-US" w:eastAsia="zh-CN"/>
        </w:rPr>
        <w:t>机构设置</w:t>
      </w:r>
      <w:bookmarkEnd w:id="20"/>
      <w:bookmarkEnd w:id="21"/>
    </w:p>
    <w:p>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ascii="仿宋" w:hAnsi="仿宋" w:eastAsia="仿宋"/>
          <w:kern w:val="0"/>
          <w:sz w:val="32"/>
          <w:szCs w:val="32"/>
        </w:rPr>
      </w:pPr>
      <w:r>
        <w:rPr>
          <w:rFonts w:hint="eastAsia" w:ascii="仿宋_GB2312" w:hAnsi="仿宋_GB2312" w:eastAsia="仿宋_GB2312" w:cs="仿宋_GB2312"/>
          <w:sz w:val="32"/>
          <w:szCs w:val="32"/>
          <w:lang w:val="en-US" w:eastAsia="zh-CN"/>
        </w:rPr>
        <w:t>我单位为</w:t>
      </w:r>
      <w:r>
        <w:rPr>
          <w:rFonts w:hint="eastAsia" w:ascii="仿宋_GB2312" w:hAnsi="仿宋_GB2312" w:eastAsia="仿宋_GB2312" w:cs="仿宋_GB2312"/>
          <w:b w:val="0"/>
          <w:bCs w:val="0"/>
          <w:color w:val="auto"/>
          <w:kern w:val="2"/>
          <w:sz w:val="32"/>
          <w:szCs w:val="32"/>
          <w:highlight w:val="none"/>
          <w:lang w:val="en-US" w:eastAsia="zh-CN" w:bidi="ar-SA"/>
        </w:rPr>
        <w:t>市退役军人事务局</w:t>
      </w:r>
      <w:r>
        <w:rPr>
          <w:rFonts w:hint="eastAsia" w:ascii="仿宋_GB2312" w:hAnsi="仿宋_GB2312" w:eastAsia="仿宋_GB2312" w:cs="仿宋_GB2312"/>
          <w:sz w:val="32"/>
          <w:szCs w:val="32"/>
          <w:lang w:val="en-US" w:eastAsia="zh-CN"/>
        </w:rPr>
        <w:t>部门下属二级预算单位</w:t>
      </w:r>
      <w:r>
        <w:rPr>
          <w:rFonts w:hint="eastAsia" w:ascii="仿宋_GB2312" w:hAnsi="仿宋_GB2312" w:eastAsia="仿宋_GB2312" w:cs="仿宋_GB2312"/>
          <w:b w:val="0"/>
          <w:bCs w:val="0"/>
          <w:color w:val="auto"/>
          <w:kern w:val="2"/>
          <w:sz w:val="32"/>
          <w:szCs w:val="32"/>
          <w:highlight w:val="none"/>
          <w:lang w:val="en-US" w:eastAsia="zh-CN" w:bidi="ar-SA"/>
        </w:rPr>
        <w:t>，</w:t>
      </w:r>
      <w:bookmarkEnd w:id="17"/>
      <w:bookmarkEnd w:id="18"/>
      <w:r>
        <w:rPr>
          <w:rFonts w:hint="eastAsia" w:ascii="仿宋_GB2312" w:hAnsi="仿宋_GB2312" w:eastAsia="仿宋_GB2312" w:cs="仿宋_GB2312"/>
          <w:b w:val="0"/>
          <w:bCs w:val="0"/>
          <w:color w:val="auto"/>
          <w:kern w:val="2"/>
          <w:sz w:val="32"/>
          <w:szCs w:val="32"/>
          <w:highlight w:val="none"/>
          <w:lang w:val="en-US" w:eastAsia="zh-CN" w:bidi="ar-SA"/>
        </w:rPr>
        <w:t>单位为正科级，与广元市荣军优抚医院“二块牌子、一套人马”的管理体制。</w:t>
      </w:r>
      <w:r>
        <w:rPr>
          <w:rFonts w:hint="eastAsia" w:ascii="仿宋_GB2312" w:hAnsi="仿宋_GB2312" w:eastAsia="仿宋_GB2312" w:cs="仿宋_GB2312"/>
          <w:color w:val="auto"/>
          <w:sz w:val="32"/>
          <w:szCs w:val="32"/>
          <w:highlight w:val="none"/>
          <w:lang w:val="en-US" w:eastAsia="zh-CN"/>
        </w:rPr>
        <w:t>单位内设机构包括办公室、财务科、供养科、医务科、后勤保障。</w:t>
      </w:r>
      <w:r>
        <w:rPr>
          <w:rFonts w:ascii="仿宋" w:hAnsi="仿宋" w:eastAsia="仿宋"/>
          <w:sz w:val="32"/>
          <w:szCs w:val="32"/>
        </w:rPr>
        <w:br w:type="page"/>
      </w:r>
    </w:p>
    <w:p>
      <w:pPr>
        <w:pStyle w:val="4"/>
        <w:ind w:right="440"/>
        <w:jc w:val="center"/>
        <w:rPr>
          <w:rStyle w:val="28"/>
          <w:rFonts w:ascii="黑体" w:hAnsi="黑体" w:eastAsia="黑体"/>
          <w:b w:val="0"/>
          <w:bCs/>
        </w:rPr>
      </w:pPr>
      <w:bookmarkStart w:id="22" w:name="_Toc15377204"/>
      <w:bookmarkStart w:id="23" w:name="_Toc5154"/>
      <w:bookmarkStart w:id="24" w:name="_Toc15396602"/>
      <w:r>
        <w:rPr>
          <w:rFonts w:hint="eastAsia" w:ascii="黑体" w:hAnsi="黑体" w:eastAsia="黑体"/>
          <w:b w:val="0"/>
        </w:rPr>
        <w:t>第二部分 202</w:t>
      </w:r>
      <w:r>
        <w:rPr>
          <w:rFonts w:hint="eastAsia" w:ascii="黑体" w:hAnsi="黑体" w:eastAsia="黑体"/>
          <w:b w:val="0"/>
          <w:lang w:val="en-US" w:eastAsia="zh-CN"/>
        </w:rPr>
        <w:t>4</w:t>
      </w:r>
      <w:r>
        <w:rPr>
          <w:rFonts w:hint="eastAsia" w:ascii="黑体" w:hAnsi="黑体" w:eastAsia="黑体"/>
          <w:b w:val="0"/>
        </w:rPr>
        <w:t>年度</w:t>
      </w:r>
      <w:r>
        <w:rPr>
          <w:rStyle w:val="28"/>
          <w:rFonts w:hint="eastAsia" w:ascii="黑体" w:hAnsi="黑体" w:eastAsia="黑体"/>
          <w:b w:val="0"/>
          <w:bCs/>
        </w:rPr>
        <w:t>单位决算情况说明</w:t>
      </w:r>
      <w:bookmarkEnd w:id="22"/>
      <w:bookmarkEnd w:id="23"/>
      <w:bookmarkEnd w:id="24"/>
    </w:p>
    <w:p/>
    <w:p>
      <w:pPr>
        <w:pStyle w:val="27"/>
        <w:numPr>
          <w:ilvl w:val="0"/>
          <w:numId w:val="2"/>
        </w:numPr>
        <w:spacing w:line="600" w:lineRule="exact"/>
        <w:ind w:firstLineChars="0"/>
        <w:outlineLvl w:val="1"/>
        <w:rPr>
          <w:rStyle w:val="29"/>
          <w:rFonts w:ascii="黑体" w:hAnsi="黑体" w:eastAsia="黑体"/>
          <w:b w:val="0"/>
        </w:rPr>
      </w:pPr>
      <w:bookmarkStart w:id="25" w:name="_Toc25414"/>
      <w:bookmarkStart w:id="26" w:name="_Toc15396603"/>
      <w:bookmarkStart w:id="27" w:name="_Toc15377205"/>
      <w:r>
        <w:rPr>
          <w:rFonts w:hint="eastAsia" w:ascii="黑体" w:hAnsi="黑体" w:eastAsia="黑体"/>
          <w:sz w:val="32"/>
          <w:szCs w:val="32"/>
        </w:rPr>
        <w:t>收</w:t>
      </w:r>
      <w:r>
        <w:rPr>
          <w:rStyle w:val="29"/>
          <w:rFonts w:hint="eastAsia" w:ascii="黑体" w:hAnsi="黑体" w:eastAsia="黑体"/>
          <w:b w:val="0"/>
        </w:rPr>
        <w:t>入支出决算总体情况说明</w:t>
      </w:r>
      <w:bookmarkEnd w:id="25"/>
      <w:bookmarkEnd w:id="26"/>
      <w:bookmarkEnd w:id="27"/>
    </w:p>
    <w:p>
      <w:pPr>
        <w:spacing w:line="600" w:lineRule="exact"/>
        <w:ind w:firstLine="640" w:firstLineChars="200"/>
        <w:rPr>
          <w:rFonts w:ascii="仿宋" w:hAnsi="仿宋" w:eastAsia="仿宋"/>
          <w:sz w:val="32"/>
          <w:szCs w:val="32"/>
          <w:highlight w:val="none"/>
        </w:rPr>
      </w:pP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年度收、支总计均为</w:t>
      </w:r>
      <w:r>
        <w:rPr>
          <w:rFonts w:hint="eastAsia" w:ascii="仿宋" w:hAnsi="仿宋" w:eastAsia="仿宋"/>
          <w:b w:val="0"/>
          <w:bCs/>
          <w:sz w:val="32"/>
          <w:szCs w:val="32"/>
          <w:lang w:val="en-US" w:eastAsia="zh-CN"/>
        </w:rPr>
        <w:t>1083.2</w:t>
      </w:r>
      <w:r>
        <w:rPr>
          <w:rFonts w:hint="eastAsia" w:ascii="仿宋" w:hAnsi="仿宋" w:eastAsia="仿宋"/>
          <w:sz w:val="32"/>
          <w:szCs w:val="32"/>
        </w:rPr>
        <w:t>万元。与202</w:t>
      </w:r>
      <w:r>
        <w:rPr>
          <w:rFonts w:hint="eastAsia" w:ascii="仿宋" w:hAnsi="仿宋" w:eastAsia="仿宋"/>
          <w:sz w:val="32"/>
          <w:szCs w:val="32"/>
          <w:lang w:val="en-US" w:eastAsia="zh-CN"/>
        </w:rPr>
        <w:t>3</w:t>
      </w:r>
      <w:r>
        <w:rPr>
          <w:rFonts w:hint="eastAsia" w:ascii="仿宋" w:hAnsi="仿宋" w:eastAsia="仿宋"/>
          <w:sz w:val="32"/>
          <w:szCs w:val="32"/>
        </w:rPr>
        <w:t>年度相比，收、支总计各</w:t>
      </w:r>
      <w:r>
        <w:rPr>
          <w:rFonts w:hint="eastAsia" w:ascii="仿宋" w:hAnsi="仿宋" w:eastAsia="仿宋"/>
          <w:sz w:val="32"/>
          <w:szCs w:val="32"/>
          <w:lang w:eastAsia="zh-CN"/>
        </w:rPr>
        <w:t>减少</w:t>
      </w:r>
      <w:r>
        <w:rPr>
          <w:rFonts w:hint="eastAsia" w:ascii="仿宋" w:hAnsi="仿宋" w:eastAsia="仿宋"/>
          <w:sz w:val="32"/>
          <w:szCs w:val="32"/>
          <w:lang w:val="en-US" w:eastAsia="zh-CN"/>
        </w:rPr>
        <w:t>136.61</w:t>
      </w:r>
      <w:r>
        <w:rPr>
          <w:rFonts w:hint="eastAsia" w:ascii="仿宋" w:hAnsi="仿宋" w:eastAsia="仿宋"/>
          <w:sz w:val="32"/>
          <w:szCs w:val="32"/>
        </w:rPr>
        <w:t>万元，</w:t>
      </w:r>
      <w:r>
        <w:rPr>
          <w:rFonts w:hint="eastAsia" w:ascii="仿宋" w:hAnsi="仿宋" w:eastAsia="仿宋"/>
          <w:sz w:val="32"/>
          <w:szCs w:val="32"/>
          <w:lang w:eastAsia="zh-CN"/>
        </w:rPr>
        <w:t>下降</w:t>
      </w:r>
      <w:r>
        <w:rPr>
          <w:rFonts w:hint="eastAsia" w:ascii="仿宋" w:hAnsi="仿宋" w:eastAsia="仿宋"/>
          <w:sz w:val="32"/>
          <w:szCs w:val="32"/>
          <w:lang w:val="en-US" w:eastAsia="zh-CN"/>
        </w:rPr>
        <w:t>11.2</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sz w:val="32"/>
          <w:szCs w:val="32"/>
          <w:highlight w:val="none"/>
        </w:rPr>
        <w:t>主要变动原因是</w:t>
      </w:r>
      <w:r>
        <w:rPr>
          <w:rFonts w:hint="eastAsia" w:ascii="仿宋" w:hAnsi="仿宋" w:eastAsia="仿宋"/>
          <w:sz w:val="32"/>
          <w:szCs w:val="32"/>
          <w:highlight w:val="none"/>
          <w:lang w:val="en-US" w:eastAsia="zh-CN"/>
        </w:rPr>
        <w:t>减少</w:t>
      </w:r>
      <w:r>
        <w:rPr>
          <w:rFonts w:hint="eastAsia" w:ascii="仿宋" w:hAnsi="仿宋" w:eastAsia="仿宋"/>
          <w:sz w:val="32"/>
          <w:szCs w:val="32"/>
          <w:highlight w:val="none"/>
          <w:lang w:eastAsia="zh-CN"/>
        </w:rPr>
        <w:t>了市优抚医院提质改造资金预算</w:t>
      </w:r>
      <w:r>
        <w:rPr>
          <w:rFonts w:hint="eastAsia" w:ascii="仿宋" w:hAnsi="仿宋" w:eastAsia="仿宋"/>
          <w:sz w:val="32"/>
          <w:szCs w:val="32"/>
          <w:highlight w:val="none"/>
        </w:rPr>
        <w:t>。</w:t>
      </w:r>
    </w:p>
    <w:p>
      <w:pPr>
        <w:spacing w:line="600" w:lineRule="exact"/>
        <w:ind w:firstLine="640" w:firstLineChars="200"/>
        <w:jc w:val="center"/>
        <w:rPr>
          <w:rFonts w:ascii="仿宋" w:hAnsi="仿宋" w:eastAsia="仿宋"/>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w:t>
      </w:r>
    </w:p>
    <w:p>
      <w:pPr>
        <w:spacing w:line="600" w:lineRule="exact"/>
        <w:ind w:firstLine="6400" w:firstLineChars="2000"/>
        <w:rPr>
          <w:rFonts w:ascii="仿宋" w:hAnsi="仿宋" w:eastAsia="仿宋"/>
          <w:sz w:val="32"/>
          <w:szCs w:val="32"/>
        </w:rPr>
      </w:pPr>
      <w:r>
        <w:rPr>
          <w:rFonts w:hint="eastAsia" w:ascii="仿宋" w:hAnsi="仿宋" w:eastAsia="仿宋"/>
          <w:sz w:val="32"/>
          <w:szCs w:val="32"/>
        </w:rPr>
        <w:t>单位：万元</w:t>
      </w:r>
    </w:p>
    <w:p>
      <w:pPr>
        <w:pStyle w:val="2"/>
        <w:bidi w:val="0"/>
      </w:pPr>
      <w:r>
        <w:rPr>
          <w:rFonts w:hint="eastAsia"/>
        </w:rPr>
        <w:drawing>
          <wp:inline distT="0" distB="0" distL="114300" distR="114300">
            <wp:extent cx="5256530" cy="3899535"/>
            <wp:effectExtent l="4445" t="4445" r="15875" b="2032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pStyle w:val="27"/>
        <w:numPr>
          <w:ilvl w:val="0"/>
          <w:numId w:val="2"/>
        </w:numPr>
        <w:spacing w:line="600" w:lineRule="exact"/>
        <w:ind w:firstLineChars="0"/>
        <w:outlineLvl w:val="1"/>
        <w:rPr>
          <w:rStyle w:val="29"/>
          <w:rFonts w:ascii="黑体" w:hAnsi="黑体" w:eastAsia="黑体"/>
          <w:b w:val="0"/>
        </w:rPr>
      </w:pPr>
      <w:bookmarkStart w:id="28" w:name="_Toc15377206"/>
      <w:bookmarkStart w:id="29" w:name="_Toc15396604"/>
      <w:bookmarkStart w:id="30" w:name="_Toc4470"/>
      <w:r>
        <w:rPr>
          <w:rFonts w:hint="eastAsia" w:ascii="黑体" w:hAnsi="黑体" w:eastAsia="黑体"/>
          <w:sz w:val="32"/>
          <w:szCs w:val="32"/>
        </w:rPr>
        <w:t>收</w:t>
      </w:r>
      <w:r>
        <w:rPr>
          <w:rStyle w:val="29"/>
          <w:rFonts w:hint="eastAsia" w:ascii="黑体" w:hAnsi="黑体" w:eastAsia="黑体"/>
          <w:b w:val="0"/>
        </w:rPr>
        <w:t>入决算情况说明</w:t>
      </w:r>
      <w:bookmarkEnd w:id="28"/>
      <w:bookmarkEnd w:id="29"/>
      <w:bookmarkEnd w:id="30"/>
    </w:p>
    <w:p>
      <w:pPr>
        <w:spacing w:line="600" w:lineRule="exact"/>
        <w:ind w:firstLine="640" w:firstLineChars="200"/>
        <w:outlineLvl w:val="1"/>
        <w:rPr>
          <w:rFonts w:hint="eastAsia" w:ascii="仿宋" w:hAnsi="仿宋" w:eastAsia="仿宋"/>
          <w:b w:val="0"/>
          <w:bCs/>
          <w:sz w:val="32"/>
          <w:szCs w:val="32"/>
          <w:lang w:eastAsia="zh-CN"/>
        </w:rPr>
      </w:pPr>
      <w:bookmarkStart w:id="31" w:name="_Toc12604"/>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年度本年收入合计</w:t>
      </w:r>
      <w:r>
        <w:rPr>
          <w:rFonts w:hint="eastAsia" w:ascii="仿宋" w:hAnsi="仿宋" w:eastAsia="仿宋"/>
          <w:b w:val="0"/>
          <w:bCs/>
          <w:sz w:val="32"/>
          <w:szCs w:val="32"/>
          <w:lang w:val="en-US" w:eastAsia="zh-CN"/>
        </w:rPr>
        <w:t>1083.2</w:t>
      </w:r>
      <w:r>
        <w:rPr>
          <w:rFonts w:hint="eastAsia" w:ascii="仿宋" w:hAnsi="仿宋" w:eastAsia="仿宋"/>
          <w:b w:val="0"/>
          <w:bCs/>
          <w:sz w:val="32"/>
          <w:szCs w:val="32"/>
        </w:rPr>
        <w:t>万元，其中：一般公共预算财政拨款收入1034.51万元，占</w:t>
      </w:r>
      <w:r>
        <w:rPr>
          <w:rFonts w:ascii="仿宋" w:hAnsi="仿宋" w:eastAsia="仿宋"/>
          <w:b w:val="0"/>
          <w:bCs/>
          <w:sz w:val="32"/>
          <w:szCs w:val="32"/>
        </w:rPr>
        <w:t>9</w:t>
      </w:r>
      <w:r>
        <w:rPr>
          <w:rFonts w:hint="eastAsia" w:ascii="仿宋" w:hAnsi="仿宋" w:eastAsia="仿宋"/>
          <w:b w:val="0"/>
          <w:bCs/>
          <w:sz w:val="32"/>
          <w:szCs w:val="32"/>
          <w:lang w:val="en-US" w:eastAsia="zh-CN"/>
        </w:rPr>
        <w:t>5.5</w:t>
      </w:r>
      <w:r>
        <w:rPr>
          <w:rFonts w:ascii="仿宋" w:hAnsi="仿宋" w:eastAsia="仿宋"/>
          <w:b w:val="0"/>
          <w:bCs/>
          <w:sz w:val="32"/>
          <w:szCs w:val="32"/>
        </w:rPr>
        <w:t>%</w:t>
      </w:r>
      <w:r>
        <w:rPr>
          <w:rFonts w:hint="eastAsia" w:ascii="仿宋" w:hAnsi="仿宋" w:eastAsia="仿宋"/>
          <w:b w:val="0"/>
          <w:bCs/>
          <w:sz w:val="32"/>
          <w:szCs w:val="32"/>
        </w:rPr>
        <w:t>；政府性基金预算财政拨款收入48.69万元，占</w:t>
      </w:r>
      <w:r>
        <w:rPr>
          <w:rFonts w:hint="eastAsia" w:ascii="仿宋" w:hAnsi="仿宋" w:eastAsia="仿宋"/>
          <w:b w:val="0"/>
          <w:bCs/>
          <w:sz w:val="32"/>
          <w:szCs w:val="32"/>
          <w:lang w:val="en-US" w:eastAsia="zh-CN"/>
        </w:rPr>
        <w:t>4.5</w:t>
      </w:r>
      <w:r>
        <w:rPr>
          <w:rFonts w:ascii="仿宋" w:hAnsi="仿宋" w:eastAsia="仿宋"/>
          <w:b w:val="0"/>
          <w:bCs/>
          <w:sz w:val="32"/>
          <w:szCs w:val="32"/>
        </w:rPr>
        <w:t>%</w:t>
      </w:r>
      <w:r>
        <w:rPr>
          <w:rFonts w:hint="eastAsia" w:ascii="仿宋" w:hAnsi="仿宋" w:eastAsia="仿宋"/>
          <w:b w:val="0"/>
          <w:bCs/>
          <w:sz w:val="32"/>
          <w:szCs w:val="32"/>
          <w:lang w:eastAsia="zh-CN"/>
        </w:rPr>
        <w:t>。</w:t>
      </w:r>
      <w:bookmarkEnd w:id="31"/>
    </w:p>
    <w:p>
      <w:pPr>
        <w:spacing w:line="600" w:lineRule="exact"/>
        <w:jc w:val="center"/>
        <w:rPr>
          <w:rFonts w:ascii="仿宋" w:hAnsi="仿宋" w:eastAsia="仿宋"/>
          <w:sz w:val="32"/>
          <w:szCs w:val="32"/>
        </w:rPr>
      </w:pPr>
      <w:r>
        <w:rPr>
          <w:rFonts w:hint="eastAsia" w:ascii="仿宋" w:hAnsi="仿宋" w:eastAsia="仿宋"/>
          <w:sz w:val="32"/>
          <w:szCs w:val="32"/>
        </w:rPr>
        <w:t>图2：收入决算结构图</w:t>
      </w:r>
    </w:p>
    <w:p>
      <w:pPr>
        <w:spacing w:line="600" w:lineRule="exact"/>
        <w:ind w:firstLine="6400" w:firstLineChars="2000"/>
      </w:pPr>
      <w:r>
        <w:rPr>
          <w:rFonts w:hint="eastAsia" w:ascii="仿宋" w:hAnsi="仿宋" w:eastAsia="仿宋"/>
          <w:sz w:val="32"/>
          <w:szCs w:val="32"/>
        </w:rPr>
        <w:t>单位：万元</w:t>
      </w:r>
    </w:p>
    <w:p>
      <w:pPr>
        <w:pStyle w:val="2"/>
        <w:bidi w:val="0"/>
      </w:pPr>
      <w:r>
        <w:rPr>
          <w:rFonts w:hint="eastAsia"/>
        </w:rPr>
        <w:drawing>
          <wp:inline distT="0" distB="0" distL="114300" distR="114300">
            <wp:extent cx="5256530" cy="2190750"/>
            <wp:effectExtent l="4445" t="4445" r="15875" b="1460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pStyle w:val="27"/>
        <w:numPr>
          <w:ilvl w:val="0"/>
          <w:numId w:val="2"/>
        </w:numPr>
        <w:spacing w:line="600" w:lineRule="exact"/>
        <w:ind w:firstLineChars="0"/>
        <w:outlineLvl w:val="1"/>
        <w:rPr>
          <w:rStyle w:val="29"/>
          <w:rFonts w:ascii="黑体" w:hAnsi="黑体" w:eastAsia="黑体"/>
          <w:b w:val="0"/>
        </w:rPr>
      </w:pPr>
      <w:bookmarkStart w:id="32" w:name="_Toc6997"/>
      <w:bookmarkStart w:id="33" w:name="_Toc15396605"/>
      <w:bookmarkStart w:id="34" w:name="_Toc15377207"/>
      <w:r>
        <w:rPr>
          <w:rFonts w:hint="eastAsia" w:ascii="黑体" w:hAnsi="黑体" w:eastAsia="黑体"/>
          <w:sz w:val="32"/>
          <w:szCs w:val="32"/>
        </w:rPr>
        <w:t>支</w:t>
      </w:r>
      <w:r>
        <w:rPr>
          <w:rStyle w:val="29"/>
          <w:rFonts w:hint="eastAsia" w:ascii="黑体" w:hAnsi="黑体" w:eastAsia="黑体"/>
          <w:b w:val="0"/>
        </w:rPr>
        <w:t>出决算情况说明</w:t>
      </w:r>
      <w:bookmarkEnd w:id="32"/>
      <w:bookmarkEnd w:id="33"/>
      <w:bookmarkEnd w:id="34"/>
    </w:p>
    <w:p>
      <w:pPr>
        <w:spacing w:line="600" w:lineRule="exact"/>
        <w:ind w:firstLine="640" w:firstLineChars="200"/>
        <w:outlineLvl w:val="1"/>
        <w:rPr>
          <w:rFonts w:ascii="仿宋" w:hAnsi="仿宋" w:eastAsia="仿宋"/>
          <w:b w:val="0"/>
          <w:bCs/>
          <w:sz w:val="32"/>
          <w:szCs w:val="32"/>
        </w:rPr>
      </w:pPr>
      <w:bookmarkStart w:id="35" w:name="_Toc26492"/>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年度本年支出合计</w:t>
      </w:r>
      <w:r>
        <w:rPr>
          <w:rFonts w:hint="eastAsia" w:ascii="仿宋" w:hAnsi="仿宋" w:eastAsia="仿宋"/>
          <w:b w:val="0"/>
          <w:bCs/>
          <w:sz w:val="32"/>
          <w:szCs w:val="32"/>
          <w:lang w:val="en-US" w:eastAsia="zh-CN"/>
        </w:rPr>
        <w:t>1083.2</w:t>
      </w:r>
      <w:r>
        <w:rPr>
          <w:rFonts w:hint="eastAsia" w:ascii="仿宋" w:hAnsi="仿宋" w:eastAsia="仿宋"/>
          <w:b w:val="0"/>
          <w:bCs/>
          <w:sz w:val="32"/>
          <w:szCs w:val="32"/>
        </w:rPr>
        <w:t>万元，其中：基本支出382.66万元，占</w:t>
      </w:r>
      <w:r>
        <w:rPr>
          <w:rFonts w:hint="eastAsia" w:ascii="仿宋" w:hAnsi="仿宋" w:eastAsia="仿宋"/>
          <w:b w:val="0"/>
          <w:bCs/>
          <w:sz w:val="32"/>
          <w:szCs w:val="32"/>
          <w:lang w:val="en-US" w:eastAsia="zh-CN"/>
        </w:rPr>
        <w:t>35.33</w:t>
      </w:r>
      <w:r>
        <w:rPr>
          <w:rFonts w:ascii="仿宋" w:hAnsi="仿宋" w:eastAsia="仿宋"/>
          <w:b w:val="0"/>
          <w:bCs/>
          <w:sz w:val="32"/>
          <w:szCs w:val="32"/>
        </w:rPr>
        <w:t>%</w:t>
      </w:r>
      <w:r>
        <w:rPr>
          <w:rFonts w:hint="eastAsia" w:ascii="仿宋" w:hAnsi="仿宋" w:eastAsia="仿宋"/>
          <w:b w:val="0"/>
          <w:bCs/>
          <w:sz w:val="32"/>
          <w:szCs w:val="32"/>
        </w:rPr>
        <w:t>；项目支出700.54万元，占</w:t>
      </w:r>
      <w:r>
        <w:rPr>
          <w:rFonts w:hint="eastAsia" w:ascii="仿宋" w:hAnsi="仿宋" w:eastAsia="仿宋"/>
          <w:b w:val="0"/>
          <w:bCs/>
          <w:sz w:val="32"/>
          <w:szCs w:val="32"/>
          <w:lang w:val="en-US" w:eastAsia="zh-CN"/>
        </w:rPr>
        <w:t>64.67</w:t>
      </w:r>
      <w:r>
        <w:rPr>
          <w:rFonts w:ascii="仿宋" w:hAnsi="仿宋" w:eastAsia="仿宋"/>
          <w:b w:val="0"/>
          <w:bCs/>
          <w:sz w:val="32"/>
          <w:szCs w:val="32"/>
        </w:rPr>
        <w:t>%</w:t>
      </w:r>
      <w:r>
        <w:rPr>
          <w:rFonts w:hint="eastAsia" w:ascii="仿宋" w:hAnsi="仿宋" w:eastAsia="仿宋"/>
          <w:b w:val="0"/>
          <w:bCs/>
          <w:sz w:val="32"/>
          <w:szCs w:val="32"/>
        </w:rPr>
        <w:t>。</w:t>
      </w:r>
      <w:bookmarkEnd w:id="35"/>
    </w:p>
    <w:p>
      <w:pPr>
        <w:spacing w:line="600" w:lineRule="exact"/>
        <w:jc w:val="center"/>
        <w:rPr>
          <w:rFonts w:ascii="仿宋" w:hAnsi="仿宋" w:eastAsia="仿宋"/>
          <w:sz w:val="32"/>
          <w:szCs w:val="32"/>
        </w:rPr>
      </w:pPr>
      <w:r>
        <w:rPr>
          <w:rFonts w:hint="eastAsia" w:ascii="仿宋" w:hAnsi="仿宋" w:eastAsia="仿宋"/>
          <w:sz w:val="32"/>
          <w:szCs w:val="32"/>
        </w:rPr>
        <w:t>图3：支出决算结构图</w:t>
      </w:r>
    </w:p>
    <w:p>
      <w:pPr>
        <w:spacing w:line="600" w:lineRule="exact"/>
        <w:ind w:firstLine="6400" w:firstLineChars="2000"/>
      </w:pPr>
      <w:r>
        <w:rPr>
          <w:rFonts w:hint="eastAsia" w:ascii="仿宋" w:hAnsi="仿宋" w:eastAsia="仿宋"/>
          <w:sz w:val="32"/>
          <w:szCs w:val="32"/>
        </w:rPr>
        <w:t>单位：万元</w:t>
      </w:r>
    </w:p>
    <w:p>
      <w:pPr>
        <w:pStyle w:val="2"/>
        <w:bidi w:val="0"/>
      </w:pPr>
      <w:r>
        <w:rPr>
          <w:rFonts w:hint="eastAsia"/>
        </w:rPr>
        <w:drawing>
          <wp:inline distT="0" distB="0" distL="114300" distR="114300">
            <wp:extent cx="5256530" cy="2265680"/>
            <wp:effectExtent l="4445" t="4445" r="15875" b="15875"/>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ind w:firstLine="640" w:firstLineChars="200"/>
        <w:outlineLvl w:val="1"/>
        <w:rPr>
          <w:rStyle w:val="29"/>
          <w:rFonts w:ascii="黑体" w:hAnsi="黑体" w:eastAsia="黑体"/>
          <w:b w:val="0"/>
        </w:rPr>
      </w:pPr>
      <w:bookmarkStart w:id="36" w:name="_Toc28577"/>
      <w:bookmarkStart w:id="37" w:name="_Toc15377208"/>
      <w:bookmarkStart w:id="38" w:name="_Toc15396606"/>
      <w:r>
        <w:rPr>
          <w:rFonts w:hint="eastAsia" w:ascii="黑体" w:hAnsi="黑体" w:eastAsia="黑体"/>
          <w:sz w:val="32"/>
          <w:szCs w:val="32"/>
        </w:rPr>
        <w:t>四、财</w:t>
      </w:r>
      <w:r>
        <w:rPr>
          <w:rStyle w:val="29"/>
          <w:rFonts w:hint="eastAsia" w:ascii="黑体" w:hAnsi="黑体" w:eastAsia="黑体"/>
          <w:b w:val="0"/>
        </w:rPr>
        <w:t>政拨款收入支出决算总体情况说明</w:t>
      </w:r>
      <w:bookmarkEnd w:id="36"/>
      <w:bookmarkEnd w:id="37"/>
      <w:bookmarkEnd w:id="38"/>
    </w:p>
    <w:p>
      <w:pPr>
        <w:spacing w:line="600" w:lineRule="exact"/>
        <w:ind w:firstLine="640"/>
        <w:rPr>
          <w:rFonts w:ascii="仿宋" w:hAnsi="仿宋" w:eastAsia="仿宋"/>
          <w:sz w:val="32"/>
          <w:szCs w:val="32"/>
          <w:highlight w:val="none"/>
        </w:rPr>
      </w:pP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年度财政拨款收、支总计均为</w:t>
      </w:r>
      <w:r>
        <w:rPr>
          <w:rFonts w:hint="eastAsia" w:ascii="仿宋" w:hAnsi="仿宋" w:eastAsia="仿宋"/>
          <w:b w:val="0"/>
          <w:bCs/>
          <w:sz w:val="32"/>
          <w:szCs w:val="32"/>
          <w:lang w:val="en-US" w:eastAsia="zh-CN"/>
        </w:rPr>
        <w:t>1083.2</w:t>
      </w:r>
      <w:r>
        <w:rPr>
          <w:rFonts w:hint="eastAsia" w:ascii="仿宋" w:hAnsi="仿宋" w:eastAsia="仿宋"/>
          <w:b w:val="0"/>
          <w:bCs/>
          <w:sz w:val="32"/>
          <w:szCs w:val="32"/>
        </w:rPr>
        <w:t>万元。与202</w:t>
      </w:r>
      <w:r>
        <w:rPr>
          <w:rFonts w:hint="eastAsia" w:ascii="仿宋" w:hAnsi="仿宋" w:eastAsia="仿宋"/>
          <w:b w:val="0"/>
          <w:bCs/>
          <w:sz w:val="32"/>
          <w:szCs w:val="32"/>
          <w:lang w:val="en-US" w:eastAsia="zh-CN"/>
        </w:rPr>
        <w:t>3</w:t>
      </w:r>
      <w:r>
        <w:rPr>
          <w:rFonts w:hint="eastAsia" w:ascii="仿宋" w:hAnsi="仿宋" w:eastAsia="仿宋"/>
          <w:b w:val="0"/>
          <w:bCs/>
          <w:sz w:val="32"/>
          <w:szCs w:val="32"/>
        </w:rPr>
        <w:t>年度相比，财政拨款收、支总计各</w:t>
      </w:r>
      <w:r>
        <w:rPr>
          <w:rFonts w:hint="eastAsia" w:ascii="仿宋" w:hAnsi="仿宋" w:eastAsia="仿宋"/>
          <w:b w:val="0"/>
          <w:bCs/>
          <w:sz w:val="32"/>
          <w:szCs w:val="32"/>
          <w:lang w:eastAsia="zh-CN"/>
        </w:rPr>
        <w:t>减少</w:t>
      </w:r>
      <w:r>
        <w:rPr>
          <w:rFonts w:hint="eastAsia" w:ascii="仿宋" w:hAnsi="仿宋" w:eastAsia="仿宋"/>
          <w:b w:val="0"/>
          <w:bCs/>
          <w:sz w:val="32"/>
          <w:szCs w:val="32"/>
          <w:lang w:val="en-US" w:eastAsia="zh-CN"/>
        </w:rPr>
        <w:t>136.61</w:t>
      </w:r>
      <w:r>
        <w:rPr>
          <w:rFonts w:hint="eastAsia" w:ascii="仿宋" w:hAnsi="仿宋" w:eastAsia="仿宋"/>
          <w:b w:val="0"/>
          <w:bCs/>
          <w:sz w:val="32"/>
          <w:szCs w:val="32"/>
        </w:rPr>
        <w:t>万元，</w:t>
      </w:r>
      <w:r>
        <w:rPr>
          <w:rFonts w:hint="eastAsia" w:ascii="仿宋" w:hAnsi="仿宋" w:eastAsia="仿宋"/>
          <w:b w:val="0"/>
          <w:bCs/>
          <w:sz w:val="32"/>
          <w:szCs w:val="32"/>
          <w:lang w:eastAsia="zh-CN"/>
        </w:rPr>
        <w:t>下</w:t>
      </w:r>
      <w:r>
        <w:rPr>
          <w:rFonts w:hint="eastAsia" w:ascii="仿宋" w:hAnsi="仿宋" w:eastAsia="仿宋"/>
          <w:sz w:val="32"/>
          <w:szCs w:val="32"/>
          <w:lang w:eastAsia="zh-CN"/>
        </w:rPr>
        <w:t>降</w:t>
      </w:r>
      <w:r>
        <w:rPr>
          <w:rFonts w:hint="eastAsia" w:ascii="仿宋" w:hAnsi="仿宋" w:eastAsia="仿宋"/>
          <w:sz w:val="32"/>
          <w:szCs w:val="32"/>
          <w:lang w:val="en-US" w:eastAsia="zh-CN"/>
        </w:rPr>
        <w:t>11.2</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sz w:val="32"/>
          <w:szCs w:val="32"/>
          <w:highlight w:val="none"/>
        </w:rPr>
        <w:t>主要变动原因是</w:t>
      </w:r>
      <w:r>
        <w:rPr>
          <w:rFonts w:hint="eastAsia" w:ascii="仿宋" w:hAnsi="仿宋" w:eastAsia="仿宋"/>
          <w:sz w:val="32"/>
          <w:szCs w:val="32"/>
          <w:highlight w:val="none"/>
          <w:lang w:val="en-US" w:eastAsia="zh-CN"/>
        </w:rPr>
        <w:t>减少</w:t>
      </w:r>
      <w:r>
        <w:rPr>
          <w:rFonts w:hint="eastAsia" w:ascii="仿宋" w:hAnsi="仿宋" w:eastAsia="仿宋"/>
          <w:sz w:val="32"/>
          <w:szCs w:val="32"/>
          <w:highlight w:val="none"/>
          <w:lang w:eastAsia="zh-CN"/>
        </w:rPr>
        <w:t>了市优抚医院提质改造资金预算</w:t>
      </w:r>
      <w:r>
        <w:rPr>
          <w:rFonts w:hint="eastAsia" w:ascii="仿宋" w:hAnsi="仿宋" w:eastAsia="仿宋"/>
          <w:sz w:val="32"/>
          <w:szCs w:val="32"/>
          <w:highlight w:val="none"/>
        </w:rPr>
        <w:t>。</w:t>
      </w:r>
    </w:p>
    <w:p>
      <w:pPr>
        <w:spacing w:line="600" w:lineRule="exact"/>
        <w:jc w:val="center"/>
        <w:rPr>
          <w:rFonts w:ascii="仿宋" w:hAnsi="仿宋" w:eastAsia="仿宋"/>
          <w:sz w:val="32"/>
          <w:szCs w:val="32"/>
        </w:rPr>
      </w:pPr>
      <w:r>
        <w:rPr>
          <w:rFonts w:hint="eastAsia" w:ascii="仿宋" w:hAnsi="仿宋" w:eastAsia="仿宋"/>
          <w:sz w:val="32"/>
          <w:szCs w:val="32"/>
        </w:rPr>
        <w:t>图4：财政拨款收、支决算总计变动情况</w:t>
      </w:r>
    </w:p>
    <w:p>
      <w:pPr>
        <w:spacing w:line="600" w:lineRule="exact"/>
        <w:ind w:firstLine="6400" w:firstLineChars="2000"/>
      </w:pPr>
      <w:r>
        <w:rPr>
          <w:rFonts w:hint="eastAsia" w:ascii="仿宋" w:hAnsi="仿宋" w:eastAsia="仿宋"/>
          <w:sz w:val="32"/>
          <w:szCs w:val="32"/>
        </w:rPr>
        <w:t>单位：万元</w:t>
      </w:r>
    </w:p>
    <w:p>
      <w:pPr>
        <w:pStyle w:val="2"/>
        <w:bidi w:val="0"/>
        <w:rPr>
          <w:rFonts w:ascii="仿宋" w:hAnsi="仿宋" w:eastAsia="仿宋"/>
          <w:b/>
          <w:sz w:val="32"/>
          <w:szCs w:val="32"/>
        </w:rPr>
      </w:pPr>
      <w:r>
        <w:rPr>
          <w:rFonts w:hint="eastAsia"/>
        </w:rPr>
        <w:drawing>
          <wp:inline distT="0" distB="0" distL="114300" distR="114300">
            <wp:extent cx="5256530" cy="1964690"/>
            <wp:effectExtent l="4445" t="4445" r="15875" b="12065"/>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0" w:firstLineChars="200"/>
        <w:outlineLvl w:val="1"/>
        <w:rPr>
          <w:rStyle w:val="29"/>
          <w:rFonts w:ascii="黑体" w:hAnsi="黑体" w:eastAsia="黑体"/>
          <w:b w:val="0"/>
        </w:rPr>
      </w:pPr>
      <w:bookmarkStart w:id="39" w:name="_Toc11671"/>
      <w:bookmarkStart w:id="40" w:name="_Toc15377209"/>
      <w:bookmarkStart w:id="41" w:name="_Toc15396607"/>
      <w:r>
        <w:rPr>
          <w:rFonts w:hint="eastAsia" w:ascii="黑体" w:hAnsi="黑体" w:eastAsia="黑体"/>
          <w:sz w:val="32"/>
          <w:szCs w:val="32"/>
        </w:rPr>
        <w:t>五、</w:t>
      </w:r>
      <w:r>
        <w:rPr>
          <w:rFonts w:hint="eastAsia" w:ascii="黑体" w:hAnsi="黑体" w:eastAsia="黑体"/>
          <w:b/>
          <w:sz w:val="32"/>
          <w:szCs w:val="32"/>
        </w:rPr>
        <w:t>一</w:t>
      </w:r>
      <w:r>
        <w:rPr>
          <w:rStyle w:val="29"/>
          <w:rFonts w:hint="eastAsia" w:ascii="黑体" w:hAnsi="黑体" w:eastAsia="黑体"/>
          <w:b w:val="0"/>
        </w:rPr>
        <w:t>般公共预算财政拨款支出决算情况说明</w:t>
      </w:r>
      <w:bookmarkEnd w:id="39"/>
      <w:bookmarkEnd w:id="40"/>
      <w:bookmarkEnd w:id="41"/>
    </w:p>
    <w:p>
      <w:pPr>
        <w:spacing w:line="600" w:lineRule="exact"/>
        <w:ind w:firstLine="642" w:firstLineChars="200"/>
        <w:outlineLvl w:val="2"/>
        <w:rPr>
          <w:rFonts w:ascii="仿宋" w:hAnsi="仿宋" w:eastAsia="仿宋"/>
          <w:b/>
          <w:sz w:val="32"/>
          <w:szCs w:val="32"/>
        </w:rPr>
      </w:pPr>
      <w:bookmarkStart w:id="42" w:name="_Toc15377210"/>
      <w:r>
        <w:rPr>
          <w:rFonts w:hint="eastAsia" w:ascii="仿宋" w:hAnsi="仿宋" w:eastAsia="仿宋"/>
          <w:b/>
          <w:sz w:val="32"/>
          <w:szCs w:val="32"/>
        </w:rPr>
        <w:t>（一）一般公共预算财政拨款支出决算总体情况</w:t>
      </w:r>
      <w:bookmarkEnd w:id="42"/>
    </w:p>
    <w:p>
      <w:pPr>
        <w:spacing w:line="600" w:lineRule="exact"/>
        <w:ind w:firstLine="640"/>
        <w:rPr>
          <w:rFonts w:ascii="仿宋" w:hAnsi="仿宋" w:eastAsia="仿宋"/>
          <w:sz w:val="32"/>
          <w:szCs w:val="32"/>
          <w:highlight w:val="none"/>
        </w:rPr>
      </w:pP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年度一般公共预算财政拨款支出</w:t>
      </w:r>
      <w:r>
        <w:rPr>
          <w:rFonts w:ascii="仿宋" w:hAnsi="仿宋" w:eastAsia="仿宋"/>
          <w:b w:val="0"/>
          <w:bCs/>
          <w:sz w:val="32"/>
          <w:szCs w:val="32"/>
        </w:rPr>
        <w:t>1</w:t>
      </w:r>
      <w:r>
        <w:rPr>
          <w:rFonts w:hint="eastAsia" w:ascii="仿宋" w:hAnsi="仿宋" w:eastAsia="仿宋"/>
          <w:b w:val="0"/>
          <w:bCs/>
          <w:sz w:val="32"/>
          <w:szCs w:val="32"/>
          <w:lang w:val="en-US" w:eastAsia="zh-CN"/>
        </w:rPr>
        <w:t>034.51</w:t>
      </w:r>
      <w:r>
        <w:rPr>
          <w:rFonts w:hint="eastAsia" w:ascii="仿宋" w:hAnsi="仿宋" w:eastAsia="仿宋"/>
          <w:b w:val="0"/>
          <w:bCs/>
          <w:sz w:val="32"/>
          <w:szCs w:val="32"/>
        </w:rPr>
        <w:t>万元，占本年支出合计的</w:t>
      </w:r>
      <w:r>
        <w:rPr>
          <w:rFonts w:ascii="仿宋" w:hAnsi="仿宋" w:eastAsia="仿宋"/>
          <w:b w:val="0"/>
          <w:bCs/>
          <w:sz w:val="32"/>
          <w:szCs w:val="32"/>
        </w:rPr>
        <w:t>9</w:t>
      </w:r>
      <w:r>
        <w:rPr>
          <w:rFonts w:hint="eastAsia" w:ascii="仿宋" w:hAnsi="仿宋" w:eastAsia="仿宋"/>
          <w:b w:val="0"/>
          <w:bCs/>
          <w:sz w:val="32"/>
          <w:szCs w:val="32"/>
          <w:lang w:val="en-US" w:eastAsia="zh-CN"/>
        </w:rPr>
        <w:t>5.5</w:t>
      </w:r>
      <w:r>
        <w:rPr>
          <w:rFonts w:ascii="仿宋" w:hAnsi="仿宋" w:eastAsia="仿宋"/>
          <w:b w:val="0"/>
          <w:bCs/>
          <w:sz w:val="32"/>
          <w:szCs w:val="32"/>
        </w:rPr>
        <w:t>%</w:t>
      </w:r>
      <w:r>
        <w:rPr>
          <w:rFonts w:hint="eastAsia" w:ascii="仿宋" w:hAnsi="仿宋" w:eastAsia="仿宋"/>
          <w:b w:val="0"/>
          <w:bCs/>
          <w:sz w:val="32"/>
          <w:szCs w:val="32"/>
        </w:rPr>
        <w:t>。与202</w:t>
      </w:r>
      <w:r>
        <w:rPr>
          <w:rFonts w:hint="eastAsia" w:ascii="仿宋" w:hAnsi="仿宋" w:eastAsia="仿宋"/>
          <w:b w:val="0"/>
          <w:bCs/>
          <w:sz w:val="32"/>
          <w:szCs w:val="32"/>
          <w:lang w:val="en-US" w:eastAsia="zh-CN"/>
        </w:rPr>
        <w:t>3</w:t>
      </w:r>
      <w:r>
        <w:rPr>
          <w:rFonts w:hint="eastAsia" w:ascii="仿宋" w:hAnsi="仿宋" w:eastAsia="仿宋"/>
          <w:b w:val="0"/>
          <w:bCs/>
          <w:sz w:val="32"/>
          <w:szCs w:val="32"/>
        </w:rPr>
        <w:t>年度相比，一般公</w:t>
      </w:r>
      <w:r>
        <w:rPr>
          <w:rFonts w:hint="eastAsia" w:ascii="仿宋" w:hAnsi="仿宋" w:eastAsia="仿宋"/>
          <w:sz w:val="32"/>
          <w:szCs w:val="32"/>
        </w:rPr>
        <w:t>共预算财政拨款支出</w:t>
      </w:r>
      <w:r>
        <w:rPr>
          <w:rFonts w:hint="eastAsia" w:ascii="仿宋" w:hAnsi="仿宋" w:eastAsia="仿宋"/>
          <w:sz w:val="32"/>
          <w:szCs w:val="32"/>
          <w:lang w:eastAsia="zh-CN"/>
        </w:rPr>
        <w:t>减少</w:t>
      </w:r>
      <w:r>
        <w:rPr>
          <w:rFonts w:hint="eastAsia" w:ascii="仿宋" w:hAnsi="仿宋" w:eastAsia="仿宋"/>
          <w:sz w:val="32"/>
          <w:szCs w:val="32"/>
          <w:lang w:val="en-US" w:eastAsia="zh-CN"/>
        </w:rPr>
        <w:t>83.99</w:t>
      </w:r>
      <w:r>
        <w:rPr>
          <w:rFonts w:hint="eastAsia" w:ascii="仿宋" w:hAnsi="仿宋" w:eastAsia="仿宋"/>
          <w:sz w:val="32"/>
          <w:szCs w:val="32"/>
        </w:rPr>
        <w:t>万元，</w:t>
      </w:r>
      <w:r>
        <w:rPr>
          <w:rFonts w:hint="eastAsia" w:ascii="仿宋" w:hAnsi="仿宋" w:eastAsia="仿宋"/>
          <w:sz w:val="32"/>
          <w:szCs w:val="32"/>
          <w:lang w:eastAsia="zh-CN"/>
        </w:rPr>
        <w:t>下降</w:t>
      </w:r>
      <w:r>
        <w:rPr>
          <w:rFonts w:hint="eastAsia" w:ascii="仿宋" w:hAnsi="仿宋" w:eastAsia="仿宋"/>
          <w:sz w:val="32"/>
          <w:szCs w:val="32"/>
          <w:lang w:val="en-US" w:eastAsia="zh-CN"/>
        </w:rPr>
        <w:t>7.51</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sz w:val="32"/>
          <w:szCs w:val="32"/>
          <w:highlight w:val="none"/>
        </w:rPr>
        <w:t>主要变动原因是</w:t>
      </w:r>
      <w:r>
        <w:rPr>
          <w:rFonts w:hint="eastAsia" w:ascii="仿宋" w:hAnsi="仿宋" w:eastAsia="仿宋"/>
          <w:sz w:val="32"/>
          <w:szCs w:val="32"/>
          <w:highlight w:val="none"/>
          <w:lang w:val="en-US" w:eastAsia="zh-CN"/>
        </w:rPr>
        <w:t>减少</w:t>
      </w:r>
      <w:r>
        <w:rPr>
          <w:rFonts w:hint="eastAsia" w:ascii="仿宋" w:hAnsi="仿宋" w:eastAsia="仿宋"/>
          <w:sz w:val="32"/>
          <w:szCs w:val="32"/>
          <w:highlight w:val="none"/>
          <w:lang w:eastAsia="zh-CN"/>
        </w:rPr>
        <w:t>了市优抚医院提质改造资金预算</w:t>
      </w:r>
      <w:r>
        <w:rPr>
          <w:rFonts w:hint="eastAsia" w:ascii="仿宋" w:hAnsi="仿宋" w:eastAsia="仿宋"/>
          <w:sz w:val="32"/>
          <w:szCs w:val="32"/>
          <w:highlight w:val="none"/>
        </w:rPr>
        <w:t>。</w:t>
      </w:r>
    </w:p>
    <w:p>
      <w:pPr>
        <w:spacing w:line="600" w:lineRule="exact"/>
        <w:jc w:val="center"/>
        <w:rPr>
          <w:rFonts w:ascii="仿宋" w:hAnsi="仿宋" w:eastAsia="仿宋"/>
          <w:sz w:val="32"/>
          <w:szCs w:val="32"/>
        </w:rPr>
      </w:pPr>
      <w:r>
        <w:rPr>
          <w:rFonts w:hint="eastAsia" w:ascii="仿宋" w:hAnsi="仿宋" w:eastAsia="仿宋"/>
          <w:sz w:val="32"/>
          <w:szCs w:val="32"/>
        </w:rPr>
        <w:t>图5：一般公共预算财政拨款支出决算变动情况</w:t>
      </w:r>
    </w:p>
    <w:p>
      <w:pPr>
        <w:spacing w:line="600" w:lineRule="exact"/>
        <w:ind w:firstLine="6400" w:firstLineChars="2000"/>
      </w:pPr>
      <w:r>
        <w:rPr>
          <w:rFonts w:hint="eastAsia" w:ascii="仿宋" w:hAnsi="仿宋" w:eastAsia="仿宋"/>
          <w:sz w:val="32"/>
          <w:szCs w:val="32"/>
        </w:rPr>
        <w:t>单位：万元</w:t>
      </w:r>
    </w:p>
    <w:p>
      <w:pPr>
        <w:pStyle w:val="2"/>
        <w:bidi w:val="0"/>
      </w:pPr>
      <w:r>
        <w:rPr>
          <w:rFonts w:hint="eastAsia"/>
        </w:rPr>
        <w:drawing>
          <wp:inline distT="0" distB="0" distL="114300" distR="114300">
            <wp:extent cx="5256530" cy="2014855"/>
            <wp:effectExtent l="4445" t="4445" r="15875" b="1905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2" w:firstLineChars="200"/>
        <w:outlineLvl w:val="2"/>
        <w:rPr>
          <w:rFonts w:ascii="仿宋" w:hAnsi="仿宋" w:eastAsia="仿宋"/>
          <w:b/>
          <w:sz w:val="32"/>
          <w:szCs w:val="32"/>
        </w:rPr>
      </w:pPr>
      <w:bookmarkStart w:id="43" w:name="_Toc15377211"/>
      <w:r>
        <w:rPr>
          <w:rFonts w:hint="eastAsia" w:ascii="仿宋" w:hAnsi="仿宋" w:eastAsia="仿宋"/>
          <w:b/>
          <w:sz w:val="32"/>
          <w:szCs w:val="32"/>
        </w:rPr>
        <w:t>（二）一般公共预算财政拨款支出决算结构情况</w:t>
      </w:r>
      <w:bookmarkEnd w:id="43"/>
    </w:p>
    <w:p>
      <w:pPr>
        <w:spacing w:line="600" w:lineRule="exact"/>
        <w:ind w:firstLine="640"/>
        <w:rPr>
          <w:rFonts w:ascii="仿宋" w:hAnsi="仿宋" w:eastAsia="仿宋"/>
          <w:b/>
          <w:sz w:val="32"/>
          <w:szCs w:val="32"/>
        </w:rPr>
      </w:pP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年度一般公共预算财政拨款支出</w:t>
      </w:r>
      <w:r>
        <w:rPr>
          <w:rFonts w:ascii="仿宋" w:hAnsi="仿宋" w:eastAsia="仿宋"/>
          <w:b/>
          <w:sz w:val="32"/>
          <w:szCs w:val="32"/>
        </w:rPr>
        <w:t>1</w:t>
      </w:r>
      <w:r>
        <w:rPr>
          <w:rFonts w:hint="eastAsia" w:ascii="仿宋" w:hAnsi="仿宋" w:eastAsia="仿宋"/>
          <w:b/>
          <w:sz w:val="32"/>
          <w:szCs w:val="32"/>
          <w:lang w:val="en-US" w:eastAsia="zh-CN"/>
        </w:rPr>
        <w:t>034.51</w:t>
      </w:r>
      <w:r>
        <w:rPr>
          <w:rFonts w:hint="eastAsia" w:ascii="仿宋" w:hAnsi="仿宋" w:eastAsia="仿宋"/>
          <w:sz w:val="32"/>
          <w:szCs w:val="32"/>
        </w:rPr>
        <w:t>万元，主要用于以下方面</w:t>
      </w:r>
      <w:r>
        <w:rPr>
          <w:rFonts w:hint="eastAsia" w:ascii="仿宋" w:hAnsi="仿宋" w:eastAsia="仿宋"/>
          <w:sz w:val="32"/>
          <w:szCs w:val="32"/>
          <w:lang w:eastAsia="zh-CN"/>
        </w:rPr>
        <w:t>：</w:t>
      </w:r>
      <w:r>
        <w:rPr>
          <w:rFonts w:hint="eastAsia" w:ascii="仿宋" w:hAnsi="仿宋" w:eastAsia="仿宋"/>
          <w:b/>
          <w:sz w:val="32"/>
          <w:szCs w:val="32"/>
        </w:rPr>
        <w:t>社会保障和就业</w:t>
      </w:r>
      <w:r>
        <w:rPr>
          <w:rFonts w:hint="eastAsia" w:ascii="仿宋" w:hAnsi="仿宋" w:eastAsia="仿宋"/>
          <w:b/>
          <w:bCs/>
          <w:sz w:val="32"/>
          <w:szCs w:val="32"/>
        </w:rPr>
        <w:t>支出</w:t>
      </w:r>
      <w:r>
        <w:rPr>
          <w:rFonts w:hint="eastAsia" w:ascii="仿宋" w:hAnsi="仿宋" w:eastAsia="仿宋"/>
          <w:sz w:val="32"/>
          <w:szCs w:val="32"/>
          <w:lang w:val="en-US" w:eastAsia="zh-CN"/>
        </w:rPr>
        <w:t>450.72</w:t>
      </w:r>
      <w:r>
        <w:rPr>
          <w:rFonts w:hint="eastAsia" w:ascii="仿宋" w:hAnsi="仿宋" w:eastAsia="仿宋"/>
          <w:sz w:val="32"/>
          <w:szCs w:val="32"/>
        </w:rPr>
        <w:t>万元，占</w:t>
      </w:r>
      <w:r>
        <w:rPr>
          <w:rFonts w:hint="eastAsia" w:ascii="仿宋" w:hAnsi="仿宋" w:eastAsia="仿宋"/>
          <w:sz w:val="32"/>
          <w:szCs w:val="32"/>
          <w:lang w:val="en-US" w:eastAsia="zh-CN"/>
        </w:rPr>
        <w:t>43.57</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sz w:val="32"/>
          <w:szCs w:val="32"/>
          <w:lang w:val="en-US" w:eastAsia="zh-CN"/>
        </w:rPr>
        <w:t>556.06</w:t>
      </w:r>
      <w:r>
        <w:rPr>
          <w:rFonts w:hint="eastAsia" w:ascii="仿宋" w:hAnsi="仿宋" w:eastAsia="仿宋"/>
          <w:sz w:val="32"/>
          <w:szCs w:val="32"/>
        </w:rPr>
        <w:t>万元，占</w:t>
      </w:r>
      <w:r>
        <w:rPr>
          <w:rFonts w:hint="eastAsia" w:ascii="仿宋" w:hAnsi="仿宋" w:eastAsia="仿宋"/>
          <w:sz w:val="32"/>
          <w:szCs w:val="32"/>
          <w:lang w:val="en-US" w:eastAsia="zh-CN"/>
        </w:rPr>
        <w:t>53.75</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住房保障支出</w:t>
      </w:r>
      <w:r>
        <w:rPr>
          <w:rFonts w:hint="eastAsia" w:ascii="仿宋" w:hAnsi="仿宋" w:eastAsia="仿宋"/>
          <w:sz w:val="32"/>
          <w:szCs w:val="32"/>
          <w:lang w:val="en-US" w:eastAsia="zh-CN"/>
        </w:rPr>
        <w:t>27.73</w:t>
      </w:r>
      <w:r>
        <w:rPr>
          <w:rFonts w:hint="eastAsia" w:ascii="仿宋" w:hAnsi="仿宋" w:eastAsia="仿宋"/>
          <w:sz w:val="32"/>
          <w:szCs w:val="32"/>
        </w:rPr>
        <w:t>万元，占</w:t>
      </w:r>
      <w:r>
        <w:rPr>
          <w:rFonts w:hint="eastAsia" w:ascii="仿宋" w:hAnsi="仿宋" w:eastAsia="仿宋"/>
          <w:sz w:val="32"/>
          <w:szCs w:val="32"/>
          <w:lang w:val="en-US" w:eastAsia="zh-CN"/>
        </w:rPr>
        <w:t>2.68</w:t>
      </w:r>
      <w:r>
        <w:rPr>
          <w:rFonts w:ascii="仿宋" w:hAnsi="仿宋" w:eastAsia="仿宋"/>
          <w:sz w:val="32"/>
          <w:szCs w:val="32"/>
        </w:rPr>
        <w:t>%</w:t>
      </w:r>
      <w:r>
        <w:rPr>
          <w:rFonts w:hint="eastAsia" w:ascii="仿宋" w:hAnsi="仿宋" w:eastAsia="仿宋"/>
          <w:sz w:val="32"/>
          <w:szCs w:val="32"/>
        </w:rPr>
        <w:t>。</w:t>
      </w:r>
    </w:p>
    <w:p>
      <w:pPr>
        <w:spacing w:line="600" w:lineRule="exact"/>
        <w:jc w:val="center"/>
        <w:rPr>
          <w:rFonts w:ascii="仿宋" w:hAnsi="仿宋" w:eastAsia="仿宋"/>
          <w:sz w:val="32"/>
          <w:szCs w:val="32"/>
        </w:rPr>
      </w:pPr>
      <w:r>
        <w:rPr>
          <w:rFonts w:hint="eastAsia" w:ascii="仿宋" w:hAnsi="仿宋" w:eastAsia="仿宋"/>
          <w:sz w:val="32"/>
          <w:szCs w:val="32"/>
        </w:rPr>
        <w:t>图6：一般公共预算财政拨款支出决算结构</w:t>
      </w:r>
    </w:p>
    <w:p>
      <w:pPr>
        <w:spacing w:line="600" w:lineRule="exact"/>
        <w:ind w:firstLine="6400" w:firstLineChars="2000"/>
      </w:pPr>
      <w:r>
        <w:rPr>
          <w:rFonts w:hint="eastAsia" w:ascii="仿宋" w:hAnsi="仿宋" w:eastAsia="仿宋"/>
          <w:sz w:val="32"/>
          <w:szCs w:val="32"/>
        </w:rPr>
        <w:t>单位：万元</w:t>
      </w:r>
    </w:p>
    <w:p>
      <w:pPr>
        <w:pStyle w:val="2"/>
        <w:bidi w:val="0"/>
      </w:pPr>
      <w:r>
        <w:rPr>
          <w:rFonts w:hint="eastAsia"/>
        </w:rPr>
        <w:drawing>
          <wp:inline distT="0" distB="0" distL="114300" distR="114300">
            <wp:extent cx="4633595" cy="2343150"/>
            <wp:effectExtent l="5080" t="4445" r="9525" b="1460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2" w:firstLineChars="200"/>
        <w:outlineLvl w:val="2"/>
        <w:rPr>
          <w:rFonts w:ascii="仿宋" w:hAnsi="仿宋" w:eastAsia="仿宋"/>
          <w:b/>
          <w:sz w:val="32"/>
          <w:szCs w:val="32"/>
        </w:rPr>
      </w:pPr>
      <w:bookmarkStart w:id="44" w:name="_Toc15377212"/>
      <w:r>
        <w:rPr>
          <w:rFonts w:hint="eastAsia" w:ascii="仿宋" w:hAnsi="仿宋" w:eastAsia="仿宋"/>
          <w:b/>
          <w:sz w:val="32"/>
          <w:szCs w:val="32"/>
        </w:rPr>
        <w:t>（三）一般公共预算财政拨款支出决算具体情况</w:t>
      </w:r>
      <w:bookmarkEnd w:id="44"/>
    </w:p>
    <w:p>
      <w:pPr>
        <w:spacing w:line="600" w:lineRule="exact"/>
        <w:ind w:firstLine="642" w:firstLineChars="200"/>
        <w:outlineLvl w:val="2"/>
        <w:rPr>
          <w:rFonts w:ascii="仿宋" w:hAnsi="仿宋" w:eastAsia="仿宋"/>
          <w:sz w:val="32"/>
          <w:szCs w:val="32"/>
        </w:rPr>
      </w:pPr>
      <w:bookmarkStart w:id="45" w:name="_Toc15377444"/>
      <w:bookmarkStart w:id="46" w:name="_Toc15378460"/>
      <w:bookmarkStart w:id="47" w:name="_Toc15377213"/>
      <w:r>
        <w:rPr>
          <w:rFonts w:hint="eastAsia" w:ascii="仿宋" w:hAnsi="仿宋" w:eastAsia="仿宋"/>
          <w:b/>
          <w:sz w:val="32"/>
          <w:szCs w:val="32"/>
        </w:rPr>
        <w:t>202</w:t>
      </w:r>
      <w:r>
        <w:rPr>
          <w:rFonts w:hint="eastAsia" w:ascii="仿宋" w:hAnsi="仿宋" w:eastAsia="仿宋"/>
          <w:b/>
          <w:sz w:val="32"/>
          <w:szCs w:val="32"/>
          <w:lang w:val="en-US" w:eastAsia="zh-CN"/>
        </w:rPr>
        <w:t>4</w:t>
      </w:r>
      <w:r>
        <w:rPr>
          <w:rFonts w:hint="eastAsia" w:ascii="仿宋" w:hAnsi="仿宋" w:eastAsia="仿宋"/>
          <w:b/>
          <w:sz w:val="32"/>
          <w:szCs w:val="32"/>
        </w:rPr>
        <w:t>年度一般公共预算支出决算数为</w:t>
      </w:r>
      <w:r>
        <w:rPr>
          <w:rFonts w:ascii="仿宋" w:hAnsi="仿宋" w:eastAsia="仿宋"/>
          <w:b/>
          <w:sz w:val="32"/>
          <w:szCs w:val="32"/>
        </w:rPr>
        <w:t>1</w:t>
      </w:r>
      <w:r>
        <w:rPr>
          <w:rFonts w:hint="eastAsia" w:ascii="仿宋" w:hAnsi="仿宋" w:eastAsia="仿宋"/>
          <w:b/>
          <w:sz w:val="32"/>
          <w:szCs w:val="32"/>
          <w:lang w:val="en-US" w:eastAsia="zh-CN"/>
        </w:rPr>
        <w:t>034.51万元</w:t>
      </w:r>
      <w:r>
        <w:rPr>
          <w:rFonts w:hint="eastAsia" w:ascii="仿宋" w:hAnsi="仿宋" w:eastAsia="仿宋"/>
          <w:sz w:val="32"/>
          <w:szCs w:val="32"/>
        </w:rPr>
        <w:t>，</w:t>
      </w:r>
      <w:r>
        <w:rPr>
          <w:rStyle w:val="16"/>
          <w:rFonts w:hint="eastAsia" w:ascii="仿宋" w:hAnsi="仿宋" w:eastAsia="仿宋"/>
          <w:bCs/>
          <w:sz w:val="32"/>
          <w:szCs w:val="32"/>
        </w:rPr>
        <w:t>完成预算</w:t>
      </w:r>
      <w:r>
        <w:rPr>
          <w:rStyle w:val="16"/>
          <w:rFonts w:hint="eastAsia" w:ascii="仿宋" w:hAnsi="仿宋" w:eastAsia="仿宋"/>
          <w:bCs/>
          <w:sz w:val="32"/>
          <w:szCs w:val="32"/>
          <w:lang w:val="en-US" w:eastAsia="zh-CN"/>
        </w:rPr>
        <w:t>100</w:t>
      </w:r>
      <w:r>
        <w:rPr>
          <w:rStyle w:val="16"/>
          <w:rFonts w:ascii="仿宋" w:hAnsi="仿宋" w:eastAsia="仿宋"/>
          <w:bCs/>
          <w:sz w:val="32"/>
          <w:szCs w:val="32"/>
        </w:rPr>
        <w:t>%</w:t>
      </w:r>
      <w:r>
        <w:rPr>
          <w:rStyle w:val="16"/>
          <w:rFonts w:hint="eastAsia" w:ascii="仿宋" w:hAnsi="仿宋" w:eastAsia="仿宋"/>
          <w:bCs/>
          <w:sz w:val="32"/>
          <w:szCs w:val="32"/>
        </w:rPr>
        <w:t>。其中：</w:t>
      </w:r>
      <w:bookmarkEnd w:id="45"/>
      <w:bookmarkEnd w:id="46"/>
      <w:bookmarkEnd w:id="47"/>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2" w:firstLineChars="200"/>
        <w:jc w:val="left"/>
        <w:textAlignment w:val="auto"/>
        <w:rPr>
          <w:rStyle w:val="16"/>
          <w:rFonts w:hint="eastAsia" w:ascii="仿宋" w:hAnsi="仿宋" w:eastAsia="仿宋"/>
          <w:b w:val="0"/>
          <w:bCs/>
          <w:sz w:val="32"/>
          <w:szCs w:val="32"/>
        </w:rPr>
      </w:pPr>
      <w:r>
        <w:rPr>
          <w:rStyle w:val="16"/>
          <w:rFonts w:hint="eastAsia" w:ascii="仿宋" w:hAnsi="仿宋" w:eastAsia="仿宋"/>
          <w:bCs/>
          <w:sz w:val="32"/>
          <w:szCs w:val="32"/>
          <w:lang w:val="en-US" w:eastAsia="zh-CN"/>
        </w:rPr>
        <w:t>1、</w:t>
      </w:r>
      <w:r>
        <w:rPr>
          <w:rStyle w:val="16"/>
          <w:rFonts w:hint="eastAsia" w:ascii="仿宋" w:hAnsi="仿宋" w:eastAsia="仿宋"/>
          <w:bCs/>
          <w:sz w:val="32"/>
          <w:szCs w:val="32"/>
        </w:rPr>
        <w:t>社会保障和就业（类）行政事业单位养老支出（款）机关事业单位基本养老保险缴费支出（项）</w:t>
      </w:r>
      <w:r>
        <w:rPr>
          <w:rStyle w:val="16"/>
          <w:rFonts w:hint="eastAsia" w:ascii="仿宋" w:hAnsi="仿宋" w:eastAsia="仿宋"/>
          <w:bCs/>
          <w:sz w:val="32"/>
          <w:szCs w:val="32"/>
          <w:lang w:eastAsia="zh-CN"/>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32.11</w:t>
      </w:r>
      <w:r>
        <w:rPr>
          <w:rStyle w:val="16"/>
          <w:rFonts w:hint="eastAsia" w:ascii="仿宋" w:hAnsi="仿宋" w:eastAsia="仿宋"/>
          <w:b w:val="0"/>
          <w:bCs/>
          <w:sz w:val="32"/>
          <w:szCs w:val="32"/>
        </w:rPr>
        <w:t>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2" w:firstLineChars="200"/>
        <w:jc w:val="left"/>
        <w:textAlignment w:val="auto"/>
        <w:rPr>
          <w:rStyle w:val="16"/>
          <w:rFonts w:hint="eastAsia" w:ascii="仿宋" w:hAnsi="仿宋" w:eastAsia="仿宋"/>
          <w:b w:val="0"/>
          <w:bCs/>
          <w:sz w:val="32"/>
          <w:szCs w:val="32"/>
        </w:rPr>
      </w:pPr>
      <w:r>
        <w:rPr>
          <w:rStyle w:val="16"/>
          <w:rFonts w:hint="eastAsia" w:ascii="仿宋" w:hAnsi="仿宋" w:eastAsia="仿宋"/>
          <w:bCs/>
          <w:sz w:val="32"/>
          <w:szCs w:val="32"/>
          <w:lang w:val="en-US" w:eastAsia="zh-CN"/>
        </w:rPr>
        <w:t>2、</w:t>
      </w:r>
      <w:r>
        <w:rPr>
          <w:rStyle w:val="16"/>
          <w:rFonts w:hint="eastAsia" w:ascii="仿宋" w:hAnsi="仿宋" w:eastAsia="仿宋"/>
          <w:bCs/>
          <w:sz w:val="32"/>
          <w:szCs w:val="32"/>
        </w:rPr>
        <w:t>社会保障和就业（类）抚恤（款）光荣院（项）</w:t>
      </w:r>
      <w:r>
        <w:rPr>
          <w:rStyle w:val="16"/>
          <w:rFonts w:hint="eastAsia" w:ascii="仿宋" w:hAnsi="仿宋" w:eastAsia="仿宋"/>
          <w:bCs/>
          <w:sz w:val="32"/>
          <w:szCs w:val="32"/>
          <w:lang w:eastAsia="zh-CN"/>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107.29</w:t>
      </w:r>
      <w:r>
        <w:rPr>
          <w:rStyle w:val="16"/>
          <w:rFonts w:hint="eastAsia" w:ascii="仿宋" w:hAnsi="仿宋" w:eastAsia="仿宋"/>
          <w:b w:val="0"/>
          <w:bCs/>
          <w:sz w:val="32"/>
          <w:szCs w:val="32"/>
        </w:rPr>
        <w:t>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2" w:firstLineChars="200"/>
        <w:jc w:val="left"/>
        <w:textAlignment w:val="auto"/>
        <w:rPr>
          <w:rStyle w:val="16"/>
          <w:rFonts w:hint="eastAsia" w:ascii="仿宋" w:hAnsi="仿宋" w:eastAsia="仿宋"/>
          <w:b w:val="0"/>
          <w:bCs/>
          <w:sz w:val="32"/>
          <w:szCs w:val="32"/>
        </w:rPr>
      </w:pPr>
      <w:r>
        <w:rPr>
          <w:rStyle w:val="16"/>
          <w:rFonts w:hint="eastAsia" w:ascii="仿宋" w:hAnsi="仿宋" w:eastAsia="仿宋"/>
          <w:bCs/>
          <w:sz w:val="32"/>
          <w:szCs w:val="32"/>
          <w:lang w:val="en-US" w:eastAsia="zh-CN"/>
        </w:rPr>
        <w:t>3、</w:t>
      </w:r>
      <w:r>
        <w:rPr>
          <w:rStyle w:val="16"/>
          <w:rFonts w:hint="eastAsia" w:ascii="仿宋" w:hAnsi="仿宋" w:eastAsia="仿宋"/>
          <w:bCs/>
          <w:sz w:val="32"/>
          <w:szCs w:val="32"/>
        </w:rPr>
        <w:t>社会保障和就业（类）退役军人管理事务（款）事业运行（项）</w:t>
      </w:r>
      <w:r>
        <w:rPr>
          <w:rStyle w:val="16"/>
          <w:rFonts w:hint="eastAsia" w:ascii="仿宋" w:hAnsi="仿宋" w:eastAsia="仿宋"/>
          <w:bCs/>
          <w:sz w:val="32"/>
          <w:szCs w:val="32"/>
          <w:lang w:eastAsia="zh-CN"/>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311.32</w:t>
      </w:r>
      <w:r>
        <w:rPr>
          <w:rStyle w:val="16"/>
          <w:rFonts w:hint="eastAsia" w:ascii="仿宋" w:hAnsi="仿宋" w:eastAsia="仿宋"/>
          <w:b w:val="0"/>
          <w:bCs/>
          <w:sz w:val="32"/>
          <w:szCs w:val="32"/>
        </w:rPr>
        <w:t>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2" w:firstLineChars="200"/>
        <w:jc w:val="left"/>
        <w:textAlignment w:val="auto"/>
        <w:rPr>
          <w:rStyle w:val="16"/>
          <w:rFonts w:hint="eastAsia" w:ascii="仿宋" w:hAnsi="仿宋" w:eastAsia="仿宋"/>
          <w:b w:val="0"/>
          <w:bCs/>
          <w:sz w:val="32"/>
          <w:szCs w:val="32"/>
        </w:rPr>
      </w:pPr>
      <w:r>
        <w:rPr>
          <w:rFonts w:hint="eastAsia" w:ascii="仿宋" w:hAnsi="仿宋" w:eastAsia="仿宋"/>
          <w:b/>
          <w:bCs/>
          <w:sz w:val="32"/>
          <w:szCs w:val="32"/>
          <w:lang w:val="en-US" w:eastAsia="zh-CN"/>
        </w:rPr>
        <w:t>4、</w:t>
      </w:r>
      <w:r>
        <w:rPr>
          <w:rFonts w:hint="eastAsia" w:ascii="仿宋" w:hAnsi="仿宋" w:eastAsia="仿宋"/>
          <w:b/>
          <w:bCs/>
          <w:sz w:val="32"/>
          <w:szCs w:val="32"/>
        </w:rPr>
        <w:t>卫生健康</w:t>
      </w:r>
      <w:r>
        <w:rPr>
          <w:rStyle w:val="16"/>
          <w:rFonts w:hint="eastAsia" w:ascii="仿宋" w:hAnsi="仿宋" w:eastAsia="仿宋"/>
          <w:bCs/>
          <w:sz w:val="32"/>
          <w:szCs w:val="32"/>
        </w:rPr>
        <w:t>（类）公立医院（款）优抚医院（项）</w:t>
      </w:r>
      <w:r>
        <w:rPr>
          <w:rStyle w:val="16"/>
          <w:rFonts w:hint="eastAsia" w:ascii="仿宋" w:hAnsi="仿宋" w:eastAsia="仿宋"/>
          <w:bCs/>
          <w:sz w:val="32"/>
          <w:szCs w:val="32"/>
          <w:lang w:eastAsia="zh-CN"/>
        </w:rPr>
        <w:t>：</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424.56</w:t>
      </w:r>
      <w:r>
        <w:rPr>
          <w:rStyle w:val="16"/>
          <w:rFonts w:hint="eastAsia" w:ascii="仿宋" w:hAnsi="仿宋" w:eastAsia="仿宋"/>
          <w:b w:val="0"/>
          <w:bCs/>
          <w:sz w:val="32"/>
          <w:szCs w:val="32"/>
        </w:rPr>
        <w:t>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2" w:firstLineChars="200"/>
        <w:jc w:val="left"/>
        <w:textAlignment w:val="auto"/>
        <w:rPr>
          <w:rStyle w:val="16"/>
          <w:rFonts w:hint="eastAsia" w:ascii="仿宋" w:hAnsi="仿宋" w:eastAsia="仿宋"/>
          <w:b w:val="0"/>
          <w:bCs/>
          <w:sz w:val="32"/>
          <w:szCs w:val="32"/>
        </w:rPr>
      </w:pPr>
      <w:r>
        <w:rPr>
          <w:rFonts w:hint="eastAsia" w:ascii="仿宋" w:hAnsi="仿宋" w:eastAsia="仿宋"/>
          <w:b/>
          <w:bCs/>
          <w:sz w:val="32"/>
          <w:szCs w:val="32"/>
          <w:lang w:val="en-US" w:eastAsia="zh-CN"/>
        </w:rPr>
        <w:t>5、</w:t>
      </w:r>
      <w:r>
        <w:rPr>
          <w:rFonts w:hint="eastAsia" w:ascii="仿宋" w:hAnsi="仿宋" w:eastAsia="仿宋"/>
          <w:b/>
          <w:bCs/>
          <w:sz w:val="32"/>
          <w:szCs w:val="32"/>
        </w:rPr>
        <w:t>卫生健康</w:t>
      </w:r>
      <w:r>
        <w:rPr>
          <w:rStyle w:val="16"/>
          <w:rFonts w:hint="eastAsia" w:ascii="仿宋" w:hAnsi="仿宋" w:eastAsia="仿宋"/>
          <w:bCs/>
          <w:sz w:val="32"/>
          <w:szCs w:val="32"/>
        </w:rPr>
        <w:t>（类）行政事业单位医疗（款）事业单位医疗事业单位医疗（项）</w:t>
      </w:r>
      <w:r>
        <w:rPr>
          <w:rStyle w:val="16"/>
          <w:rFonts w:hint="eastAsia" w:ascii="仿宋" w:hAnsi="仿宋" w:eastAsia="仿宋"/>
          <w:bCs/>
          <w:sz w:val="32"/>
          <w:szCs w:val="32"/>
          <w:lang w:eastAsia="zh-CN"/>
        </w:rPr>
        <w:t>：</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11.5</w:t>
      </w:r>
      <w:r>
        <w:rPr>
          <w:rStyle w:val="16"/>
          <w:rFonts w:hint="eastAsia" w:ascii="仿宋" w:hAnsi="仿宋" w:eastAsia="仿宋"/>
          <w:b w:val="0"/>
          <w:bCs/>
          <w:sz w:val="32"/>
          <w:szCs w:val="32"/>
        </w:rPr>
        <w:t>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2" w:firstLineChars="200"/>
        <w:jc w:val="left"/>
        <w:textAlignment w:val="auto"/>
        <w:rPr>
          <w:rStyle w:val="16"/>
          <w:rFonts w:hint="eastAsia" w:ascii="仿宋" w:hAnsi="仿宋" w:eastAsia="仿宋"/>
          <w:b w:val="0"/>
          <w:bCs/>
          <w:sz w:val="32"/>
          <w:szCs w:val="32"/>
        </w:rPr>
      </w:pPr>
      <w:r>
        <w:rPr>
          <w:rFonts w:hint="eastAsia" w:ascii="仿宋" w:hAnsi="仿宋" w:eastAsia="仿宋"/>
          <w:b/>
          <w:bCs/>
          <w:sz w:val="32"/>
          <w:szCs w:val="32"/>
          <w:lang w:val="en-US" w:eastAsia="zh-CN"/>
        </w:rPr>
        <w:t>6、</w:t>
      </w:r>
      <w:r>
        <w:rPr>
          <w:rFonts w:hint="eastAsia" w:ascii="仿宋" w:hAnsi="仿宋" w:eastAsia="仿宋"/>
          <w:b/>
          <w:bCs/>
          <w:sz w:val="32"/>
          <w:szCs w:val="32"/>
        </w:rPr>
        <w:t>卫生健康</w:t>
      </w:r>
      <w:r>
        <w:rPr>
          <w:rStyle w:val="16"/>
          <w:rFonts w:hint="eastAsia" w:ascii="仿宋" w:hAnsi="仿宋" w:eastAsia="仿宋"/>
          <w:bCs/>
          <w:sz w:val="32"/>
          <w:szCs w:val="32"/>
        </w:rPr>
        <w:t>（类）优抚对象医疗（款）优抚对象医疗补助（项）</w:t>
      </w:r>
      <w:r>
        <w:rPr>
          <w:rStyle w:val="16"/>
          <w:rFonts w:hint="eastAsia" w:ascii="仿宋" w:hAnsi="仿宋" w:eastAsia="仿宋"/>
          <w:bCs/>
          <w:sz w:val="32"/>
          <w:szCs w:val="32"/>
          <w:lang w:eastAsia="zh-CN"/>
        </w:rPr>
        <w:t>：</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120</w:t>
      </w:r>
      <w:r>
        <w:rPr>
          <w:rStyle w:val="16"/>
          <w:rFonts w:hint="eastAsia" w:ascii="仿宋" w:hAnsi="仿宋" w:eastAsia="仿宋"/>
          <w:b w:val="0"/>
          <w:bCs/>
          <w:sz w:val="32"/>
          <w:szCs w:val="32"/>
        </w:rPr>
        <w:t>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w:t>
      </w:r>
    </w:p>
    <w:p>
      <w:pPr>
        <w:keepNext w:val="0"/>
        <w:keepLines w:val="0"/>
        <w:pageBreakBefore w:val="0"/>
        <w:widowControl w:val="0"/>
        <w:tabs>
          <w:tab w:val="right" w:pos="8306"/>
        </w:tabs>
        <w:kinsoku/>
        <w:wordWrap/>
        <w:overflowPunct/>
        <w:topLinePunct w:val="0"/>
        <w:autoSpaceDE/>
        <w:autoSpaceDN/>
        <w:bidi w:val="0"/>
        <w:adjustRightInd/>
        <w:snapToGrid/>
        <w:spacing w:line="600" w:lineRule="exact"/>
        <w:ind w:leftChars="0" w:firstLine="642" w:firstLineChars="200"/>
        <w:jc w:val="left"/>
        <w:textAlignment w:val="auto"/>
        <w:outlineLvl w:val="1"/>
        <w:rPr>
          <w:rStyle w:val="16"/>
          <w:rFonts w:hint="eastAsia" w:ascii="仿宋" w:hAnsi="仿宋" w:eastAsia="仿宋"/>
          <w:b w:val="0"/>
          <w:bCs/>
          <w:sz w:val="32"/>
          <w:szCs w:val="32"/>
        </w:rPr>
      </w:pPr>
      <w:bookmarkStart w:id="48" w:name="_Toc23544"/>
      <w:bookmarkStart w:id="49" w:name="_Toc15377214"/>
      <w:bookmarkStart w:id="50" w:name="_Toc15396608"/>
      <w:r>
        <w:rPr>
          <w:rFonts w:hint="eastAsia" w:ascii="仿宋" w:hAnsi="仿宋" w:eastAsia="仿宋"/>
          <w:b/>
          <w:bCs/>
          <w:sz w:val="32"/>
          <w:szCs w:val="32"/>
          <w:lang w:val="en-US" w:eastAsia="zh-CN"/>
        </w:rPr>
        <w:t>7、</w:t>
      </w:r>
      <w:r>
        <w:rPr>
          <w:rFonts w:hint="eastAsia" w:ascii="仿宋" w:hAnsi="仿宋" w:eastAsia="仿宋"/>
          <w:b/>
          <w:bCs/>
          <w:sz w:val="32"/>
          <w:szCs w:val="32"/>
        </w:rPr>
        <w:t>住房保障支出</w:t>
      </w:r>
      <w:r>
        <w:rPr>
          <w:rStyle w:val="16"/>
          <w:rFonts w:hint="eastAsia" w:ascii="仿宋" w:hAnsi="仿宋" w:eastAsia="仿宋"/>
          <w:bCs/>
          <w:sz w:val="32"/>
          <w:szCs w:val="32"/>
        </w:rPr>
        <w:t>（类）住房改革支出（款）住房公积金（项）</w:t>
      </w:r>
      <w:r>
        <w:rPr>
          <w:rStyle w:val="16"/>
          <w:rFonts w:hint="eastAsia" w:ascii="仿宋" w:hAnsi="仿宋" w:eastAsia="仿宋"/>
          <w:bCs/>
          <w:sz w:val="32"/>
          <w:szCs w:val="32"/>
          <w:lang w:eastAsia="zh-CN"/>
        </w:rPr>
        <w:t>：</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27.73</w:t>
      </w:r>
      <w:r>
        <w:rPr>
          <w:rStyle w:val="16"/>
          <w:rFonts w:hint="eastAsia" w:ascii="仿宋" w:hAnsi="仿宋" w:eastAsia="仿宋"/>
          <w:b w:val="0"/>
          <w:bCs/>
          <w:sz w:val="32"/>
          <w:szCs w:val="32"/>
        </w:rPr>
        <w:t>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w:t>
      </w:r>
      <w:bookmarkEnd w:id="48"/>
    </w:p>
    <w:p>
      <w:pPr>
        <w:tabs>
          <w:tab w:val="right" w:pos="8306"/>
        </w:tabs>
        <w:spacing w:line="600" w:lineRule="exact"/>
        <w:ind w:firstLine="640"/>
        <w:outlineLvl w:val="1"/>
        <w:rPr>
          <w:rStyle w:val="29"/>
        </w:rPr>
      </w:pPr>
      <w:bookmarkStart w:id="51" w:name="_Toc5560"/>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9"/>
          <w:rFonts w:hint="eastAsia" w:ascii="黑体" w:hAnsi="黑体" w:eastAsia="黑体"/>
          <w:b w:val="0"/>
        </w:rPr>
        <w:t>般公共预算财政拨款基本支出决算情况说明</w:t>
      </w:r>
      <w:bookmarkEnd w:id="49"/>
      <w:bookmarkEnd w:id="50"/>
      <w:bookmarkEnd w:id="51"/>
      <w:r>
        <w:rPr>
          <w:rStyle w:val="29"/>
          <w:rFonts w:ascii="黑体" w:hAnsi="黑体" w:eastAsia="黑体"/>
          <w:b w:val="0"/>
        </w:rPr>
        <w:tab/>
      </w:r>
    </w:p>
    <w:p>
      <w:pPr>
        <w:spacing w:line="600" w:lineRule="exact"/>
        <w:ind w:firstLine="645"/>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年度一般公共预算财政拨款基本支出</w:t>
      </w:r>
      <w:r>
        <w:rPr>
          <w:rFonts w:hint="eastAsia" w:ascii="仿宋" w:hAnsi="仿宋" w:eastAsia="仿宋"/>
          <w:b/>
          <w:sz w:val="32"/>
          <w:szCs w:val="32"/>
          <w:lang w:val="en-US" w:eastAsia="zh-CN"/>
        </w:rPr>
        <w:t>382.66</w:t>
      </w:r>
      <w:r>
        <w:rPr>
          <w:rFonts w:hint="eastAsia" w:ascii="仿宋" w:hAnsi="仿宋" w:eastAsia="仿宋"/>
          <w:sz w:val="32"/>
          <w:szCs w:val="32"/>
        </w:rPr>
        <w:t>万元，其中：</w:t>
      </w:r>
    </w:p>
    <w:p>
      <w:pPr>
        <w:spacing w:line="600" w:lineRule="exact"/>
        <w:ind w:firstLine="645"/>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b/>
          <w:sz w:val="32"/>
          <w:szCs w:val="32"/>
          <w:lang w:val="en-US" w:eastAsia="zh-CN"/>
        </w:rPr>
        <w:t>346.38</w:t>
      </w:r>
      <w:r>
        <w:rPr>
          <w:rFonts w:hint="eastAsia" w:ascii="仿宋" w:hAnsi="仿宋" w:eastAsia="仿宋"/>
          <w:sz w:val="32"/>
          <w:szCs w:val="32"/>
        </w:rPr>
        <w:t>万元，主要包括：基本工资、津贴补贴、奖金、绩效工资、机关事业单位基本养老保险缴费、职工基本医疗保险缴费</w:t>
      </w:r>
      <w:r>
        <w:rPr>
          <w:rFonts w:hint="eastAsia" w:ascii="仿宋" w:hAnsi="仿宋" w:eastAsia="仿宋"/>
          <w:sz w:val="32"/>
          <w:szCs w:val="32"/>
          <w:lang w:eastAsia="zh-CN"/>
        </w:rPr>
        <w:t>、</w:t>
      </w:r>
      <w:r>
        <w:rPr>
          <w:rFonts w:hint="eastAsia" w:ascii="仿宋" w:hAnsi="仿宋" w:eastAsia="仿宋"/>
          <w:sz w:val="32"/>
          <w:szCs w:val="32"/>
        </w:rPr>
        <w:t>其他社会保障缴费、住房公积金、抚恤金</w:t>
      </w:r>
      <w:r>
        <w:rPr>
          <w:rFonts w:hint="eastAsia" w:ascii="仿宋" w:hAnsi="仿宋" w:eastAsia="仿宋"/>
          <w:sz w:val="32"/>
          <w:szCs w:val="32"/>
          <w:lang w:eastAsia="zh-CN"/>
        </w:rPr>
        <w:t>、</w:t>
      </w:r>
      <w:r>
        <w:rPr>
          <w:rFonts w:hint="eastAsia" w:ascii="仿宋" w:hAnsi="仿宋" w:eastAsia="仿宋"/>
          <w:sz w:val="32"/>
          <w:szCs w:val="32"/>
        </w:rPr>
        <w:t>生活补助。</w:t>
      </w:r>
      <w:r>
        <w:rPr>
          <w:rFonts w:ascii="仿宋" w:hAnsi="仿宋" w:eastAsia="仿宋"/>
          <w:sz w:val="32"/>
          <w:szCs w:val="32"/>
        </w:rPr>
        <w:br w:type="textWrapping"/>
      </w:r>
      <w:r>
        <w:rPr>
          <w:rFonts w:hint="eastAsia" w:ascii="仿宋" w:hAnsi="仿宋" w:eastAsia="仿宋"/>
          <w:sz w:val="32"/>
          <w:szCs w:val="32"/>
        </w:rPr>
        <w:t>　　公用经费</w:t>
      </w:r>
      <w:r>
        <w:rPr>
          <w:rFonts w:hint="eastAsia" w:ascii="仿宋" w:hAnsi="仿宋" w:eastAsia="仿宋"/>
          <w:b/>
          <w:sz w:val="32"/>
          <w:szCs w:val="32"/>
          <w:lang w:val="en-US" w:eastAsia="zh-CN"/>
        </w:rPr>
        <w:t>36.28</w:t>
      </w:r>
      <w:r>
        <w:rPr>
          <w:rFonts w:hint="eastAsia" w:ascii="仿宋" w:hAnsi="仿宋" w:eastAsia="仿宋"/>
          <w:sz w:val="32"/>
          <w:szCs w:val="32"/>
        </w:rPr>
        <w:t>万元，主要包括：办公费、印刷费、咨询费、水费、电费、邮电费、物业管理费</w:t>
      </w:r>
      <w:r>
        <w:rPr>
          <w:rFonts w:hint="eastAsia" w:ascii="仿宋" w:hAnsi="仿宋" w:eastAsia="仿宋"/>
          <w:sz w:val="32"/>
          <w:szCs w:val="32"/>
          <w:lang w:eastAsia="zh-CN"/>
        </w:rPr>
        <w:t>、</w:t>
      </w:r>
      <w:r>
        <w:rPr>
          <w:rFonts w:hint="eastAsia" w:ascii="仿宋" w:hAnsi="仿宋" w:eastAsia="仿宋"/>
          <w:sz w:val="32"/>
          <w:szCs w:val="32"/>
        </w:rPr>
        <w:t>差旅费、维修（护）费、培训费、公务接待费、委托业务费</w:t>
      </w:r>
      <w:r>
        <w:rPr>
          <w:rFonts w:hint="eastAsia" w:ascii="仿宋" w:hAnsi="仿宋" w:eastAsia="仿宋"/>
          <w:sz w:val="32"/>
          <w:szCs w:val="32"/>
          <w:lang w:eastAsia="zh-CN"/>
        </w:rPr>
        <w:t>、</w:t>
      </w:r>
      <w:r>
        <w:rPr>
          <w:rFonts w:hint="eastAsia" w:ascii="仿宋" w:hAnsi="仿宋" w:eastAsia="仿宋"/>
          <w:sz w:val="32"/>
          <w:szCs w:val="32"/>
        </w:rPr>
        <w:t>工会经费、福利费、公务用车运行维护费、其他交通费</w:t>
      </w:r>
      <w:r>
        <w:rPr>
          <w:rFonts w:hint="eastAsia" w:ascii="仿宋" w:hAnsi="仿宋" w:eastAsia="仿宋"/>
          <w:sz w:val="32"/>
          <w:szCs w:val="32"/>
          <w:lang w:val="en-US" w:eastAsia="zh-CN"/>
        </w:rPr>
        <w:t>用</w:t>
      </w:r>
      <w:r>
        <w:rPr>
          <w:rFonts w:hint="eastAsia" w:ascii="仿宋" w:hAnsi="仿宋" w:eastAsia="仿宋"/>
          <w:sz w:val="32"/>
          <w:szCs w:val="32"/>
        </w:rPr>
        <w:t>、其他商品和服务支出。</w:t>
      </w:r>
    </w:p>
    <w:p>
      <w:pPr>
        <w:spacing w:line="600" w:lineRule="exact"/>
        <w:ind w:firstLine="640"/>
        <w:outlineLvl w:val="1"/>
        <w:rPr>
          <w:rStyle w:val="29"/>
          <w:rFonts w:ascii="黑体" w:hAnsi="黑体" w:eastAsia="黑体"/>
          <w:b w:val="0"/>
        </w:rPr>
      </w:pPr>
      <w:bookmarkStart w:id="52" w:name="_Toc15396609"/>
      <w:bookmarkStart w:id="53" w:name="_Toc24761"/>
      <w:bookmarkStart w:id="54" w:name="_Toc15377215"/>
      <w:r>
        <w:rPr>
          <w:rFonts w:hint="eastAsia" w:ascii="黑体" w:eastAsia="黑体"/>
          <w:sz w:val="32"/>
          <w:szCs w:val="32"/>
        </w:rPr>
        <w:t>七、</w:t>
      </w:r>
      <w:r>
        <w:rPr>
          <w:rStyle w:val="29"/>
          <w:rFonts w:hint="eastAsia" w:ascii="黑体" w:hAnsi="黑体" w:eastAsia="黑体"/>
          <w:b w:val="0"/>
        </w:rPr>
        <w:t>财政拨款</w:t>
      </w:r>
      <w:r>
        <w:rPr>
          <w:rStyle w:val="29"/>
          <w:rFonts w:hint="eastAsia" w:ascii="黑体" w:hAnsi="黑体" w:eastAsia="黑体"/>
        </w:rPr>
        <w:t>“</w:t>
      </w:r>
      <w:r>
        <w:rPr>
          <w:rStyle w:val="29"/>
          <w:rFonts w:hint="eastAsia" w:ascii="黑体" w:hAnsi="黑体" w:eastAsia="黑体"/>
          <w:b w:val="0"/>
        </w:rPr>
        <w:t>三公”经费支出决算情况说明</w:t>
      </w:r>
      <w:bookmarkEnd w:id="52"/>
      <w:bookmarkEnd w:id="53"/>
      <w:bookmarkEnd w:id="54"/>
    </w:p>
    <w:p>
      <w:pPr>
        <w:spacing w:line="600" w:lineRule="exact"/>
        <w:ind w:firstLine="640"/>
        <w:outlineLvl w:val="2"/>
        <w:rPr>
          <w:rFonts w:ascii="仿宋" w:hAnsi="仿宋" w:eastAsia="仿宋"/>
          <w:b/>
          <w:sz w:val="32"/>
          <w:szCs w:val="32"/>
        </w:rPr>
      </w:pPr>
      <w:bookmarkStart w:id="55" w:name="_Toc15377216"/>
      <w:r>
        <w:rPr>
          <w:rFonts w:hint="eastAsia" w:ascii="仿宋" w:hAnsi="仿宋" w:eastAsia="仿宋"/>
          <w:b/>
          <w:sz w:val="32"/>
          <w:szCs w:val="32"/>
        </w:rPr>
        <w:t>（一）“三公”经费财政拨款支出决算总体情况说明</w:t>
      </w:r>
      <w:bookmarkEnd w:id="55"/>
    </w:p>
    <w:p>
      <w:pPr>
        <w:spacing w:line="600" w:lineRule="exact"/>
        <w:ind w:firstLine="640"/>
        <w:rPr>
          <w:rFonts w:ascii="仿宋" w:hAnsi="仿宋" w:eastAsia="仿宋"/>
          <w:sz w:val="32"/>
          <w:szCs w:val="32"/>
          <w:highlight w:val="yellow"/>
        </w:rPr>
      </w:pP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年度“三公”经费财政拨款支出决算为</w:t>
      </w:r>
      <w:r>
        <w:rPr>
          <w:rFonts w:hint="eastAsia" w:ascii="仿宋" w:hAnsi="仿宋" w:eastAsia="仿宋"/>
          <w:b/>
          <w:sz w:val="32"/>
          <w:szCs w:val="32"/>
          <w:lang w:val="en-US" w:eastAsia="zh-CN"/>
        </w:rPr>
        <w:t>1.24</w:t>
      </w:r>
      <w:r>
        <w:rPr>
          <w:rFonts w:hint="eastAsia" w:ascii="仿宋" w:hAnsi="仿宋" w:eastAsia="仿宋"/>
          <w:sz w:val="32"/>
          <w:szCs w:val="32"/>
        </w:rPr>
        <w:t>万元，完成预算</w:t>
      </w:r>
      <w:r>
        <w:rPr>
          <w:rFonts w:hint="eastAsia" w:ascii="仿宋" w:hAnsi="仿宋" w:eastAsia="仿宋"/>
          <w:b/>
          <w:sz w:val="32"/>
          <w:szCs w:val="32"/>
          <w:lang w:val="en-US" w:eastAsia="zh-CN"/>
        </w:rPr>
        <w:t>44.29</w:t>
      </w:r>
      <w:r>
        <w:rPr>
          <w:rFonts w:ascii="仿宋" w:hAnsi="仿宋" w:eastAsia="仿宋"/>
          <w:sz w:val="32"/>
          <w:szCs w:val="32"/>
        </w:rPr>
        <w:t>%</w:t>
      </w:r>
      <w:r>
        <w:rPr>
          <w:rFonts w:hint="eastAsia" w:ascii="仿宋" w:hAnsi="仿宋" w:eastAsia="仿宋"/>
          <w:sz w:val="32"/>
          <w:szCs w:val="32"/>
        </w:rPr>
        <w:t>，较上年度</w:t>
      </w:r>
      <w:r>
        <w:rPr>
          <w:rFonts w:hint="eastAsia" w:ascii="仿宋" w:hAnsi="仿宋" w:eastAsia="仿宋"/>
          <w:sz w:val="32"/>
          <w:szCs w:val="32"/>
          <w:lang w:eastAsia="zh-CN"/>
        </w:rPr>
        <w:t>减少</w:t>
      </w:r>
      <w:r>
        <w:rPr>
          <w:rFonts w:hint="eastAsia" w:ascii="仿宋" w:hAnsi="仿宋" w:eastAsia="仿宋"/>
          <w:sz w:val="32"/>
          <w:szCs w:val="32"/>
          <w:lang w:val="en-US" w:eastAsia="zh-CN"/>
        </w:rPr>
        <w:t>0.08</w:t>
      </w:r>
      <w:r>
        <w:rPr>
          <w:rFonts w:hint="eastAsia" w:ascii="仿宋" w:hAnsi="仿宋" w:eastAsia="仿宋"/>
          <w:sz w:val="32"/>
          <w:szCs w:val="32"/>
        </w:rPr>
        <w:t>万元，</w:t>
      </w:r>
      <w:r>
        <w:rPr>
          <w:rFonts w:hint="eastAsia" w:ascii="仿宋" w:hAnsi="仿宋" w:eastAsia="仿宋"/>
          <w:sz w:val="32"/>
          <w:szCs w:val="32"/>
          <w:lang w:eastAsia="zh-CN"/>
        </w:rPr>
        <w:t>下降</w:t>
      </w:r>
      <w:r>
        <w:rPr>
          <w:rFonts w:hint="eastAsia" w:ascii="仿宋" w:hAnsi="仿宋" w:eastAsia="仿宋"/>
          <w:sz w:val="32"/>
          <w:szCs w:val="32"/>
          <w:lang w:val="en-US" w:eastAsia="zh-CN"/>
        </w:rPr>
        <w:t>6.06</w:t>
      </w:r>
      <w:r>
        <w:rPr>
          <w:rFonts w:hint="eastAsia" w:ascii="仿宋" w:hAnsi="仿宋" w:eastAsia="仿宋"/>
          <w:sz w:val="32"/>
          <w:szCs w:val="32"/>
        </w:rPr>
        <w:t>%。</w:t>
      </w:r>
      <w:r>
        <w:rPr>
          <w:rFonts w:hint="eastAsia" w:ascii="仿宋" w:hAnsi="仿宋" w:eastAsia="仿宋"/>
          <w:sz w:val="32"/>
          <w:szCs w:val="32"/>
          <w:highlight w:val="none"/>
        </w:rPr>
        <w:t>决算数小于预算数的主要原因是</w:t>
      </w:r>
      <w:r>
        <w:rPr>
          <w:rFonts w:hint="eastAsia" w:ascii="仿宋" w:hAnsi="仿宋" w:eastAsia="仿宋"/>
          <w:sz w:val="32"/>
          <w:szCs w:val="32"/>
          <w:highlight w:val="none"/>
          <w:lang w:eastAsia="zh-CN"/>
        </w:rPr>
        <w:t>厉行节约减少了费用支出</w:t>
      </w:r>
      <w:r>
        <w:rPr>
          <w:rFonts w:hint="eastAsia" w:ascii="仿宋" w:hAnsi="仿宋" w:eastAsia="仿宋"/>
          <w:sz w:val="32"/>
          <w:szCs w:val="32"/>
          <w:highlight w:val="none"/>
        </w:rPr>
        <w:t>。</w:t>
      </w:r>
    </w:p>
    <w:p>
      <w:pPr>
        <w:spacing w:line="600" w:lineRule="exact"/>
        <w:ind w:firstLine="640"/>
        <w:outlineLvl w:val="2"/>
        <w:rPr>
          <w:rFonts w:ascii="仿宋" w:hAnsi="仿宋" w:eastAsia="仿宋"/>
          <w:b/>
          <w:sz w:val="32"/>
          <w:szCs w:val="32"/>
        </w:rPr>
      </w:pPr>
      <w:bookmarkStart w:id="56" w:name="_Toc15377217"/>
      <w:r>
        <w:rPr>
          <w:rFonts w:hint="eastAsia" w:ascii="仿宋" w:hAnsi="仿宋" w:eastAsia="仿宋"/>
          <w:b/>
          <w:sz w:val="32"/>
          <w:szCs w:val="32"/>
        </w:rPr>
        <w:t>（二）“三公”经费财政拨款支出决算具体情况说明</w:t>
      </w:r>
      <w:bookmarkEnd w:id="56"/>
    </w:p>
    <w:p>
      <w:pPr>
        <w:spacing w:line="600" w:lineRule="exact"/>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年度“三公”经费财政拨款支出决算中，因公出国（境）费支出决算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；公务用车购置及运行维护费支出决算</w:t>
      </w:r>
      <w:r>
        <w:rPr>
          <w:rFonts w:ascii="仿宋" w:hAnsi="仿宋" w:eastAsia="仿宋"/>
          <w:b/>
          <w:sz w:val="32"/>
          <w:szCs w:val="32"/>
        </w:rPr>
        <w:t>1.</w:t>
      </w:r>
      <w:r>
        <w:rPr>
          <w:rFonts w:hint="eastAsia" w:ascii="仿宋" w:hAnsi="仿宋" w:eastAsia="仿宋"/>
          <w:b/>
          <w:sz w:val="32"/>
          <w:szCs w:val="32"/>
          <w:lang w:val="en-US" w:eastAsia="zh-CN"/>
        </w:rPr>
        <w:t>05</w:t>
      </w:r>
      <w:r>
        <w:rPr>
          <w:rFonts w:hint="eastAsia" w:ascii="仿宋" w:hAnsi="仿宋" w:eastAsia="仿宋"/>
          <w:sz w:val="32"/>
          <w:szCs w:val="32"/>
        </w:rPr>
        <w:t>万元，占</w:t>
      </w:r>
      <w:r>
        <w:rPr>
          <w:rFonts w:hint="eastAsia" w:ascii="仿宋" w:hAnsi="仿宋" w:eastAsia="仿宋"/>
          <w:b/>
          <w:sz w:val="32"/>
          <w:szCs w:val="32"/>
          <w:lang w:val="en-US" w:eastAsia="zh-CN"/>
        </w:rPr>
        <w:t>84.68</w:t>
      </w:r>
      <w:r>
        <w:rPr>
          <w:rFonts w:ascii="仿宋" w:hAnsi="仿宋" w:eastAsia="仿宋"/>
          <w:sz w:val="32"/>
          <w:szCs w:val="32"/>
        </w:rPr>
        <w:t>%</w:t>
      </w:r>
      <w:r>
        <w:rPr>
          <w:rFonts w:hint="eastAsia" w:ascii="仿宋" w:hAnsi="仿宋" w:eastAsia="仿宋"/>
          <w:sz w:val="32"/>
          <w:szCs w:val="32"/>
        </w:rPr>
        <w:t>；公务接待费支出决算</w:t>
      </w:r>
      <w:r>
        <w:rPr>
          <w:rFonts w:ascii="仿宋" w:hAnsi="仿宋" w:eastAsia="仿宋"/>
          <w:b/>
          <w:sz w:val="32"/>
          <w:szCs w:val="32"/>
        </w:rPr>
        <w:t>0.1</w:t>
      </w:r>
      <w:r>
        <w:rPr>
          <w:rFonts w:hint="eastAsia" w:ascii="仿宋" w:hAnsi="仿宋" w:eastAsia="仿宋"/>
          <w:b/>
          <w:sz w:val="32"/>
          <w:szCs w:val="32"/>
          <w:lang w:val="en-US" w:eastAsia="zh-CN"/>
        </w:rPr>
        <w:t>9</w:t>
      </w:r>
      <w:r>
        <w:rPr>
          <w:rFonts w:hint="eastAsia" w:ascii="仿宋" w:hAnsi="仿宋" w:eastAsia="仿宋"/>
          <w:sz w:val="32"/>
          <w:szCs w:val="32"/>
        </w:rPr>
        <w:t>万元，占</w:t>
      </w:r>
      <w:r>
        <w:rPr>
          <w:rFonts w:hint="eastAsia" w:ascii="仿宋" w:hAnsi="仿宋" w:eastAsia="仿宋"/>
          <w:b/>
          <w:sz w:val="32"/>
          <w:szCs w:val="32"/>
          <w:lang w:val="en-US" w:eastAsia="zh-CN"/>
        </w:rPr>
        <w:t>15.32</w:t>
      </w:r>
      <w:r>
        <w:rPr>
          <w:rFonts w:ascii="仿宋" w:hAnsi="仿宋" w:eastAsia="仿宋"/>
          <w:sz w:val="32"/>
          <w:szCs w:val="32"/>
        </w:rPr>
        <w:t>%</w:t>
      </w:r>
      <w:r>
        <w:rPr>
          <w:rFonts w:hint="eastAsia" w:ascii="仿宋" w:hAnsi="仿宋" w:eastAsia="仿宋"/>
          <w:sz w:val="32"/>
          <w:szCs w:val="32"/>
        </w:rPr>
        <w:t>。具体情况如下：</w:t>
      </w:r>
    </w:p>
    <w:p>
      <w:pPr>
        <w:spacing w:line="600" w:lineRule="exact"/>
        <w:jc w:val="center"/>
        <w:rPr>
          <w:rFonts w:ascii="仿宋" w:hAnsi="仿宋" w:eastAsia="仿宋"/>
          <w:sz w:val="32"/>
          <w:szCs w:val="32"/>
        </w:rPr>
      </w:pPr>
      <w:bookmarkStart w:id="57" w:name="_Toc15396610"/>
      <w:bookmarkStart w:id="58" w:name="_Toc15377218"/>
      <w:r>
        <w:rPr>
          <w:rFonts w:hint="eastAsia" w:ascii="仿宋" w:hAnsi="仿宋" w:eastAsia="仿宋"/>
          <w:sz w:val="32"/>
          <w:szCs w:val="32"/>
        </w:rPr>
        <w:t>图7：“三公”经费财政拨款支出结构</w:t>
      </w:r>
    </w:p>
    <w:p>
      <w:pPr>
        <w:spacing w:line="600" w:lineRule="exact"/>
        <w:ind w:firstLine="6400" w:firstLineChars="2000"/>
        <w:rPr>
          <w:rFonts w:ascii="仿宋" w:hAnsi="仿宋" w:eastAsia="仿宋"/>
          <w:sz w:val="32"/>
          <w:szCs w:val="32"/>
        </w:rPr>
      </w:pPr>
      <w:r>
        <w:rPr>
          <w:rFonts w:hint="eastAsia" w:ascii="仿宋" w:hAnsi="仿宋" w:eastAsia="仿宋"/>
          <w:sz w:val="32"/>
          <w:szCs w:val="32"/>
        </w:rPr>
        <w:t>单位：万元</w:t>
      </w:r>
    </w:p>
    <w:p>
      <w:pPr>
        <w:pStyle w:val="2"/>
        <w:bidi w:val="0"/>
        <w:rPr>
          <w:rFonts w:hint="eastAsia"/>
        </w:rPr>
      </w:pPr>
      <w:r>
        <w:rPr>
          <w:rFonts w:hint="eastAsia"/>
        </w:rPr>
        <w:drawing>
          <wp:inline distT="0" distB="0" distL="114300" distR="114300">
            <wp:extent cx="5044440" cy="2150110"/>
            <wp:effectExtent l="5080" t="4445" r="17780" b="1714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numPr>
          <w:numId w:val="0"/>
        </w:numPr>
        <w:spacing w:line="600" w:lineRule="exact"/>
        <w:ind w:firstLine="642" w:firstLineChars="200"/>
        <w:rPr>
          <w:rFonts w:hint="eastAsia" w:ascii="仿宋_GB2312" w:eastAsia="仿宋_GB2312"/>
          <w:sz w:val="32"/>
          <w:szCs w:val="32"/>
          <w:lang w:eastAsia="zh-CN"/>
        </w:rPr>
      </w:pPr>
      <w:r>
        <w:rPr>
          <w:rFonts w:hint="eastAsia" w:ascii="仿宋_GB2312" w:eastAsia="仿宋_GB2312"/>
          <w:b/>
          <w:sz w:val="32"/>
          <w:szCs w:val="32"/>
          <w:lang w:val="en-US" w:eastAsia="zh-CN"/>
        </w:rPr>
        <w:t>1.</w:t>
      </w:r>
      <w:r>
        <w:rPr>
          <w:rFonts w:hint="eastAsia" w:ascii="仿宋_GB2312" w:eastAsia="仿宋_GB2312"/>
          <w:b/>
          <w:sz w:val="32"/>
          <w:szCs w:val="32"/>
        </w:rPr>
        <w:t>因公出国（境）经费支出</w:t>
      </w:r>
      <w:r>
        <w:rPr>
          <w:rFonts w:ascii="仿宋" w:hAnsi="仿宋" w:eastAsia="仿宋"/>
          <w:b/>
          <w:sz w:val="32"/>
          <w:szCs w:val="32"/>
        </w:rPr>
        <w:t>0</w:t>
      </w:r>
      <w:r>
        <w:rPr>
          <w:rFonts w:hint="eastAsia" w:ascii="仿宋_GB2312" w:eastAsia="仿宋_GB2312"/>
          <w:sz w:val="32"/>
          <w:szCs w:val="32"/>
        </w:rPr>
        <w:t>万元，</w:t>
      </w:r>
      <w:r>
        <w:rPr>
          <w:rStyle w:val="16"/>
          <w:rFonts w:hint="eastAsia" w:ascii="仿宋" w:hAnsi="仿宋" w:eastAsia="仿宋"/>
          <w:b w:val="0"/>
          <w:bCs/>
          <w:sz w:val="32"/>
          <w:szCs w:val="32"/>
          <w:lang w:eastAsia="zh-CN"/>
        </w:rPr>
        <w:t>未安排预算，</w:t>
      </w:r>
      <w:r>
        <w:rPr>
          <w:rFonts w:hint="eastAsia" w:ascii="仿宋_GB2312" w:eastAsia="仿宋_GB2312"/>
          <w:sz w:val="32"/>
          <w:szCs w:val="32"/>
        </w:rPr>
        <w:t>因公出国（境）支出决算</w:t>
      </w:r>
      <w:r>
        <w:rPr>
          <w:rFonts w:hint="eastAsia" w:ascii="仿宋_GB2312" w:eastAsia="仿宋_GB2312"/>
          <w:sz w:val="32"/>
          <w:szCs w:val="32"/>
          <w:lang w:eastAsia="zh-CN"/>
        </w:rPr>
        <w:t>与</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w:t>
      </w:r>
      <w:r>
        <w:rPr>
          <w:rFonts w:hint="eastAsia" w:ascii="仿宋_GB2312" w:eastAsia="仿宋_GB2312"/>
          <w:sz w:val="32"/>
          <w:szCs w:val="32"/>
          <w:lang w:eastAsia="zh-CN"/>
        </w:rPr>
        <w:t>持平。</w:t>
      </w:r>
    </w:p>
    <w:p>
      <w:pPr>
        <w:numPr>
          <w:numId w:val="0"/>
        </w:numPr>
        <w:spacing w:line="600" w:lineRule="exact"/>
        <w:ind w:firstLine="642" w:firstLineChars="20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ascii="仿宋" w:hAnsi="仿宋" w:eastAsia="仿宋"/>
          <w:b/>
          <w:sz w:val="32"/>
          <w:szCs w:val="32"/>
        </w:rPr>
        <w:t>1.</w:t>
      </w:r>
      <w:r>
        <w:rPr>
          <w:rFonts w:hint="eastAsia" w:ascii="仿宋" w:hAnsi="仿宋" w:eastAsia="仿宋"/>
          <w:b/>
          <w:sz w:val="32"/>
          <w:szCs w:val="32"/>
          <w:lang w:val="en-US" w:eastAsia="zh-CN"/>
        </w:rPr>
        <w:t>05</w:t>
      </w:r>
      <w:r>
        <w:rPr>
          <w:rFonts w:hint="eastAsia" w:ascii="仿宋_GB2312" w:eastAsia="仿宋_GB2312"/>
          <w:sz w:val="32"/>
          <w:szCs w:val="32"/>
        </w:rPr>
        <w:t>万元,</w:t>
      </w:r>
      <w:r>
        <w:rPr>
          <w:rStyle w:val="16"/>
          <w:rFonts w:hint="eastAsia" w:ascii="仿宋" w:hAnsi="仿宋" w:eastAsia="仿宋"/>
          <w:b w:val="0"/>
          <w:bCs/>
          <w:sz w:val="32"/>
          <w:szCs w:val="32"/>
        </w:rPr>
        <w:t>完成预算</w:t>
      </w:r>
      <w:r>
        <w:rPr>
          <w:rStyle w:val="16"/>
          <w:rFonts w:hint="eastAsia" w:ascii="仿宋" w:hAnsi="仿宋" w:eastAsia="仿宋"/>
          <w:bCs/>
          <w:sz w:val="32"/>
          <w:szCs w:val="32"/>
          <w:lang w:val="en-US" w:eastAsia="zh-CN"/>
        </w:rPr>
        <w:t>52.5</w:t>
      </w:r>
      <w:r>
        <w:rPr>
          <w:rStyle w:val="16"/>
          <w:rFonts w:ascii="仿宋" w:hAnsi="仿宋" w:eastAsia="仿宋"/>
          <w:b w:val="0"/>
          <w:bCs/>
          <w:sz w:val="32"/>
          <w:szCs w:val="32"/>
        </w:rPr>
        <w:t>%</w:t>
      </w:r>
      <w:r>
        <w:rPr>
          <w:rStyle w:val="16"/>
          <w:rFonts w:hint="eastAsia" w:ascii="仿宋" w:hAnsi="仿宋" w:eastAsia="仿宋"/>
          <w:b w:val="0"/>
          <w:bCs/>
          <w:sz w:val="32"/>
          <w:szCs w:val="32"/>
        </w:rPr>
        <w:t>。</w:t>
      </w:r>
      <w:r>
        <w:rPr>
          <w:rFonts w:hint="eastAsia" w:ascii="仿宋_GB2312" w:eastAsia="仿宋_GB2312"/>
          <w:sz w:val="32"/>
          <w:szCs w:val="32"/>
        </w:rPr>
        <w:t>公务用车购置及运行维护费支出决算比202</w:t>
      </w:r>
      <w:r>
        <w:rPr>
          <w:rFonts w:hint="eastAsia" w:ascii="仿宋_GB2312" w:eastAsia="仿宋_GB2312"/>
          <w:sz w:val="32"/>
          <w:szCs w:val="32"/>
          <w:lang w:val="en-US" w:eastAsia="zh-CN"/>
        </w:rPr>
        <w:t>3</w:t>
      </w:r>
      <w:r>
        <w:rPr>
          <w:rFonts w:hint="eastAsia" w:ascii="仿宋_GB2312" w:eastAsia="仿宋_GB2312"/>
          <w:sz w:val="32"/>
          <w:szCs w:val="32"/>
        </w:rPr>
        <w:t>年度减少</w:t>
      </w:r>
      <w:r>
        <w:rPr>
          <w:rFonts w:hint="eastAsia" w:ascii="仿宋_GB2312" w:eastAsia="仿宋_GB2312"/>
          <w:sz w:val="32"/>
          <w:szCs w:val="32"/>
          <w:lang w:val="en-US" w:eastAsia="zh-CN"/>
        </w:rPr>
        <w:t>0.09</w:t>
      </w:r>
      <w:r>
        <w:rPr>
          <w:rFonts w:hint="eastAsia" w:ascii="仿宋_GB2312" w:eastAsia="仿宋_GB2312"/>
          <w:sz w:val="32"/>
          <w:szCs w:val="32"/>
        </w:rPr>
        <w:t>万元，下降</w:t>
      </w:r>
      <w:r>
        <w:rPr>
          <w:rFonts w:hint="eastAsia" w:ascii="仿宋_GB2312" w:eastAsia="仿宋_GB2312"/>
          <w:sz w:val="32"/>
          <w:szCs w:val="32"/>
          <w:lang w:val="en-US" w:eastAsia="zh-CN"/>
        </w:rPr>
        <w:t>7.89</w:t>
      </w:r>
      <w:r>
        <w:rPr>
          <w:rFonts w:ascii="仿宋_GB2312" w:eastAsia="仿宋_GB2312"/>
          <w:sz w:val="32"/>
          <w:szCs w:val="32"/>
        </w:rPr>
        <w:t>%</w:t>
      </w:r>
      <w:r>
        <w:rPr>
          <w:rFonts w:hint="eastAsia" w:ascii="仿宋_GB2312" w:eastAsia="仿宋_GB2312"/>
          <w:sz w:val="32"/>
          <w:szCs w:val="32"/>
        </w:rPr>
        <w:t>。主要原因是</w:t>
      </w:r>
      <w:r>
        <w:rPr>
          <w:rFonts w:hint="eastAsia" w:ascii="仿宋" w:hAnsi="仿宋" w:eastAsia="仿宋"/>
          <w:sz w:val="32"/>
          <w:szCs w:val="32"/>
          <w:highlight w:val="none"/>
          <w:lang w:eastAsia="zh-CN"/>
        </w:rPr>
        <w:t>厉行节约减少了费用支出</w:t>
      </w:r>
      <w:r>
        <w:rPr>
          <w:rFonts w:hint="eastAsia" w:ascii="仿宋_GB2312" w:eastAsia="仿宋_GB2312"/>
          <w:sz w:val="32"/>
          <w:szCs w:val="32"/>
        </w:rPr>
        <w:t>。</w:t>
      </w:r>
    </w:p>
    <w:p>
      <w:pPr>
        <w:spacing w:line="600" w:lineRule="exact"/>
        <w:ind w:firstLine="640" w:firstLineChars="200"/>
        <w:rPr>
          <w:rFonts w:ascii="仿宋_GB2312" w:eastAsia="仿宋_GB2312"/>
          <w:b/>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w:t>
      </w:r>
      <w:r>
        <w:rPr>
          <w:rFonts w:ascii="仿宋" w:hAnsi="仿宋" w:eastAsia="仿宋"/>
          <w:b/>
          <w:sz w:val="32"/>
          <w:szCs w:val="32"/>
        </w:rPr>
        <w:t>0</w:t>
      </w:r>
      <w:r>
        <w:rPr>
          <w:rFonts w:hint="eastAsia" w:ascii="仿宋_GB2312" w:eastAsia="仿宋_GB2312"/>
          <w:sz w:val="32"/>
          <w:szCs w:val="32"/>
        </w:rPr>
        <w:t>万元。全年按规定更新购置公务用车</w:t>
      </w:r>
      <w:r>
        <w:rPr>
          <w:rFonts w:hint="eastAsia" w:ascii="仿宋_GB2312" w:eastAsia="仿宋_GB2312"/>
          <w:sz w:val="32"/>
          <w:szCs w:val="32"/>
          <w:lang w:val="en-US" w:eastAsia="zh-CN"/>
        </w:rPr>
        <w:t>0</w:t>
      </w:r>
      <w:r>
        <w:rPr>
          <w:rFonts w:hint="eastAsia" w:ascii="仿宋_GB2312" w:eastAsia="仿宋_GB2312"/>
          <w:sz w:val="32"/>
          <w:szCs w:val="32"/>
        </w:rPr>
        <w:t>辆。截至202</w:t>
      </w:r>
      <w:r>
        <w:rPr>
          <w:rFonts w:hint="eastAsia" w:ascii="仿宋_GB2312" w:eastAsia="仿宋_GB2312"/>
          <w:sz w:val="32"/>
          <w:szCs w:val="32"/>
          <w:lang w:val="en-US" w:eastAsia="zh-CN"/>
        </w:rPr>
        <w:t>4</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月31日，单位共有公务用车</w:t>
      </w:r>
      <w:r>
        <w:rPr>
          <w:rFonts w:hint="eastAsia" w:ascii="仿宋_GB2312" w:eastAsia="仿宋_GB2312"/>
          <w:sz w:val="32"/>
          <w:szCs w:val="32"/>
          <w:lang w:val="en-US" w:eastAsia="zh-CN"/>
        </w:rPr>
        <w:t>3</w:t>
      </w:r>
      <w:r>
        <w:rPr>
          <w:rFonts w:hint="eastAsia" w:ascii="仿宋_GB2312" w:eastAsia="仿宋_GB2312"/>
          <w:sz w:val="32"/>
          <w:szCs w:val="32"/>
        </w:rPr>
        <w:t>辆，其中：轿车</w:t>
      </w:r>
      <w:r>
        <w:rPr>
          <w:rFonts w:hint="eastAsia" w:ascii="仿宋_GB2312" w:eastAsia="仿宋_GB2312"/>
          <w:sz w:val="32"/>
          <w:szCs w:val="32"/>
          <w:lang w:val="en-US" w:eastAsia="zh-CN"/>
        </w:rPr>
        <w:t>1</w:t>
      </w:r>
      <w:r>
        <w:rPr>
          <w:rFonts w:hint="eastAsia" w:ascii="仿宋_GB2312" w:eastAsia="仿宋_GB2312"/>
          <w:sz w:val="32"/>
          <w:szCs w:val="32"/>
        </w:rPr>
        <w:t>辆、载客汽车</w:t>
      </w:r>
      <w:r>
        <w:rPr>
          <w:rFonts w:hint="eastAsia" w:ascii="仿宋_GB2312" w:eastAsia="仿宋_GB2312"/>
          <w:sz w:val="32"/>
          <w:szCs w:val="32"/>
          <w:lang w:val="en-US" w:eastAsia="zh-CN"/>
        </w:rPr>
        <w:t>1</w:t>
      </w:r>
      <w:r>
        <w:rPr>
          <w:rFonts w:hint="eastAsia" w:ascii="仿宋_GB2312" w:eastAsia="仿宋_GB2312"/>
          <w:sz w:val="32"/>
          <w:szCs w:val="32"/>
        </w:rPr>
        <w:t>辆</w:t>
      </w:r>
      <w:r>
        <w:rPr>
          <w:rFonts w:hint="eastAsia" w:ascii="仿宋_GB2312" w:eastAsia="仿宋_GB2312"/>
          <w:sz w:val="32"/>
          <w:szCs w:val="32"/>
          <w:lang w:eastAsia="zh-CN"/>
        </w:rPr>
        <w:t>、</w:t>
      </w:r>
      <w:r>
        <w:rPr>
          <w:rFonts w:hint="eastAsia" w:ascii="仿宋_GB2312" w:eastAsia="仿宋_GB2312"/>
          <w:sz w:val="32"/>
          <w:szCs w:val="32"/>
          <w:lang w:val="en-US" w:eastAsia="zh-CN"/>
        </w:rPr>
        <w:t>特种用车1辆</w:t>
      </w:r>
      <w:r>
        <w:rPr>
          <w:rFonts w:hint="eastAsia" w:ascii="仿宋_GB2312" w:eastAsia="仿宋_GB2312"/>
          <w:sz w:val="32"/>
          <w:szCs w:val="32"/>
        </w:rPr>
        <w:t>。</w:t>
      </w:r>
    </w:p>
    <w:p>
      <w:pPr>
        <w:spacing w:line="600" w:lineRule="exact"/>
        <w:ind w:firstLine="640"/>
        <w:rPr>
          <w:rFonts w:ascii="仿宋_GB2312" w:eastAsia="仿宋_GB2312"/>
          <w:sz w:val="32"/>
          <w:szCs w:val="32"/>
        </w:rPr>
      </w:pPr>
      <w:r>
        <w:rPr>
          <w:rFonts w:hint="eastAsia" w:ascii="仿宋_GB2312" w:eastAsia="仿宋_GB2312"/>
          <w:b/>
          <w:sz w:val="32"/>
          <w:szCs w:val="32"/>
        </w:rPr>
        <w:t>公务用车运行维护费支出</w:t>
      </w:r>
      <w:r>
        <w:rPr>
          <w:rFonts w:ascii="仿宋" w:hAnsi="仿宋" w:eastAsia="仿宋"/>
          <w:b/>
          <w:sz w:val="32"/>
          <w:szCs w:val="32"/>
        </w:rPr>
        <w:t>1.</w:t>
      </w:r>
      <w:r>
        <w:rPr>
          <w:rFonts w:hint="eastAsia" w:ascii="仿宋" w:hAnsi="仿宋" w:eastAsia="仿宋"/>
          <w:b/>
          <w:sz w:val="32"/>
          <w:szCs w:val="32"/>
          <w:lang w:val="en-US" w:eastAsia="zh-CN"/>
        </w:rPr>
        <w:t>05</w:t>
      </w:r>
      <w:r>
        <w:rPr>
          <w:rFonts w:hint="eastAsia" w:ascii="仿宋_GB2312" w:eastAsia="仿宋_GB2312"/>
          <w:sz w:val="32"/>
          <w:szCs w:val="32"/>
        </w:rPr>
        <w:t>万元。主要用于</w:t>
      </w:r>
      <w:r>
        <w:rPr>
          <w:rFonts w:hint="eastAsia" w:ascii="仿宋_GB2312" w:hAnsi="仿宋_GB2312" w:eastAsia="仿宋_GB2312" w:cs="仿宋_GB2312"/>
          <w:color w:val="auto"/>
          <w:sz w:val="32"/>
          <w:szCs w:val="32"/>
          <w:highlight w:val="none"/>
          <w:lang w:val="en-US" w:eastAsia="zh-CN"/>
        </w:rPr>
        <w:t>供养服务工作开展</w:t>
      </w:r>
      <w:r>
        <w:rPr>
          <w:rFonts w:hint="eastAsia" w:ascii="仿宋_GB2312" w:eastAsia="仿宋_GB2312"/>
          <w:sz w:val="32"/>
          <w:szCs w:val="32"/>
        </w:rPr>
        <w:t>等所需的公务用车燃料费、维修费、过路过桥费、保险费等支出。</w:t>
      </w:r>
    </w:p>
    <w:p>
      <w:pPr>
        <w:spacing w:line="600" w:lineRule="exact"/>
        <w:ind w:firstLine="64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ascii="仿宋" w:hAnsi="仿宋" w:eastAsia="仿宋"/>
          <w:b/>
          <w:sz w:val="32"/>
          <w:szCs w:val="32"/>
        </w:rPr>
        <w:t>0.1</w:t>
      </w:r>
      <w:r>
        <w:rPr>
          <w:rFonts w:hint="eastAsia" w:ascii="仿宋" w:hAnsi="仿宋" w:eastAsia="仿宋"/>
          <w:b/>
          <w:sz w:val="32"/>
          <w:szCs w:val="32"/>
          <w:lang w:val="en-US" w:eastAsia="zh-CN"/>
        </w:rPr>
        <w:t>9</w:t>
      </w:r>
      <w:r>
        <w:rPr>
          <w:rFonts w:hint="eastAsia" w:ascii="仿宋_GB2312" w:eastAsia="仿宋_GB2312"/>
          <w:sz w:val="32"/>
          <w:szCs w:val="32"/>
        </w:rPr>
        <w:t>万元，</w:t>
      </w:r>
      <w:r>
        <w:rPr>
          <w:rStyle w:val="16"/>
          <w:rFonts w:hint="eastAsia" w:ascii="仿宋" w:hAnsi="仿宋" w:eastAsia="仿宋"/>
          <w:b w:val="0"/>
          <w:bCs/>
          <w:sz w:val="32"/>
          <w:szCs w:val="32"/>
        </w:rPr>
        <w:t>完成预算</w:t>
      </w:r>
      <w:r>
        <w:rPr>
          <w:rStyle w:val="16"/>
          <w:rFonts w:hint="eastAsia" w:ascii="仿宋" w:hAnsi="仿宋" w:eastAsia="仿宋"/>
          <w:b w:val="0"/>
          <w:bCs/>
          <w:sz w:val="32"/>
          <w:szCs w:val="32"/>
          <w:lang w:val="en-US" w:eastAsia="zh-CN"/>
        </w:rPr>
        <w:t>23.75</w:t>
      </w:r>
      <w:r>
        <w:rPr>
          <w:rStyle w:val="16"/>
          <w:rFonts w:ascii="仿宋" w:hAnsi="仿宋" w:eastAsia="仿宋"/>
          <w:b w:val="0"/>
          <w:bCs/>
          <w:sz w:val="32"/>
          <w:szCs w:val="32"/>
        </w:rPr>
        <w:t>%</w:t>
      </w:r>
      <w:r>
        <w:rPr>
          <w:rStyle w:val="16"/>
          <w:rFonts w:hint="eastAsia" w:ascii="仿宋" w:hAnsi="仿宋" w:eastAsia="仿宋"/>
          <w:b w:val="0"/>
          <w:bCs/>
          <w:sz w:val="32"/>
          <w:szCs w:val="32"/>
        </w:rPr>
        <w:t>。</w:t>
      </w:r>
      <w:r>
        <w:rPr>
          <w:rFonts w:hint="eastAsia" w:ascii="仿宋_GB2312" w:eastAsia="仿宋_GB2312"/>
          <w:sz w:val="32"/>
          <w:szCs w:val="32"/>
        </w:rPr>
        <w:t>公务接待费支出决算比202</w:t>
      </w:r>
      <w:r>
        <w:rPr>
          <w:rFonts w:hint="eastAsia" w:ascii="仿宋_GB2312" w:eastAsia="仿宋_GB2312"/>
          <w:sz w:val="32"/>
          <w:szCs w:val="32"/>
          <w:lang w:val="en-US" w:eastAsia="zh-CN"/>
        </w:rPr>
        <w:t>3</w:t>
      </w:r>
      <w:r>
        <w:rPr>
          <w:rFonts w:hint="eastAsia" w:ascii="仿宋_GB2312" w:eastAsia="仿宋_GB2312"/>
          <w:sz w:val="32"/>
          <w:szCs w:val="32"/>
        </w:rPr>
        <w:t>年度增加</w:t>
      </w:r>
      <w:r>
        <w:rPr>
          <w:rFonts w:hint="eastAsia" w:ascii="仿宋_GB2312" w:eastAsia="仿宋_GB2312"/>
          <w:sz w:val="32"/>
          <w:szCs w:val="32"/>
          <w:lang w:val="en-US" w:eastAsia="zh-CN"/>
        </w:rPr>
        <w:t>0.01</w:t>
      </w:r>
      <w:r>
        <w:rPr>
          <w:rFonts w:hint="eastAsia" w:ascii="仿宋_GB2312" w:eastAsia="仿宋_GB2312"/>
          <w:sz w:val="32"/>
          <w:szCs w:val="32"/>
        </w:rPr>
        <w:t>万元，增长</w:t>
      </w:r>
      <w:r>
        <w:rPr>
          <w:rFonts w:hint="eastAsia" w:ascii="仿宋_GB2312" w:eastAsia="仿宋_GB2312"/>
          <w:sz w:val="32"/>
          <w:szCs w:val="32"/>
          <w:lang w:val="en-US" w:eastAsia="zh-CN"/>
        </w:rPr>
        <w:t>5.56</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eastAsia="zh-CN"/>
        </w:rPr>
        <w:t>来广接待的批次减少了一批但人次未变</w:t>
      </w:r>
      <w:r>
        <w:rPr>
          <w:rFonts w:hint="eastAsia" w:ascii="仿宋_GB2312" w:eastAsia="仿宋_GB2312"/>
          <w:sz w:val="32"/>
          <w:szCs w:val="32"/>
        </w:rPr>
        <w:t>。其中：</w:t>
      </w:r>
    </w:p>
    <w:p>
      <w:pPr>
        <w:spacing w:line="600" w:lineRule="exact"/>
        <w:ind w:firstLine="640"/>
        <w:rPr>
          <w:rFonts w:ascii="仿宋_GB2312" w:eastAsia="仿宋_GB2312"/>
          <w:sz w:val="32"/>
          <w:szCs w:val="32"/>
        </w:rPr>
      </w:pPr>
      <w:r>
        <w:rPr>
          <w:rFonts w:hint="eastAsia" w:ascii="仿宋" w:hAnsi="仿宋" w:eastAsia="仿宋"/>
          <w:b/>
          <w:sz w:val="32"/>
          <w:szCs w:val="32"/>
        </w:rPr>
        <w:t>国内公务接待支出</w:t>
      </w:r>
      <w:r>
        <w:rPr>
          <w:rFonts w:ascii="仿宋" w:hAnsi="仿宋" w:eastAsia="仿宋"/>
          <w:b/>
          <w:sz w:val="32"/>
          <w:szCs w:val="32"/>
        </w:rPr>
        <w:t>0.1</w:t>
      </w:r>
      <w:r>
        <w:rPr>
          <w:rFonts w:hint="eastAsia" w:ascii="仿宋" w:hAnsi="仿宋" w:eastAsia="仿宋"/>
          <w:b/>
          <w:sz w:val="32"/>
          <w:szCs w:val="32"/>
          <w:lang w:val="en-US" w:eastAsia="zh-CN"/>
        </w:rPr>
        <w:t>9</w:t>
      </w:r>
      <w:r>
        <w:rPr>
          <w:rFonts w:hint="eastAsia" w:ascii="仿宋_GB2312" w:eastAsia="仿宋_GB2312"/>
          <w:sz w:val="32"/>
          <w:szCs w:val="32"/>
        </w:rPr>
        <w:t>万元，主要用于执行公务、开展业务活动开支的用餐费等。国内公务接待</w:t>
      </w:r>
      <w:r>
        <w:rPr>
          <w:rFonts w:hint="eastAsia" w:ascii="仿宋_GB2312" w:eastAsia="仿宋_GB2312"/>
          <w:sz w:val="32"/>
          <w:szCs w:val="32"/>
          <w:lang w:val="en-US" w:eastAsia="zh-CN"/>
        </w:rPr>
        <w:t>2</w:t>
      </w:r>
      <w:r>
        <w:rPr>
          <w:rFonts w:hint="eastAsia" w:ascii="仿宋_GB2312" w:eastAsia="仿宋_GB2312"/>
          <w:sz w:val="32"/>
          <w:szCs w:val="32"/>
        </w:rPr>
        <w:t>批次，</w:t>
      </w:r>
      <w:r>
        <w:rPr>
          <w:rFonts w:hint="eastAsia" w:ascii="仿宋_GB2312" w:eastAsia="仿宋_GB2312"/>
          <w:sz w:val="32"/>
          <w:szCs w:val="32"/>
          <w:lang w:val="en-US" w:eastAsia="zh-CN"/>
        </w:rPr>
        <w:t>12</w:t>
      </w:r>
      <w:r>
        <w:rPr>
          <w:rFonts w:hint="eastAsia" w:ascii="仿宋_GB2312" w:eastAsia="仿宋_GB2312"/>
          <w:sz w:val="32"/>
          <w:szCs w:val="32"/>
        </w:rPr>
        <w:t>人次（不包括陪同人员），共计支出</w:t>
      </w:r>
      <w:r>
        <w:rPr>
          <w:rFonts w:hint="eastAsia" w:ascii="仿宋_GB2312" w:eastAsia="仿宋_GB2312"/>
          <w:sz w:val="32"/>
          <w:szCs w:val="32"/>
          <w:lang w:val="en-US" w:eastAsia="zh-CN"/>
        </w:rPr>
        <w:t>0.19</w:t>
      </w:r>
      <w:r>
        <w:rPr>
          <w:rFonts w:hint="eastAsia" w:ascii="仿宋_GB2312" w:eastAsia="仿宋_GB2312"/>
          <w:sz w:val="32"/>
          <w:szCs w:val="32"/>
        </w:rPr>
        <w:t>万元，具体内容包括：</w:t>
      </w:r>
      <w:r>
        <w:rPr>
          <w:rFonts w:hint="eastAsia" w:ascii="仿宋_GB2312" w:eastAsia="仿宋_GB2312"/>
          <w:sz w:val="32"/>
          <w:szCs w:val="32"/>
          <w:lang w:eastAsia="zh-CN"/>
        </w:rPr>
        <w:t>来广调研交流</w:t>
      </w:r>
      <w:r>
        <w:rPr>
          <w:rFonts w:hint="eastAsia" w:ascii="仿宋_GB2312" w:eastAsia="仿宋_GB2312"/>
          <w:sz w:val="32"/>
          <w:szCs w:val="32"/>
        </w:rPr>
        <w:t>餐费</w:t>
      </w:r>
      <w:r>
        <w:rPr>
          <w:rFonts w:hint="eastAsia" w:ascii="仿宋_GB2312" w:eastAsia="仿宋_GB2312"/>
          <w:sz w:val="32"/>
          <w:szCs w:val="32"/>
          <w:lang w:eastAsia="zh-CN"/>
        </w:rPr>
        <w:t>支出</w:t>
      </w:r>
      <w:r>
        <w:rPr>
          <w:rFonts w:hint="eastAsia" w:ascii="仿宋_GB2312" w:eastAsia="仿宋_GB2312"/>
          <w:sz w:val="32"/>
          <w:szCs w:val="32"/>
        </w:rPr>
        <w:t>0.</w:t>
      </w:r>
      <w:r>
        <w:rPr>
          <w:rFonts w:hint="eastAsia" w:ascii="仿宋_GB2312" w:eastAsia="仿宋_GB2312"/>
          <w:sz w:val="32"/>
          <w:szCs w:val="32"/>
          <w:lang w:val="en-US" w:eastAsia="zh-CN"/>
        </w:rPr>
        <w:t>19</w:t>
      </w:r>
      <w:r>
        <w:rPr>
          <w:rFonts w:hint="eastAsia" w:ascii="仿宋_GB2312" w:eastAsia="仿宋_GB2312"/>
          <w:sz w:val="32"/>
          <w:szCs w:val="32"/>
        </w:rPr>
        <w:t>万元。</w:t>
      </w:r>
    </w:p>
    <w:p>
      <w:pPr>
        <w:spacing w:line="600" w:lineRule="exact"/>
        <w:ind w:firstLine="642" w:firstLineChars="200"/>
        <w:rPr>
          <w:rFonts w:ascii="黑体" w:eastAsia="黑体"/>
          <w:sz w:val="32"/>
          <w:szCs w:val="32"/>
        </w:rPr>
      </w:pPr>
      <w:r>
        <w:rPr>
          <w:rFonts w:hint="eastAsia" w:ascii="仿宋" w:hAnsi="仿宋" w:eastAsia="仿宋"/>
          <w:b/>
          <w:sz w:val="32"/>
          <w:szCs w:val="32"/>
        </w:rPr>
        <w:t>外事接待支出</w:t>
      </w:r>
      <w:r>
        <w:rPr>
          <w:rFonts w:ascii="仿宋" w:hAnsi="仿宋" w:eastAsia="仿宋"/>
          <w:b/>
          <w:sz w:val="32"/>
          <w:szCs w:val="32"/>
        </w:rPr>
        <w:t>0</w:t>
      </w:r>
      <w:r>
        <w:rPr>
          <w:rFonts w:hint="eastAsia" w:ascii="仿宋_GB2312" w:eastAsia="仿宋_GB2312"/>
          <w:sz w:val="32"/>
          <w:szCs w:val="32"/>
        </w:rPr>
        <w:t>万元。</w:t>
      </w:r>
    </w:p>
    <w:p>
      <w:pPr>
        <w:spacing w:line="600" w:lineRule="exact"/>
        <w:ind w:firstLine="640"/>
        <w:outlineLvl w:val="1"/>
        <w:rPr>
          <w:rStyle w:val="29"/>
          <w:rFonts w:ascii="黑体" w:hAnsi="黑体" w:eastAsia="黑体"/>
        </w:rPr>
      </w:pPr>
      <w:bookmarkStart w:id="59" w:name="_Toc548"/>
      <w:r>
        <w:rPr>
          <w:rFonts w:hint="eastAsia" w:ascii="黑体" w:eastAsia="黑体"/>
          <w:sz w:val="32"/>
          <w:szCs w:val="32"/>
        </w:rPr>
        <w:t>八、</w:t>
      </w:r>
      <w:r>
        <w:rPr>
          <w:rStyle w:val="29"/>
          <w:rFonts w:hint="eastAsia" w:ascii="黑体" w:hAnsi="黑体" w:eastAsia="黑体"/>
          <w:b w:val="0"/>
        </w:rPr>
        <w:t>政府性基金预算支出决算情况说明</w:t>
      </w:r>
      <w:bookmarkEnd w:id="57"/>
      <w:bookmarkEnd w:id="58"/>
      <w:bookmarkEnd w:id="59"/>
    </w:p>
    <w:p>
      <w:pPr>
        <w:spacing w:line="600" w:lineRule="exact"/>
        <w:ind w:firstLine="640"/>
        <w:rPr>
          <w:rFonts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4</w:t>
      </w:r>
      <w:r>
        <w:rPr>
          <w:rFonts w:hint="eastAsia" w:ascii="仿宋_GB2312" w:eastAsia="仿宋_GB2312"/>
          <w:sz w:val="32"/>
          <w:szCs w:val="32"/>
        </w:rPr>
        <w:t>年度政府性基金预算财政拨款支出</w:t>
      </w:r>
      <w:r>
        <w:rPr>
          <w:rFonts w:hint="eastAsia" w:ascii="仿宋" w:hAnsi="仿宋" w:eastAsia="仿宋"/>
          <w:b/>
          <w:sz w:val="32"/>
          <w:szCs w:val="32"/>
          <w:lang w:val="en-US" w:eastAsia="zh-CN"/>
        </w:rPr>
        <w:t>48.69</w:t>
      </w:r>
      <w:r>
        <w:rPr>
          <w:rFonts w:hint="eastAsia" w:ascii="仿宋_GB2312" w:eastAsia="仿宋_GB2312"/>
          <w:sz w:val="32"/>
          <w:szCs w:val="32"/>
        </w:rPr>
        <w:t>万元。</w:t>
      </w:r>
    </w:p>
    <w:p>
      <w:pPr>
        <w:numPr>
          <w:ilvl w:val="0"/>
          <w:numId w:val="3"/>
        </w:numPr>
        <w:spacing w:line="600" w:lineRule="exact"/>
        <w:ind w:firstLine="640"/>
        <w:outlineLvl w:val="1"/>
        <w:rPr>
          <w:rStyle w:val="29"/>
          <w:rFonts w:ascii="黑体" w:hAnsi="黑体" w:eastAsia="黑体"/>
          <w:b w:val="0"/>
        </w:rPr>
      </w:pPr>
      <w:bookmarkStart w:id="60" w:name="_Toc15377219"/>
      <w:bookmarkStart w:id="61" w:name="_Toc5389"/>
      <w:bookmarkStart w:id="62" w:name="_Toc15396611"/>
      <w:r>
        <w:rPr>
          <w:rStyle w:val="29"/>
          <w:rFonts w:hint="eastAsia" w:ascii="黑体" w:hAnsi="黑体" w:eastAsia="黑体"/>
          <w:b w:val="0"/>
        </w:rPr>
        <w:t>国有资本经营预算支出决算情况说明</w:t>
      </w:r>
      <w:bookmarkEnd w:id="60"/>
      <w:bookmarkEnd w:id="61"/>
      <w:bookmarkEnd w:id="62"/>
    </w:p>
    <w:p>
      <w:pPr>
        <w:spacing w:line="600" w:lineRule="exact"/>
        <w:ind w:firstLine="640"/>
        <w:rPr>
          <w:rFonts w:ascii="方正小标宋简体" w:hAnsi="方正小标宋简体" w:eastAsia="方正小标宋简体" w:cs="方正小标宋简体"/>
          <w:sz w:val="44"/>
          <w:szCs w:val="44"/>
        </w:rPr>
      </w:pPr>
      <w:r>
        <w:rPr>
          <w:rFonts w:hint="eastAsia" w:ascii="仿宋_GB2312" w:eastAsia="仿宋_GB2312"/>
          <w:sz w:val="32"/>
          <w:szCs w:val="32"/>
        </w:rPr>
        <w:t>202</w:t>
      </w:r>
      <w:r>
        <w:rPr>
          <w:rFonts w:hint="eastAsia" w:ascii="仿宋_GB2312" w:eastAsia="仿宋_GB2312"/>
          <w:sz w:val="32"/>
          <w:szCs w:val="32"/>
          <w:lang w:val="en-US" w:eastAsia="zh-CN"/>
        </w:rPr>
        <w:t>4</w:t>
      </w:r>
      <w:r>
        <w:rPr>
          <w:rFonts w:hint="eastAsia" w:ascii="仿宋_GB2312" w:eastAsia="仿宋_GB2312"/>
          <w:sz w:val="32"/>
          <w:szCs w:val="32"/>
        </w:rPr>
        <w:t>年度国有资本经营预算财政拨款支出</w:t>
      </w:r>
      <w:r>
        <w:rPr>
          <w:rFonts w:ascii="仿宋" w:hAnsi="仿宋" w:eastAsia="仿宋"/>
          <w:b/>
          <w:sz w:val="32"/>
          <w:szCs w:val="32"/>
        </w:rPr>
        <w:t>0</w:t>
      </w:r>
      <w:r>
        <w:rPr>
          <w:rFonts w:hint="eastAsia" w:ascii="仿宋_GB2312" w:eastAsia="仿宋_GB2312"/>
          <w:sz w:val="32"/>
          <w:szCs w:val="32"/>
        </w:rPr>
        <w:t>万元。</w:t>
      </w:r>
    </w:p>
    <w:p>
      <w:pPr>
        <w:numPr>
          <w:ilvl w:val="0"/>
          <w:numId w:val="3"/>
        </w:numPr>
        <w:spacing w:line="600" w:lineRule="exact"/>
        <w:ind w:firstLine="640"/>
        <w:outlineLvl w:val="1"/>
        <w:rPr>
          <w:rStyle w:val="29"/>
          <w:rFonts w:ascii="黑体" w:hAnsi="黑体" w:eastAsia="黑体"/>
          <w:b w:val="0"/>
        </w:rPr>
      </w:pPr>
      <w:bookmarkStart w:id="63" w:name="_Toc15239"/>
      <w:bookmarkStart w:id="64" w:name="_Toc15396612"/>
      <w:bookmarkStart w:id="65" w:name="_Toc15377221"/>
      <w:r>
        <w:rPr>
          <w:rStyle w:val="29"/>
          <w:rFonts w:hint="eastAsia" w:ascii="黑体" w:hAnsi="黑体" w:eastAsia="黑体"/>
          <w:b w:val="0"/>
        </w:rPr>
        <w:t>其他重要事项的情况说明</w:t>
      </w:r>
      <w:bookmarkEnd w:id="63"/>
      <w:bookmarkEnd w:id="64"/>
      <w:bookmarkEnd w:id="65"/>
    </w:p>
    <w:p>
      <w:pPr>
        <w:spacing w:line="600" w:lineRule="exact"/>
        <w:ind w:firstLine="642" w:firstLineChars="200"/>
        <w:outlineLvl w:val="2"/>
        <w:rPr>
          <w:rFonts w:ascii="仿宋" w:hAnsi="仿宋" w:eastAsia="仿宋"/>
          <w:sz w:val="32"/>
          <w:szCs w:val="32"/>
        </w:rPr>
      </w:pPr>
      <w:bookmarkStart w:id="66" w:name="_Toc15377222"/>
      <w:r>
        <w:rPr>
          <w:rFonts w:hint="eastAsia" w:ascii="仿宋" w:hAnsi="仿宋" w:eastAsia="仿宋"/>
          <w:b/>
          <w:sz w:val="32"/>
          <w:szCs w:val="32"/>
        </w:rPr>
        <w:t>（一）机关运行经费支出情况</w:t>
      </w:r>
      <w:bookmarkEnd w:id="66"/>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4</w:t>
      </w:r>
      <w:r>
        <w:rPr>
          <w:rFonts w:hint="eastAsia" w:ascii="仿宋_GB2312" w:eastAsia="仿宋_GB2312"/>
          <w:sz w:val="32"/>
          <w:szCs w:val="32"/>
        </w:rPr>
        <w:t>年度，</w:t>
      </w:r>
      <w:r>
        <w:rPr>
          <w:rFonts w:ascii="仿宋_GB2312" w:eastAsia="仿宋_GB2312"/>
          <w:b/>
          <w:sz w:val="32"/>
          <w:szCs w:val="32"/>
        </w:rPr>
        <w:t>广元市光荣院</w:t>
      </w:r>
      <w:r>
        <w:rPr>
          <w:rFonts w:hint="eastAsia" w:ascii="仿宋_GB2312" w:eastAsia="仿宋_GB2312"/>
          <w:sz w:val="32"/>
          <w:szCs w:val="32"/>
        </w:rPr>
        <w:t>机关运行经费支出</w:t>
      </w:r>
      <w:r>
        <w:rPr>
          <w:rFonts w:ascii="仿宋" w:hAnsi="仿宋" w:eastAsia="仿宋"/>
          <w:b/>
          <w:sz w:val="32"/>
          <w:szCs w:val="32"/>
        </w:rPr>
        <w:t>0</w:t>
      </w:r>
      <w:r>
        <w:rPr>
          <w:rFonts w:hint="eastAsia" w:ascii="仿宋_GB2312" w:eastAsia="仿宋_GB2312"/>
          <w:sz w:val="32"/>
          <w:szCs w:val="32"/>
        </w:rPr>
        <w:t>万元，</w:t>
      </w:r>
      <w:r>
        <w:rPr>
          <w:rFonts w:hint="eastAsia" w:ascii="仿宋_GB2312" w:hAnsi="仿宋_GB2312" w:eastAsia="仿宋_GB2312" w:cs="仿宋_GB2312"/>
          <w:color w:val="auto"/>
          <w:sz w:val="32"/>
          <w:szCs w:val="32"/>
          <w:highlight w:val="none"/>
          <w:lang w:val="en-US" w:eastAsia="zh-CN"/>
        </w:rPr>
        <w:t>本单位属事业单位，未发生机关运行经费支出。</w:t>
      </w:r>
    </w:p>
    <w:p>
      <w:pPr>
        <w:autoSpaceDE w:val="0"/>
        <w:autoSpaceDN w:val="0"/>
        <w:adjustRightInd w:val="0"/>
        <w:spacing w:line="600" w:lineRule="exact"/>
        <w:ind w:firstLine="642" w:firstLineChars="200"/>
        <w:jc w:val="left"/>
        <w:outlineLvl w:val="2"/>
        <w:rPr>
          <w:rFonts w:ascii="仿宋" w:hAnsi="仿宋" w:eastAsia="仿宋"/>
          <w:b/>
          <w:sz w:val="32"/>
          <w:szCs w:val="32"/>
        </w:rPr>
      </w:pPr>
      <w:bookmarkStart w:id="67" w:name="_Toc15377223"/>
      <w:r>
        <w:rPr>
          <w:rFonts w:hint="eastAsia" w:ascii="仿宋" w:hAnsi="仿宋" w:eastAsia="仿宋"/>
          <w:b/>
          <w:sz w:val="32"/>
          <w:szCs w:val="32"/>
        </w:rPr>
        <w:t>（二）政府采购支出情况</w:t>
      </w:r>
      <w:bookmarkEnd w:id="67"/>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4</w:t>
      </w:r>
      <w:r>
        <w:rPr>
          <w:rFonts w:hint="eastAsia" w:ascii="仿宋_GB2312" w:eastAsia="仿宋_GB2312"/>
          <w:sz w:val="32"/>
          <w:szCs w:val="32"/>
        </w:rPr>
        <w:t>年度，</w:t>
      </w:r>
      <w:r>
        <w:rPr>
          <w:rFonts w:ascii="仿宋_GB2312" w:eastAsia="仿宋_GB2312"/>
          <w:b/>
          <w:sz w:val="32"/>
          <w:szCs w:val="32"/>
        </w:rPr>
        <w:t>广元市光荣院</w:t>
      </w:r>
      <w:r>
        <w:rPr>
          <w:rFonts w:hint="eastAsia" w:ascii="仿宋_GB2312" w:eastAsia="仿宋_GB2312"/>
          <w:sz w:val="32"/>
          <w:szCs w:val="32"/>
        </w:rPr>
        <w:t>政府采购支出总额</w:t>
      </w:r>
      <w:r>
        <w:rPr>
          <w:rFonts w:hint="eastAsia" w:ascii="仿宋" w:hAnsi="仿宋" w:eastAsia="仿宋"/>
          <w:b/>
          <w:sz w:val="32"/>
          <w:szCs w:val="32"/>
          <w:lang w:val="en-US" w:eastAsia="zh-CN"/>
        </w:rPr>
        <w:t>273.96</w:t>
      </w:r>
      <w:r>
        <w:rPr>
          <w:rFonts w:hint="eastAsia" w:ascii="仿宋_GB2312" w:eastAsia="仿宋_GB2312"/>
          <w:sz w:val="32"/>
          <w:szCs w:val="32"/>
        </w:rPr>
        <w:t>万元，其中：政府采购货物支出</w:t>
      </w:r>
      <w:r>
        <w:rPr>
          <w:rFonts w:hint="eastAsia" w:ascii="仿宋" w:hAnsi="仿宋" w:eastAsia="仿宋"/>
          <w:b/>
          <w:sz w:val="32"/>
          <w:szCs w:val="32"/>
          <w:lang w:val="en-US" w:eastAsia="zh-CN"/>
        </w:rPr>
        <w:t>115.68</w:t>
      </w:r>
      <w:r>
        <w:rPr>
          <w:rFonts w:hint="eastAsia" w:ascii="仿宋_GB2312" w:eastAsia="仿宋_GB2312"/>
          <w:sz w:val="32"/>
          <w:szCs w:val="32"/>
        </w:rPr>
        <w:t>万元、政府采购工程支出</w:t>
      </w:r>
      <w:r>
        <w:rPr>
          <w:rFonts w:hint="eastAsia" w:ascii="仿宋" w:hAnsi="仿宋" w:eastAsia="仿宋"/>
          <w:b/>
          <w:sz w:val="32"/>
          <w:szCs w:val="32"/>
          <w:lang w:val="en-US" w:eastAsia="zh-CN"/>
        </w:rPr>
        <w:t>158.28</w:t>
      </w:r>
      <w:r>
        <w:rPr>
          <w:rFonts w:hint="eastAsia" w:ascii="仿宋_GB2312" w:eastAsia="仿宋_GB2312"/>
          <w:sz w:val="32"/>
          <w:szCs w:val="32"/>
        </w:rPr>
        <w:t>万元。</w:t>
      </w:r>
      <w:r>
        <w:rPr>
          <w:rFonts w:hint="eastAsia" w:ascii="仿宋_GB2312" w:eastAsia="仿宋_GB2312"/>
          <w:sz w:val="32"/>
          <w:szCs w:val="32"/>
          <w:highlight w:val="none"/>
        </w:rPr>
        <w:t>主要用于光荣院提质改造，家具采购，空调、LED显示器</w:t>
      </w:r>
      <w:r>
        <w:rPr>
          <w:rFonts w:hint="eastAsia" w:ascii="仿宋_GB2312" w:eastAsia="仿宋_GB2312"/>
          <w:sz w:val="32"/>
          <w:szCs w:val="32"/>
          <w:highlight w:val="none"/>
          <w:lang w:val="en-US" w:eastAsia="zh-CN"/>
        </w:rPr>
        <w:t>等</w:t>
      </w:r>
      <w:r>
        <w:rPr>
          <w:rFonts w:hint="eastAsia" w:ascii="仿宋_GB2312" w:eastAsia="仿宋_GB2312"/>
          <w:sz w:val="32"/>
          <w:szCs w:val="32"/>
          <w:highlight w:val="none"/>
        </w:rPr>
        <w:t>。</w:t>
      </w:r>
      <w:r>
        <w:rPr>
          <w:rFonts w:hint="eastAsia" w:ascii="仿宋_GB2312" w:eastAsia="仿宋_GB2312"/>
          <w:sz w:val="32"/>
          <w:szCs w:val="32"/>
        </w:rPr>
        <w:t>授予中小企业合同金额</w:t>
      </w:r>
      <w:r>
        <w:rPr>
          <w:rFonts w:hint="eastAsia" w:ascii="仿宋" w:hAnsi="仿宋" w:eastAsia="仿宋"/>
          <w:b/>
          <w:sz w:val="32"/>
          <w:szCs w:val="32"/>
          <w:lang w:val="en-US" w:eastAsia="zh-CN"/>
        </w:rPr>
        <w:t>273.96</w:t>
      </w:r>
      <w:r>
        <w:rPr>
          <w:rFonts w:hint="eastAsia" w:ascii="仿宋_GB2312" w:eastAsia="仿宋_GB2312"/>
          <w:sz w:val="32"/>
          <w:szCs w:val="32"/>
        </w:rPr>
        <w:t>万元，占政府采购支出总额的</w:t>
      </w:r>
      <w:r>
        <w:rPr>
          <w:rFonts w:ascii="仿宋_GB2312" w:eastAsia="仿宋_GB2312"/>
          <w:sz w:val="32"/>
          <w:szCs w:val="32"/>
        </w:rPr>
        <w:t>1</w:t>
      </w:r>
      <w:r>
        <w:rPr>
          <w:rFonts w:hint="eastAsia" w:ascii="仿宋_GB2312" w:eastAsia="仿宋_GB2312"/>
          <w:sz w:val="32"/>
          <w:szCs w:val="32"/>
          <w:lang w:val="en-US" w:eastAsia="zh-CN"/>
        </w:rPr>
        <w:t>00</w:t>
      </w:r>
      <w:r>
        <w:rPr>
          <w:rFonts w:ascii="仿宋_GB2312" w:eastAsia="仿宋_GB2312"/>
          <w:sz w:val="32"/>
          <w:szCs w:val="32"/>
        </w:rPr>
        <w:t>%</w:t>
      </w:r>
      <w:r>
        <w:rPr>
          <w:rFonts w:hint="eastAsia" w:ascii="仿宋_GB2312" w:eastAsia="仿宋_GB2312"/>
          <w:sz w:val="32"/>
          <w:szCs w:val="32"/>
        </w:rPr>
        <w:t>，其中：授予小微企业合同金额</w:t>
      </w:r>
      <w:r>
        <w:rPr>
          <w:rFonts w:hint="eastAsia" w:ascii="仿宋" w:hAnsi="仿宋" w:eastAsia="仿宋"/>
          <w:b/>
          <w:sz w:val="32"/>
          <w:szCs w:val="32"/>
          <w:lang w:val="en-US" w:eastAsia="zh-CN"/>
        </w:rPr>
        <w:t>266.28</w:t>
      </w:r>
      <w:r>
        <w:rPr>
          <w:rFonts w:hint="eastAsia" w:ascii="仿宋_GB2312" w:eastAsia="仿宋_GB2312"/>
          <w:sz w:val="32"/>
          <w:szCs w:val="32"/>
        </w:rPr>
        <w:t>万元，占政府采购支出总额的</w:t>
      </w:r>
      <w:r>
        <w:rPr>
          <w:rFonts w:hint="eastAsia" w:ascii="仿宋_GB2312" w:eastAsia="仿宋_GB2312"/>
          <w:b/>
          <w:sz w:val="32"/>
          <w:szCs w:val="32"/>
          <w:lang w:val="en-US" w:eastAsia="zh-CN"/>
        </w:rPr>
        <w:t>97.2</w:t>
      </w:r>
      <w:r>
        <w:rPr>
          <w:rFonts w:ascii="仿宋_GB2312" w:eastAsia="仿宋_GB2312"/>
          <w:sz w:val="32"/>
          <w:szCs w:val="32"/>
        </w:rPr>
        <w:t>%</w:t>
      </w:r>
      <w:r>
        <w:rPr>
          <w:rFonts w:hint="eastAsia" w:ascii="仿宋_GB2312" w:eastAsia="仿宋_GB2312"/>
          <w:sz w:val="32"/>
          <w:szCs w:val="32"/>
        </w:rPr>
        <w:t>。</w:t>
      </w:r>
    </w:p>
    <w:p>
      <w:pPr>
        <w:autoSpaceDE w:val="0"/>
        <w:autoSpaceDN w:val="0"/>
        <w:adjustRightInd w:val="0"/>
        <w:spacing w:line="600" w:lineRule="exact"/>
        <w:ind w:firstLine="642" w:firstLineChars="200"/>
        <w:jc w:val="left"/>
        <w:outlineLvl w:val="2"/>
        <w:rPr>
          <w:rFonts w:ascii="仿宋" w:hAnsi="仿宋" w:eastAsia="仿宋"/>
          <w:b/>
          <w:sz w:val="32"/>
          <w:szCs w:val="32"/>
        </w:rPr>
      </w:pPr>
      <w:bookmarkStart w:id="68" w:name="_Toc15377224"/>
      <w:r>
        <w:rPr>
          <w:rFonts w:hint="eastAsia" w:ascii="仿宋" w:hAnsi="仿宋" w:eastAsia="仿宋"/>
          <w:b/>
          <w:sz w:val="32"/>
          <w:szCs w:val="32"/>
        </w:rPr>
        <w:t>（三）国有资产占有使用情况</w:t>
      </w:r>
      <w:bookmarkEnd w:id="68"/>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截至202</w:t>
      </w:r>
      <w:r>
        <w:rPr>
          <w:rFonts w:hint="eastAsia" w:ascii="仿宋_GB2312" w:eastAsia="仿宋_GB2312"/>
          <w:sz w:val="32"/>
          <w:szCs w:val="32"/>
          <w:lang w:val="en-US" w:eastAsia="zh-CN"/>
        </w:rPr>
        <w:t>4</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ascii="仿宋_GB2312" w:eastAsia="仿宋_GB2312"/>
          <w:b/>
          <w:sz w:val="32"/>
          <w:szCs w:val="32"/>
        </w:rPr>
        <w:t>广元市光荣院</w:t>
      </w:r>
      <w:r>
        <w:rPr>
          <w:rFonts w:hint="eastAsia" w:ascii="仿宋_GB2312" w:eastAsia="仿宋_GB2312"/>
          <w:sz w:val="32"/>
          <w:szCs w:val="32"/>
        </w:rPr>
        <w:t>共有车辆</w:t>
      </w:r>
      <w:r>
        <w:rPr>
          <w:rFonts w:hint="eastAsia" w:ascii="仿宋_GB2312" w:eastAsia="仿宋_GB2312"/>
          <w:b/>
          <w:sz w:val="32"/>
          <w:szCs w:val="32"/>
          <w:lang w:val="en-US" w:eastAsia="zh-CN"/>
        </w:rPr>
        <w:t>3</w:t>
      </w:r>
      <w:r>
        <w:rPr>
          <w:rFonts w:hint="eastAsia" w:ascii="仿宋_GB2312" w:eastAsia="仿宋_GB2312"/>
          <w:sz w:val="32"/>
          <w:szCs w:val="32"/>
        </w:rPr>
        <w:t>辆，其中：</w:t>
      </w:r>
      <w:bookmarkStart w:id="104" w:name="_GoBack"/>
      <w:bookmarkEnd w:id="104"/>
      <w:r>
        <w:rPr>
          <w:rFonts w:hint="eastAsia" w:ascii="仿宋_GB2312" w:eastAsia="仿宋_GB2312"/>
          <w:sz w:val="32"/>
          <w:szCs w:val="32"/>
        </w:rPr>
        <w:t>其他用车</w:t>
      </w:r>
      <w:r>
        <w:rPr>
          <w:rFonts w:hint="eastAsia" w:ascii="仿宋_GB2312" w:eastAsia="仿宋_GB2312"/>
          <w:sz w:val="32"/>
          <w:szCs w:val="32"/>
          <w:lang w:val="en-US" w:eastAsia="zh-CN"/>
        </w:rPr>
        <w:t>3</w:t>
      </w:r>
      <w:r>
        <w:rPr>
          <w:rFonts w:hint="eastAsia" w:ascii="仿宋_GB2312" w:eastAsia="仿宋_GB2312"/>
          <w:sz w:val="32"/>
          <w:szCs w:val="32"/>
        </w:rPr>
        <w:t>辆，</w:t>
      </w:r>
      <w:r>
        <w:rPr>
          <w:rFonts w:hint="eastAsia" w:ascii="仿宋_GB2312" w:hAnsi="仿宋_GB2312" w:eastAsia="仿宋_GB2312" w:cs="仿宋_GB2312"/>
          <w:color w:val="auto"/>
          <w:sz w:val="32"/>
          <w:szCs w:val="32"/>
          <w:highlight w:val="none"/>
          <w:lang w:val="en-US" w:eastAsia="zh-CN"/>
        </w:rPr>
        <w:t>其他用车主要用于优抚医院开展医疗巡诊工作。</w:t>
      </w:r>
      <w:r>
        <w:rPr>
          <w:rFonts w:hint="eastAsia" w:ascii="仿宋_GB2312" w:eastAsia="仿宋_GB2312"/>
          <w:sz w:val="32"/>
          <w:szCs w:val="32"/>
        </w:rPr>
        <w:t>单价</w:t>
      </w:r>
      <w:r>
        <w:rPr>
          <w:rFonts w:ascii="仿宋_GB2312" w:eastAsia="仿宋_GB2312"/>
          <w:sz w:val="32"/>
          <w:szCs w:val="32"/>
        </w:rPr>
        <w:t>100</w:t>
      </w:r>
      <w:r>
        <w:rPr>
          <w:rFonts w:hint="eastAsia" w:ascii="仿宋_GB2312" w:eastAsia="仿宋_GB2312"/>
          <w:sz w:val="32"/>
          <w:szCs w:val="32"/>
        </w:rPr>
        <w:t>万元以上设备（不含车辆）</w:t>
      </w:r>
      <w:r>
        <w:rPr>
          <w:rFonts w:ascii="仿宋_GB2312" w:eastAsia="仿宋_GB2312"/>
          <w:b/>
          <w:sz w:val="32"/>
          <w:szCs w:val="32"/>
        </w:rPr>
        <w:t>0</w:t>
      </w:r>
      <w:r>
        <w:rPr>
          <w:rFonts w:hint="eastAsia" w:ascii="仿宋_GB2312" w:eastAsia="仿宋_GB2312"/>
          <w:sz w:val="32"/>
          <w:szCs w:val="32"/>
        </w:rPr>
        <w:t>台（套）。</w:t>
      </w:r>
    </w:p>
    <w:p>
      <w:pPr>
        <w:autoSpaceDE w:val="0"/>
        <w:autoSpaceDN w:val="0"/>
        <w:adjustRightInd w:val="0"/>
        <w:spacing w:line="600" w:lineRule="exact"/>
        <w:ind w:firstLine="642" w:firstLineChars="200"/>
        <w:jc w:val="left"/>
        <w:outlineLvl w:val="2"/>
        <w:rPr>
          <w:rFonts w:ascii="仿宋" w:hAnsi="仿宋" w:eastAsia="仿宋"/>
          <w:b/>
          <w:sz w:val="32"/>
          <w:szCs w:val="32"/>
          <w:highlight w:val="none"/>
        </w:rPr>
      </w:pPr>
      <w:r>
        <w:rPr>
          <w:rFonts w:hint="eastAsia" w:ascii="仿宋" w:hAnsi="仿宋" w:eastAsia="仿宋"/>
          <w:b/>
          <w:sz w:val="32"/>
          <w:szCs w:val="32"/>
          <w:highlight w:val="none"/>
        </w:rPr>
        <w:t>（四）预算绩效管理情况</w:t>
      </w:r>
    </w:p>
    <w:p>
      <w:pPr>
        <w:spacing w:line="600" w:lineRule="exact"/>
        <w:ind w:firstLine="640" w:firstLineChars="200"/>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eastAsia="zh-CN"/>
        </w:rPr>
        <w:t>根据预算绩效管理要求，本单位在</w:t>
      </w:r>
      <w:r>
        <w:rPr>
          <w:rFonts w:hint="eastAsia" w:ascii="仿宋_GB2312" w:hAnsi="Times New Roman" w:eastAsia="仿宋_GB2312" w:cs="Times New Roman"/>
          <w:color w:val="auto"/>
          <w:sz w:val="32"/>
          <w:szCs w:val="32"/>
          <w:highlight w:val="none"/>
          <w:lang w:val="en-US" w:eastAsia="zh-CN"/>
        </w:rPr>
        <w:t>202</w:t>
      </w:r>
      <w:r>
        <w:rPr>
          <w:rFonts w:hint="default" w:ascii="仿宋_GB2312" w:hAnsi="Times New Roman" w:eastAsia="仿宋_GB2312" w:cs="Times New Roman"/>
          <w:color w:val="auto"/>
          <w:sz w:val="32"/>
          <w:szCs w:val="32"/>
          <w:highlight w:val="none"/>
          <w:lang w:val="en" w:eastAsia="zh-CN"/>
        </w:rPr>
        <w:t>4</w:t>
      </w:r>
      <w:r>
        <w:rPr>
          <w:rFonts w:hint="eastAsia" w:ascii="仿宋_GB2312" w:hAnsi="Times New Roman" w:eastAsia="仿宋_GB2312" w:cs="Times New Roman"/>
          <w:color w:val="auto"/>
          <w:sz w:val="32"/>
          <w:szCs w:val="32"/>
          <w:highlight w:val="none"/>
          <w:lang w:val="en-US" w:eastAsia="zh-CN"/>
        </w:rPr>
        <w:t>年度</w:t>
      </w:r>
      <w:r>
        <w:rPr>
          <w:rFonts w:hint="eastAsia" w:ascii="仿宋_GB2312" w:hAnsi="Times New Roman" w:eastAsia="仿宋_GB2312" w:cs="Times New Roman"/>
          <w:color w:val="auto"/>
          <w:sz w:val="32"/>
          <w:szCs w:val="32"/>
          <w:highlight w:val="none"/>
          <w:lang w:eastAsia="zh-CN"/>
        </w:rPr>
        <w:t>预算编制阶段，组织对</w:t>
      </w:r>
      <w:r>
        <w:rPr>
          <w:rFonts w:hint="eastAsia" w:ascii="仿宋_GB2312" w:hAnsi="Times New Roman" w:eastAsia="仿宋_GB2312" w:cs="Times New Roman"/>
          <w:color w:val="auto"/>
          <w:sz w:val="32"/>
          <w:szCs w:val="32"/>
          <w:highlight w:val="none"/>
          <w:lang w:val="en-US" w:eastAsia="zh-CN"/>
        </w:rPr>
        <w:t>0</w:t>
      </w:r>
      <w:r>
        <w:rPr>
          <w:rFonts w:hint="eastAsia" w:ascii="仿宋_GB2312" w:hAnsi="Times New Roman" w:eastAsia="仿宋_GB2312" w:cs="Times New Roman"/>
          <w:color w:val="auto"/>
          <w:sz w:val="32"/>
          <w:szCs w:val="32"/>
          <w:highlight w:val="none"/>
          <w:lang w:eastAsia="zh-CN"/>
        </w:rPr>
        <w:t>项目开展了预算事前绩效评估，对</w:t>
      </w:r>
      <w:r>
        <w:rPr>
          <w:rFonts w:hint="eastAsia" w:ascii="仿宋_GB2312" w:hAnsi="Times New Roman" w:eastAsia="仿宋_GB2312" w:cs="Times New Roman"/>
          <w:color w:val="auto"/>
          <w:sz w:val="32"/>
          <w:szCs w:val="32"/>
          <w:highlight w:val="none"/>
          <w:lang w:val="en-US" w:eastAsia="zh-CN"/>
        </w:rPr>
        <w:t>13</w:t>
      </w:r>
      <w:r>
        <w:rPr>
          <w:rFonts w:hint="eastAsia" w:ascii="仿宋_GB2312" w:hAnsi="Times New Roman" w:eastAsia="仿宋_GB2312" w:cs="Times New Roman"/>
          <w:color w:val="auto"/>
          <w:sz w:val="32"/>
          <w:szCs w:val="32"/>
          <w:highlight w:val="none"/>
          <w:lang w:eastAsia="zh-CN"/>
        </w:rPr>
        <w:t>个项目编制了绩效目标，预算执行过程中，选取</w:t>
      </w:r>
      <w:r>
        <w:rPr>
          <w:rFonts w:hint="eastAsia" w:ascii="仿宋_GB2312" w:hAnsi="Times New Roman" w:eastAsia="仿宋_GB2312" w:cs="Times New Roman"/>
          <w:color w:val="auto"/>
          <w:sz w:val="32"/>
          <w:szCs w:val="32"/>
          <w:highlight w:val="none"/>
          <w:lang w:val="en-US" w:eastAsia="zh-CN"/>
        </w:rPr>
        <w:t>13</w:t>
      </w:r>
      <w:r>
        <w:rPr>
          <w:rFonts w:hint="eastAsia" w:ascii="仿宋_GB2312" w:hAnsi="Times New Roman" w:eastAsia="仿宋_GB2312" w:cs="Times New Roman"/>
          <w:color w:val="auto"/>
          <w:sz w:val="32"/>
          <w:szCs w:val="32"/>
          <w:highlight w:val="none"/>
          <w:lang w:eastAsia="zh-CN"/>
        </w:rPr>
        <w:t>个项目开展绩效监控，组织对</w:t>
      </w:r>
      <w:r>
        <w:rPr>
          <w:rFonts w:hint="eastAsia" w:ascii="仿宋_GB2312" w:hAnsi="Times New Roman" w:eastAsia="仿宋_GB2312" w:cs="Times New Roman"/>
          <w:color w:val="auto"/>
          <w:sz w:val="32"/>
          <w:szCs w:val="32"/>
          <w:highlight w:val="none"/>
          <w:lang w:val="en-US" w:eastAsia="zh-CN"/>
        </w:rPr>
        <w:t>21个项目开展绩效自评，绩效自评表详见第四部分附件。</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br w:type="page"/>
      </w:r>
    </w:p>
    <w:p>
      <w:pPr>
        <w:numPr>
          <w:ilvl w:val="0"/>
          <w:numId w:val="4"/>
        </w:numPr>
        <w:spacing w:line="600" w:lineRule="exact"/>
        <w:ind w:firstLine="660" w:firstLineChars="150"/>
        <w:jc w:val="center"/>
        <w:outlineLvl w:val="0"/>
        <w:rPr>
          <w:rStyle w:val="28"/>
          <w:rFonts w:ascii="黑体" w:hAnsi="黑体" w:eastAsia="黑体"/>
          <w:b w:val="0"/>
        </w:rPr>
      </w:pPr>
      <w:bookmarkStart w:id="69" w:name="_Toc15396613"/>
      <w:bookmarkStart w:id="70" w:name="_Toc15377225"/>
      <w:bookmarkStart w:id="71" w:name="_Toc7276"/>
      <w:r>
        <w:rPr>
          <w:rFonts w:hint="eastAsia" w:ascii="黑体" w:hAnsi="黑体" w:eastAsia="黑体"/>
          <w:sz w:val="44"/>
          <w:szCs w:val="44"/>
        </w:rPr>
        <w:t>名</w:t>
      </w:r>
      <w:r>
        <w:rPr>
          <w:rStyle w:val="28"/>
          <w:rFonts w:hint="eastAsia" w:ascii="黑体" w:hAnsi="黑体" w:eastAsia="黑体"/>
          <w:b w:val="0"/>
        </w:rPr>
        <w:t>词解释</w:t>
      </w:r>
      <w:bookmarkEnd w:id="69"/>
      <w:bookmarkEnd w:id="70"/>
      <w:bookmarkEnd w:id="71"/>
    </w:p>
    <w:p>
      <w:pPr>
        <w:spacing w:line="600" w:lineRule="exact"/>
        <w:jc w:val="left"/>
        <w:rPr>
          <w:rFonts w:ascii="宋体"/>
          <w:b/>
          <w:sz w:val="44"/>
          <w:szCs w:val="44"/>
        </w:rPr>
      </w:pPr>
    </w:p>
    <w:p>
      <w:pPr>
        <w:pStyle w:val="26"/>
        <w:numPr>
          <w:ilvl w:val="0"/>
          <w:numId w:val="5"/>
        </w:numPr>
        <w:spacing w:line="560" w:lineRule="exact"/>
        <w:ind w:left="0" w:leftChars="0" w:firstLine="640" w:firstLineChars="200"/>
        <w:rPr>
          <w:rFonts w:ascii="仿宋_GB2312" w:eastAsia="仿宋_GB2312"/>
          <w:color w:val="auto"/>
          <w:sz w:val="32"/>
          <w:szCs w:val="32"/>
        </w:rPr>
      </w:pPr>
      <w:r>
        <w:rPr>
          <w:rFonts w:hint="eastAsia" w:ascii="仿宋_GB2312" w:eastAsia="仿宋_GB2312"/>
          <w:color w:val="auto"/>
          <w:sz w:val="32"/>
          <w:szCs w:val="32"/>
        </w:rPr>
        <w:t>财政拨款收入：指单位从同级财政部门取得的财政预算资金。</w:t>
      </w:r>
      <w:r>
        <w:rPr>
          <w:rFonts w:ascii="仿宋_GB2312" w:eastAsia="仿宋_GB2312"/>
          <w:color w:val="auto"/>
          <w:sz w:val="32"/>
          <w:szCs w:val="32"/>
        </w:rPr>
        <w:t xml:space="preserve"> </w:t>
      </w:r>
    </w:p>
    <w:p>
      <w:pPr>
        <w:pStyle w:val="26"/>
        <w:numPr>
          <w:ilvl w:val="0"/>
          <w:numId w:val="5"/>
        </w:numPr>
        <w:spacing w:line="560" w:lineRule="exact"/>
        <w:ind w:left="0" w:leftChars="0"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rPr>
        <w:t>社会保障和就业（类）行政事业单位养老支出（款）机关事业单位基本养老保险缴费支出（项）</w:t>
      </w:r>
      <w:r>
        <w:rPr>
          <w:rFonts w:hint="eastAsia" w:ascii="仿宋_GB2312" w:eastAsia="仿宋_GB2312"/>
          <w:color w:val="auto"/>
          <w:sz w:val="32"/>
          <w:szCs w:val="32"/>
          <w:lang w:eastAsia="zh-CN"/>
        </w:rPr>
        <w:t>：</w:t>
      </w:r>
      <w:r>
        <w:rPr>
          <w:rFonts w:hint="eastAsia" w:ascii="仿宋_GB2312" w:eastAsia="仿宋_GB2312"/>
          <w:color w:val="auto"/>
          <w:sz w:val="32"/>
          <w:szCs w:val="32"/>
        </w:rPr>
        <w:t xml:space="preserve"> </w:t>
      </w:r>
      <w:r>
        <w:rPr>
          <w:rFonts w:hint="eastAsia" w:ascii="仿宋_GB2312" w:eastAsia="仿宋_GB2312"/>
          <w:color w:val="auto"/>
          <w:sz w:val="32"/>
          <w:szCs w:val="32"/>
          <w:lang w:val="en-US" w:eastAsia="zh-CN"/>
        </w:rPr>
        <w:t>主要反映机关事业单位实施养老制度由单位缴纳的基本养老保险费支出。</w:t>
      </w:r>
    </w:p>
    <w:p>
      <w:pPr>
        <w:pStyle w:val="26"/>
        <w:numPr>
          <w:ilvl w:val="0"/>
          <w:numId w:val="5"/>
        </w:numPr>
        <w:spacing w:line="560" w:lineRule="exact"/>
        <w:ind w:left="0" w:leftChars="0"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rPr>
        <w:t>社会保障和就业（类）行政事业单位养老支出（款）机关事业单位职业年金缴费支出（项）</w:t>
      </w:r>
      <w:r>
        <w:rPr>
          <w:rFonts w:hint="eastAsia" w:ascii="仿宋_GB2312" w:eastAsia="仿宋_GB2312"/>
          <w:color w:val="auto"/>
          <w:sz w:val="32"/>
          <w:szCs w:val="32"/>
          <w:lang w:eastAsia="zh-CN"/>
        </w:rPr>
        <w:t>：</w:t>
      </w:r>
      <w:r>
        <w:rPr>
          <w:rFonts w:hint="eastAsia" w:ascii="仿宋_GB2312" w:eastAsia="仿宋_GB2312"/>
          <w:color w:val="auto"/>
          <w:sz w:val="32"/>
          <w:szCs w:val="32"/>
        </w:rPr>
        <w:t xml:space="preserve"> </w:t>
      </w:r>
      <w:r>
        <w:rPr>
          <w:rFonts w:hint="eastAsia" w:ascii="仿宋_GB2312" w:eastAsia="仿宋_GB2312"/>
          <w:color w:val="auto"/>
          <w:sz w:val="32"/>
          <w:szCs w:val="32"/>
          <w:lang w:val="en-US" w:eastAsia="zh-CN"/>
        </w:rPr>
        <w:t>主要反映机关事业单位实施养老制度由单位实际缴纳的职业年金支出。</w:t>
      </w:r>
    </w:p>
    <w:p>
      <w:pPr>
        <w:pStyle w:val="26"/>
        <w:numPr>
          <w:ilvl w:val="0"/>
          <w:numId w:val="5"/>
        </w:numPr>
        <w:spacing w:line="560" w:lineRule="exact"/>
        <w:ind w:left="0" w:leftChars="0" w:firstLine="640" w:firstLineChars="200"/>
        <w:rPr>
          <w:rFonts w:hint="eastAsia" w:ascii="仿宋_GB2312" w:eastAsia="仿宋_GB2312"/>
          <w:color w:val="auto"/>
          <w:sz w:val="32"/>
          <w:szCs w:val="32"/>
        </w:rPr>
      </w:pPr>
      <w:r>
        <w:rPr>
          <w:rFonts w:hint="eastAsia" w:ascii="仿宋_GB2312" w:eastAsia="仿宋_GB2312"/>
          <w:color w:val="auto"/>
          <w:sz w:val="32"/>
          <w:szCs w:val="32"/>
        </w:rPr>
        <w:t>社会保障和就业（类）抚恤（款）光荣院（项）</w:t>
      </w:r>
      <w:r>
        <w:rPr>
          <w:rFonts w:hint="eastAsia" w:ascii="仿宋_GB2312" w:eastAsia="仿宋_GB2312"/>
          <w:color w:val="auto"/>
          <w:sz w:val="32"/>
          <w:szCs w:val="32"/>
          <w:lang w:eastAsia="zh-CN"/>
        </w:rPr>
        <w:t>：</w:t>
      </w:r>
      <w:r>
        <w:rPr>
          <w:rFonts w:hint="eastAsia" w:ascii="仿宋_GB2312" w:eastAsia="仿宋_GB2312"/>
          <w:color w:val="auto"/>
          <w:sz w:val="32"/>
          <w:szCs w:val="32"/>
        </w:rPr>
        <w:t xml:space="preserve"> </w:t>
      </w:r>
      <w:r>
        <w:rPr>
          <w:rFonts w:hint="eastAsia" w:ascii="仿宋_GB2312" w:eastAsia="仿宋_GB2312"/>
          <w:color w:val="auto"/>
          <w:sz w:val="32"/>
          <w:szCs w:val="32"/>
          <w:lang w:val="en-US" w:eastAsia="zh-CN"/>
        </w:rPr>
        <w:t>指除开展优抚项目及单位运转以外的其他用于</w:t>
      </w:r>
      <w:r>
        <w:rPr>
          <w:rFonts w:hint="eastAsia" w:ascii="仿宋_GB2312" w:eastAsia="仿宋_GB2312"/>
          <w:color w:val="auto"/>
          <w:sz w:val="32"/>
          <w:szCs w:val="32"/>
        </w:rPr>
        <w:t>抚恤</w:t>
      </w:r>
      <w:r>
        <w:rPr>
          <w:rFonts w:hint="eastAsia" w:ascii="仿宋_GB2312" w:eastAsia="仿宋_GB2312"/>
          <w:color w:val="auto"/>
          <w:sz w:val="32"/>
          <w:szCs w:val="32"/>
          <w:lang w:val="en-US" w:eastAsia="zh-CN"/>
        </w:rPr>
        <w:t>方面的支出，包括向优抚对象发放的价格临时补贴等支出。</w:t>
      </w:r>
    </w:p>
    <w:p>
      <w:pPr>
        <w:pStyle w:val="26"/>
        <w:numPr>
          <w:ilvl w:val="0"/>
          <w:numId w:val="5"/>
        </w:numPr>
        <w:spacing w:line="560" w:lineRule="exact"/>
        <w:ind w:left="0" w:leftChars="0"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rPr>
        <w:t>社会保障和就业（类）退役军人管理事务（款）事业运行（项）</w:t>
      </w:r>
      <w:r>
        <w:rPr>
          <w:rFonts w:hint="eastAsia" w:ascii="仿宋_GB2312" w:eastAsia="仿宋_GB2312"/>
          <w:color w:val="auto"/>
          <w:sz w:val="32"/>
          <w:szCs w:val="32"/>
          <w:lang w:eastAsia="zh-CN"/>
        </w:rPr>
        <w:t>：</w:t>
      </w:r>
      <w:r>
        <w:rPr>
          <w:rFonts w:hint="eastAsia" w:ascii="仿宋_GB2312" w:eastAsia="仿宋_GB2312"/>
          <w:color w:val="auto"/>
          <w:sz w:val="32"/>
          <w:szCs w:val="32"/>
        </w:rPr>
        <w:t xml:space="preserve"> </w:t>
      </w:r>
      <w:r>
        <w:rPr>
          <w:rFonts w:hint="eastAsia" w:ascii="仿宋_GB2312" w:eastAsia="仿宋_GB2312"/>
          <w:color w:val="auto"/>
          <w:sz w:val="32"/>
          <w:szCs w:val="32"/>
          <w:lang w:val="en-US" w:eastAsia="zh-CN"/>
        </w:rPr>
        <w:t>主要反映光荣院运行及管理维护服务支出。</w:t>
      </w:r>
    </w:p>
    <w:p>
      <w:pPr>
        <w:pStyle w:val="26"/>
        <w:numPr>
          <w:ilvl w:val="0"/>
          <w:numId w:val="5"/>
        </w:numPr>
        <w:spacing w:line="560" w:lineRule="exact"/>
        <w:ind w:left="0" w:leftChars="0" w:firstLine="640" w:firstLineChars="200"/>
        <w:rPr>
          <w:rFonts w:hint="eastAsia" w:ascii="仿宋_GB2312" w:eastAsia="仿宋_GB2312"/>
          <w:color w:val="auto"/>
          <w:sz w:val="32"/>
          <w:szCs w:val="32"/>
          <w:lang w:eastAsia="zh-CN"/>
        </w:rPr>
      </w:pPr>
      <w:r>
        <w:rPr>
          <w:rFonts w:hint="eastAsia" w:ascii="仿宋_GB2312" w:eastAsia="仿宋_GB2312"/>
          <w:color w:val="auto"/>
          <w:sz w:val="32"/>
          <w:szCs w:val="32"/>
        </w:rPr>
        <w:t>卫生健康（类）公立医院（款）优抚医院（项）</w:t>
      </w:r>
      <w:r>
        <w:rPr>
          <w:rFonts w:hint="eastAsia" w:ascii="仿宋_GB2312" w:eastAsia="仿宋_GB2312"/>
          <w:color w:val="auto"/>
          <w:sz w:val="32"/>
          <w:szCs w:val="32"/>
          <w:lang w:eastAsia="zh-CN"/>
        </w:rPr>
        <w:t>：指用于优抚医院提质改造方面发生的支出。</w:t>
      </w:r>
    </w:p>
    <w:p>
      <w:pPr>
        <w:pStyle w:val="26"/>
        <w:numPr>
          <w:ilvl w:val="0"/>
          <w:numId w:val="5"/>
        </w:numPr>
        <w:spacing w:line="560" w:lineRule="exact"/>
        <w:ind w:left="0" w:leftChars="0"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rPr>
        <w:t>卫生健康（类）行政事业单位医疗（款）事业单位医疗事业单位医疗（项）</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主要反映财政部门安排的事业单位基本医疗保险缴费支出。</w:t>
      </w:r>
    </w:p>
    <w:p>
      <w:pPr>
        <w:pStyle w:val="26"/>
        <w:numPr>
          <w:ilvl w:val="0"/>
          <w:numId w:val="5"/>
        </w:numPr>
        <w:spacing w:line="560" w:lineRule="exact"/>
        <w:ind w:left="0" w:leftChars="0" w:firstLine="640" w:firstLineChars="200"/>
        <w:rPr>
          <w:rFonts w:hint="eastAsia" w:ascii="仿宋_GB2312" w:eastAsia="仿宋_GB2312"/>
          <w:color w:val="auto"/>
          <w:sz w:val="32"/>
          <w:szCs w:val="32"/>
        </w:rPr>
      </w:pPr>
      <w:r>
        <w:rPr>
          <w:rFonts w:hint="eastAsia" w:ascii="仿宋_GB2312" w:eastAsia="仿宋_GB2312"/>
          <w:color w:val="auto"/>
          <w:sz w:val="32"/>
          <w:szCs w:val="32"/>
        </w:rPr>
        <w:t>卫生健康（类）优抚对象医疗（款）优抚对象医疗补助（项）</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主要反映优抚对象医疗费支出。</w:t>
      </w:r>
    </w:p>
    <w:p>
      <w:pPr>
        <w:pStyle w:val="26"/>
        <w:numPr>
          <w:ilvl w:val="0"/>
          <w:numId w:val="5"/>
        </w:numPr>
        <w:spacing w:line="560" w:lineRule="exact"/>
        <w:ind w:left="0" w:leftChars="0"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rPr>
        <w:t>住房保障支出（类）住房改革支出（款）住房公积金（项）</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主要反映行政事业单位按人力资源和社会保障部、财政部规定的基本工资和津贴补贴以及规定比例为职工缴纳的住房公积金。 </w:t>
      </w:r>
    </w:p>
    <w:p>
      <w:pPr>
        <w:pStyle w:val="26"/>
        <w:numPr>
          <w:ilvl w:val="0"/>
          <w:numId w:val="5"/>
        </w:numPr>
        <w:spacing w:line="560" w:lineRule="exact"/>
        <w:ind w:left="0" w:leftChars="0" w:firstLine="640" w:firstLineChars="200"/>
        <w:rPr>
          <w:rFonts w:hint="eastAsia" w:ascii="仿宋_GB2312" w:eastAsia="仿宋_GB2312"/>
          <w:color w:val="auto"/>
          <w:sz w:val="32"/>
          <w:szCs w:val="32"/>
        </w:rPr>
      </w:pPr>
      <w:r>
        <w:rPr>
          <w:rFonts w:hint="eastAsia" w:ascii="仿宋_GB2312" w:eastAsia="仿宋_GB2312"/>
          <w:color w:val="auto"/>
          <w:sz w:val="32"/>
          <w:szCs w:val="32"/>
          <w:lang w:val="en-US" w:eastAsia="zh-CN"/>
        </w:rPr>
        <w:t>其他支出（类）彩票公益金安排的支出（款）用于社会福利的彩票公益金支出（项）：指市光荣院用于供养老人生活等社会福利方面的支出。</w:t>
      </w:r>
    </w:p>
    <w:p>
      <w:pPr>
        <w:pStyle w:val="26"/>
        <w:numPr>
          <w:ilvl w:val="0"/>
          <w:numId w:val="5"/>
        </w:numPr>
        <w:spacing w:line="560" w:lineRule="exact"/>
        <w:ind w:left="0" w:leftChars="0" w:firstLine="640" w:firstLineChars="200"/>
        <w:rPr>
          <w:rFonts w:hint="eastAsia" w:ascii="仿宋_GB2312" w:eastAsia="仿宋_GB2312"/>
          <w:color w:val="auto"/>
          <w:sz w:val="32"/>
          <w:szCs w:val="32"/>
        </w:rPr>
      </w:pPr>
      <w:r>
        <w:rPr>
          <w:rFonts w:hint="eastAsia" w:ascii="仿宋_GB2312" w:eastAsia="仿宋_GB2312"/>
          <w:color w:val="auto"/>
          <w:sz w:val="32"/>
          <w:szCs w:val="32"/>
        </w:rPr>
        <w:t>基本支出：指为保障机构正常运转、完成日常工作任务而发生的人员支出和公用支出。</w:t>
      </w:r>
    </w:p>
    <w:p>
      <w:pPr>
        <w:pStyle w:val="26"/>
        <w:numPr>
          <w:ilvl w:val="0"/>
          <w:numId w:val="5"/>
        </w:numPr>
        <w:spacing w:line="560" w:lineRule="exact"/>
        <w:ind w:left="0" w:leftChars="0" w:firstLine="640" w:firstLineChars="200"/>
        <w:rPr>
          <w:rFonts w:hint="eastAsia" w:ascii="仿宋_GB2312" w:eastAsia="仿宋_GB2312"/>
          <w:color w:val="auto"/>
          <w:sz w:val="32"/>
          <w:szCs w:val="32"/>
        </w:rPr>
      </w:pPr>
      <w:r>
        <w:rPr>
          <w:rFonts w:hint="eastAsia" w:ascii="仿宋_GB2312" w:eastAsia="仿宋_GB2312"/>
          <w:color w:val="auto"/>
          <w:sz w:val="32"/>
          <w:szCs w:val="32"/>
        </w:rPr>
        <w:t xml:space="preserve">项目支出：指在基本支出之外为完成特定行政任务和事业发展目标所发生的支出。 </w:t>
      </w:r>
    </w:p>
    <w:p>
      <w:pPr>
        <w:pStyle w:val="26"/>
        <w:numPr>
          <w:ilvl w:val="0"/>
          <w:numId w:val="5"/>
        </w:numPr>
        <w:spacing w:line="560" w:lineRule="exact"/>
        <w:ind w:left="0" w:leftChars="0" w:firstLine="640" w:firstLineChars="200"/>
        <w:rPr>
          <w:rFonts w:ascii="仿宋_GB2312" w:eastAsia="仿宋_GB2312"/>
          <w:color w:val="auto"/>
          <w:sz w:val="32"/>
          <w:szCs w:val="32"/>
        </w:rPr>
      </w:pP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jc w:val="center"/>
        <w:outlineLvl w:val="0"/>
        <w:rPr>
          <w:rStyle w:val="28"/>
          <w:rFonts w:ascii="黑体" w:hAnsi="黑体" w:eastAsia="黑体"/>
          <w:b w:val="0"/>
          <w:highlight w:val="none"/>
        </w:rPr>
      </w:pPr>
      <w:bookmarkStart w:id="72" w:name="_Toc15377226"/>
      <w:r>
        <w:rPr>
          <w:rFonts w:ascii="宋体"/>
          <w:b/>
          <w:sz w:val="44"/>
          <w:szCs w:val="44"/>
        </w:rPr>
        <w:br w:type="page"/>
      </w:r>
      <w:bookmarkStart w:id="73" w:name="_Toc26351"/>
      <w:bookmarkStart w:id="74" w:name="_Toc15396614"/>
      <w:r>
        <w:rPr>
          <w:rFonts w:hint="eastAsia" w:ascii="黑体" w:hAnsi="黑体" w:eastAsia="黑体"/>
          <w:sz w:val="44"/>
          <w:szCs w:val="44"/>
          <w:highlight w:val="none"/>
        </w:rPr>
        <w:t>第</w:t>
      </w:r>
      <w:r>
        <w:rPr>
          <w:rStyle w:val="28"/>
          <w:rFonts w:hint="eastAsia" w:ascii="黑体" w:hAnsi="黑体" w:eastAsia="黑体"/>
          <w:b w:val="0"/>
          <w:highlight w:val="none"/>
        </w:rPr>
        <w:t>四部分 附件</w:t>
      </w:r>
      <w:bookmarkEnd w:id="73"/>
      <w:bookmarkEnd w:id="74"/>
    </w:p>
    <w:p>
      <w:pPr>
        <w:pStyle w:val="13"/>
        <w:spacing w:line="560" w:lineRule="exact"/>
        <w:ind w:left="0" w:leftChars="0" w:firstLine="0" w:firstLineChars="0"/>
        <w:rPr>
          <w:sz w:val="32"/>
          <w:highlight w:val="none"/>
        </w:rPr>
      </w:pPr>
      <w:bookmarkStart w:id="75" w:name="_Toc15396618"/>
    </w:p>
    <w:p>
      <w:pPr>
        <w:spacing w:line="600" w:lineRule="exact"/>
        <w:jc w:val="center"/>
        <w:outlineLvl w:val="0"/>
        <w:rPr>
          <w:rFonts w:hint="eastAsia" w:ascii="黑体" w:hAnsi="黑体" w:eastAsia="黑体" w:cs="黑体"/>
          <w:color w:val="auto"/>
          <w:sz w:val="32"/>
          <w:szCs w:val="32"/>
          <w:highlight w:val="none"/>
          <w:lang w:eastAsia="zh-CN"/>
        </w:rPr>
      </w:pPr>
      <w:bookmarkStart w:id="76" w:name="_Toc16706"/>
      <w:r>
        <w:rPr>
          <w:rFonts w:hint="eastAsia" w:ascii="黑体" w:hAnsi="黑体" w:eastAsia="黑体" w:cs="黑体"/>
          <w:color w:val="auto"/>
          <w:sz w:val="32"/>
          <w:szCs w:val="32"/>
          <w:highlight w:val="none"/>
          <w:lang w:eastAsia="zh-CN"/>
        </w:rPr>
        <w:t>（</w:t>
      </w:r>
      <w:r>
        <w:rPr>
          <w:rFonts w:hint="eastAsia" w:ascii="仿宋_GB2312" w:hAnsi="仿宋_GB2312" w:eastAsia="仿宋_GB2312" w:cs="仿宋_GB2312"/>
          <w:color w:val="auto"/>
          <w:kern w:val="2"/>
          <w:sz w:val="32"/>
          <w:szCs w:val="32"/>
          <w:highlight w:val="none"/>
          <w:lang w:val="zh-CN" w:eastAsia="zh-CN" w:bidi="ar-SA"/>
        </w:rPr>
        <w:t>具体内容见附件</w:t>
      </w:r>
      <w:r>
        <w:rPr>
          <w:rFonts w:hint="eastAsia" w:ascii="仿宋_GB2312" w:hAnsi="仿宋_GB2312" w:eastAsia="仿宋_GB2312" w:cs="仿宋_GB2312"/>
          <w:color w:val="auto"/>
          <w:kern w:val="2"/>
          <w:sz w:val="32"/>
          <w:szCs w:val="32"/>
          <w:highlight w:val="none"/>
          <w:lang w:val="en-US" w:eastAsia="zh-CN" w:bidi="ar-SA"/>
        </w:rPr>
        <w:t>2</w:t>
      </w:r>
      <w:r>
        <w:rPr>
          <w:rFonts w:hint="eastAsia" w:ascii="黑体" w:hAnsi="黑体" w:eastAsia="黑体" w:cs="黑体"/>
          <w:color w:val="auto"/>
          <w:sz w:val="32"/>
          <w:szCs w:val="32"/>
          <w:highlight w:val="none"/>
          <w:lang w:eastAsia="zh-CN"/>
        </w:rPr>
        <w:t>）</w:t>
      </w:r>
      <w:bookmarkEnd w:id="76"/>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ascii="仿宋" w:hAnsi="仿宋" w:eastAsia="仿宋"/>
        </w:rPr>
      </w:pPr>
      <w:bookmarkStart w:id="77" w:name="_Toc16486"/>
      <w:r>
        <w:rPr>
          <w:rFonts w:hint="eastAsia" w:ascii="黑体" w:hAnsi="黑体" w:eastAsia="黑体"/>
          <w:sz w:val="44"/>
          <w:szCs w:val="44"/>
        </w:rPr>
        <w:t>第</w:t>
      </w:r>
      <w:r>
        <w:rPr>
          <w:rStyle w:val="28"/>
          <w:rFonts w:hint="eastAsia" w:ascii="黑体" w:hAnsi="黑体" w:eastAsia="黑体"/>
          <w:b w:val="0"/>
        </w:rPr>
        <w:t>五部分 附表</w:t>
      </w:r>
      <w:bookmarkEnd w:id="72"/>
      <w:bookmarkEnd w:id="75"/>
      <w:bookmarkEnd w:id="77"/>
      <w:bookmarkStart w:id="78" w:name="_Toc15396619"/>
    </w:p>
    <w:p>
      <w:pPr>
        <w:pStyle w:val="5"/>
        <w:rPr>
          <w:rFonts w:ascii="仿宋" w:hAnsi="仿宋" w:eastAsia="仿宋"/>
        </w:rPr>
      </w:pPr>
      <w:bookmarkStart w:id="79" w:name="_Toc9616"/>
      <w:r>
        <w:rPr>
          <w:rFonts w:hint="eastAsia" w:ascii="仿宋" w:hAnsi="仿宋" w:eastAsia="仿宋"/>
          <w:b w:val="0"/>
        </w:rPr>
        <w:t>一、收</w:t>
      </w:r>
      <w:r>
        <w:rPr>
          <w:rStyle w:val="29"/>
          <w:rFonts w:hint="eastAsia" w:ascii="仿宋" w:hAnsi="仿宋" w:eastAsia="仿宋"/>
          <w:b w:val="0"/>
          <w:bCs w:val="0"/>
        </w:rPr>
        <w:t>入支出决算总表</w:t>
      </w:r>
      <w:bookmarkEnd w:id="78"/>
      <w:bookmarkEnd w:id="79"/>
    </w:p>
    <w:p>
      <w:pPr>
        <w:pStyle w:val="5"/>
        <w:rPr>
          <w:rFonts w:ascii="仿宋" w:hAnsi="仿宋" w:eastAsia="仿宋"/>
        </w:rPr>
      </w:pPr>
      <w:bookmarkStart w:id="80" w:name="_Toc15396620"/>
      <w:bookmarkStart w:id="81" w:name="_Toc26501"/>
      <w:r>
        <w:rPr>
          <w:rFonts w:hint="eastAsia" w:ascii="仿宋" w:hAnsi="仿宋" w:eastAsia="仿宋"/>
          <w:b w:val="0"/>
        </w:rPr>
        <w:t>二、收</w:t>
      </w:r>
      <w:r>
        <w:rPr>
          <w:rStyle w:val="29"/>
          <w:rFonts w:hint="eastAsia" w:ascii="仿宋" w:hAnsi="仿宋" w:eastAsia="仿宋"/>
          <w:b w:val="0"/>
          <w:bCs w:val="0"/>
        </w:rPr>
        <w:t>入决算表</w:t>
      </w:r>
      <w:bookmarkEnd w:id="80"/>
      <w:bookmarkEnd w:id="81"/>
    </w:p>
    <w:p>
      <w:pPr>
        <w:pStyle w:val="5"/>
        <w:rPr>
          <w:rFonts w:ascii="仿宋" w:hAnsi="仿宋" w:eastAsia="仿宋"/>
        </w:rPr>
      </w:pPr>
      <w:bookmarkStart w:id="82" w:name="_Toc15396621"/>
      <w:bookmarkStart w:id="83" w:name="_Toc16830"/>
      <w:r>
        <w:rPr>
          <w:rStyle w:val="29"/>
          <w:rFonts w:hint="eastAsia" w:ascii="仿宋" w:hAnsi="仿宋" w:eastAsia="仿宋"/>
          <w:b w:val="0"/>
          <w:bCs w:val="0"/>
        </w:rPr>
        <w:t>三、</w:t>
      </w:r>
      <w:r>
        <w:rPr>
          <w:rFonts w:hint="eastAsia" w:ascii="仿宋" w:hAnsi="仿宋" w:eastAsia="仿宋"/>
          <w:b w:val="0"/>
        </w:rPr>
        <w:t>支</w:t>
      </w:r>
      <w:r>
        <w:rPr>
          <w:rStyle w:val="29"/>
          <w:rFonts w:hint="eastAsia" w:ascii="仿宋" w:hAnsi="仿宋" w:eastAsia="仿宋"/>
          <w:b w:val="0"/>
          <w:bCs w:val="0"/>
        </w:rPr>
        <w:t>出决算表</w:t>
      </w:r>
      <w:bookmarkEnd w:id="82"/>
      <w:bookmarkEnd w:id="83"/>
    </w:p>
    <w:p>
      <w:pPr>
        <w:pStyle w:val="5"/>
        <w:rPr>
          <w:rFonts w:ascii="仿宋" w:hAnsi="仿宋" w:eastAsia="仿宋"/>
          <w:b w:val="0"/>
        </w:rPr>
      </w:pPr>
      <w:bookmarkStart w:id="84" w:name="_Toc15396622"/>
      <w:bookmarkStart w:id="85" w:name="_Toc13689"/>
      <w:r>
        <w:rPr>
          <w:rStyle w:val="29"/>
          <w:rFonts w:hint="eastAsia" w:ascii="仿宋" w:hAnsi="仿宋" w:eastAsia="仿宋"/>
          <w:b w:val="0"/>
          <w:bCs w:val="0"/>
        </w:rPr>
        <w:t>四、</w:t>
      </w:r>
      <w:r>
        <w:rPr>
          <w:rFonts w:hint="eastAsia" w:ascii="仿宋" w:hAnsi="仿宋" w:eastAsia="仿宋"/>
          <w:b w:val="0"/>
        </w:rPr>
        <w:t>财</w:t>
      </w:r>
      <w:r>
        <w:rPr>
          <w:rStyle w:val="29"/>
          <w:rFonts w:hint="eastAsia" w:ascii="仿宋" w:hAnsi="仿宋" w:eastAsia="仿宋"/>
          <w:b w:val="0"/>
          <w:bCs w:val="0"/>
        </w:rPr>
        <w:t>政拨款收入支出决算总表</w:t>
      </w:r>
      <w:bookmarkEnd w:id="84"/>
      <w:bookmarkEnd w:id="85"/>
    </w:p>
    <w:p>
      <w:pPr>
        <w:pStyle w:val="5"/>
        <w:rPr>
          <w:rStyle w:val="29"/>
          <w:rFonts w:ascii="仿宋" w:hAnsi="仿宋" w:eastAsia="仿宋"/>
          <w:b w:val="0"/>
          <w:bCs w:val="0"/>
        </w:rPr>
      </w:pPr>
      <w:bookmarkStart w:id="86" w:name="_Toc15396623"/>
      <w:bookmarkStart w:id="87" w:name="_Toc27398"/>
      <w:r>
        <w:rPr>
          <w:rStyle w:val="29"/>
          <w:rFonts w:hint="eastAsia" w:ascii="仿宋" w:hAnsi="仿宋" w:eastAsia="仿宋"/>
          <w:b w:val="0"/>
          <w:bCs w:val="0"/>
        </w:rPr>
        <w:t>五、</w:t>
      </w:r>
      <w:r>
        <w:rPr>
          <w:rFonts w:hint="eastAsia" w:ascii="仿宋" w:hAnsi="仿宋" w:eastAsia="仿宋"/>
          <w:b w:val="0"/>
        </w:rPr>
        <w:t>财</w:t>
      </w:r>
      <w:r>
        <w:rPr>
          <w:rStyle w:val="29"/>
          <w:rFonts w:hint="eastAsia" w:ascii="仿宋" w:hAnsi="仿宋" w:eastAsia="仿宋"/>
          <w:b w:val="0"/>
          <w:bCs w:val="0"/>
        </w:rPr>
        <w:t>政拨款支出决算明细表</w:t>
      </w:r>
      <w:bookmarkEnd w:id="86"/>
      <w:bookmarkEnd w:id="87"/>
      <w:bookmarkStart w:id="88" w:name="_Toc15396624"/>
    </w:p>
    <w:p>
      <w:pPr>
        <w:pStyle w:val="5"/>
        <w:rPr>
          <w:rFonts w:ascii="仿宋" w:hAnsi="仿宋" w:eastAsia="仿宋"/>
        </w:rPr>
      </w:pPr>
      <w:bookmarkStart w:id="89" w:name="_Toc4174"/>
      <w:r>
        <w:rPr>
          <w:rStyle w:val="29"/>
          <w:rFonts w:hint="eastAsia" w:ascii="仿宋" w:hAnsi="仿宋" w:eastAsia="仿宋"/>
          <w:b w:val="0"/>
          <w:bCs w:val="0"/>
        </w:rPr>
        <w:t>六、</w:t>
      </w:r>
      <w:r>
        <w:rPr>
          <w:rFonts w:hint="eastAsia" w:ascii="仿宋" w:hAnsi="仿宋" w:eastAsia="仿宋"/>
          <w:b w:val="0"/>
        </w:rPr>
        <w:t>一</w:t>
      </w:r>
      <w:r>
        <w:rPr>
          <w:rStyle w:val="29"/>
          <w:rFonts w:hint="eastAsia" w:ascii="仿宋" w:hAnsi="仿宋" w:eastAsia="仿宋"/>
          <w:b w:val="0"/>
          <w:bCs w:val="0"/>
        </w:rPr>
        <w:t>般公共预算财政拨款支出决算表</w:t>
      </w:r>
      <w:bookmarkEnd w:id="88"/>
      <w:bookmarkEnd w:id="89"/>
    </w:p>
    <w:p>
      <w:pPr>
        <w:pStyle w:val="5"/>
        <w:rPr>
          <w:rFonts w:ascii="仿宋" w:hAnsi="仿宋" w:eastAsia="仿宋"/>
        </w:rPr>
      </w:pPr>
      <w:bookmarkStart w:id="90" w:name="_Toc9753"/>
      <w:bookmarkStart w:id="91" w:name="_Toc15396625"/>
      <w:r>
        <w:rPr>
          <w:rStyle w:val="29"/>
          <w:rFonts w:hint="eastAsia" w:ascii="仿宋" w:hAnsi="仿宋" w:eastAsia="仿宋"/>
          <w:b w:val="0"/>
          <w:bCs w:val="0"/>
        </w:rPr>
        <w:t>七、</w:t>
      </w:r>
      <w:r>
        <w:rPr>
          <w:rFonts w:hint="eastAsia" w:ascii="仿宋" w:hAnsi="仿宋" w:eastAsia="仿宋"/>
          <w:b w:val="0"/>
        </w:rPr>
        <w:t>一</w:t>
      </w:r>
      <w:r>
        <w:rPr>
          <w:rStyle w:val="29"/>
          <w:rFonts w:hint="eastAsia" w:ascii="仿宋" w:hAnsi="仿宋" w:eastAsia="仿宋"/>
          <w:b w:val="0"/>
          <w:bCs w:val="0"/>
        </w:rPr>
        <w:t>般公共预算财政拨款支出决算明细表</w:t>
      </w:r>
      <w:bookmarkEnd w:id="90"/>
      <w:bookmarkEnd w:id="91"/>
    </w:p>
    <w:p>
      <w:pPr>
        <w:pStyle w:val="5"/>
        <w:rPr>
          <w:rFonts w:ascii="仿宋" w:hAnsi="仿宋" w:eastAsia="仿宋"/>
        </w:rPr>
      </w:pPr>
      <w:bookmarkStart w:id="92" w:name="_Toc3456"/>
      <w:bookmarkStart w:id="93" w:name="_Toc15396626"/>
      <w:r>
        <w:rPr>
          <w:rStyle w:val="29"/>
          <w:rFonts w:hint="eastAsia" w:ascii="仿宋" w:hAnsi="仿宋" w:eastAsia="仿宋"/>
          <w:b w:val="0"/>
          <w:bCs w:val="0"/>
        </w:rPr>
        <w:t>八、</w:t>
      </w:r>
      <w:r>
        <w:rPr>
          <w:rFonts w:hint="eastAsia" w:ascii="仿宋" w:hAnsi="仿宋" w:eastAsia="仿宋"/>
          <w:b w:val="0"/>
        </w:rPr>
        <w:t>一</w:t>
      </w:r>
      <w:r>
        <w:rPr>
          <w:rStyle w:val="29"/>
          <w:rFonts w:hint="eastAsia" w:ascii="仿宋" w:hAnsi="仿宋" w:eastAsia="仿宋"/>
          <w:b w:val="0"/>
          <w:bCs w:val="0"/>
        </w:rPr>
        <w:t>般公共预算财政拨款基本支出决算表</w:t>
      </w:r>
      <w:bookmarkEnd w:id="92"/>
      <w:bookmarkEnd w:id="93"/>
    </w:p>
    <w:p>
      <w:pPr>
        <w:pStyle w:val="5"/>
        <w:rPr>
          <w:rFonts w:ascii="仿宋" w:hAnsi="仿宋" w:eastAsia="仿宋"/>
        </w:rPr>
      </w:pPr>
      <w:bookmarkStart w:id="94" w:name="_Toc15396627"/>
      <w:bookmarkStart w:id="95" w:name="_Toc28645"/>
      <w:r>
        <w:rPr>
          <w:rStyle w:val="29"/>
          <w:rFonts w:hint="eastAsia" w:ascii="仿宋" w:hAnsi="仿宋" w:eastAsia="仿宋"/>
          <w:b w:val="0"/>
          <w:bCs w:val="0"/>
        </w:rPr>
        <w:t>九、</w:t>
      </w:r>
      <w:r>
        <w:rPr>
          <w:rFonts w:hint="eastAsia" w:ascii="仿宋" w:hAnsi="仿宋" w:eastAsia="仿宋"/>
          <w:b w:val="0"/>
        </w:rPr>
        <w:t>一</w:t>
      </w:r>
      <w:r>
        <w:rPr>
          <w:rStyle w:val="29"/>
          <w:rFonts w:hint="eastAsia" w:ascii="仿宋" w:hAnsi="仿宋" w:eastAsia="仿宋"/>
          <w:b w:val="0"/>
          <w:bCs w:val="0"/>
        </w:rPr>
        <w:t>般公共预算财政拨款项目支出决算表</w:t>
      </w:r>
      <w:bookmarkEnd w:id="94"/>
      <w:bookmarkEnd w:id="95"/>
    </w:p>
    <w:p>
      <w:pPr>
        <w:pStyle w:val="5"/>
        <w:rPr>
          <w:rFonts w:ascii="仿宋" w:hAnsi="仿宋" w:eastAsia="仿宋"/>
        </w:rPr>
      </w:pPr>
      <w:bookmarkStart w:id="96" w:name="_Toc15396628"/>
      <w:bookmarkStart w:id="97" w:name="_Toc1565"/>
      <w:r>
        <w:rPr>
          <w:rStyle w:val="29"/>
          <w:rFonts w:hint="eastAsia" w:ascii="仿宋" w:hAnsi="仿宋" w:eastAsia="仿宋"/>
          <w:b w:val="0"/>
          <w:bCs w:val="0"/>
        </w:rPr>
        <w:t>十、</w:t>
      </w:r>
      <w:bookmarkEnd w:id="96"/>
      <w:r>
        <w:rPr>
          <w:rFonts w:hint="eastAsia" w:ascii="仿宋" w:hAnsi="仿宋" w:eastAsia="仿宋"/>
          <w:b w:val="0"/>
        </w:rPr>
        <w:t>政</w:t>
      </w:r>
      <w:r>
        <w:rPr>
          <w:rStyle w:val="29"/>
          <w:rFonts w:hint="eastAsia" w:ascii="仿宋" w:hAnsi="仿宋" w:eastAsia="仿宋"/>
          <w:b w:val="0"/>
          <w:bCs w:val="0"/>
        </w:rPr>
        <w:t>府性基金预算财政拨款收入支出决算表</w:t>
      </w:r>
      <w:bookmarkEnd w:id="97"/>
    </w:p>
    <w:p>
      <w:pPr>
        <w:pStyle w:val="5"/>
        <w:rPr>
          <w:rFonts w:ascii="仿宋" w:hAnsi="仿宋" w:eastAsia="仿宋"/>
        </w:rPr>
      </w:pPr>
      <w:bookmarkStart w:id="98" w:name="_Toc15396629"/>
      <w:bookmarkStart w:id="99" w:name="_Toc13740"/>
      <w:r>
        <w:rPr>
          <w:rStyle w:val="29"/>
          <w:rFonts w:hint="eastAsia" w:ascii="仿宋" w:hAnsi="仿宋" w:eastAsia="仿宋"/>
          <w:b w:val="0"/>
          <w:bCs w:val="0"/>
        </w:rPr>
        <w:t>十一、</w:t>
      </w:r>
      <w:bookmarkEnd w:id="98"/>
      <w:r>
        <w:rPr>
          <w:rFonts w:hint="eastAsia" w:ascii="仿宋" w:hAnsi="仿宋" w:eastAsia="仿宋"/>
          <w:b w:val="0"/>
        </w:rPr>
        <w:t>国</w:t>
      </w:r>
      <w:r>
        <w:rPr>
          <w:rStyle w:val="29"/>
          <w:rFonts w:hint="eastAsia" w:ascii="仿宋" w:hAnsi="仿宋" w:eastAsia="仿宋"/>
          <w:b w:val="0"/>
          <w:bCs w:val="0"/>
        </w:rPr>
        <w:t>有资本经营预算财政拨款收入支出决算表</w:t>
      </w:r>
      <w:bookmarkEnd w:id="99"/>
    </w:p>
    <w:p>
      <w:pPr>
        <w:pStyle w:val="5"/>
        <w:rPr>
          <w:rFonts w:ascii="仿宋" w:hAnsi="仿宋" w:eastAsia="仿宋"/>
        </w:rPr>
      </w:pPr>
      <w:bookmarkStart w:id="100" w:name="_Toc15396630"/>
      <w:bookmarkStart w:id="101" w:name="_Toc4358"/>
      <w:r>
        <w:rPr>
          <w:rStyle w:val="29"/>
          <w:rFonts w:hint="eastAsia" w:ascii="仿宋" w:hAnsi="仿宋" w:eastAsia="仿宋"/>
          <w:b w:val="0"/>
          <w:bCs w:val="0"/>
        </w:rPr>
        <w:t>十二、</w:t>
      </w:r>
      <w:bookmarkEnd w:id="100"/>
      <w:r>
        <w:rPr>
          <w:rStyle w:val="29"/>
          <w:rFonts w:hint="eastAsia" w:ascii="仿宋" w:hAnsi="仿宋" w:eastAsia="仿宋"/>
          <w:b w:val="0"/>
          <w:bCs w:val="0"/>
        </w:rPr>
        <w:t>国有资本经营预算财政拨款支出决算表</w:t>
      </w:r>
      <w:bookmarkEnd w:id="101"/>
    </w:p>
    <w:p>
      <w:pPr>
        <w:pStyle w:val="5"/>
        <w:rPr>
          <w:rFonts w:eastAsia="仿宋"/>
        </w:rPr>
      </w:pPr>
      <w:bookmarkStart w:id="102" w:name="_Toc15396631"/>
      <w:bookmarkStart w:id="103" w:name="_Toc16084"/>
      <w:r>
        <w:rPr>
          <w:rStyle w:val="29"/>
          <w:rFonts w:hint="eastAsia" w:ascii="仿宋" w:hAnsi="仿宋" w:eastAsia="仿宋"/>
          <w:b w:val="0"/>
          <w:bCs w:val="0"/>
        </w:rPr>
        <w:t>十三、</w:t>
      </w:r>
      <w:bookmarkEnd w:id="102"/>
      <w:r>
        <w:rPr>
          <w:rStyle w:val="29"/>
          <w:rFonts w:hint="eastAsia" w:ascii="仿宋" w:hAnsi="仿宋" w:eastAsia="仿宋"/>
          <w:b w:val="0"/>
          <w:bCs w:val="0"/>
        </w:rPr>
        <w:t>财政拨款“三公”经费支出决算表</w:t>
      </w:r>
      <w:bookmarkEnd w:id="103"/>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cript"/>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0"/>
          <w:jc w:val="center"/>
        </w:pPr>
        <w:r>
          <w:fldChar w:fldCharType="begin"/>
        </w:r>
        <w:r>
          <w:instrText xml:space="preserve">PAGE   \* MERGEFORMAT</w:instrText>
        </w:r>
        <w:r>
          <w:fldChar w:fldCharType="separate"/>
        </w:r>
        <w:r>
          <w:rPr>
            <w:lang w:val="zh-CN"/>
          </w:rPr>
          <w:t>15</w:t>
        </w:r>
        <w:r>
          <w:fldChar w:fldCharType="end"/>
        </w:r>
      </w:p>
    </w:sdtContent>
  </w:sdt>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FF5AACE3"/>
    <w:multiLevelType w:val="singleLevel"/>
    <w:tmpl w:val="FF5AACE3"/>
    <w:lvl w:ilvl="0" w:tentative="0">
      <w:start w:val="1"/>
      <w:numFmt w:val="decimal"/>
      <w:suff w:val="nothing"/>
      <w:lvlText w:val="%1．"/>
      <w:lvlJc w:val="left"/>
      <w:pPr>
        <w:ind w:left="0" w:firstLine="397"/>
      </w:pPr>
      <w:rPr>
        <w:rFonts w:hint="default"/>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3818A09A"/>
    <w:multiLevelType w:val="singleLevel"/>
    <w:tmpl w:val="3818A09A"/>
    <w:lvl w:ilvl="0" w:tentative="0">
      <w:start w:val="1"/>
      <w:numFmt w:val="chineseCounting"/>
      <w:suff w:val="nothing"/>
      <w:lvlText w:val="%1、"/>
      <w:lvlJc w:val="left"/>
      <w:rPr>
        <w:rFonts w:hint="eastAsia"/>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4YWM0NDVmZWRjYWMzMTdjNWNhYzUxM2I3MmFjYjY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A1DAD"/>
    <w:rsid w:val="001C0962"/>
    <w:rsid w:val="001D7531"/>
    <w:rsid w:val="001E737D"/>
    <w:rsid w:val="001F0592"/>
    <w:rsid w:val="001F7506"/>
    <w:rsid w:val="002006CD"/>
    <w:rsid w:val="00202B36"/>
    <w:rsid w:val="00204B7A"/>
    <w:rsid w:val="00204CDE"/>
    <w:rsid w:val="00206907"/>
    <w:rsid w:val="0021101A"/>
    <w:rsid w:val="00212B4A"/>
    <w:rsid w:val="00220536"/>
    <w:rsid w:val="00235629"/>
    <w:rsid w:val="00260C38"/>
    <w:rsid w:val="002616C0"/>
    <w:rsid w:val="00265372"/>
    <w:rsid w:val="002662AA"/>
    <w:rsid w:val="00280496"/>
    <w:rsid w:val="00294DC9"/>
    <w:rsid w:val="00295495"/>
    <w:rsid w:val="002A31DE"/>
    <w:rsid w:val="002B2613"/>
    <w:rsid w:val="002C5004"/>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25C50"/>
    <w:rsid w:val="0043177C"/>
    <w:rsid w:val="00434489"/>
    <w:rsid w:val="00437085"/>
    <w:rsid w:val="00443880"/>
    <w:rsid w:val="004464F4"/>
    <w:rsid w:val="0046049C"/>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533CF"/>
    <w:rsid w:val="005664BB"/>
    <w:rsid w:val="00566FFA"/>
    <w:rsid w:val="0057481D"/>
    <w:rsid w:val="0058486E"/>
    <w:rsid w:val="00585B33"/>
    <w:rsid w:val="0059014D"/>
    <w:rsid w:val="005B5C64"/>
    <w:rsid w:val="005B6E8A"/>
    <w:rsid w:val="005C5337"/>
    <w:rsid w:val="005C6BD0"/>
    <w:rsid w:val="005D1C8B"/>
    <w:rsid w:val="005D468D"/>
    <w:rsid w:val="005D5CED"/>
    <w:rsid w:val="005F10BC"/>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5FC5"/>
    <w:rsid w:val="0066343B"/>
    <w:rsid w:val="00664777"/>
    <w:rsid w:val="006748A4"/>
    <w:rsid w:val="00681A31"/>
    <w:rsid w:val="00683E73"/>
    <w:rsid w:val="006A3141"/>
    <w:rsid w:val="006A5E34"/>
    <w:rsid w:val="006B2422"/>
    <w:rsid w:val="006B2B9A"/>
    <w:rsid w:val="006C1937"/>
    <w:rsid w:val="006F020C"/>
    <w:rsid w:val="0071021A"/>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10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C7FD8"/>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1E6F"/>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3DC2831"/>
    <w:rsid w:val="075A5931"/>
    <w:rsid w:val="081B5E94"/>
    <w:rsid w:val="0A2032A3"/>
    <w:rsid w:val="0B8A37D8"/>
    <w:rsid w:val="0F5FFB2F"/>
    <w:rsid w:val="0FFFCF60"/>
    <w:rsid w:val="10C055FF"/>
    <w:rsid w:val="118107EC"/>
    <w:rsid w:val="11DD6519"/>
    <w:rsid w:val="16BB723D"/>
    <w:rsid w:val="18015F3F"/>
    <w:rsid w:val="1BE8440E"/>
    <w:rsid w:val="1D155CEE"/>
    <w:rsid w:val="1FDBBF84"/>
    <w:rsid w:val="20F57F95"/>
    <w:rsid w:val="21000CA6"/>
    <w:rsid w:val="240371BF"/>
    <w:rsid w:val="25711CC6"/>
    <w:rsid w:val="25C741E6"/>
    <w:rsid w:val="276F80C0"/>
    <w:rsid w:val="27842671"/>
    <w:rsid w:val="29FD04D3"/>
    <w:rsid w:val="2ABE7A3E"/>
    <w:rsid w:val="2AFF09B6"/>
    <w:rsid w:val="2CA234A8"/>
    <w:rsid w:val="2EFA178C"/>
    <w:rsid w:val="2EFDF86C"/>
    <w:rsid w:val="2F9D17E1"/>
    <w:rsid w:val="30B46D73"/>
    <w:rsid w:val="31532E23"/>
    <w:rsid w:val="319F7F4E"/>
    <w:rsid w:val="34D67F04"/>
    <w:rsid w:val="356A28F1"/>
    <w:rsid w:val="357C035A"/>
    <w:rsid w:val="368E000D"/>
    <w:rsid w:val="383D272C"/>
    <w:rsid w:val="39AE70AB"/>
    <w:rsid w:val="3A4DCE41"/>
    <w:rsid w:val="3BCB56FA"/>
    <w:rsid w:val="3C0C0783"/>
    <w:rsid w:val="3EE7C2F4"/>
    <w:rsid w:val="3F371B56"/>
    <w:rsid w:val="3F792ED8"/>
    <w:rsid w:val="3F9F3A96"/>
    <w:rsid w:val="3FECA4B2"/>
    <w:rsid w:val="3FF58C48"/>
    <w:rsid w:val="42FF6694"/>
    <w:rsid w:val="4308779E"/>
    <w:rsid w:val="43A80800"/>
    <w:rsid w:val="454547C1"/>
    <w:rsid w:val="461745CE"/>
    <w:rsid w:val="47AE7763"/>
    <w:rsid w:val="48BF60AB"/>
    <w:rsid w:val="493C27E9"/>
    <w:rsid w:val="496F39ED"/>
    <w:rsid w:val="49FF41D3"/>
    <w:rsid w:val="4BE068DB"/>
    <w:rsid w:val="4BF6002B"/>
    <w:rsid w:val="4BFFC6BE"/>
    <w:rsid w:val="4E7D6712"/>
    <w:rsid w:val="4ECE2238"/>
    <w:rsid w:val="4FCE7CFE"/>
    <w:rsid w:val="51DB4B86"/>
    <w:rsid w:val="51F64DB0"/>
    <w:rsid w:val="52516067"/>
    <w:rsid w:val="539A48FE"/>
    <w:rsid w:val="55333C3E"/>
    <w:rsid w:val="58862AF4"/>
    <w:rsid w:val="5EB0199A"/>
    <w:rsid w:val="5F67802D"/>
    <w:rsid w:val="5F7DC4F2"/>
    <w:rsid w:val="5FB36814"/>
    <w:rsid w:val="5FBB8E56"/>
    <w:rsid w:val="5FFB5535"/>
    <w:rsid w:val="5FFF77D5"/>
    <w:rsid w:val="64CA39A1"/>
    <w:rsid w:val="69630ADE"/>
    <w:rsid w:val="69BD5F13"/>
    <w:rsid w:val="69FB0B4B"/>
    <w:rsid w:val="6BFFE1FB"/>
    <w:rsid w:val="6C4A05C8"/>
    <w:rsid w:val="6D3B1A89"/>
    <w:rsid w:val="6DB7D8A3"/>
    <w:rsid w:val="6EC78701"/>
    <w:rsid w:val="6F7A5481"/>
    <w:rsid w:val="6FC06D93"/>
    <w:rsid w:val="6FDA17C2"/>
    <w:rsid w:val="6FFE07A9"/>
    <w:rsid w:val="71BF4EC2"/>
    <w:rsid w:val="72734D90"/>
    <w:rsid w:val="73E75B71"/>
    <w:rsid w:val="7412278C"/>
    <w:rsid w:val="75DDCDA9"/>
    <w:rsid w:val="75FF44B1"/>
    <w:rsid w:val="771663AF"/>
    <w:rsid w:val="77670518"/>
    <w:rsid w:val="777FA627"/>
    <w:rsid w:val="77DF1B5F"/>
    <w:rsid w:val="77EF2D9D"/>
    <w:rsid w:val="79E7B28D"/>
    <w:rsid w:val="7ACFF0C2"/>
    <w:rsid w:val="7AFB9108"/>
    <w:rsid w:val="7BD5340C"/>
    <w:rsid w:val="7BFB19D2"/>
    <w:rsid w:val="7BFD1750"/>
    <w:rsid w:val="7BFDAA1B"/>
    <w:rsid w:val="7CDF9A82"/>
    <w:rsid w:val="7CFFA1BD"/>
    <w:rsid w:val="7D2E3F7A"/>
    <w:rsid w:val="7DED9490"/>
    <w:rsid w:val="7DFF4872"/>
    <w:rsid w:val="7E7487E6"/>
    <w:rsid w:val="7E7C2A54"/>
    <w:rsid w:val="7EEEFD72"/>
    <w:rsid w:val="7F1D517C"/>
    <w:rsid w:val="7F5DA057"/>
    <w:rsid w:val="7F6C2237"/>
    <w:rsid w:val="7F7F319B"/>
    <w:rsid w:val="7F9F20EE"/>
    <w:rsid w:val="7FBBE890"/>
    <w:rsid w:val="7FBC2ABD"/>
    <w:rsid w:val="7FBF5D48"/>
    <w:rsid w:val="7FCCFC01"/>
    <w:rsid w:val="7FDD1748"/>
    <w:rsid w:val="7FE769C6"/>
    <w:rsid w:val="7FFD083E"/>
    <w:rsid w:val="7FFF9372"/>
    <w:rsid w:val="84BF1F3B"/>
    <w:rsid w:val="8F55B106"/>
    <w:rsid w:val="95DF317D"/>
    <w:rsid w:val="97E77C70"/>
    <w:rsid w:val="9E3A10E2"/>
    <w:rsid w:val="9FB91FBD"/>
    <w:rsid w:val="9FD54998"/>
    <w:rsid w:val="A671883B"/>
    <w:rsid w:val="A7EFD17F"/>
    <w:rsid w:val="A7FFE43F"/>
    <w:rsid w:val="BDFEA317"/>
    <w:rsid w:val="CD9BBABB"/>
    <w:rsid w:val="CF99F292"/>
    <w:rsid w:val="D5DA60B3"/>
    <w:rsid w:val="D7C6F579"/>
    <w:rsid w:val="D8FECA92"/>
    <w:rsid w:val="DAFFBE66"/>
    <w:rsid w:val="DD2C0BFE"/>
    <w:rsid w:val="DE3F332B"/>
    <w:rsid w:val="DE6F4A3D"/>
    <w:rsid w:val="DF69F8B0"/>
    <w:rsid w:val="DFC71555"/>
    <w:rsid w:val="DFF74913"/>
    <w:rsid w:val="DFFC559C"/>
    <w:rsid w:val="DFFEDFAE"/>
    <w:rsid w:val="DFFFB5EB"/>
    <w:rsid w:val="E4B33E57"/>
    <w:rsid w:val="E5BF946A"/>
    <w:rsid w:val="EB39BD45"/>
    <w:rsid w:val="EBCF1FC2"/>
    <w:rsid w:val="EBD18F66"/>
    <w:rsid w:val="ED17392C"/>
    <w:rsid w:val="ED9BB032"/>
    <w:rsid w:val="ED9FFD9A"/>
    <w:rsid w:val="EDB7968B"/>
    <w:rsid w:val="EEF73F60"/>
    <w:rsid w:val="EFED9E42"/>
    <w:rsid w:val="EFFFB194"/>
    <w:rsid w:val="F2E1F9D4"/>
    <w:rsid w:val="F5FF7449"/>
    <w:rsid w:val="F7880819"/>
    <w:rsid w:val="F7AF180D"/>
    <w:rsid w:val="F7BDBFA7"/>
    <w:rsid w:val="F7F76D1B"/>
    <w:rsid w:val="F7FAD68F"/>
    <w:rsid w:val="F7FB14CF"/>
    <w:rsid w:val="FB3FC69C"/>
    <w:rsid w:val="FBDFF225"/>
    <w:rsid w:val="FBF7AB63"/>
    <w:rsid w:val="FC2F3373"/>
    <w:rsid w:val="FCF51535"/>
    <w:rsid w:val="FD77F6B8"/>
    <w:rsid w:val="FDD69328"/>
    <w:rsid w:val="FDDFEC0E"/>
    <w:rsid w:val="FDE58BDD"/>
    <w:rsid w:val="FDEC7001"/>
    <w:rsid w:val="FEDFE87F"/>
    <w:rsid w:val="FEF1D25B"/>
    <w:rsid w:val="FF3EF90F"/>
    <w:rsid w:val="FFAF6081"/>
    <w:rsid w:val="FFECCD8C"/>
    <w:rsid w:val="FFED60BD"/>
    <w:rsid w:val="FFEE08F0"/>
    <w:rsid w:val="FFEE7F9F"/>
    <w:rsid w:val="FFFF31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25"/>
    <w:qFormat/>
    <w:uiPriority w:val="99"/>
    <w:pPr>
      <w:spacing w:beforeLines="30"/>
    </w:pPr>
    <w:rPr>
      <w:rFonts w:ascii="仿宋_GB2312" w:eastAsia="仿宋_GB2312"/>
      <w:kern w:val="0"/>
      <w:sz w:val="30"/>
    </w:rPr>
  </w:style>
  <w:style w:type="paragraph" w:styleId="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7">
    <w:name w:val="Body Text Indent"/>
    <w:basedOn w:val="1"/>
    <w:qFormat/>
    <w:uiPriority w:val="0"/>
    <w:pPr>
      <w:spacing w:after="120"/>
      <w:ind w:left="200" w:leftChars="200"/>
    </w:pPr>
    <w:rPr>
      <w:rFonts w:ascii="仿宋_GB2312"/>
      <w:szCs w:val="32"/>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1"/>
    <w:semiHidden/>
    <w:unhideWhenUsed/>
    <w:qFormat/>
    <w:uiPriority w:val="99"/>
    <w:rPr>
      <w:sz w:val="18"/>
      <w:szCs w:val="18"/>
    </w:rPr>
  </w:style>
  <w:style w:type="paragraph" w:styleId="10">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2"/>
    <w:basedOn w:val="1"/>
    <w:next w:val="1"/>
    <w:unhideWhenUsed/>
    <w:qFormat/>
    <w:uiPriority w:val="39"/>
    <w:pPr>
      <w:tabs>
        <w:tab w:val="right" w:leader="dot" w:pos="8296"/>
      </w:tabs>
      <w:ind w:left="420" w:leftChars="200"/>
    </w:pPr>
  </w:style>
  <w:style w:type="paragraph" w:styleId="13">
    <w:name w:val="Body Text First Indent 2"/>
    <w:basedOn w:val="7"/>
    <w:unhideWhenUsed/>
    <w:qFormat/>
    <w:uiPriority w:val="99"/>
    <w:pPr>
      <w:ind w:firstLine="420" w:firstLineChars="200"/>
    </w:pPr>
  </w:style>
  <w:style w:type="character" w:styleId="16">
    <w:name w:val="Strong"/>
    <w:basedOn w:val="15"/>
    <w:qFormat/>
    <w:uiPriority w:val="99"/>
    <w:rPr>
      <w:b/>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标题 2 Char"/>
    <w:basedOn w:val="15"/>
    <w:link w:val="5"/>
    <w:qFormat/>
    <w:uiPriority w:val="9"/>
    <w:rPr>
      <w:rFonts w:asciiTheme="majorHAnsi" w:hAnsiTheme="majorHAnsi" w:eastAsiaTheme="majorEastAsia" w:cstheme="majorBidi"/>
      <w:b/>
      <w:bCs/>
      <w:kern w:val="2"/>
      <w:sz w:val="32"/>
      <w:szCs w:val="32"/>
    </w:rPr>
  </w:style>
  <w:style w:type="paragraph" w:customStyle="1" w:styleId="19">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0">
    <w:name w:val="Header Char"/>
    <w:basedOn w:val="15"/>
    <w:semiHidden/>
    <w:qFormat/>
    <w:uiPriority w:val="99"/>
    <w:rPr>
      <w:rFonts w:ascii="Times New Roman" w:hAnsi="Times New Roman"/>
      <w:sz w:val="18"/>
      <w:szCs w:val="18"/>
    </w:rPr>
  </w:style>
  <w:style w:type="character" w:customStyle="1" w:styleId="21">
    <w:name w:val="页眉 字符"/>
    <w:link w:val="11"/>
    <w:semiHidden/>
    <w:qFormat/>
    <w:locked/>
    <w:uiPriority w:val="99"/>
    <w:rPr>
      <w:sz w:val="18"/>
    </w:rPr>
  </w:style>
  <w:style w:type="character" w:customStyle="1" w:styleId="22">
    <w:name w:val="Footer Char"/>
    <w:basedOn w:val="15"/>
    <w:semiHidden/>
    <w:qFormat/>
    <w:uiPriority w:val="99"/>
    <w:rPr>
      <w:rFonts w:ascii="Times New Roman" w:hAnsi="Times New Roman"/>
      <w:sz w:val="18"/>
      <w:szCs w:val="18"/>
    </w:rPr>
  </w:style>
  <w:style w:type="character" w:customStyle="1" w:styleId="23">
    <w:name w:val="页脚 字符"/>
    <w:link w:val="10"/>
    <w:qFormat/>
    <w:locked/>
    <w:uiPriority w:val="99"/>
    <w:rPr>
      <w:sz w:val="18"/>
    </w:rPr>
  </w:style>
  <w:style w:type="character" w:customStyle="1" w:styleId="24">
    <w:name w:val="Body Text Char"/>
    <w:basedOn w:val="15"/>
    <w:semiHidden/>
    <w:qFormat/>
    <w:uiPriority w:val="99"/>
    <w:rPr>
      <w:rFonts w:ascii="Times New Roman" w:hAnsi="Times New Roman"/>
      <w:szCs w:val="24"/>
    </w:rPr>
  </w:style>
  <w:style w:type="character" w:customStyle="1" w:styleId="25">
    <w:name w:val="正文文本 字符"/>
    <w:link w:val="2"/>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字符"/>
    <w:basedOn w:val="15"/>
    <w:link w:val="4"/>
    <w:qFormat/>
    <w:uiPriority w:val="9"/>
    <w:rPr>
      <w:rFonts w:ascii="Times New Roman" w:hAnsi="Times New Roman"/>
      <w:b/>
      <w:bCs/>
      <w:kern w:val="44"/>
      <w:sz w:val="44"/>
      <w:szCs w:val="44"/>
    </w:rPr>
  </w:style>
  <w:style w:type="character" w:customStyle="1" w:styleId="29">
    <w:name w:val="标题 2 字符"/>
    <w:basedOn w:val="15"/>
    <w:link w:val="5"/>
    <w:qFormat/>
    <w:uiPriority w:val="9"/>
    <w:rPr>
      <w:rFonts w:asciiTheme="majorHAnsi" w:hAnsiTheme="majorHAnsi" w:eastAsiaTheme="majorEastAsia" w:cstheme="majorBidi"/>
      <w:b/>
      <w:bCs/>
      <w:kern w:val="2"/>
      <w:sz w:val="32"/>
      <w:szCs w:val="32"/>
    </w:rPr>
  </w:style>
  <w:style w:type="paragraph" w:customStyle="1" w:styleId="30">
    <w:name w:val="TOC 标题1"/>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字符"/>
    <w:basedOn w:val="15"/>
    <w:link w:val="9"/>
    <w:semiHidden/>
    <w:qFormat/>
    <w:uiPriority w:val="99"/>
    <w:rPr>
      <w:rFonts w:ascii="Times New Roman" w:hAnsi="Times New Roman"/>
      <w:kern w:val="2"/>
      <w:sz w:val="18"/>
      <w:szCs w:val="18"/>
    </w:rPr>
  </w:style>
  <w:style w:type="character" w:customStyle="1" w:styleId="32">
    <w:name w:val="标题 3 字符"/>
    <w:basedOn w:val="15"/>
    <w:link w:val="6"/>
    <w:qFormat/>
    <w:uiPriority w:val="9"/>
    <w:rPr>
      <w:rFonts w:ascii="Times New Roman" w:hAnsi="Times New Roman"/>
      <w:b/>
      <w:bCs/>
      <w:kern w:val="2"/>
      <w:sz w:val="32"/>
      <w:szCs w:val="32"/>
    </w:rPr>
  </w:style>
  <w:style w:type="paragraph" w:customStyle="1" w:styleId="33">
    <w:name w:val="TOC 标题2"/>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WPSOffice手动目录 1"/>
    <w:qFormat/>
    <w:uiPriority w:val="0"/>
    <w:pPr>
      <w:ind w:leftChars="0"/>
    </w:pPr>
    <w:rPr>
      <w:rFonts w:ascii="Times New Roman" w:hAnsi="Times New Roman" w:eastAsia="宋体" w:cs="Times New Roman"/>
      <w:sz w:val="20"/>
      <w:szCs w:val="20"/>
    </w:rPr>
  </w:style>
  <w:style w:type="paragraph" w:customStyle="1" w:styleId="35">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3.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4.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5.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6.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7.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系列 1</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2024年</c:v>
                </c:pt>
                <c:pt idx="1">
                  <c:v>2023年</c:v>
                </c:pt>
              </c:strCache>
            </c:strRef>
          </c:cat>
          <c:val>
            <c:numRef>
              <c:f>Sheet1!$B$2:$B$3</c:f>
              <c:numCache>
                <c:formatCode>General</c:formatCode>
                <c:ptCount val="2"/>
                <c:pt idx="0">
                  <c:v>1083.2</c:v>
                </c:pt>
                <c:pt idx="1">
                  <c:v>1219.81</c:v>
                </c:pt>
              </c:numCache>
            </c:numRef>
          </c:val>
        </c:ser>
        <c:dLbls>
          <c:showLegendKey val="false"/>
          <c:showVal val="true"/>
          <c:showCatName val="false"/>
          <c:showSerName val="false"/>
          <c:showPercent val="false"/>
          <c:showBubbleSize val="false"/>
        </c:dLbls>
        <c:gapWidth val="246"/>
        <c:overlap val="-28"/>
        <c:axId val="147631488"/>
        <c:axId val="147821696"/>
      </c:barChart>
      <c:catAx>
        <c:axId val="147631488"/>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47821696"/>
        <c:crosses val="autoZero"/>
        <c:auto val="true"/>
        <c:lblAlgn val="ctr"/>
        <c:lblOffset val="100"/>
        <c:noMultiLvlLbl val="false"/>
      </c:catAx>
      <c:valAx>
        <c:axId val="147821696"/>
        <c:scaling>
          <c:orientation val="minMax"/>
        </c:scaling>
        <c:delete val="false"/>
        <c:axPos val="l"/>
        <c:majorGridlines>
          <c:spPr>
            <a:ln w="9525" cap="flat" cmpd="sng" algn="ctr">
              <a:solidFill>
                <a:schemeClr val="lt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47631488"/>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销售额</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一般公共预算财政拨款收入1034.51万元</c:v>
                </c:pt>
                <c:pt idx="1">
                  <c:v>政府性基金预算财政拨款收入48.69万元</c:v>
                </c:pt>
              </c:strCache>
            </c:strRef>
          </c:cat>
          <c:val>
            <c:numRef>
              <c:f>Sheet1!$B$2:$B$3</c:f>
              <c:numCache>
                <c:formatCode>General</c:formatCode>
                <c:ptCount val="2"/>
                <c:pt idx="0">
                  <c:v>1034.51</c:v>
                </c:pt>
                <c:pt idx="1">
                  <c:v>48.69</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ayout>
        <c:manualLayout>
          <c:xMode val="edge"/>
          <c:yMode val="edge"/>
          <c:x val="0.136748006764919"/>
          <c:y val="0.0266977708657335"/>
          <c:w val="0.757912539260691"/>
          <c:h val="0.10938310005184"/>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销售额</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基本支出382.66万元</c:v>
                </c:pt>
                <c:pt idx="1">
                  <c:v>项目支出700.54万元</c:v>
                </c:pt>
              </c:strCache>
            </c:strRef>
          </c:cat>
          <c:val>
            <c:numRef>
              <c:f>Sheet1!$B$2:$B$3</c:f>
              <c:numCache>
                <c:formatCode>General</c:formatCode>
                <c:ptCount val="2"/>
                <c:pt idx="0">
                  <c:v>382.66</c:v>
                </c:pt>
                <c:pt idx="1">
                  <c:v>700.54</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ayout>
        <c:manualLayout>
          <c:xMode val="edge"/>
          <c:yMode val="edge"/>
          <c:x val="0.23689296931626"/>
          <c:y val="0.0301962757926522"/>
          <c:w val="0.609325924136265"/>
          <c:h val="0.1157523905385"/>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系列 1</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2024年</c:v>
                </c:pt>
                <c:pt idx="1">
                  <c:v>2023年</c:v>
                </c:pt>
              </c:strCache>
            </c:strRef>
          </c:cat>
          <c:val>
            <c:numRef>
              <c:f>Sheet1!$B$2:$B$3</c:f>
              <c:numCache>
                <c:formatCode>General</c:formatCode>
                <c:ptCount val="2"/>
                <c:pt idx="0">
                  <c:v>1083.2</c:v>
                </c:pt>
                <c:pt idx="1">
                  <c:v>1219.81</c:v>
                </c:pt>
              </c:numCache>
            </c:numRef>
          </c:val>
        </c:ser>
        <c:dLbls>
          <c:showLegendKey val="false"/>
          <c:showVal val="true"/>
          <c:showCatName val="false"/>
          <c:showSerName val="false"/>
          <c:showPercent val="false"/>
          <c:showBubbleSize val="false"/>
        </c:dLbls>
        <c:gapWidth val="246"/>
        <c:overlap val="-28"/>
        <c:axId val="158681344"/>
        <c:axId val="158687232"/>
      </c:barChart>
      <c:catAx>
        <c:axId val="158681344"/>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58687232"/>
        <c:crosses val="autoZero"/>
        <c:auto val="true"/>
        <c:lblAlgn val="ctr"/>
        <c:lblOffset val="100"/>
        <c:noMultiLvlLbl val="false"/>
      </c:catAx>
      <c:valAx>
        <c:axId val="158687232"/>
        <c:scaling>
          <c:orientation val="minMax"/>
        </c:scaling>
        <c:delete val="false"/>
        <c:axPos val="l"/>
        <c:majorGridlines>
          <c:spPr>
            <a:ln w="9525" cap="flat" cmpd="sng" algn="ctr">
              <a:solidFill>
                <a:schemeClr val="lt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58681344"/>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系列 1</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2024年</c:v>
                </c:pt>
                <c:pt idx="1">
                  <c:v>2023年</c:v>
                </c:pt>
              </c:strCache>
            </c:strRef>
          </c:cat>
          <c:val>
            <c:numRef>
              <c:f>Sheet1!$B$2:$B$3</c:f>
              <c:numCache>
                <c:formatCode>General</c:formatCode>
                <c:ptCount val="2"/>
                <c:pt idx="0">
                  <c:v>1034.51</c:v>
                </c:pt>
                <c:pt idx="1">
                  <c:v>1118.5</c:v>
                </c:pt>
              </c:numCache>
            </c:numRef>
          </c:val>
        </c:ser>
        <c:dLbls>
          <c:showLegendKey val="false"/>
          <c:showVal val="true"/>
          <c:showCatName val="false"/>
          <c:showSerName val="false"/>
          <c:showPercent val="false"/>
          <c:showBubbleSize val="false"/>
        </c:dLbls>
        <c:gapWidth val="246"/>
        <c:overlap val="-28"/>
        <c:axId val="158707072"/>
        <c:axId val="158708864"/>
      </c:barChart>
      <c:catAx>
        <c:axId val="158707072"/>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58708864"/>
        <c:crosses val="autoZero"/>
        <c:auto val="true"/>
        <c:lblAlgn val="ctr"/>
        <c:lblOffset val="100"/>
        <c:noMultiLvlLbl val="false"/>
      </c:catAx>
      <c:valAx>
        <c:axId val="158708864"/>
        <c:scaling>
          <c:orientation val="minMax"/>
        </c:scaling>
        <c:delete val="false"/>
        <c:axPos val="l"/>
        <c:majorGridlines>
          <c:spPr>
            <a:ln w="9525" cap="flat" cmpd="sng" algn="ctr">
              <a:solidFill>
                <a:schemeClr val="lt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58707072"/>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销售额</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Lbls>
            <c:delete val="true"/>
          </c:dLbls>
          <c:cat>
            <c:strRef>
              <c:f>Sheet1!$A$2:$A$4</c:f>
              <c:strCache>
                <c:ptCount val="3"/>
                <c:pt idx="0">
                  <c:v>社会保障和就业支出450.72万元</c:v>
                </c:pt>
                <c:pt idx="1">
                  <c:v>卫生健康支出556.06万元</c:v>
                </c:pt>
                <c:pt idx="2">
                  <c:v>住房保障支出27.73万元</c:v>
                </c:pt>
              </c:strCache>
            </c:strRef>
          </c:cat>
          <c:val>
            <c:numRef>
              <c:f>Sheet1!$B$2:$B$4</c:f>
              <c:numCache>
                <c:formatCode>General</c:formatCode>
                <c:ptCount val="3"/>
                <c:pt idx="0">
                  <c:v>450.72</c:v>
                </c:pt>
                <c:pt idx="1">
                  <c:v>556.06</c:v>
                </c:pt>
                <c:pt idx="2">
                  <c:v>27.73</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销售额</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delete val="true"/>
          </c:dLbls>
          <c:cat>
            <c:strRef>
              <c:f>Sheet1!$A$2:$A$3</c:f>
              <c:strCache>
                <c:ptCount val="2"/>
                <c:pt idx="0">
                  <c:v>公务用车购置及运行维护费支出决算1.05万元</c:v>
                </c:pt>
                <c:pt idx="1">
                  <c:v>公务接待费支出决算0.19万元</c:v>
                </c:pt>
              </c:strCache>
            </c:strRef>
          </c:cat>
          <c:val>
            <c:numRef>
              <c:f>Sheet1!$B$2:$B$3</c:f>
              <c:numCache>
                <c:formatCode>General</c:formatCode>
                <c:ptCount val="2"/>
                <c:pt idx="0">
                  <c:v>1.05</c:v>
                </c:pt>
                <c:pt idx="1">
                  <c:v>0.19</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t"/>
      <c:layout>
        <c:manualLayout>
          <c:xMode val="edge"/>
          <c:yMode val="edge"/>
          <c:x val="0.0884944612286002"/>
          <c:y val="0.0140246493837654"/>
          <c:w val="0.863796576032226"/>
          <c:h val="0.120696982575436"/>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15</Pages>
  <Words>4337</Words>
  <Characters>4784</Characters>
  <Lines>54</Lines>
  <Paragraphs>15</Paragraphs>
  <TotalTime>22</TotalTime>
  <ScaleCrop>false</ScaleCrop>
  <LinksUpToDate>false</LinksUpToDate>
  <CharactersWithSpaces>4832</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2020-08-08T09:49:00Z</dcterms:created>
  <dc:creator>曹颖</dc:creator>
  <cp:lastModifiedBy> </cp:lastModifiedBy>
  <cp:lastPrinted>2023-08-03T10:35:00Z</cp:lastPrinted>
  <dcterms:modified xsi:type="dcterms:W3CDTF">2025-10-11T10:37:02Z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AC278CFAF83B416382838F1A6FD54D60_12</vt:lpwstr>
  </property>
  <property fmtid="{D5CDD505-2E9C-101B-9397-08002B2CF9AE}" pid="4" name="KSOTemplateDocerSaveRecord">
    <vt:lpwstr>eyJoZGlkIjoiYTc2ZGZiNzZiNDVlOGViOWVmM2JhOTY0NGJkNjUyYzgiLCJ1c2VySWQiOiIyMjA2OTAwNTAifQ==</vt:lpwstr>
  </property>
</Properties>
</file>