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93"/>
        <w:rPr>
          <w:rFonts w:ascii="Times New Roman" w:eastAsia="方正小标宋简体"/>
          <w:kern w:val="2"/>
          <w:sz w:val="72"/>
          <w:szCs w:val="72"/>
        </w:rPr>
      </w:pPr>
      <w:bookmarkStart w:id="0" w:name="_Toc15378441"/>
      <w:bookmarkStart w:id="1" w:name="_Toc15377193"/>
      <w:bookmarkStart w:id="2" w:name="_Toc15396475"/>
      <w:bookmarkStart w:id="3" w:name="_Toc15396597"/>
      <w:bookmarkStart w:id="4" w:name="_Toc15377425"/>
      <w:bookmarkStart w:id="5" w:name="_Toc15306267"/>
    </w:p>
    <w:p>
      <w:pPr>
        <w:pStyle w:val="8"/>
        <w:spacing w:before="93"/>
        <w:rPr>
          <w:rFonts w:ascii="Times New Roman" w:eastAsia="方正小标宋简体"/>
          <w:kern w:val="2"/>
          <w:sz w:val="72"/>
          <w:szCs w:val="72"/>
        </w:rPr>
      </w:pPr>
    </w:p>
    <w:p>
      <w:pPr>
        <w:pStyle w:val="8"/>
        <w:spacing w:before="93"/>
        <w:rPr>
          <w:rFonts w:ascii="Times New Roman" w:eastAsia="方正小标宋简体"/>
          <w:kern w:val="2"/>
          <w:sz w:val="72"/>
          <w:szCs w:val="72"/>
        </w:rPr>
      </w:pPr>
    </w:p>
    <w:p>
      <w:pPr>
        <w:pStyle w:val="8"/>
        <w:spacing w:before="93"/>
        <w:jc w:val="center"/>
        <w:rPr>
          <w:rFonts w:ascii="Times New Roman" w:eastAsia="方正小标宋简体"/>
          <w:kern w:val="2"/>
          <w:sz w:val="44"/>
          <w:szCs w:val="44"/>
        </w:rPr>
      </w:pPr>
      <w:r>
        <w:rPr>
          <w:rFonts w:hint="eastAsia" w:ascii="Times New Roman" w:eastAsia="方正小标宋简体"/>
          <w:kern w:val="2"/>
          <w:sz w:val="44"/>
          <w:szCs w:val="44"/>
        </w:rPr>
        <w:t>2024年度广元市气象局部门决算</w:t>
      </w:r>
    </w:p>
    <w:p>
      <w:pPr>
        <w:spacing w:line="600" w:lineRule="exact"/>
        <w:jc w:val="center"/>
        <w:outlineLvl w:val="0"/>
        <w:rPr>
          <w:rFonts w:eastAsia="方正小标宋简体"/>
          <w:sz w:val="72"/>
          <w:szCs w:val="72"/>
        </w:rPr>
      </w:pPr>
    </w:p>
    <w:p>
      <w:pPr>
        <w:pStyle w:val="22"/>
        <w:rPr>
          <w:rFonts w:ascii="Times New Roman" w:hAnsi="Times New Roman"/>
        </w:rPr>
        <w:sectPr>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p/>
    <w:bookmarkEnd w:id="0"/>
    <w:bookmarkEnd w:id="1"/>
    <w:bookmarkEnd w:id="2"/>
    <w:bookmarkEnd w:id="3"/>
    <w:bookmarkEnd w:id="4"/>
    <w:bookmarkEnd w:id="5"/>
    <w:p>
      <w:pPr>
        <w:widowControl/>
        <w:jc w:val="center"/>
        <w:rPr>
          <w:rFonts w:eastAsia="黑体"/>
          <w:sz w:val="48"/>
          <w:szCs w:val="48"/>
        </w:rPr>
      </w:pPr>
      <w:r>
        <w:rPr>
          <w:rFonts w:hint="eastAsia" w:eastAsia="黑体"/>
          <w:sz w:val="48"/>
          <w:szCs w:val="48"/>
        </w:rPr>
        <w:t>目录</w:t>
      </w:r>
    </w:p>
    <w:p>
      <w:pPr>
        <w:pStyle w:val="13"/>
        <w:rPr>
          <w:rFonts w:ascii="Times New Roman" w:hAnsi="Times New Roman" w:eastAsia="仿宋_GB2312" w:cs="仿宋_GB2312"/>
          <w:sz w:val="32"/>
          <w:szCs w:val="32"/>
        </w:rPr>
      </w:pPr>
      <w:r>
        <w:rPr>
          <w:rFonts w:hint="eastAsia" w:ascii="Times New Roman" w:hAnsi="Times New Roman" w:eastAsia="仿宋_GB2312" w:cs="仿宋_GB2312"/>
          <w:sz w:val="32"/>
          <w:szCs w:val="32"/>
        </w:rPr>
        <w:t>公开时间：202</w:t>
      </w:r>
      <w:r>
        <w:rPr>
          <w:rFonts w:hint="eastAsia" w:ascii="Times New Roman" w:hAnsi="Times New Roman" w:eastAsia="仿宋_GB2312" w:cs="仿宋_GB2312"/>
          <w:sz w:val="32"/>
          <w:szCs w:val="32"/>
          <w:lang w:val="en-US" w:eastAsia="zh-CN"/>
        </w:rPr>
        <w:t>5</w:t>
      </w:r>
      <w:bookmarkStart w:id="93" w:name="_GoBack"/>
      <w:bookmarkEnd w:id="93"/>
      <w:r>
        <w:rPr>
          <w:rFonts w:hint="eastAsia" w:ascii="Times New Roman" w:hAnsi="Times New Roman" w:eastAsia="仿宋_GB2312" w:cs="仿宋_GB2312"/>
          <w:sz w:val="32"/>
          <w:szCs w:val="32"/>
        </w:rPr>
        <w:t>年10月2日</w:t>
      </w:r>
    </w:p>
    <w:sdt>
      <w:sdtPr>
        <w:rPr>
          <w:lang w:val="zh-CN"/>
        </w:rPr>
        <w:id w:val="-1043990900"/>
        <w:docPartObj>
          <w:docPartGallery w:val="Table of Contents"/>
          <w:docPartUnique/>
        </w:docPartObj>
      </w:sdtPr>
      <w:sdtEndPr>
        <w:rPr>
          <w:rFonts w:ascii="Times New Roman" w:hAnsi="Times New Roman" w:eastAsia="宋体"/>
          <w:b/>
          <w:bCs/>
          <w:sz w:val="21"/>
          <w:szCs w:val="24"/>
          <w:lang w:val="zh-CN"/>
        </w:rPr>
      </w:sdtEndPr>
      <w:sdtContent>
        <w:p>
          <w:pPr>
            <w:pStyle w:val="13"/>
            <w:rPr>
              <w:rFonts w:asciiTheme="minorHAnsi" w:hAnsiTheme="minorHAnsi" w:eastAsiaTheme="minorEastAsia" w:cstheme="minorBidi"/>
              <w:sz w:val="21"/>
              <w:szCs w:val="22"/>
            </w:rPr>
          </w:pPr>
          <w:r>
            <w:fldChar w:fldCharType="begin"/>
          </w:r>
          <w:r>
            <w:instrText xml:space="preserve"> TOC \o "1-3" \h \z \u </w:instrText>
          </w:r>
          <w:r>
            <w:fldChar w:fldCharType="separate"/>
          </w:r>
          <w:r>
            <w:fldChar w:fldCharType="begin"/>
          </w:r>
          <w:r>
            <w:instrText xml:space="preserve"> HYPERLINK \l "_Toc208479413" </w:instrText>
          </w:r>
          <w:r>
            <w:fldChar w:fldCharType="separate"/>
          </w:r>
          <w:r>
            <w:rPr>
              <w:rStyle w:val="18"/>
              <w:rFonts w:hint="eastAsia" w:eastAsia="方正小标宋简体" w:cs="方正小标宋简体"/>
            </w:rPr>
            <w:t>第一部分</w:t>
          </w:r>
          <w:r>
            <w:rPr>
              <w:rStyle w:val="18"/>
              <w:rFonts w:eastAsia="方正小标宋简体" w:cs="方正小标宋简体"/>
            </w:rPr>
            <w:t xml:space="preserve">  </w:t>
          </w:r>
          <w:r>
            <w:rPr>
              <w:rStyle w:val="18"/>
              <w:rFonts w:hint="eastAsia" w:eastAsia="方正小标宋简体" w:cs="方正小标宋简体"/>
            </w:rPr>
            <w:t>部门概况</w:t>
          </w:r>
          <w:r>
            <w:tab/>
          </w:r>
          <w:r>
            <w:fldChar w:fldCharType="begin"/>
          </w:r>
          <w:r>
            <w:instrText xml:space="preserve"> PAGEREF _Toc208479413 \h </w:instrText>
          </w:r>
          <w:r>
            <w:fldChar w:fldCharType="separate"/>
          </w:r>
          <w:r>
            <w:t>1</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"_Toc208479414" </w:instrText>
          </w:r>
          <w:r>
            <w:fldChar w:fldCharType="separate"/>
          </w:r>
          <w:r>
            <w:rPr>
              <w:rStyle w:val="18"/>
              <w:rFonts w:hint="eastAsia" w:eastAsia="黑体"/>
            </w:rPr>
            <w:t>一、部门职责</w:t>
          </w:r>
          <w:r>
            <w:tab/>
          </w:r>
          <w:r>
            <w:fldChar w:fldCharType="begin"/>
          </w:r>
          <w:r>
            <w:instrText xml:space="preserve"> PAGEREF _Toc208479414 \h </w:instrText>
          </w:r>
          <w:r>
            <w:fldChar w:fldCharType="separate"/>
          </w:r>
          <w:r>
            <w:t>1</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"_Toc208479415" </w:instrText>
          </w:r>
          <w:r>
            <w:fldChar w:fldCharType="separate"/>
          </w:r>
          <w:r>
            <w:rPr>
              <w:rStyle w:val="18"/>
              <w:rFonts w:hint="eastAsia" w:eastAsia="黑体"/>
            </w:rPr>
            <w:t>二、机构设置</w:t>
          </w:r>
          <w:r>
            <w:tab/>
          </w:r>
          <w:r>
            <w:fldChar w:fldCharType="begin"/>
          </w:r>
          <w:r>
            <w:instrText xml:space="preserve"> PAGEREF _Toc208479415 \h </w:instrText>
          </w:r>
          <w:r>
            <w:fldChar w:fldCharType="separate"/>
          </w:r>
          <w:r>
            <w:t>1</w:t>
          </w:r>
          <w:r>
            <w:fldChar w:fldCharType="end"/>
          </w:r>
          <w:r>
            <w:fldChar w:fldCharType="end"/>
          </w:r>
        </w:p>
        <w:p>
          <w:pPr>
            <w:pStyle w:val="13"/>
            <w:rPr>
              <w:rFonts w:asciiTheme="minorHAnsi" w:hAnsiTheme="minorHAnsi" w:eastAsiaTheme="minorEastAsia" w:cstheme="minorBidi"/>
              <w:sz w:val="21"/>
              <w:szCs w:val="22"/>
            </w:rPr>
          </w:pPr>
          <w:r>
            <w:fldChar w:fldCharType="begin"/>
          </w:r>
          <w:r>
            <w:instrText xml:space="preserve"> HYPERLINK \l "_Toc208479416" </w:instrText>
          </w:r>
          <w:r>
            <w:fldChar w:fldCharType="separate"/>
          </w:r>
          <w:r>
            <w:rPr>
              <w:rStyle w:val="18"/>
              <w:rFonts w:hint="eastAsia" w:eastAsia="方正小标宋简体" w:cs="方正小标宋简体"/>
            </w:rPr>
            <w:t>第二部分</w:t>
          </w:r>
          <w:r>
            <w:rPr>
              <w:rStyle w:val="18"/>
              <w:rFonts w:eastAsia="方正小标宋简体" w:cs="方正小标宋简体"/>
            </w:rPr>
            <w:t xml:space="preserve">  2024</w:t>
          </w:r>
          <w:r>
            <w:rPr>
              <w:rStyle w:val="18"/>
              <w:rFonts w:hint="eastAsia" w:eastAsia="方正小标宋简体" w:cs="方正小标宋简体"/>
            </w:rPr>
            <w:t>年度部门决算情况说明</w:t>
          </w:r>
          <w:r>
            <w:tab/>
          </w:r>
          <w:r>
            <w:fldChar w:fldCharType="begin"/>
          </w:r>
          <w:r>
            <w:instrText xml:space="preserve"> PAGEREF _Toc208479416 \h </w:instrText>
          </w:r>
          <w:r>
            <w:fldChar w:fldCharType="separate"/>
          </w:r>
          <w:r>
            <w:t>2</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"_Toc208479417" </w:instrText>
          </w:r>
          <w:r>
            <w:fldChar w:fldCharType="separate"/>
          </w:r>
          <w:r>
            <w:rPr>
              <w:rStyle w:val="18"/>
              <w:rFonts w:hint="eastAsia" w:eastAsia="黑体"/>
            </w:rPr>
            <w:t>一、收</w:t>
          </w:r>
          <w:r>
            <w:rPr>
              <w:rStyle w:val="18"/>
              <w:rFonts w:hint="eastAsia" w:eastAsia="黑体" w:cstheme="majorBidi"/>
              <w:bCs/>
            </w:rPr>
            <w:t>入支出决算总体情况说明</w:t>
          </w:r>
          <w:r>
            <w:tab/>
          </w:r>
          <w:r>
            <w:fldChar w:fldCharType="begin"/>
          </w:r>
          <w:r>
            <w:instrText xml:space="preserve"> PAGEREF _Toc208479417 \h </w:instrText>
          </w:r>
          <w:r>
            <w:fldChar w:fldCharType="separate"/>
          </w:r>
          <w:r>
            <w:t>2</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"_Toc208479418" </w:instrText>
          </w:r>
          <w:r>
            <w:fldChar w:fldCharType="separate"/>
          </w:r>
          <w:r>
            <w:rPr>
              <w:rStyle w:val="18"/>
              <w:rFonts w:hint="eastAsia" w:eastAsia="黑体"/>
            </w:rPr>
            <w:t>二、收入决算情况说明</w:t>
          </w:r>
          <w:r>
            <w:tab/>
          </w:r>
          <w:r>
            <w:fldChar w:fldCharType="begin"/>
          </w:r>
          <w:r>
            <w:instrText xml:space="preserve"> PAGEREF _Toc208479418 \h </w:instrText>
          </w:r>
          <w:r>
            <w:fldChar w:fldCharType="separate"/>
          </w:r>
          <w:r>
            <w:t>2</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"_Toc208479419" </w:instrText>
          </w:r>
          <w:r>
            <w:fldChar w:fldCharType="separate"/>
          </w:r>
          <w:r>
            <w:rPr>
              <w:rStyle w:val="18"/>
              <w:rFonts w:hint="eastAsia" w:eastAsia="黑体"/>
            </w:rPr>
            <w:t>三、支</w:t>
          </w:r>
          <w:r>
            <w:rPr>
              <w:rStyle w:val="18"/>
              <w:rFonts w:hint="eastAsia" w:eastAsia="黑体" w:cstheme="majorBidi"/>
              <w:bCs/>
            </w:rPr>
            <w:t>出决算情况说明</w:t>
          </w:r>
          <w:r>
            <w:tab/>
          </w:r>
          <w:r>
            <w:fldChar w:fldCharType="begin"/>
          </w:r>
          <w:r>
            <w:instrText xml:space="preserve"> PAGEREF _Toc208479419 \h </w:instrText>
          </w:r>
          <w:r>
            <w:fldChar w:fldCharType="separate"/>
          </w:r>
          <w:r>
            <w:t>3</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"_Toc208479420" </w:instrText>
          </w:r>
          <w:r>
            <w:fldChar w:fldCharType="separate"/>
          </w:r>
          <w:r>
            <w:rPr>
              <w:rStyle w:val="18"/>
              <w:rFonts w:hint="eastAsia" w:eastAsia="黑体"/>
            </w:rPr>
            <w:t>四、财</w:t>
          </w:r>
          <w:r>
            <w:rPr>
              <w:rStyle w:val="18"/>
              <w:rFonts w:hint="eastAsia" w:eastAsia="黑体" w:cstheme="majorBidi"/>
              <w:bCs/>
            </w:rPr>
            <w:t>政拨款收入支出决算总体情况说明</w:t>
          </w:r>
          <w:r>
            <w:tab/>
          </w:r>
          <w:r>
            <w:fldChar w:fldCharType="begin"/>
          </w:r>
          <w:r>
            <w:instrText xml:space="preserve"> PAGEREF _Toc208479420 \h </w:instrText>
          </w:r>
          <w:r>
            <w:fldChar w:fldCharType="separate"/>
          </w:r>
          <w:r>
            <w:t>3</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"_Toc208479421" </w:instrText>
          </w:r>
          <w:r>
            <w:fldChar w:fldCharType="separate"/>
          </w:r>
          <w:r>
            <w:rPr>
              <w:rStyle w:val="18"/>
              <w:rFonts w:hint="eastAsia" w:eastAsia="黑体"/>
            </w:rPr>
            <w:t>五、</w:t>
          </w:r>
          <w:r>
            <w:rPr>
              <w:rStyle w:val="18"/>
              <w:rFonts w:hint="eastAsia" w:eastAsia="黑体"/>
              <w:b/>
            </w:rPr>
            <w:t>一</w:t>
          </w:r>
          <w:r>
            <w:rPr>
              <w:rStyle w:val="18"/>
              <w:rFonts w:hint="eastAsia" w:eastAsia="黑体" w:cstheme="majorBidi"/>
              <w:bCs/>
            </w:rPr>
            <w:t>般公共预算财政拨款支出决算情况说明</w:t>
          </w:r>
          <w:r>
            <w:tab/>
          </w:r>
          <w:r>
            <w:fldChar w:fldCharType="begin"/>
          </w:r>
          <w:r>
            <w:instrText xml:space="preserve"> PAGEREF _Toc208479421 \h </w:instrText>
          </w:r>
          <w:r>
            <w:fldChar w:fldCharType="separate"/>
          </w:r>
          <w:r>
            <w:t>4</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"_Toc208479422" </w:instrText>
          </w:r>
          <w:r>
            <w:fldChar w:fldCharType="separate"/>
          </w:r>
          <w:r>
            <w:rPr>
              <w:rStyle w:val="18"/>
              <w:rFonts w:hint="eastAsia" w:eastAsia="黑体"/>
            </w:rPr>
            <w:t>六</w:t>
          </w:r>
          <w:r>
            <w:rPr>
              <w:rStyle w:val="18"/>
              <w:rFonts w:hint="eastAsia" w:eastAsia="黑体"/>
              <w:b/>
            </w:rPr>
            <w:t>、一</w:t>
          </w:r>
          <w:r>
            <w:rPr>
              <w:rStyle w:val="18"/>
              <w:rFonts w:hint="eastAsia" w:eastAsia="黑体" w:cstheme="majorBidi"/>
              <w:bCs/>
            </w:rPr>
            <w:t>般公共预算财政拨款基本支出决算情况说明</w:t>
          </w:r>
          <w:r>
            <w:tab/>
          </w:r>
          <w:r>
            <w:fldChar w:fldCharType="begin"/>
          </w:r>
          <w:r>
            <w:instrText xml:space="preserve"> PAGEREF _Toc208479422 \h </w:instrText>
          </w:r>
          <w:r>
            <w:fldChar w:fldCharType="separate"/>
          </w:r>
          <w:r>
            <w:t>7</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"_Toc208479423" </w:instrText>
          </w:r>
          <w:r>
            <w:fldChar w:fldCharType="separate"/>
          </w:r>
          <w:r>
            <w:rPr>
              <w:rStyle w:val="18"/>
              <w:rFonts w:hint="eastAsia" w:eastAsia="黑体"/>
            </w:rPr>
            <w:t>七、</w:t>
          </w:r>
          <w:r>
            <w:rPr>
              <w:rStyle w:val="18"/>
              <w:rFonts w:hint="eastAsia" w:eastAsia="黑体" w:cstheme="majorBidi"/>
              <w:bCs/>
            </w:rPr>
            <w:t>财政拨款</w:t>
          </w:r>
          <w:r>
            <w:rPr>
              <w:rStyle w:val="18"/>
              <w:rFonts w:eastAsia="黑体" w:cstheme="majorBidi"/>
              <w:b/>
              <w:bCs/>
            </w:rPr>
            <w:t>“</w:t>
          </w:r>
          <w:r>
            <w:rPr>
              <w:rStyle w:val="18"/>
              <w:rFonts w:hint="eastAsia" w:eastAsia="黑体" w:cstheme="majorBidi"/>
              <w:bCs/>
            </w:rPr>
            <w:t>三公”经费支出决算情况说明</w:t>
          </w:r>
          <w:r>
            <w:tab/>
          </w:r>
          <w:r>
            <w:fldChar w:fldCharType="begin"/>
          </w:r>
          <w:r>
            <w:instrText xml:space="preserve"> PAGEREF _Toc208479423 \h </w:instrText>
          </w:r>
          <w:r>
            <w:fldChar w:fldCharType="separate"/>
          </w:r>
          <w:r>
            <w:t>7</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"_Toc208479424" </w:instrText>
          </w:r>
          <w:r>
            <w:fldChar w:fldCharType="separate"/>
          </w:r>
          <w:r>
            <w:rPr>
              <w:rStyle w:val="18"/>
              <w:rFonts w:hint="eastAsia" w:eastAsia="黑体"/>
            </w:rPr>
            <w:t>八、</w:t>
          </w:r>
          <w:r>
            <w:rPr>
              <w:rStyle w:val="18"/>
              <w:rFonts w:hint="eastAsia" w:eastAsia="黑体" w:cstheme="majorBidi"/>
              <w:bCs/>
            </w:rPr>
            <w:t>政府性基金预算支出决算情况说明</w:t>
          </w:r>
          <w:r>
            <w:tab/>
          </w:r>
          <w:r>
            <w:fldChar w:fldCharType="begin"/>
          </w:r>
          <w:r>
            <w:instrText xml:space="preserve"> PAGEREF _Toc208479424 \h </w:instrText>
          </w:r>
          <w:r>
            <w:fldChar w:fldCharType="separate"/>
          </w:r>
          <w:r>
            <w:t>9</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"_Toc208479425" </w:instrText>
          </w:r>
          <w:r>
            <w:fldChar w:fldCharType="separate"/>
          </w:r>
          <w:r>
            <w:rPr>
              <w:rStyle w:val="18"/>
              <w:rFonts w:hint="eastAsia" w:eastAsia="黑体" w:cstheme="majorBidi"/>
              <w:bCs/>
            </w:rPr>
            <w:t>九、国有资本经营预算支出决算情况说明</w:t>
          </w:r>
          <w:r>
            <w:tab/>
          </w:r>
          <w:r>
            <w:fldChar w:fldCharType="begin"/>
          </w:r>
          <w:r>
            <w:instrText xml:space="preserve"> PAGEREF _Toc208479425 \h </w:instrText>
          </w:r>
          <w:r>
            <w:fldChar w:fldCharType="separate"/>
          </w:r>
          <w:r>
            <w:t>9</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"_Toc208479426" </w:instrText>
          </w:r>
          <w:r>
            <w:fldChar w:fldCharType="separate"/>
          </w:r>
          <w:r>
            <w:rPr>
              <w:rStyle w:val="18"/>
              <w:rFonts w:hint="eastAsia" w:eastAsia="黑体" w:cstheme="majorBidi"/>
              <w:bCs/>
            </w:rPr>
            <w:t>十、其他重要事项的情况说明</w:t>
          </w:r>
          <w:r>
            <w:tab/>
          </w:r>
          <w:r>
            <w:fldChar w:fldCharType="begin"/>
          </w:r>
          <w:r>
            <w:instrText xml:space="preserve"> PAGEREF _Toc208479426 \h </w:instrText>
          </w:r>
          <w:r>
            <w:fldChar w:fldCharType="separate"/>
          </w:r>
          <w:r>
            <w:t>9</w:t>
          </w:r>
          <w:r>
            <w:fldChar w:fldCharType="end"/>
          </w:r>
          <w:r>
            <w:fldChar w:fldCharType="end"/>
          </w:r>
        </w:p>
        <w:p>
          <w:pPr>
            <w:pStyle w:val="13"/>
            <w:rPr>
              <w:rFonts w:asciiTheme="minorHAnsi" w:hAnsiTheme="minorHAnsi" w:eastAsiaTheme="minorEastAsia" w:cstheme="minorBidi"/>
              <w:sz w:val="21"/>
              <w:szCs w:val="22"/>
            </w:rPr>
          </w:pPr>
          <w:r>
            <w:fldChar w:fldCharType="begin"/>
          </w:r>
          <w:r>
            <w:instrText xml:space="preserve"> HYPERLINK \l "_Toc208479427" </w:instrText>
          </w:r>
          <w:r>
            <w:fldChar w:fldCharType="separate"/>
          </w:r>
          <w:r>
            <w:rPr>
              <w:rStyle w:val="18"/>
              <w:rFonts w:hint="eastAsia" w:eastAsia="黑体"/>
            </w:rPr>
            <w:t>第三部分</w:t>
          </w:r>
          <w:r>
            <w:rPr>
              <w:rStyle w:val="18"/>
              <w:rFonts w:eastAsia="黑体"/>
            </w:rPr>
            <w:t xml:space="preserve">  </w:t>
          </w:r>
          <w:r>
            <w:rPr>
              <w:rStyle w:val="18"/>
              <w:rFonts w:hint="eastAsia" w:eastAsia="黑体"/>
            </w:rPr>
            <w:t>名词解释</w:t>
          </w:r>
          <w:r>
            <w:tab/>
          </w:r>
          <w:r>
            <w:fldChar w:fldCharType="begin"/>
          </w:r>
          <w:r>
            <w:instrText xml:space="preserve"> PAGEREF _Toc208479427 \h </w:instrText>
          </w:r>
          <w:r>
            <w:fldChar w:fldCharType="separate"/>
          </w:r>
          <w:r>
            <w:t>14</w:t>
          </w:r>
          <w:r>
            <w:fldChar w:fldCharType="end"/>
          </w:r>
          <w:r>
            <w:fldChar w:fldCharType="end"/>
          </w:r>
        </w:p>
        <w:p>
          <w:pPr>
            <w:pStyle w:val="13"/>
            <w:rPr>
              <w:rFonts w:asciiTheme="minorHAnsi" w:hAnsiTheme="minorHAnsi" w:eastAsiaTheme="minorEastAsia" w:cstheme="minorBidi"/>
              <w:sz w:val="21"/>
              <w:szCs w:val="22"/>
            </w:rPr>
          </w:pPr>
          <w:r>
            <w:fldChar w:fldCharType="begin"/>
          </w:r>
          <w:r>
            <w:instrText xml:space="preserve"> HYPERLINK \l "_Toc208479428" </w:instrText>
          </w:r>
          <w:r>
            <w:fldChar w:fldCharType="separate"/>
          </w:r>
          <w:r>
            <w:rPr>
              <w:rStyle w:val="18"/>
              <w:rFonts w:hint="eastAsia" w:eastAsia="黑体"/>
            </w:rPr>
            <w:t>第四部分</w:t>
          </w:r>
          <w:r>
            <w:rPr>
              <w:rStyle w:val="18"/>
              <w:rFonts w:eastAsia="黑体"/>
            </w:rPr>
            <w:t xml:space="preserve">  </w:t>
          </w:r>
          <w:r>
            <w:rPr>
              <w:rStyle w:val="18"/>
              <w:rFonts w:hint="eastAsia" w:eastAsia="黑体"/>
            </w:rPr>
            <w:t>附件</w:t>
          </w:r>
          <w:r>
            <w:tab/>
          </w:r>
          <w:r>
            <w:fldChar w:fldCharType="begin"/>
          </w:r>
          <w:r>
            <w:instrText xml:space="preserve"> PAGEREF _Toc208479428 \h </w:instrText>
          </w:r>
          <w:r>
            <w:fldChar w:fldCharType="separate"/>
          </w:r>
          <w:r>
            <w:t>17</w:t>
          </w:r>
          <w:r>
            <w:fldChar w:fldCharType="end"/>
          </w:r>
          <w:r>
            <w:fldChar w:fldCharType="end"/>
          </w:r>
        </w:p>
        <w:p>
          <w:pPr>
            <w:pStyle w:val="13"/>
            <w:rPr>
              <w:rFonts w:asciiTheme="minorHAnsi" w:hAnsiTheme="minorHAnsi" w:eastAsiaTheme="minorEastAsia" w:cstheme="minorBidi"/>
              <w:sz w:val="21"/>
              <w:szCs w:val="22"/>
            </w:rPr>
          </w:pPr>
          <w:r>
            <w:fldChar w:fldCharType="begin"/>
          </w:r>
          <w:r>
            <w:instrText xml:space="preserve"> HYPERLINK \l "_Toc208479429" </w:instrText>
          </w:r>
          <w:r>
            <w:fldChar w:fldCharType="separate"/>
          </w:r>
          <w:r>
            <w:rPr>
              <w:rStyle w:val="18"/>
              <w:rFonts w:hint="eastAsia" w:eastAsia="黑体"/>
            </w:rPr>
            <w:t>第</w:t>
          </w:r>
          <w:r>
            <w:rPr>
              <w:rStyle w:val="18"/>
              <w:rFonts w:hint="eastAsia" w:eastAsia="黑体"/>
              <w:bCs/>
              <w:kern w:val="44"/>
            </w:rPr>
            <w:t>五部分</w:t>
          </w:r>
          <w:r>
            <w:rPr>
              <w:rStyle w:val="18"/>
              <w:rFonts w:eastAsia="黑体"/>
              <w:bCs/>
              <w:kern w:val="44"/>
            </w:rPr>
            <w:t xml:space="preserve"> </w:t>
          </w:r>
          <w:r>
            <w:rPr>
              <w:rStyle w:val="18"/>
              <w:rFonts w:hint="eastAsia" w:eastAsia="黑体"/>
              <w:bCs/>
              <w:kern w:val="44"/>
            </w:rPr>
            <w:t>附表</w:t>
          </w:r>
          <w:r>
            <w:tab/>
          </w:r>
          <w:r>
            <w:fldChar w:fldCharType="begin"/>
          </w:r>
          <w:r>
            <w:instrText xml:space="preserve"> PAGEREF _Toc208479429 \h </w:instrText>
          </w:r>
          <w:r>
            <w:fldChar w:fldCharType="separate"/>
          </w:r>
          <w:r>
            <w:t>31</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"_Toc208479430" </w:instrText>
          </w:r>
          <w:r>
            <w:fldChar w:fldCharType="separate"/>
          </w:r>
          <w:r>
            <w:rPr>
              <w:rStyle w:val="18"/>
              <w:rFonts w:hint="eastAsia" w:eastAsia="仿宋_GB2312" w:cs="仿宋_GB2312"/>
            </w:rPr>
            <w:t>一、收入支出决算总表</w:t>
          </w:r>
          <w:r>
            <w:tab/>
          </w:r>
          <w:r>
            <w:fldChar w:fldCharType="begin"/>
          </w:r>
          <w:r>
            <w:instrText xml:space="preserve"> PAGEREF _Toc208479430 \h </w:instrText>
          </w:r>
          <w:r>
            <w:fldChar w:fldCharType="separate"/>
          </w:r>
          <w:r>
            <w:t>31</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"_Toc208479431" </w:instrText>
          </w:r>
          <w:r>
            <w:fldChar w:fldCharType="separate"/>
          </w:r>
          <w:r>
            <w:rPr>
              <w:rStyle w:val="18"/>
              <w:rFonts w:hint="eastAsia" w:eastAsia="仿宋_GB2312" w:cs="仿宋_GB2312"/>
            </w:rPr>
            <w:t>二、收入决算表</w:t>
          </w:r>
          <w:r>
            <w:tab/>
          </w:r>
          <w:r>
            <w:fldChar w:fldCharType="begin"/>
          </w:r>
          <w:r>
            <w:instrText xml:space="preserve"> PAGEREF _Toc208479431 \h </w:instrText>
          </w:r>
          <w:r>
            <w:fldChar w:fldCharType="separate"/>
          </w:r>
          <w:r>
            <w:t>31</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"_Toc208479432" </w:instrText>
          </w:r>
          <w:r>
            <w:fldChar w:fldCharType="separate"/>
          </w:r>
          <w:r>
            <w:rPr>
              <w:rStyle w:val="18"/>
              <w:rFonts w:hint="eastAsia" w:eastAsia="仿宋_GB2312" w:cs="仿宋_GB2312"/>
            </w:rPr>
            <w:t>三、支出决算表</w:t>
          </w:r>
          <w:r>
            <w:tab/>
          </w:r>
          <w:r>
            <w:fldChar w:fldCharType="begin"/>
          </w:r>
          <w:r>
            <w:instrText xml:space="preserve"> PAGEREF _Toc208479432 \h </w:instrText>
          </w:r>
          <w:r>
            <w:fldChar w:fldCharType="separate"/>
          </w:r>
          <w:r>
            <w:t>31</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"_Toc208479433" </w:instrText>
          </w:r>
          <w:r>
            <w:fldChar w:fldCharType="separate"/>
          </w:r>
          <w:r>
            <w:rPr>
              <w:rStyle w:val="18"/>
              <w:rFonts w:hint="eastAsia" w:eastAsia="仿宋_GB2312" w:cs="仿宋_GB2312"/>
            </w:rPr>
            <w:t>四、财政拨款收入支出决算总表</w:t>
          </w:r>
          <w:r>
            <w:tab/>
          </w:r>
          <w:r>
            <w:fldChar w:fldCharType="begin"/>
          </w:r>
          <w:r>
            <w:instrText xml:space="preserve"> PAGEREF _Toc208479433 \h </w:instrText>
          </w:r>
          <w:r>
            <w:fldChar w:fldCharType="separate"/>
          </w:r>
          <w:r>
            <w:t>31</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"_Toc208479434" </w:instrText>
          </w:r>
          <w:r>
            <w:fldChar w:fldCharType="separate"/>
          </w:r>
          <w:r>
            <w:rPr>
              <w:rStyle w:val="18"/>
              <w:rFonts w:hint="eastAsia" w:eastAsia="仿宋_GB2312" w:cs="仿宋_GB2312"/>
            </w:rPr>
            <w:t>五、财政拨款支出决算明细表</w:t>
          </w:r>
          <w:r>
            <w:tab/>
          </w:r>
          <w:r>
            <w:fldChar w:fldCharType="begin"/>
          </w:r>
          <w:r>
            <w:instrText xml:space="preserve"> PAGEREF _Toc208479434 \h </w:instrText>
          </w:r>
          <w:r>
            <w:fldChar w:fldCharType="separate"/>
          </w:r>
          <w:r>
            <w:t>31</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"_Toc208479435" </w:instrText>
          </w:r>
          <w:r>
            <w:fldChar w:fldCharType="separate"/>
          </w:r>
          <w:r>
            <w:rPr>
              <w:rStyle w:val="18"/>
              <w:rFonts w:hint="eastAsia" w:eastAsia="仿宋_GB2312" w:cs="仿宋_GB2312"/>
            </w:rPr>
            <w:t>六、一般公共预算财政拨款支出决算表</w:t>
          </w:r>
          <w:r>
            <w:tab/>
          </w:r>
          <w:r>
            <w:fldChar w:fldCharType="begin"/>
          </w:r>
          <w:r>
            <w:instrText xml:space="preserve"> PAGEREF _Toc208479435 \h </w:instrText>
          </w:r>
          <w:r>
            <w:fldChar w:fldCharType="separate"/>
          </w:r>
          <w:r>
            <w:t>31</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"_Toc208479436" </w:instrText>
          </w:r>
          <w:r>
            <w:fldChar w:fldCharType="separate"/>
          </w:r>
          <w:r>
            <w:rPr>
              <w:rStyle w:val="18"/>
              <w:rFonts w:hint="eastAsia" w:eastAsia="仿宋_GB2312" w:cs="仿宋_GB2312"/>
            </w:rPr>
            <w:t>七、一般公共预算财政拨款支出决算明细表</w:t>
          </w:r>
          <w:r>
            <w:tab/>
          </w:r>
          <w:r>
            <w:fldChar w:fldCharType="begin"/>
          </w:r>
          <w:r>
            <w:instrText xml:space="preserve"> PAGEREF _Toc208479436 \h </w:instrText>
          </w:r>
          <w:r>
            <w:fldChar w:fldCharType="separate"/>
          </w:r>
          <w:r>
            <w:t>31</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"_Toc208479437" </w:instrText>
          </w:r>
          <w:r>
            <w:fldChar w:fldCharType="separate"/>
          </w:r>
          <w:r>
            <w:rPr>
              <w:rStyle w:val="18"/>
              <w:rFonts w:hint="eastAsia" w:eastAsia="仿宋_GB2312" w:cs="仿宋_GB2312"/>
            </w:rPr>
            <w:t>八、一般公共预算财政拨款基本支出决算表</w:t>
          </w:r>
          <w:r>
            <w:tab/>
          </w:r>
          <w:r>
            <w:fldChar w:fldCharType="begin"/>
          </w:r>
          <w:r>
            <w:instrText xml:space="preserve"> PAGEREF _Toc208479437 \h </w:instrText>
          </w:r>
          <w:r>
            <w:fldChar w:fldCharType="separate"/>
          </w:r>
          <w:r>
            <w:t>31</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"_Toc208479438" </w:instrText>
          </w:r>
          <w:r>
            <w:fldChar w:fldCharType="separate"/>
          </w:r>
          <w:r>
            <w:rPr>
              <w:rStyle w:val="18"/>
              <w:rFonts w:hint="eastAsia" w:eastAsia="仿宋_GB2312" w:cs="仿宋_GB2312"/>
            </w:rPr>
            <w:t>九、一般公共预算财政拨款项目支出决算表</w:t>
          </w:r>
          <w:r>
            <w:tab/>
          </w:r>
          <w:r>
            <w:fldChar w:fldCharType="begin"/>
          </w:r>
          <w:r>
            <w:instrText xml:space="preserve"> PAGEREF _Toc208479438 \h </w:instrText>
          </w:r>
          <w:r>
            <w:fldChar w:fldCharType="separate"/>
          </w:r>
          <w:r>
            <w:t>31</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"_Toc208479439" </w:instrText>
          </w:r>
          <w:r>
            <w:fldChar w:fldCharType="separate"/>
          </w:r>
          <w:r>
            <w:rPr>
              <w:rStyle w:val="18"/>
              <w:rFonts w:hint="eastAsia" w:eastAsia="仿宋_GB2312" w:cs="仿宋_GB2312"/>
            </w:rPr>
            <w:t>十、政府性基金预算财政拨款收入支出决算表</w:t>
          </w:r>
          <w:r>
            <w:tab/>
          </w:r>
          <w:r>
            <w:fldChar w:fldCharType="begin"/>
          </w:r>
          <w:r>
            <w:instrText xml:space="preserve"> PAGEREF _Toc208479439 \h </w:instrText>
          </w:r>
          <w:r>
            <w:fldChar w:fldCharType="separate"/>
          </w:r>
          <w:r>
            <w:t>31</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"_Toc208479440" </w:instrText>
          </w:r>
          <w:r>
            <w:fldChar w:fldCharType="separate"/>
          </w:r>
          <w:r>
            <w:rPr>
              <w:rStyle w:val="18"/>
              <w:rFonts w:hint="eastAsia" w:eastAsia="仿宋_GB2312" w:cs="仿宋_GB2312"/>
            </w:rPr>
            <w:t>十一、国有资本经营预算财政拨款收入支出决算表</w:t>
          </w:r>
          <w:r>
            <w:tab/>
          </w:r>
          <w:r>
            <w:fldChar w:fldCharType="begin"/>
          </w:r>
          <w:r>
            <w:instrText xml:space="preserve"> PAGEREF _Toc208479440 \h </w:instrText>
          </w:r>
          <w:r>
            <w:fldChar w:fldCharType="separate"/>
          </w:r>
          <w:r>
            <w:t>31</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"_Toc208479441" </w:instrText>
          </w:r>
          <w:r>
            <w:fldChar w:fldCharType="separate"/>
          </w:r>
          <w:r>
            <w:rPr>
              <w:rStyle w:val="18"/>
              <w:rFonts w:hint="eastAsia" w:eastAsia="仿宋_GB2312" w:cs="仿宋_GB2312"/>
            </w:rPr>
            <w:t>十二、国有资本经营预算财政拨款支出决算表</w:t>
          </w:r>
          <w:r>
            <w:tab/>
          </w:r>
          <w:r>
            <w:fldChar w:fldCharType="begin"/>
          </w:r>
          <w:r>
            <w:instrText xml:space="preserve"> PAGEREF _Toc208479441 \h </w:instrText>
          </w:r>
          <w:r>
            <w:fldChar w:fldCharType="separate"/>
          </w:r>
          <w:r>
            <w:t>31</w:t>
          </w:r>
          <w:r>
            <w:fldChar w:fldCharType="end"/>
          </w:r>
          <w:r>
            <w:fldChar w:fldCharType="end"/>
          </w:r>
        </w:p>
        <w:p>
          <w:pPr>
            <w:pStyle w:val="14"/>
            <w:rPr>
              <w:rFonts w:asciiTheme="minorHAnsi" w:hAnsiTheme="minorHAnsi" w:eastAsiaTheme="minorEastAsia" w:cstheme="minorBidi"/>
              <w:szCs w:val="22"/>
            </w:rPr>
          </w:pPr>
          <w:r>
            <w:fldChar w:fldCharType="begin"/>
          </w:r>
          <w:r>
            <w:instrText xml:space="preserve"> HYPERLINK \l "_Toc208479442" </w:instrText>
          </w:r>
          <w:r>
            <w:fldChar w:fldCharType="separate"/>
          </w:r>
          <w:r>
            <w:rPr>
              <w:rStyle w:val="18"/>
              <w:rFonts w:hint="eastAsia" w:eastAsia="仿宋_GB2312" w:cs="仿宋_GB2312"/>
            </w:rPr>
            <w:t>十三、财政拨款“三公”经费支出决算表</w:t>
          </w:r>
          <w:r>
            <w:tab/>
          </w:r>
          <w:r>
            <w:fldChar w:fldCharType="begin"/>
          </w:r>
          <w:r>
            <w:instrText xml:space="preserve"> PAGEREF _Toc208479442 \h </w:instrText>
          </w:r>
          <w:r>
            <w:fldChar w:fldCharType="separate"/>
          </w:r>
          <w:r>
            <w:t>31</w:t>
          </w:r>
          <w:r>
            <w:fldChar w:fldCharType="end"/>
          </w:r>
          <w:r>
            <w:fldChar w:fldCharType="end"/>
          </w:r>
        </w:p>
        <w:p>
          <w:r>
            <w:rPr>
              <w:b/>
              <w:bCs/>
              <w:lang w:val="zh-CN"/>
            </w:rPr>
            <w:fldChar w:fldCharType="end"/>
          </w:r>
        </w:p>
      </w:sdtContent>
    </w:sdt>
    <w:p>
      <w:pPr>
        <w:pStyle w:val="5"/>
        <w:jc w:val="center"/>
        <w:rPr>
          <w:rFonts w:hint="eastAsia" w:eastAsia="方正小标宋简体" w:cs="方正小标宋简体"/>
          <w:b w:val="0"/>
        </w:rPr>
        <w:sectPr>
          <w:footerReference r:id="rId6" w:type="first"/>
          <w:footerReference r:id="rId5" w:type="default"/>
          <w:pgSz w:w="11906" w:h="16838"/>
          <w:pgMar w:top="1440" w:right="1800" w:bottom="1440" w:left="1800" w:header="851" w:footer="992" w:gutter="0"/>
          <w:pgNumType w:fmt="numberInDash" w:start="1"/>
          <w:cols w:space="425" w:num="1"/>
          <w:titlePg/>
          <w:docGrid w:type="lines" w:linePitch="312" w:charSpace="0"/>
        </w:sectPr>
      </w:pPr>
      <w:bookmarkStart w:id="6" w:name="_Toc15396599"/>
      <w:bookmarkStart w:id="7" w:name="_Toc15377196"/>
      <w:bookmarkStart w:id="8" w:name="_Toc208479413"/>
    </w:p>
    <w:p>
      <w:pPr>
        <w:pStyle w:val="5"/>
        <w:jc w:val="center"/>
        <w:rPr>
          <w:rStyle w:val="19"/>
          <w:rFonts w:eastAsia="方正小标宋简体" w:cs="方正小标宋简体"/>
          <w:b/>
          <w:bCs w:val="0"/>
        </w:rPr>
      </w:pPr>
      <w:r>
        <w:rPr>
          <w:rFonts w:hint="eastAsia" w:eastAsia="方正小标宋简体" w:cs="方正小标宋简体"/>
          <w:b w:val="0"/>
        </w:rPr>
        <w:t xml:space="preserve">第一部分  </w:t>
      </w:r>
      <w:r>
        <w:rPr>
          <w:rStyle w:val="19"/>
          <w:rFonts w:hint="eastAsia" w:eastAsia="方正小标宋简体" w:cs="方正小标宋简体"/>
          <w:b w:val="0"/>
          <w:bCs w:val="0"/>
        </w:rPr>
        <w:t>部门概况</w:t>
      </w:r>
      <w:bookmarkEnd w:id="6"/>
      <w:bookmarkEnd w:id="7"/>
      <w:bookmarkEnd w:id="8"/>
    </w:p>
    <w:p>
      <w:pPr>
        <w:pStyle w:val="6"/>
        <w:rPr>
          <w:rFonts w:ascii="Times New Roman" w:hAnsi="Times New Roman" w:eastAsia="黑体"/>
          <w:b w:val="0"/>
        </w:rPr>
      </w:pPr>
      <w:bookmarkStart w:id="9" w:name="_Toc15396600"/>
      <w:bookmarkStart w:id="10" w:name="_Toc15377197"/>
      <w:bookmarkStart w:id="11" w:name="_Toc208479414"/>
      <w:r>
        <w:rPr>
          <w:rFonts w:hint="eastAsia" w:ascii="Times New Roman" w:hAnsi="Times New Roman" w:eastAsia="黑体"/>
          <w:b w:val="0"/>
        </w:rPr>
        <w:t>一、</w:t>
      </w:r>
      <w:bookmarkEnd w:id="9"/>
      <w:bookmarkEnd w:id="10"/>
      <w:r>
        <w:rPr>
          <w:rFonts w:hint="eastAsia" w:ascii="Times New Roman" w:hAnsi="Times New Roman" w:eastAsia="黑体"/>
          <w:b w:val="0"/>
        </w:rPr>
        <w:t>部门职责</w:t>
      </w:r>
      <w:bookmarkEnd w:id="11"/>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（一）主要职能。</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1.负责本行政区域内气象事业发展规划、计划及气象业务建设的组织实施；</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2.管理本行政区域内公众气象预报、灾害性天气警报以及农业气象预报、城市环境气象预报、火险气象等级预报等专业气象预报的发布；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3.管理本行政区域内人工影响天气，指导和组织人工影响天气作业；</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4.组织管理雷电灾害防御，会同有关部门指导对可能遭受袭击的建筑物、构筑物和和其他设施装的雷电灾害防护装置的检测工作；</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5.协助地方党委和人民政府做好当地气象部门的精神文明建设和思想政治工作；</w:t>
      </w:r>
    </w:p>
    <w:p>
      <w:pPr>
        <w:spacing w:line="560" w:lineRule="exact"/>
        <w:ind w:firstLine="640" w:firstLineChars="200"/>
      </w:pPr>
      <w:r>
        <w:rPr>
          <w:rFonts w:hint="eastAsia" w:ascii="仿宋_GB2312" w:hAnsi="仿宋_GB2312" w:eastAsia="仿宋_GB2312" w:cs="仿宋_GB2312"/>
          <w:sz w:val="32"/>
          <w:szCs w:val="32"/>
        </w:rPr>
        <w:t>6.承担上级气象主管机构和本级人民政府交办的其他事项。</w:t>
      </w:r>
    </w:p>
    <w:p>
      <w:pPr>
        <w:pStyle w:val="6"/>
        <w:rPr>
          <w:rStyle w:val="20"/>
          <w:rFonts w:ascii="Times New Roman" w:hAnsi="Times New Roman"/>
          <w:b w:val="0"/>
          <w:bCs w:val="0"/>
        </w:rPr>
      </w:pPr>
      <w:bookmarkStart w:id="12" w:name="_Toc15396601"/>
      <w:bookmarkStart w:id="13" w:name="_Toc208479415"/>
      <w:bookmarkStart w:id="14" w:name="_Toc15377200"/>
      <w:r>
        <w:rPr>
          <w:rFonts w:hint="eastAsia" w:ascii="Times New Roman" w:hAnsi="Times New Roman" w:eastAsia="黑体"/>
          <w:b w:val="0"/>
        </w:rPr>
        <w:t>二、机</w:t>
      </w:r>
      <w:r>
        <w:rPr>
          <w:rStyle w:val="20"/>
          <w:rFonts w:hint="eastAsia" w:ascii="Times New Roman" w:hAnsi="Times New Roman" w:eastAsia="黑体"/>
          <w:b w:val="0"/>
          <w:bCs w:val="0"/>
        </w:rPr>
        <w:t>构设置</w:t>
      </w:r>
      <w:bookmarkEnd w:id="12"/>
      <w:bookmarkEnd w:id="13"/>
      <w:bookmarkEnd w:id="14"/>
    </w:p>
    <w:p>
      <w:pPr>
        <w:ind w:firstLine="800" w:firstLineChars="250"/>
        <w:rPr>
          <w:rFonts w:eastAsia="仿宋_GB2312" w:cs="仿宋_GB2312"/>
          <w:sz w:val="32"/>
          <w:szCs w:val="32"/>
        </w:rPr>
      </w:pPr>
      <w:r>
        <w:rPr>
          <w:rFonts w:hint="eastAsia" w:ascii="仿宋_GB2312" w:hAnsi="仿宋_GB2312" w:eastAsia="仿宋_GB2312" w:cs="仿宋_GB2312"/>
          <w:sz w:val="32"/>
          <w:szCs w:val="32"/>
        </w:rPr>
        <w:t>广元市气象局</w:t>
      </w:r>
      <w:r>
        <w:rPr>
          <w:rFonts w:hint="eastAsia" w:eastAsia="仿宋_GB2312" w:cs="仿宋_GB2312"/>
          <w:sz w:val="32"/>
          <w:szCs w:val="32"/>
        </w:rPr>
        <w:t>下属二级预算单位0个，其中行政单位0个，参照公务员法管理的事业单位</w:t>
      </w:r>
      <w:r>
        <w:rPr>
          <w:rFonts w:hint="eastAsia" w:eastAsia="仿宋_GB2312" w:cs="仿宋_GB2312"/>
          <w:bCs/>
          <w:sz w:val="32"/>
          <w:szCs w:val="32"/>
        </w:rPr>
        <w:t>0</w:t>
      </w:r>
      <w:r>
        <w:rPr>
          <w:rFonts w:hint="eastAsia" w:eastAsia="仿宋_GB2312" w:cs="仿宋_GB2312"/>
          <w:sz w:val="32"/>
          <w:szCs w:val="32"/>
        </w:rPr>
        <w:t>个，其他事业单位0个。</w:t>
      </w:r>
    </w:p>
    <w:p>
      <w:pPr>
        <w:pStyle w:val="5"/>
        <w:jc w:val="center"/>
        <w:rPr>
          <w:rFonts w:eastAsia="方正小标宋简体" w:cs="方正小标宋简体"/>
          <w:b w:val="0"/>
        </w:rPr>
      </w:pPr>
      <w:bookmarkStart w:id="15" w:name="_Toc208479416"/>
      <w:bookmarkStart w:id="16" w:name="_Toc15396602"/>
      <w:bookmarkStart w:id="17" w:name="_Toc15377204"/>
      <w:r>
        <w:rPr>
          <w:rFonts w:hint="eastAsia" w:eastAsia="方正小标宋简体" w:cs="方正小标宋简体"/>
          <w:b w:val="0"/>
        </w:rPr>
        <w:t>第二部分  2024年度部门决算情况说明</w:t>
      </w:r>
      <w:bookmarkEnd w:id="15"/>
      <w:bookmarkEnd w:id="16"/>
      <w:bookmarkEnd w:id="17"/>
    </w:p>
    <w:p/>
    <w:p>
      <w:pPr>
        <w:pStyle w:val="30"/>
        <w:spacing w:line="600" w:lineRule="exact"/>
        <w:ind w:firstLine="640"/>
        <w:outlineLvl w:val="1"/>
        <w:rPr>
          <w:rStyle w:val="20"/>
          <w:rFonts w:ascii="Times New Roman" w:hAnsi="Times New Roman" w:eastAsia="黑体"/>
          <w:b w:val="0"/>
        </w:rPr>
      </w:pPr>
      <w:bookmarkStart w:id="18" w:name="_Toc15377205"/>
      <w:bookmarkStart w:id="19" w:name="_Toc15396603"/>
      <w:bookmarkStart w:id="20" w:name="_Toc208479417"/>
      <w:r>
        <w:rPr>
          <w:rFonts w:hint="eastAsia" w:eastAsia="黑体"/>
          <w:sz w:val="32"/>
          <w:szCs w:val="32"/>
        </w:rPr>
        <w:t>一、收</w:t>
      </w:r>
      <w:r>
        <w:rPr>
          <w:rStyle w:val="20"/>
          <w:rFonts w:hint="eastAsia" w:ascii="Times New Roman" w:hAnsi="Times New Roman" w:eastAsia="黑体"/>
          <w:b w:val="0"/>
        </w:rPr>
        <w:t>入支出决算总体情况说明</w:t>
      </w:r>
      <w:bookmarkEnd w:id="18"/>
      <w:bookmarkEnd w:id="19"/>
      <w:bookmarkEnd w:id="20"/>
    </w:p>
    <w:p>
      <w:pPr>
        <w:pStyle w:val="30"/>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2024年</w:t>
      </w:r>
      <w:r>
        <w:rPr>
          <w:rFonts w:hint="eastAsia" w:eastAsia="仿宋_GB2312" w:cs="仿宋_GB2312"/>
          <w:sz w:val="32"/>
          <w:szCs w:val="32"/>
        </w:rPr>
        <w:t>度收入、支出总计均为</w:t>
      </w:r>
      <w:r>
        <w:rPr>
          <w:rFonts w:hint="eastAsia" w:ascii="仿宋_GB2312" w:hAnsi="仿宋_GB2312" w:eastAsia="仿宋_GB2312" w:cs="仿宋_GB2312"/>
          <w:sz w:val="32"/>
          <w:szCs w:val="32"/>
        </w:rPr>
        <w:t>495.9</w:t>
      </w:r>
      <w:r>
        <w:rPr>
          <w:rFonts w:hint="eastAsia" w:eastAsia="仿宋_GB2312" w:cs="仿宋_GB2312"/>
          <w:sz w:val="32"/>
          <w:szCs w:val="32"/>
        </w:rPr>
        <w:t>万元。与</w:t>
      </w:r>
      <w:r>
        <w:rPr>
          <w:rFonts w:hint="eastAsia" w:ascii="仿宋_GB2312" w:hAnsi="仿宋_GB2312" w:eastAsia="仿宋_GB2312" w:cs="仿宋_GB2312"/>
          <w:sz w:val="32"/>
          <w:szCs w:val="32"/>
        </w:rPr>
        <w:t>2023</w:t>
      </w:r>
      <w:r>
        <w:rPr>
          <w:rFonts w:hint="eastAsia" w:eastAsia="仿宋_GB2312" w:cs="仿宋_GB2312"/>
          <w:sz w:val="32"/>
          <w:szCs w:val="32"/>
        </w:rPr>
        <w:t>年度相比，收入、支出总计各增加</w:t>
      </w:r>
      <w:r>
        <w:rPr>
          <w:rFonts w:hint="eastAsia" w:ascii="仿宋_GB2312" w:hAnsi="仿宋_GB2312" w:eastAsia="仿宋_GB2312" w:cs="仿宋_GB2312"/>
          <w:sz w:val="32"/>
          <w:szCs w:val="32"/>
        </w:rPr>
        <w:t>11.52万元，增长2.38%。</w:t>
      </w:r>
      <w:r>
        <w:rPr>
          <w:rFonts w:hint="eastAsia" w:eastAsia="仿宋_GB2312" w:cs="仿宋_GB2312"/>
          <w:sz w:val="32"/>
          <w:szCs w:val="32"/>
        </w:rPr>
        <w:t>主要变动原因是常规维持项目增加</w:t>
      </w:r>
      <w:r>
        <w:rPr>
          <w:rFonts w:hint="eastAsia" w:ascii="仿宋_GB2312" w:hAnsi="仿宋_GB2312" w:eastAsia="仿宋_GB2312" w:cs="仿宋_GB2312"/>
          <w:sz w:val="32"/>
          <w:szCs w:val="32"/>
        </w:rPr>
        <w:t>5%。</w:t>
      </w:r>
    </w:p>
    <w:p>
      <w:pPr>
        <w:ind w:firstLine="640" w:firstLineChars="200"/>
        <w:rPr>
          <w:rFonts w:eastAsia="仿宋_GB2312" w:cs="仿宋_GB2312"/>
          <w:sz w:val="32"/>
          <w:szCs w:val="32"/>
        </w:rPr>
      </w:pPr>
      <w:r>
        <w:rPr>
          <w:rFonts w:hint="eastAsia" w:eastAsia="仿宋_GB2312" w:cs="仿宋_GB2312"/>
          <w:sz w:val="32"/>
          <w:szCs w:val="32"/>
        </w:rPr>
        <w:t>（图1：收入、支出决算总计变动情况图）（柱状图）</w:t>
      </w:r>
    </w:p>
    <w:p>
      <w:pPr>
        <w:ind w:firstLine="640" w:firstLineChars="200"/>
        <w:rPr>
          <w:rFonts w:eastAsia="仿宋_GB2312" w:cs="仿宋_GB2312"/>
          <w:sz w:val="32"/>
          <w:szCs w:val="32"/>
        </w:rPr>
      </w:pPr>
      <w:r>
        <w:rPr>
          <w:rFonts w:eastAsia="仿宋_GB2312" w:cs="仿宋_GB2312"/>
          <w:sz w:val="32"/>
          <w:szCs w:val="32"/>
        </w:rPr>
        <w:drawing>
          <wp:inline distT="0" distB="0" distL="0" distR="0">
            <wp:extent cx="4925695" cy="3438525"/>
            <wp:effectExtent l="0" t="0" r="8255" b="9525"/>
            <wp:docPr id="1"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true" noChangeArrowheads="true"/>
                    </pic:cNvPicPr>
                  </pic:nvPicPr>
                  <pic:blipFill>
                    <a:blip r:embed="rId10">
                      <a:extLst>
                        <a:ext uri="{28A0092B-C50C-407E-A947-70E740481C1C}">
                          <a14:useLocalDpi xmlns:a14="http://schemas.microsoft.com/office/drawing/2010/main" val="false"/>
                        </a:ext>
                      </a:extLst>
                    </a:blip>
                    <a:srcRect/>
                    <a:stretch>
                      <a:fillRect/>
                    </a:stretch>
                  </pic:blipFill>
                  <pic:spPr>
                    <a:xfrm>
                      <a:off x="0" y="0"/>
                      <a:ext cx="4925695" cy="3438525"/>
                    </a:xfrm>
                    <a:prstGeom prst="rect">
                      <a:avLst/>
                    </a:prstGeom>
                    <a:noFill/>
                  </pic:spPr>
                </pic:pic>
              </a:graphicData>
            </a:graphic>
          </wp:inline>
        </w:drawing>
      </w:r>
    </w:p>
    <w:p>
      <w:pPr>
        <w:pStyle w:val="30"/>
        <w:spacing w:line="600" w:lineRule="exact"/>
        <w:ind w:firstLine="640"/>
        <w:outlineLvl w:val="1"/>
        <w:rPr>
          <w:rFonts w:eastAsia="黑体"/>
          <w:sz w:val="32"/>
          <w:szCs w:val="32"/>
        </w:rPr>
      </w:pPr>
      <w:bookmarkStart w:id="21" w:name="_Toc15396604"/>
      <w:bookmarkStart w:id="22" w:name="_Toc208479418"/>
      <w:bookmarkStart w:id="23" w:name="_Toc15377206"/>
      <w:r>
        <w:rPr>
          <w:rFonts w:hint="eastAsia" w:eastAsia="黑体"/>
          <w:sz w:val="32"/>
          <w:szCs w:val="32"/>
        </w:rPr>
        <w:t>二、收入决算情况说明</w:t>
      </w:r>
      <w:bookmarkEnd w:id="21"/>
      <w:bookmarkEnd w:id="22"/>
      <w:bookmarkEnd w:id="23"/>
    </w:p>
    <w:p>
      <w:pPr>
        <w:pStyle w:val="30"/>
        <w:spacing w:line="600" w:lineRule="exact"/>
        <w:ind w:firstLine="640"/>
        <w:jc w:val="left"/>
        <w:rPr>
          <w:rFonts w:eastAsia="仿宋_GB2312" w:cs="仿宋_GB2312"/>
          <w:b/>
          <w:bCs/>
          <w:sz w:val="32"/>
          <w:szCs w:val="32"/>
        </w:rPr>
      </w:pPr>
      <w:r>
        <w:rPr>
          <w:rFonts w:hint="eastAsia" w:ascii="仿宋_GB2312" w:hAnsi="仿宋_GB2312" w:eastAsia="仿宋_GB2312" w:cs="仿宋_GB2312"/>
          <w:sz w:val="32"/>
          <w:szCs w:val="32"/>
        </w:rPr>
        <w:t>2024年度本年收入合计495.9万元，其中：一般公共预算财政拨款收入495.9万元，占100%。</w:t>
      </w:r>
    </w:p>
    <w:p>
      <w:pPr>
        <w:ind w:firstLine="800" w:firstLineChars="250"/>
        <w:rPr>
          <w:rFonts w:eastAsia="仿宋_GB2312" w:cs="仿宋_GB2312"/>
          <w:sz w:val="32"/>
          <w:szCs w:val="32"/>
        </w:rPr>
      </w:pPr>
      <w:r>
        <w:rPr>
          <w:rFonts w:hint="eastAsia" w:eastAsia="仿宋_GB2312" w:cs="仿宋_GB2312"/>
          <w:sz w:val="32"/>
          <w:szCs w:val="32"/>
        </w:rPr>
        <w:t>（图2：收入决算结构图）（饼状图）</w:t>
      </w:r>
    </w:p>
    <w:p>
      <w:pPr>
        <w:ind w:firstLine="800" w:firstLineChars="250"/>
        <w:rPr>
          <w:rFonts w:eastAsia="仿宋_GB2312" w:cs="仿宋_GB2312"/>
          <w:sz w:val="32"/>
          <w:szCs w:val="32"/>
        </w:rPr>
      </w:pPr>
      <w:r>
        <w:rPr>
          <w:rFonts w:eastAsia="仿宋_GB2312" w:cs="仿宋_GB2312"/>
          <w:sz w:val="32"/>
          <w:szCs w:val="32"/>
        </w:rPr>
        <w:drawing>
          <wp:inline distT="0" distB="0" distL="0" distR="0">
            <wp:extent cx="4725035" cy="2792095"/>
            <wp:effectExtent l="0" t="0" r="0" b="8255"/>
            <wp:docPr id="2" name="图片 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true" noChangeArrowheads="true"/>
                    </pic:cNvPicPr>
                  </pic:nvPicPr>
                  <pic:blipFill>
                    <a:blip r:embed="rId11">
                      <a:extLst>
                        <a:ext uri="{28A0092B-C50C-407E-A947-70E740481C1C}">
                          <a14:useLocalDpi xmlns:a14="http://schemas.microsoft.com/office/drawing/2010/main" val="false"/>
                        </a:ext>
                      </a:extLst>
                    </a:blip>
                    <a:srcRect/>
                    <a:stretch>
                      <a:fillRect/>
                    </a:stretch>
                  </pic:blipFill>
                  <pic:spPr>
                    <a:xfrm>
                      <a:off x="0" y="0"/>
                      <a:ext cx="4725035" cy="2792095"/>
                    </a:xfrm>
                    <a:prstGeom prst="rect">
                      <a:avLst/>
                    </a:prstGeom>
                    <a:noFill/>
                  </pic:spPr>
                </pic:pic>
              </a:graphicData>
            </a:graphic>
          </wp:inline>
        </w:drawing>
      </w:r>
    </w:p>
    <w:p>
      <w:pPr>
        <w:pStyle w:val="30"/>
        <w:spacing w:line="600" w:lineRule="exact"/>
        <w:ind w:firstLine="640"/>
        <w:outlineLvl w:val="1"/>
        <w:rPr>
          <w:rStyle w:val="20"/>
          <w:rFonts w:ascii="Times New Roman" w:hAnsi="Times New Roman" w:eastAsia="黑体"/>
          <w:b w:val="0"/>
        </w:rPr>
      </w:pPr>
      <w:bookmarkStart w:id="24" w:name="_Toc15396605"/>
      <w:bookmarkStart w:id="25" w:name="_Toc15377207"/>
      <w:bookmarkStart w:id="26" w:name="_Toc208479419"/>
      <w:r>
        <w:rPr>
          <w:rFonts w:hint="eastAsia" w:eastAsia="黑体"/>
          <w:sz w:val="32"/>
          <w:szCs w:val="32"/>
        </w:rPr>
        <w:t>三、支</w:t>
      </w:r>
      <w:r>
        <w:rPr>
          <w:rStyle w:val="20"/>
          <w:rFonts w:hint="eastAsia" w:ascii="Times New Roman" w:hAnsi="Times New Roman" w:eastAsia="黑体"/>
          <w:b w:val="0"/>
        </w:rPr>
        <w:t>出决算情况说明</w:t>
      </w:r>
      <w:bookmarkEnd w:id="24"/>
      <w:bookmarkEnd w:id="25"/>
      <w:bookmarkEnd w:id="26"/>
    </w:p>
    <w:p>
      <w:pPr>
        <w:pStyle w:val="30"/>
        <w:spacing w:line="600" w:lineRule="exact"/>
        <w:ind w:firstLine="640"/>
        <w:jc w:val="left"/>
        <w:rPr>
          <w:rFonts w:eastAsia="仿宋_GB2312" w:cs="仿宋_GB2312"/>
          <w:sz w:val="32"/>
          <w:szCs w:val="32"/>
        </w:rPr>
      </w:pPr>
      <w:r>
        <w:rPr>
          <w:rFonts w:hint="eastAsia" w:ascii="仿宋_GB2312" w:hAnsi="仿宋_GB2312" w:eastAsia="仿宋_GB2312" w:cs="仿宋_GB2312"/>
          <w:sz w:val="32"/>
          <w:szCs w:val="32"/>
        </w:rPr>
        <w:t>2024年度本年支出合计495.9万元，其中：基本支出290.49万元，占58.57%；项目支出205.42万元，占41.42%。</w:t>
      </w:r>
    </w:p>
    <w:p>
      <w:pPr>
        <w:ind w:firstLine="800" w:firstLineChars="250"/>
        <w:rPr>
          <w:rFonts w:eastAsia="仿宋_GB2312" w:cs="仿宋_GB2312"/>
          <w:sz w:val="32"/>
          <w:szCs w:val="32"/>
        </w:rPr>
      </w:pPr>
      <w:r>
        <w:rPr>
          <w:rFonts w:hint="eastAsia" w:eastAsia="仿宋_GB2312" w:cs="仿宋_GB2312"/>
          <w:sz w:val="32"/>
          <w:szCs w:val="32"/>
        </w:rPr>
        <w:t>（图3：支出决算结构图）（饼状图）</w:t>
      </w:r>
    </w:p>
    <w:p>
      <w:pPr>
        <w:ind w:firstLine="800" w:firstLineChars="250"/>
        <w:rPr>
          <w:rFonts w:eastAsia="仿宋_GB2312" w:cs="仿宋_GB2312"/>
          <w:sz w:val="32"/>
          <w:szCs w:val="32"/>
        </w:rPr>
      </w:pPr>
      <w:r>
        <w:rPr>
          <w:rFonts w:eastAsia="仿宋_GB2312" w:cs="仿宋_GB2312"/>
          <w:sz w:val="32"/>
          <w:szCs w:val="32"/>
        </w:rPr>
        <w:drawing>
          <wp:inline distT="0" distB="0" distL="0" distR="0">
            <wp:extent cx="4590415" cy="2792095"/>
            <wp:effectExtent l="0" t="0" r="635" b="8255"/>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noChangeArrowheads="true"/>
                    </pic:cNvPicPr>
                  </pic:nvPicPr>
                  <pic:blipFill>
                    <a:blip r:embed="rId12">
                      <a:extLst>
                        <a:ext uri="{28A0092B-C50C-407E-A947-70E740481C1C}">
                          <a14:useLocalDpi xmlns:a14="http://schemas.microsoft.com/office/drawing/2010/main" val="false"/>
                        </a:ext>
                      </a:extLst>
                    </a:blip>
                    <a:srcRect/>
                    <a:stretch>
                      <a:fillRect/>
                    </a:stretch>
                  </pic:blipFill>
                  <pic:spPr>
                    <a:xfrm>
                      <a:off x="0" y="0"/>
                      <a:ext cx="4590415" cy="2792095"/>
                    </a:xfrm>
                    <a:prstGeom prst="rect">
                      <a:avLst/>
                    </a:prstGeom>
                    <a:noFill/>
                  </pic:spPr>
                </pic:pic>
              </a:graphicData>
            </a:graphic>
          </wp:inline>
        </w:drawing>
      </w:r>
    </w:p>
    <w:p>
      <w:pPr>
        <w:spacing w:line="600" w:lineRule="exact"/>
        <w:ind w:firstLine="640" w:firstLineChars="200"/>
        <w:outlineLvl w:val="1"/>
        <w:rPr>
          <w:rStyle w:val="20"/>
          <w:rFonts w:ascii="Times New Roman" w:hAnsi="Times New Roman" w:eastAsia="黑体"/>
          <w:b w:val="0"/>
        </w:rPr>
      </w:pPr>
      <w:bookmarkStart w:id="27" w:name="_Toc15377208"/>
      <w:bookmarkStart w:id="28" w:name="_Toc15396606"/>
      <w:bookmarkStart w:id="29" w:name="_Toc208479420"/>
      <w:r>
        <w:rPr>
          <w:rFonts w:hint="eastAsia" w:eastAsia="黑体"/>
          <w:sz w:val="32"/>
          <w:szCs w:val="32"/>
        </w:rPr>
        <w:t>四、财</w:t>
      </w:r>
      <w:r>
        <w:rPr>
          <w:rStyle w:val="20"/>
          <w:rFonts w:hint="eastAsia" w:ascii="Times New Roman" w:hAnsi="Times New Roman" w:eastAsia="黑体"/>
          <w:b w:val="0"/>
        </w:rPr>
        <w:t>政拨款收入支出决算总体情况说明</w:t>
      </w:r>
      <w:bookmarkEnd w:id="27"/>
      <w:bookmarkEnd w:id="28"/>
      <w:bookmarkEnd w:id="29"/>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2024年度财政拨款收入、支出总计均为495.9万元。与2023年度相比，财政拨款收入总计、支出总计各增加11.52万元，增长2.38%。主要变动原因是常规维持项目增加。</w:t>
      </w:r>
    </w:p>
    <w:p>
      <w:pPr>
        <w:spacing w:line="600" w:lineRule="exact"/>
        <w:ind w:firstLine="640" w:firstLineChars="200"/>
        <w:rPr>
          <w:rFonts w:eastAsia="仿宋_GB2312" w:cs="仿宋_GB2312"/>
          <w:sz w:val="32"/>
          <w:szCs w:val="32"/>
        </w:rPr>
      </w:pPr>
      <w:r>
        <w:rPr>
          <w:rFonts w:hint="eastAsia" w:eastAsia="仿宋_GB2312" w:cs="仿宋_GB2312"/>
          <w:sz w:val="32"/>
          <w:szCs w:val="32"/>
        </w:rPr>
        <w:t>（图4：财政拨款收、支决算总计变动情况）（柱状图）</w:t>
      </w:r>
    </w:p>
    <w:p>
      <w:pPr>
        <w:ind w:firstLine="641"/>
        <w:rPr>
          <w:rFonts w:eastAsia="仿宋_GB2312" w:cs="仿宋_GB2312"/>
          <w:sz w:val="32"/>
          <w:szCs w:val="32"/>
        </w:rPr>
      </w:pPr>
      <w:r>
        <w:rPr>
          <w:rFonts w:eastAsia="仿宋_GB2312" w:cs="仿宋_GB2312"/>
          <w:sz w:val="32"/>
          <w:szCs w:val="32"/>
        </w:rPr>
        <w:drawing>
          <wp:inline distT="0" distB="0" distL="0" distR="0">
            <wp:extent cx="4590415" cy="2798445"/>
            <wp:effectExtent l="0" t="0" r="635" b="1905"/>
            <wp:docPr id="4" name="图片 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true" noChangeArrowheads="true"/>
                    </pic:cNvPicPr>
                  </pic:nvPicPr>
                  <pic:blipFill>
                    <a:blip r:embed="rId13">
                      <a:extLst>
                        <a:ext uri="{28A0092B-C50C-407E-A947-70E740481C1C}">
                          <a14:useLocalDpi xmlns:a14="http://schemas.microsoft.com/office/drawing/2010/main" val="false"/>
                        </a:ext>
                      </a:extLst>
                    </a:blip>
                    <a:srcRect/>
                    <a:stretch>
                      <a:fillRect/>
                    </a:stretch>
                  </pic:blipFill>
                  <pic:spPr>
                    <a:xfrm>
                      <a:off x="0" y="0"/>
                      <a:ext cx="4590415" cy="2798445"/>
                    </a:xfrm>
                    <a:prstGeom prst="rect">
                      <a:avLst/>
                    </a:prstGeom>
                    <a:noFill/>
                  </pic:spPr>
                </pic:pic>
              </a:graphicData>
            </a:graphic>
          </wp:inline>
        </w:drawing>
      </w:r>
    </w:p>
    <w:p>
      <w:pPr>
        <w:spacing w:line="600" w:lineRule="exact"/>
        <w:ind w:firstLine="640" w:firstLineChars="200"/>
        <w:outlineLvl w:val="1"/>
        <w:rPr>
          <w:rStyle w:val="20"/>
          <w:rFonts w:ascii="Times New Roman" w:hAnsi="Times New Roman" w:eastAsia="黑体"/>
          <w:b w:val="0"/>
        </w:rPr>
      </w:pPr>
      <w:bookmarkStart w:id="30" w:name="_Toc208479421"/>
      <w:bookmarkStart w:id="31" w:name="_Toc15396607"/>
      <w:bookmarkStart w:id="32" w:name="_Toc15377209"/>
      <w:r>
        <w:rPr>
          <w:rFonts w:hint="eastAsia" w:eastAsia="黑体"/>
          <w:sz w:val="32"/>
          <w:szCs w:val="32"/>
        </w:rPr>
        <w:t>五、</w:t>
      </w:r>
      <w:r>
        <w:rPr>
          <w:rFonts w:hint="eastAsia" w:eastAsia="黑体"/>
          <w:b/>
          <w:sz w:val="32"/>
          <w:szCs w:val="32"/>
        </w:rPr>
        <w:t>一</w:t>
      </w:r>
      <w:r>
        <w:rPr>
          <w:rStyle w:val="20"/>
          <w:rFonts w:hint="eastAsia" w:ascii="Times New Roman" w:hAnsi="Times New Roman" w:eastAsia="黑体"/>
          <w:b w:val="0"/>
        </w:rPr>
        <w:t>般公共预算财政拨款支出决算情况说明</w:t>
      </w:r>
      <w:bookmarkEnd w:id="30"/>
      <w:bookmarkEnd w:id="31"/>
      <w:bookmarkEnd w:id="32"/>
    </w:p>
    <w:p>
      <w:pPr>
        <w:spacing w:line="600" w:lineRule="exact"/>
        <w:ind w:firstLine="642" w:firstLineChars="200"/>
        <w:rPr>
          <w:rFonts w:eastAsia="楷体_GB2312" w:cs="楷体_GB2312"/>
          <w:b/>
          <w:sz w:val="32"/>
          <w:szCs w:val="32"/>
        </w:rPr>
      </w:pPr>
      <w:bookmarkStart w:id="33" w:name="_Toc15377210"/>
      <w:r>
        <w:rPr>
          <w:rFonts w:hint="eastAsia" w:eastAsia="楷体_GB2312" w:cs="楷体_GB2312"/>
          <w:b/>
          <w:sz w:val="32"/>
          <w:szCs w:val="32"/>
        </w:rPr>
        <w:t>（一）一般公共预算财政拨款支出决算总体情况</w:t>
      </w:r>
      <w:bookmarkEnd w:id="33"/>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2024年度一般公共预算财政拨款支出495.9万元，占本年支出合计的100%。与2023年度相比，一般公共预算财政拨款支出增加11.52万元，增长2.38%。主要变动原因是常规维持项目增加。</w:t>
      </w:r>
    </w:p>
    <w:p>
      <w:pPr>
        <w:spacing w:line="600" w:lineRule="exact"/>
        <w:ind w:firstLine="640"/>
        <w:rPr>
          <w:rFonts w:eastAsia="仿宋_GB2312" w:cs="仿宋_GB2312"/>
          <w:sz w:val="32"/>
          <w:szCs w:val="32"/>
        </w:rPr>
      </w:pPr>
      <w:r>
        <w:rPr>
          <w:rFonts w:hint="eastAsia" w:eastAsia="仿宋_GB2312" w:cs="仿宋_GB2312"/>
          <w:sz w:val="32"/>
          <w:szCs w:val="32"/>
        </w:rPr>
        <w:t>（图5：一般公共预算财政拨款支出决算变动情况）（柱状图）</w:t>
      </w:r>
    </w:p>
    <w:p>
      <w:pPr>
        <w:ind w:firstLine="641"/>
        <w:rPr>
          <w:rFonts w:eastAsia="仿宋_GB2312" w:cs="仿宋_GB2312"/>
          <w:sz w:val="32"/>
          <w:szCs w:val="32"/>
        </w:rPr>
      </w:pPr>
      <w:r>
        <w:rPr>
          <w:rFonts w:eastAsia="仿宋_GB2312" w:cs="仿宋_GB2312"/>
          <w:sz w:val="32"/>
          <w:szCs w:val="32"/>
        </w:rPr>
        <w:drawing>
          <wp:inline distT="0" distB="0" distL="0" distR="0">
            <wp:extent cx="4468495" cy="2724150"/>
            <wp:effectExtent l="0" t="0" r="8255" b="0"/>
            <wp:docPr id="5" name="图片 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true" noChangeArrowheads="true"/>
                    </pic:cNvPicPr>
                  </pic:nvPicPr>
                  <pic:blipFill>
                    <a:blip r:embed="rId13">
                      <a:extLst>
                        <a:ext uri="{28A0092B-C50C-407E-A947-70E740481C1C}">
                          <a14:useLocalDpi xmlns:a14="http://schemas.microsoft.com/office/drawing/2010/main" val="false"/>
                        </a:ext>
                      </a:extLst>
                    </a:blip>
                    <a:srcRect/>
                    <a:stretch>
                      <a:fillRect/>
                    </a:stretch>
                  </pic:blipFill>
                  <pic:spPr>
                    <a:xfrm>
                      <a:off x="0" y="0"/>
                      <a:ext cx="4468633" cy="2724204"/>
                    </a:xfrm>
                    <a:prstGeom prst="rect">
                      <a:avLst/>
                    </a:prstGeom>
                    <a:noFill/>
                  </pic:spPr>
                </pic:pic>
              </a:graphicData>
            </a:graphic>
          </wp:inline>
        </w:drawing>
      </w:r>
    </w:p>
    <w:p>
      <w:pPr>
        <w:spacing w:line="600" w:lineRule="exact"/>
        <w:ind w:firstLine="642" w:firstLineChars="200"/>
        <w:rPr>
          <w:rFonts w:eastAsia="楷体_GB2312" w:cs="楷体_GB2312"/>
          <w:b/>
          <w:sz w:val="32"/>
          <w:szCs w:val="32"/>
        </w:rPr>
      </w:pPr>
      <w:bookmarkStart w:id="34" w:name="_Toc15377211"/>
      <w:r>
        <w:rPr>
          <w:rFonts w:hint="eastAsia" w:eastAsia="楷体_GB2312" w:cs="楷体_GB2312"/>
          <w:b/>
          <w:sz w:val="32"/>
          <w:szCs w:val="32"/>
        </w:rPr>
        <w:t>（二）一般公共预算财政拨款支出决算结构情况</w:t>
      </w:r>
      <w:bookmarkEnd w:id="34"/>
    </w:p>
    <w:p>
      <w:pPr>
        <w:spacing w:line="600" w:lineRule="exact"/>
        <w:ind w:firstLine="640"/>
        <w:rPr>
          <w:rFonts w:ascii="仿宋" w:hAnsi="仿宋" w:eastAsia="仿宋" w:cs="仿宋_GB2312"/>
          <w:b/>
          <w:bCs/>
          <w:sz w:val="32"/>
          <w:szCs w:val="32"/>
        </w:rPr>
      </w:pPr>
      <w:r>
        <w:rPr>
          <w:rFonts w:hint="eastAsia" w:ascii="仿宋" w:hAnsi="仿宋" w:eastAsia="仿宋" w:cs="仿宋_GB2312"/>
          <w:sz w:val="32"/>
          <w:szCs w:val="32"/>
        </w:rPr>
        <w:t>2024年度一般公共预算财政拨款支出495.9万元，主要用于以下方面：社会保障和就业支出17.71万元，占3.57%；卫生健康支出4.39万元，占0.89%；节能环保支出29.98万元，占6.05%；农林水支出5.46万元，占1.1%；自然资源海洋气象等支出427.77万元，占86.26%；住房保障支出10.59万元，占2.14%。</w:t>
      </w:r>
    </w:p>
    <w:p>
      <w:pPr>
        <w:spacing w:line="600" w:lineRule="exact"/>
        <w:ind w:firstLine="640"/>
        <w:rPr>
          <w:rFonts w:eastAsia="仿宋_GB2312" w:cs="仿宋_GB2312"/>
          <w:sz w:val="32"/>
          <w:szCs w:val="32"/>
        </w:rPr>
      </w:pPr>
      <w:r>
        <w:rPr>
          <w:rFonts w:hint="eastAsia" w:eastAsia="仿宋_GB2312" w:cs="仿宋_GB2312"/>
          <w:sz w:val="32"/>
          <w:szCs w:val="32"/>
        </w:rPr>
        <w:t>（图6：一般公共预算财政拨款支出决算结构）（饼状图）</w:t>
      </w:r>
    </w:p>
    <w:p>
      <w:pPr>
        <w:ind w:firstLine="641"/>
        <w:rPr>
          <w:rFonts w:eastAsia="仿宋_GB2312" w:cs="仿宋_GB2312"/>
          <w:sz w:val="32"/>
          <w:szCs w:val="32"/>
        </w:rPr>
      </w:pPr>
      <w:r>
        <w:rPr>
          <w:rFonts w:eastAsia="仿宋_GB2312" w:cs="仿宋_GB2312"/>
          <w:sz w:val="32"/>
          <w:szCs w:val="32"/>
        </w:rPr>
        <w:drawing>
          <wp:inline distT="0" distB="0" distL="0" distR="0">
            <wp:extent cx="4596765" cy="2853055"/>
            <wp:effectExtent l="0" t="0" r="0" b="4445"/>
            <wp:docPr id="6" name="图片 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true" noChangeArrowheads="true"/>
                    </pic:cNvPicPr>
                  </pic:nvPicPr>
                  <pic:blipFill>
                    <a:blip r:embed="rId14">
                      <a:extLst>
                        <a:ext uri="{28A0092B-C50C-407E-A947-70E740481C1C}">
                          <a14:useLocalDpi xmlns:a14="http://schemas.microsoft.com/office/drawing/2010/main" val="false"/>
                        </a:ext>
                      </a:extLst>
                    </a:blip>
                    <a:srcRect/>
                    <a:stretch>
                      <a:fillRect/>
                    </a:stretch>
                  </pic:blipFill>
                  <pic:spPr>
                    <a:xfrm>
                      <a:off x="0" y="0"/>
                      <a:ext cx="4596765" cy="2853055"/>
                    </a:xfrm>
                    <a:prstGeom prst="rect">
                      <a:avLst/>
                    </a:prstGeom>
                    <a:noFill/>
                  </pic:spPr>
                </pic:pic>
              </a:graphicData>
            </a:graphic>
          </wp:inline>
        </w:drawing>
      </w:r>
    </w:p>
    <w:p>
      <w:pPr>
        <w:spacing w:line="600" w:lineRule="exact"/>
        <w:ind w:firstLine="642" w:firstLineChars="200"/>
        <w:rPr>
          <w:rFonts w:eastAsia="楷体_GB2312" w:cs="楷体_GB2312"/>
          <w:b/>
          <w:sz w:val="32"/>
          <w:szCs w:val="32"/>
        </w:rPr>
      </w:pPr>
      <w:bookmarkStart w:id="35" w:name="_Toc15377212"/>
      <w:r>
        <w:rPr>
          <w:rFonts w:hint="eastAsia" w:eastAsia="楷体_GB2312" w:cs="楷体_GB2312"/>
          <w:b/>
          <w:sz w:val="32"/>
          <w:szCs w:val="32"/>
        </w:rPr>
        <w:t>（三）一般公共预算财政拨款支出决算具体情况</w:t>
      </w:r>
      <w:bookmarkEnd w:id="35"/>
    </w:p>
    <w:p>
      <w:pPr>
        <w:spacing w:line="600" w:lineRule="exact"/>
        <w:ind w:firstLine="640"/>
        <w:rPr>
          <w:rFonts w:eastAsia="仿宋_GB2312" w:cs="仿宋_GB2312"/>
          <w:sz w:val="32"/>
          <w:szCs w:val="32"/>
        </w:rPr>
      </w:pPr>
      <w:bookmarkStart w:id="36" w:name="_Toc15377213"/>
      <w:bookmarkStart w:id="37" w:name="_Toc15377444"/>
      <w:bookmarkStart w:id="38" w:name="_Toc15378460"/>
      <w:r>
        <w:rPr>
          <w:rFonts w:hint="eastAsia" w:eastAsia="仿宋_GB2312" w:cs="仿宋_GB2312"/>
          <w:sz w:val="32"/>
          <w:szCs w:val="32"/>
        </w:rPr>
        <w:t>2024年度一般公共预算财政拨款支出决算数为</w:t>
      </w:r>
      <w:r>
        <w:rPr>
          <w:rFonts w:hint="eastAsia" w:ascii="仿宋_GB2312" w:hAnsi="仿宋_GB2312" w:eastAsia="仿宋_GB2312" w:cs="仿宋_GB2312"/>
          <w:sz w:val="32"/>
          <w:szCs w:val="32"/>
        </w:rPr>
        <w:t>495.9</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w:t>
      </w:r>
      <w:r>
        <w:rPr>
          <w:rFonts w:hint="eastAsia" w:eastAsia="仿宋_GB2312" w:cs="仿宋_GB2312"/>
          <w:sz w:val="32"/>
          <w:szCs w:val="32"/>
        </w:rPr>
        <w:t>完成预算100%。其中：</w:t>
      </w:r>
      <w:bookmarkEnd w:id="36"/>
      <w:bookmarkEnd w:id="37"/>
      <w:bookmarkEnd w:id="38"/>
    </w:p>
    <w:p>
      <w:pPr>
        <w:spacing w:line="600" w:lineRule="exact"/>
        <w:ind w:firstLine="640"/>
        <w:rPr>
          <w:rFonts w:eastAsia="仿宋_GB2312" w:cs="仿宋_GB2312"/>
          <w:sz w:val="32"/>
          <w:szCs w:val="32"/>
        </w:rPr>
      </w:pPr>
      <w:r>
        <w:rPr>
          <w:rFonts w:hint="eastAsia" w:eastAsia="仿宋_GB2312" w:cs="仿宋_GB2312"/>
          <w:sz w:val="32"/>
          <w:szCs w:val="32"/>
        </w:rPr>
        <w:t>1. 社会保障和就业（类）行政事业单位养老支出（款）事业单位离退休（项）：支出决算为5.04万元，完成预算100%。</w:t>
      </w:r>
    </w:p>
    <w:p>
      <w:pPr>
        <w:spacing w:line="600" w:lineRule="exact"/>
        <w:ind w:firstLine="640"/>
        <w:rPr>
          <w:rFonts w:eastAsia="仿宋_GB2312" w:cs="仿宋_GB2312"/>
          <w:sz w:val="32"/>
          <w:szCs w:val="32"/>
        </w:rPr>
      </w:pPr>
      <w:r>
        <w:rPr>
          <w:rFonts w:hint="eastAsia" w:eastAsia="仿宋_GB2312" w:cs="仿宋_GB2312"/>
          <w:sz w:val="32"/>
          <w:szCs w:val="32"/>
        </w:rPr>
        <w:t>2. 社会保障和就业（类）行政事业单位养老支出（款）机关事业单位基本养老保险缴费支出（项）</w:t>
      </w:r>
      <w:r>
        <w:rPr>
          <w:rFonts w:hint="eastAsia" w:eastAsia="仿宋_GB2312" w:cs="仿宋_GB2312"/>
          <w:sz w:val="32"/>
          <w:szCs w:val="32"/>
          <w:lang w:eastAsia="zh-CN"/>
        </w:rPr>
        <w:t>：</w:t>
      </w:r>
      <w:r>
        <w:rPr>
          <w:rFonts w:hint="eastAsia" w:eastAsia="仿宋_GB2312" w:cs="仿宋_GB2312"/>
          <w:sz w:val="32"/>
          <w:szCs w:val="32"/>
        </w:rPr>
        <w:t xml:space="preserve"> 支出决算为12.67万元，完成预算100%。</w:t>
      </w:r>
    </w:p>
    <w:p>
      <w:pPr>
        <w:spacing w:line="600" w:lineRule="exact"/>
        <w:ind w:firstLine="640"/>
        <w:rPr>
          <w:rFonts w:eastAsia="仿宋_GB2312" w:cs="仿宋_GB2312"/>
          <w:sz w:val="32"/>
          <w:szCs w:val="32"/>
        </w:rPr>
      </w:pPr>
      <w:r>
        <w:rPr>
          <w:rFonts w:hint="eastAsia" w:eastAsia="仿宋_GB2312" w:cs="仿宋_GB2312"/>
          <w:sz w:val="32"/>
          <w:szCs w:val="32"/>
        </w:rPr>
        <w:t>3. 卫生健康（类）行政事业单位医疗（款）事业单位医疗（项）：支出决算为4.39万元，完成预算100%。</w:t>
      </w:r>
    </w:p>
    <w:p>
      <w:pPr>
        <w:spacing w:line="600" w:lineRule="exact"/>
        <w:ind w:firstLine="640"/>
        <w:rPr>
          <w:rFonts w:eastAsia="仿宋_GB2312" w:cs="仿宋_GB2312"/>
          <w:sz w:val="32"/>
          <w:szCs w:val="32"/>
        </w:rPr>
      </w:pPr>
      <w:r>
        <w:rPr>
          <w:rFonts w:hint="eastAsia" w:eastAsia="仿宋_GB2312" w:cs="仿宋_GB2312"/>
          <w:sz w:val="32"/>
          <w:szCs w:val="32"/>
        </w:rPr>
        <w:t>4.节能环保支出（类）其他节能环保支出（款）其他节能环保支出（项）：支出决算为29.98万元，完成预算100%。</w:t>
      </w:r>
    </w:p>
    <w:p>
      <w:pPr>
        <w:spacing w:line="600" w:lineRule="exact"/>
        <w:ind w:firstLine="640"/>
        <w:rPr>
          <w:rFonts w:eastAsia="仿宋_GB2312" w:cs="仿宋_GB2312"/>
          <w:sz w:val="32"/>
          <w:szCs w:val="32"/>
        </w:rPr>
      </w:pPr>
      <w:r>
        <w:rPr>
          <w:rFonts w:hint="eastAsia" w:eastAsia="仿宋_GB2312" w:cs="仿宋_GB2312"/>
          <w:sz w:val="32"/>
          <w:szCs w:val="32"/>
        </w:rPr>
        <w:t>5.农林水支出（类）</w:t>
      </w:r>
      <w:r>
        <w:rPr>
          <w:rFonts w:hint="eastAsia" w:eastAsia="仿宋_GB2312" w:cs="仿宋_GB2312"/>
          <w:sz w:val="32"/>
          <w:szCs w:val="32"/>
          <w:lang w:eastAsia="zh-CN"/>
        </w:rPr>
        <w:t>巩固拓展脱贫攻坚成果</w:t>
      </w:r>
      <w:r>
        <w:rPr>
          <w:rFonts w:hint="eastAsia" w:eastAsia="仿宋_GB2312" w:cs="仿宋_GB2312"/>
          <w:sz w:val="32"/>
          <w:szCs w:val="32"/>
        </w:rPr>
        <w:t>衔接乡村振兴（款）</w:t>
      </w:r>
      <w:r>
        <w:rPr>
          <w:rFonts w:hint="eastAsia" w:eastAsia="仿宋_GB2312" w:cs="仿宋_GB2312"/>
          <w:sz w:val="32"/>
          <w:szCs w:val="32"/>
          <w:lang w:eastAsia="zh-CN"/>
        </w:rPr>
        <w:t>巩固拓展脱贫攻坚成果</w:t>
      </w:r>
      <w:r>
        <w:rPr>
          <w:rFonts w:hint="eastAsia" w:eastAsia="仿宋_GB2312" w:cs="仿宋_GB2312"/>
          <w:sz w:val="32"/>
          <w:szCs w:val="32"/>
        </w:rPr>
        <w:t>衔接乡村振兴支出（项）：支出决算为5.46万元，完成预算100%。</w:t>
      </w:r>
    </w:p>
    <w:p>
      <w:pPr>
        <w:spacing w:line="600" w:lineRule="exact"/>
        <w:ind w:firstLine="640"/>
        <w:rPr>
          <w:rFonts w:eastAsia="仿宋_GB2312" w:cs="仿宋_GB2312"/>
          <w:sz w:val="32"/>
          <w:szCs w:val="32"/>
        </w:rPr>
      </w:pPr>
      <w:r>
        <w:rPr>
          <w:rFonts w:hint="eastAsia" w:eastAsia="仿宋_GB2312" w:cs="仿宋_GB2312"/>
          <w:sz w:val="32"/>
          <w:szCs w:val="32"/>
        </w:rPr>
        <w:t>6.自然资源海洋气象等支出（类）气象事务（款）气象事业机构（项）：支出决算为257.79万元，完成预算100%。</w:t>
      </w:r>
    </w:p>
    <w:p>
      <w:pPr>
        <w:spacing w:line="600" w:lineRule="exact"/>
        <w:ind w:firstLine="640"/>
        <w:rPr>
          <w:rFonts w:eastAsia="仿宋_GB2312" w:cs="仿宋_GB2312"/>
          <w:sz w:val="32"/>
          <w:szCs w:val="32"/>
        </w:rPr>
      </w:pPr>
      <w:r>
        <w:rPr>
          <w:rFonts w:hint="eastAsia" w:eastAsia="仿宋_GB2312" w:cs="仿宋_GB2312"/>
          <w:sz w:val="32"/>
          <w:szCs w:val="32"/>
        </w:rPr>
        <w:t>7.自然资源海洋气象等支出（类）气象事务（款）气象探测（项）：支出决算为13.88万元，完成预算100%。</w:t>
      </w:r>
    </w:p>
    <w:p>
      <w:pPr>
        <w:spacing w:line="600" w:lineRule="exact"/>
        <w:ind w:firstLine="640"/>
        <w:rPr>
          <w:rFonts w:eastAsia="仿宋_GB2312" w:cs="仿宋_GB2312"/>
          <w:sz w:val="32"/>
          <w:szCs w:val="32"/>
        </w:rPr>
      </w:pPr>
      <w:r>
        <w:rPr>
          <w:rFonts w:hint="eastAsia" w:eastAsia="仿宋_GB2312" w:cs="仿宋_GB2312"/>
          <w:sz w:val="32"/>
          <w:szCs w:val="32"/>
        </w:rPr>
        <w:t>8.自然资源海洋气象等支出（类）气象事务（款）气象预报预测（项）：支出决算为141万元，完成预算100%。</w:t>
      </w:r>
    </w:p>
    <w:p>
      <w:pPr>
        <w:spacing w:line="600" w:lineRule="exact"/>
        <w:ind w:firstLine="640"/>
        <w:rPr>
          <w:rFonts w:eastAsia="仿宋_GB2312" w:cs="仿宋_GB2312"/>
          <w:sz w:val="32"/>
          <w:szCs w:val="32"/>
        </w:rPr>
      </w:pPr>
      <w:r>
        <w:rPr>
          <w:rFonts w:hint="eastAsia" w:eastAsia="仿宋_GB2312" w:cs="仿宋_GB2312"/>
          <w:sz w:val="32"/>
          <w:szCs w:val="32"/>
        </w:rPr>
        <w:t>9.自然资源海洋气象等支出（类）气象事务（款）气象服务（项）：支出决算为14.6万元，完成预算100%。</w:t>
      </w:r>
    </w:p>
    <w:p>
      <w:pPr>
        <w:spacing w:line="600" w:lineRule="exact"/>
        <w:ind w:firstLine="640"/>
        <w:rPr>
          <w:rFonts w:eastAsia="仿宋_GB2312" w:cs="仿宋_GB2312"/>
          <w:sz w:val="32"/>
          <w:szCs w:val="32"/>
        </w:rPr>
      </w:pPr>
      <w:r>
        <w:rPr>
          <w:rFonts w:hint="eastAsia" w:eastAsia="仿宋_GB2312" w:cs="仿宋_GB2312"/>
          <w:sz w:val="32"/>
          <w:szCs w:val="32"/>
        </w:rPr>
        <w:t>10.自然资源海洋气象等支出（类）气象事务（款）其他气象事务支出（项）：支出决算为0.5万元，完成预算100%。</w:t>
      </w:r>
    </w:p>
    <w:p>
      <w:pPr>
        <w:spacing w:line="600" w:lineRule="exact"/>
        <w:ind w:firstLine="640"/>
        <w:rPr>
          <w:rFonts w:eastAsia="仿宋_GB2312" w:cs="仿宋_GB2312"/>
          <w:sz w:val="32"/>
          <w:szCs w:val="32"/>
        </w:rPr>
      </w:pPr>
      <w:r>
        <w:rPr>
          <w:rFonts w:hint="eastAsia" w:eastAsia="仿宋_GB2312" w:cs="仿宋_GB2312"/>
          <w:sz w:val="32"/>
          <w:szCs w:val="32"/>
        </w:rPr>
        <w:t>11.住房保障支出（类）住房改革支出（款）住房公积金（项）：支出决算为10.59万元，完成预算100%。</w:t>
      </w:r>
    </w:p>
    <w:p>
      <w:pPr>
        <w:tabs>
          <w:tab w:val="right" w:pos="8306"/>
        </w:tabs>
        <w:spacing w:line="600" w:lineRule="exact"/>
        <w:ind w:firstLine="640"/>
        <w:outlineLvl w:val="1"/>
        <w:rPr>
          <w:rStyle w:val="20"/>
          <w:rFonts w:ascii="Times New Roman" w:hAnsi="Times New Roman"/>
        </w:rPr>
      </w:pPr>
      <w:bookmarkStart w:id="39" w:name="_Toc15377214"/>
      <w:bookmarkStart w:id="40" w:name="_Toc15396608"/>
      <w:bookmarkStart w:id="41" w:name="_Toc208479422"/>
      <w:r>
        <w:rPr>
          <w:rFonts w:hint="eastAsia" w:eastAsia="黑体"/>
          <w:sz w:val="32"/>
          <w:szCs w:val="32"/>
        </w:rPr>
        <w:t>六</w:t>
      </w:r>
      <w:r>
        <w:rPr>
          <w:rFonts w:hint="eastAsia" w:eastAsia="黑体"/>
          <w:b/>
          <w:sz w:val="32"/>
          <w:szCs w:val="32"/>
        </w:rPr>
        <w:t>、一</w:t>
      </w:r>
      <w:r>
        <w:rPr>
          <w:rStyle w:val="20"/>
          <w:rFonts w:hint="eastAsia" w:ascii="Times New Roman" w:hAnsi="Times New Roman" w:eastAsia="黑体"/>
          <w:b w:val="0"/>
        </w:rPr>
        <w:t>般公共预算财政拨款基本支出决算情况说明</w:t>
      </w:r>
      <w:bookmarkEnd w:id="39"/>
      <w:bookmarkEnd w:id="40"/>
      <w:bookmarkEnd w:id="41"/>
      <w:r>
        <w:rPr>
          <w:rStyle w:val="20"/>
          <w:rFonts w:ascii="Times New Roman" w:hAnsi="Times New Roman" w:eastAsia="黑体"/>
          <w:b w:val="0"/>
        </w:rPr>
        <w:tab/>
      </w:r>
    </w:p>
    <w:p>
      <w:pPr>
        <w:spacing w:line="600" w:lineRule="exact"/>
        <w:ind w:firstLine="640"/>
        <w:rPr>
          <w:rFonts w:eastAsia="仿宋_GB2312" w:cs="仿宋_GB2312"/>
          <w:sz w:val="32"/>
          <w:szCs w:val="32"/>
        </w:rPr>
      </w:pPr>
      <w:r>
        <w:rPr>
          <w:rFonts w:hint="eastAsia" w:eastAsia="仿宋_GB2312" w:cs="仿宋_GB2312"/>
          <w:sz w:val="32"/>
          <w:szCs w:val="32"/>
        </w:rPr>
        <w:t>2024年度一般公共预算财政拨款基本支出</w:t>
      </w:r>
      <w:r>
        <w:rPr>
          <w:rFonts w:hint="eastAsia" w:ascii="仿宋_GB2312" w:hAnsi="仿宋_GB2312" w:eastAsia="仿宋_GB2312" w:cs="仿宋_GB2312"/>
          <w:sz w:val="32"/>
          <w:szCs w:val="32"/>
        </w:rPr>
        <w:t>290.4</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万</w:t>
      </w:r>
      <w:r>
        <w:rPr>
          <w:rFonts w:hint="eastAsia" w:eastAsia="仿宋_GB2312" w:cs="仿宋_GB2312"/>
          <w:sz w:val="32"/>
          <w:szCs w:val="32"/>
        </w:rPr>
        <w:t>元，其中：</w:t>
      </w:r>
    </w:p>
    <w:p>
      <w:pPr>
        <w:spacing w:line="600" w:lineRule="exact"/>
        <w:ind w:firstLine="640"/>
        <w:rPr>
          <w:rFonts w:hint="eastAsia" w:eastAsia="仿宋_GB2312" w:cs="仿宋_GB2312"/>
          <w:sz w:val="32"/>
          <w:szCs w:val="32"/>
        </w:rPr>
      </w:pPr>
      <w:r>
        <w:rPr>
          <w:rFonts w:hint="eastAsia" w:eastAsia="仿宋_GB2312" w:cs="仿宋_GB2312"/>
          <w:sz w:val="32"/>
          <w:szCs w:val="32"/>
        </w:rPr>
        <w:t>人员经费</w:t>
      </w:r>
      <w:r>
        <w:rPr>
          <w:rFonts w:hint="eastAsia" w:ascii="仿宋_GB2312" w:hAnsi="仿宋_GB2312" w:eastAsia="仿宋_GB2312" w:cs="仿宋_GB2312"/>
          <w:sz w:val="32"/>
          <w:szCs w:val="32"/>
        </w:rPr>
        <w:t>278.71万</w:t>
      </w:r>
      <w:r>
        <w:rPr>
          <w:rFonts w:hint="eastAsia" w:eastAsia="仿宋_GB2312" w:cs="仿宋_GB2312"/>
          <w:sz w:val="32"/>
          <w:szCs w:val="32"/>
        </w:rPr>
        <w:t>元，主要包括：基本工资、津贴补贴、奖金、绩效工资、机关事业单位基本养老保险缴费、职工基本医疗保险缴费、其他社会保障缴费、住房公积金</w:t>
      </w:r>
      <w:r>
        <w:rPr>
          <w:rFonts w:hint="eastAsia" w:eastAsia="仿宋_GB2312" w:cs="仿宋_GB2312"/>
          <w:sz w:val="32"/>
          <w:szCs w:val="32"/>
          <w:lang w:eastAsia="zh-CN"/>
        </w:rPr>
        <w:t>、生活补助</w:t>
      </w:r>
      <w:r>
        <w:rPr>
          <w:rFonts w:hint="eastAsia" w:eastAsia="仿宋_GB2312" w:cs="仿宋_GB2312"/>
          <w:sz w:val="32"/>
          <w:szCs w:val="32"/>
        </w:rPr>
        <w:t>。</w:t>
      </w:r>
    </w:p>
    <w:p>
      <w:pPr>
        <w:spacing w:line="600" w:lineRule="exact"/>
        <w:ind w:firstLine="640"/>
        <w:rPr>
          <w:rFonts w:eastAsia="仿宋_GB2312" w:cs="仿宋_GB2312"/>
          <w:sz w:val="32"/>
          <w:szCs w:val="32"/>
        </w:rPr>
      </w:pPr>
      <w:r>
        <w:rPr>
          <w:rFonts w:hint="eastAsia" w:eastAsia="仿宋_GB2312" w:cs="仿宋_GB2312"/>
          <w:sz w:val="32"/>
          <w:szCs w:val="32"/>
        </w:rPr>
        <w:t>公用经费</w:t>
      </w:r>
      <w:r>
        <w:rPr>
          <w:rFonts w:hint="eastAsia" w:ascii="仿宋_GB2312" w:hAnsi="仿宋_GB2312" w:eastAsia="仿宋_GB2312" w:cs="仿宋_GB2312"/>
          <w:sz w:val="32"/>
          <w:szCs w:val="32"/>
        </w:rPr>
        <w:t>11.77万</w:t>
      </w:r>
      <w:r>
        <w:rPr>
          <w:rFonts w:hint="eastAsia" w:eastAsia="仿宋_GB2312" w:cs="仿宋_GB2312"/>
          <w:sz w:val="32"/>
          <w:szCs w:val="32"/>
        </w:rPr>
        <w:t>元，主要包括：办公费、电费、差旅费、会议费、公务接待费、工会经费、福利费、其他交通费</w:t>
      </w:r>
      <w:r>
        <w:rPr>
          <w:rFonts w:hint="eastAsia" w:eastAsia="仿宋_GB2312" w:cs="仿宋_GB2312"/>
          <w:sz w:val="32"/>
          <w:szCs w:val="32"/>
          <w:lang w:val="en-US" w:eastAsia="zh-CN"/>
        </w:rPr>
        <w:t>用</w:t>
      </w:r>
      <w:r>
        <w:rPr>
          <w:rFonts w:hint="eastAsia" w:eastAsia="仿宋_GB2312" w:cs="仿宋_GB2312"/>
          <w:sz w:val="32"/>
          <w:szCs w:val="32"/>
        </w:rPr>
        <w:t>、其他商品和服务支出。</w:t>
      </w:r>
    </w:p>
    <w:p>
      <w:pPr>
        <w:spacing w:line="600" w:lineRule="exact"/>
        <w:ind w:firstLine="640"/>
        <w:outlineLvl w:val="1"/>
        <w:rPr>
          <w:rStyle w:val="20"/>
          <w:rFonts w:ascii="Times New Roman" w:hAnsi="Times New Roman" w:eastAsia="黑体"/>
          <w:b w:val="0"/>
        </w:rPr>
      </w:pPr>
      <w:bookmarkStart w:id="42" w:name="_Toc208479423"/>
      <w:bookmarkStart w:id="43" w:name="_Toc15396609"/>
      <w:bookmarkStart w:id="44" w:name="_Toc15377215"/>
      <w:r>
        <w:rPr>
          <w:rFonts w:hint="eastAsia" w:eastAsia="黑体"/>
          <w:sz w:val="32"/>
          <w:szCs w:val="32"/>
        </w:rPr>
        <w:t>七、</w:t>
      </w:r>
      <w:r>
        <w:rPr>
          <w:rStyle w:val="20"/>
          <w:rFonts w:hint="eastAsia" w:ascii="Times New Roman" w:hAnsi="Times New Roman" w:eastAsia="黑体"/>
          <w:b w:val="0"/>
        </w:rPr>
        <w:t>财政拨款</w:t>
      </w:r>
      <w:r>
        <w:rPr>
          <w:rStyle w:val="20"/>
          <w:rFonts w:hint="eastAsia" w:ascii="Times New Roman" w:hAnsi="Times New Roman" w:eastAsia="黑体"/>
        </w:rPr>
        <w:t>“</w:t>
      </w:r>
      <w:r>
        <w:rPr>
          <w:rStyle w:val="20"/>
          <w:rFonts w:hint="eastAsia" w:ascii="Times New Roman" w:hAnsi="Times New Roman" w:eastAsia="黑体"/>
          <w:b w:val="0"/>
        </w:rPr>
        <w:t>三公”经费支出决算情况说明</w:t>
      </w:r>
      <w:bookmarkEnd w:id="42"/>
      <w:bookmarkEnd w:id="43"/>
      <w:bookmarkEnd w:id="44"/>
    </w:p>
    <w:p>
      <w:pPr>
        <w:spacing w:line="600" w:lineRule="exact"/>
        <w:ind w:firstLine="642" w:firstLineChars="200"/>
        <w:rPr>
          <w:rFonts w:eastAsia="楷体_GB2312" w:cs="楷体_GB2312"/>
          <w:b/>
          <w:sz w:val="32"/>
          <w:szCs w:val="32"/>
        </w:rPr>
      </w:pPr>
      <w:bookmarkStart w:id="45" w:name="_Toc15377216"/>
      <w:r>
        <w:rPr>
          <w:rFonts w:hint="eastAsia" w:eastAsia="楷体_GB2312" w:cs="楷体_GB2312"/>
          <w:b/>
          <w:sz w:val="32"/>
          <w:szCs w:val="32"/>
        </w:rPr>
        <w:t>（一）“三公”经费财政拨款支出决算总体情况说明</w:t>
      </w:r>
      <w:bookmarkEnd w:id="45"/>
    </w:p>
    <w:p>
      <w:pPr>
        <w:spacing w:line="600" w:lineRule="exact"/>
        <w:ind w:firstLine="640"/>
        <w:rPr>
          <w:rFonts w:eastAsia="仿宋_GB2312" w:cs="仿宋_GB2312"/>
          <w:sz w:val="32"/>
          <w:szCs w:val="32"/>
        </w:rPr>
      </w:pPr>
      <w:r>
        <w:rPr>
          <w:rFonts w:hint="eastAsia" w:eastAsia="仿宋_GB2312" w:cs="仿宋_GB2312"/>
          <w:sz w:val="32"/>
          <w:szCs w:val="32"/>
        </w:rPr>
        <w:t>2024年度“三公”经费财政拨款支出决算为</w:t>
      </w:r>
      <w:r>
        <w:rPr>
          <w:rFonts w:hint="eastAsia" w:ascii="仿宋_GB2312" w:hAnsi="仿宋_GB2312" w:eastAsia="仿宋_GB2312" w:cs="仿宋_GB2312"/>
          <w:sz w:val="32"/>
          <w:szCs w:val="32"/>
        </w:rPr>
        <w:t>0.4万元，完成预算100%，较上年持平。</w:t>
      </w:r>
    </w:p>
    <w:p>
      <w:pPr>
        <w:spacing w:line="600" w:lineRule="exact"/>
        <w:ind w:firstLine="642" w:firstLineChars="200"/>
        <w:rPr>
          <w:rFonts w:eastAsia="楷体_GB2312" w:cs="楷体_GB2312"/>
          <w:b/>
          <w:sz w:val="32"/>
          <w:szCs w:val="32"/>
        </w:rPr>
      </w:pPr>
      <w:bookmarkStart w:id="46" w:name="_Toc15377217"/>
      <w:r>
        <w:rPr>
          <w:rFonts w:hint="eastAsia" w:eastAsia="楷体_GB2312" w:cs="楷体_GB2312"/>
          <w:b/>
          <w:sz w:val="32"/>
          <w:szCs w:val="32"/>
        </w:rPr>
        <w:t>（二）“三公”经费财政拨款支出决算具体情况说明</w:t>
      </w:r>
      <w:bookmarkEnd w:id="46"/>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2024年度“三公”经费财政拨款支出决算中，因公出国（境）费支出决算0万元，占0%；公务用车购置及运行维护费支出决算0万元，占0%；公务接待费支出决算0.4万元，占100%。具体情况如下：</w:t>
      </w:r>
    </w:p>
    <w:p>
      <w:pPr>
        <w:spacing w:line="600" w:lineRule="exact"/>
        <w:ind w:firstLine="640"/>
        <w:rPr>
          <w:rFonts w:eastAsia="仿宋_GB2312" w:cs="仿宋_GB2312"/>
          <w:sz w:val="32"/>
          <w:szCs w:val="32"/>
        </w:rPr>
      </w:pPr>
      <w:r>
        <w:rPr>
          <w:rFonts w:hint="eastAsia" w:eastAsia="仿宋_GB2312" w:cs="仿宋_GB2312"/>
          <w:sz w:val="32"/>
          <w:szCs w:val="32"/>
        </w:rPr>
        <w:t>（图7：“三公”经费财政拨款支出结构）（饼状图）</w:t>
      </w:r>
    </w:p>
    <w:p>
      <w:pPr>
        <w:pStyle w:val="2"/>
        <w:jc w:val="center"/>
      </w:pPr>
      <w:r>
        <w:drawing>
          <wp:inline distT="0" distB="0" distL="0" distR="0">
            <wp:extent cx="4587875" cy="2759075"/>
            <wp:effectExtent l="0" t="0" r="0" b="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0"/>
        <w:rPr>
          <w:rFonts w:eastAsia="仿宋_GB2312" w:cs="仿宋_GB2312"/>
          <w:sz w:val="32"/>
          <w:szCs w:val="32"/>
        </w:rPr>
      </w:pPr>
      <w:r>
        <w:rPr>
          <w:rFonts w:hint="eastAsia" w:eastAsia="仿宋_GB2312" w:cs="仿宋_GB2312"/>
          <w:b/>
          <w:bCs/>
          <w:sz w:val="32"/>
          <w:szCs w:val="32"/>
        </w:rPr>
        <w:t>1.因公出国（境）经费支出0万元，</w:t>
      </w:r>
      <w:r>
        <w:rPr>
          <w:rFonts w:hint="eastAsia" w:eastAsia="仿宋_GB2312" w:cs="仿宋_GB2312"/>
          <w:sz w:val="32"/>
          <w:szCs w:val="32"/>
        </w:rPr>
        <w:t>年初未安排预算，因公出国（境）支出决算较2023年无变化。</w:t>
      </w:r>
    </w:p>
    <w:p>
      <w:pPr>
        <w:spacing w:line="600" w:lineRule="exact"/>
        <w:ind w:firstLine="640"/>
        <w:rPr>
          <w:rFonts w:ascii="仿宋_GB2312" w:hAnsi="仿宋_GB2312" w:eastAsia="仿宋_GB2312" w:cs="仿宋_GB2312"/>
          <w:sz w:val="32"/>
          <w:szCs w:val="32"/>
        </w:rPr>
      </w:pPr>
      <w:r>
        <w:rPr>
          <w:rFonts w:hint="eastAsia" w:eastAsia="仿宋_GB2312" w:cs="仿宋_GB2312"/>
          <w:b/>
          <w:bCs/>
          <w:sz w:val="32"/>
          <w:szCs w:val="32"/>
        </w:rPr>
        <w:t>2.公务用车购置及运行维护费支出</w:t>
      </w:r>
      <w:r>
        <w:rPr>
          <w:rFonts w:hint="eastAsia" w:ascii="仿宋_GB2312" w:hAnsi="仿宋_GB2312" w:eastAsia="仿宋_GB2312" w:cs="仿宋_GB2312"/>
          <w:b/>
          <w:bCs/>
          <w:sz w:val="32"/>
          <w:szCs w:val="32"/>
        </w:rPr>
        <w:t>0万</w:t>
      </w:r>
      <w:r>
        <w:rPr>
          <w:rFonts w:hint="eastAsia" w:eastAsia="仿宋_GB2312" w:cs="仿宋_GB2312"/>
          <w:b/>
          <w:bCs/>
          <w:sz w:val="32"/>
          <w:szCs w:val="32"/>
        </w:rPr>
        <w:t>元，</w:t>
      </w:r>
      <w:r>
        <w:rPr>
          <w:rFonts w:hint="eastAsia" w:ascii="仿宋_GB2312" w:hAnsi="仿宋_GB2312" w:eastAsia="仿宋_GB2312" w:cs="仿宋_GB2312"/>
          <w:sz w:val="32"/>
          <w:szCs w:val="32"/>
        </w:rPr>
        <w:t>年初未安排预算，较2023年度无变化。其中：公务用车购置支出0万元。全年按规定更新购置公务用车0辆。截至2024年12月31日，单位共有公务用车0辆。</w:t>
      </w:r>
    </w:p>
    <w:p>
      <w:pPr>
        <w:spacing w:line="600" w:lineRule="exact"/>
        <w:ind w:firstLine="640"/>
        <w:rPr>
          <w:rFonts w:eastAsia="仿宋_GB2312" w:cs="仿宋_GB2312"/>
          <w:sz w:val="32"/>
          <w:szCs w:val="32"/>
        </w:rPr>
      </w:pPr>
      <w:r>
        <w:rPr>
          <w:rFonts w:hint="eastAsia" w:eastAsia="仿宋_GB2312" w:cs="仿宋_GB2312"/>
          <w:sz w:val="32"/>
          <w:szCs w:val="32"/>
        </w:rPr>
        <w:t>公务用车运行维护费支</w:t>
      </w:r>
      <w:r>
        <w:rPr>
          <w:rFonts w:hint="eastAsia" w:ascii="仿宋_GB2312" w:hAnsi="仿宋_GB2312" w:eastAsia="仿宋_GB2312" w:cs="仿宋_GB2312"/>
          <w:sz w:val="32"/>
          <w:szCs w:val="32"/>
        </w:rPr>
        <w:t>出0</w:t>
      </w:r>
      <w:r>
        <w:rPr>
          <w:rFonts w:hint="eastAsia" w:eastAsia="仿宋_GB2312" w:cs="仿宋_GB2312"/>
          <w:sz w:val="32"/>
          <w:szCs w:val="32"/>
        </w:rPr>
        <w:t>万元。</w:t>
      </w:r>
    </w:p>
    <w:p>
      <w:pPr>
        <w:spacing w:line="600" w:lineRule="exact"/>
        <w:ind w:firstLine="640"/>
        <w:rPr>
          <w:rFonts w:hint="eastAsia" w:ascii="仿宋_GB2312" w:hAnsi="仿宋_GB2312" w:eastAsia="仿宋_GB2312" w:cs="仿宋_GB2312"/>
          <w:sz w:val="32"/>
          <w:szCs w:val="32"/>
        </w:rPr>
      </w:pPr>
      <w:r>
        <w:rPr>
          <w:rFonts w:hint="eastAsia" w:eastAsia="仿宋_GB2312" w:cs="仿宋_GB2312"/>
          <w:b/>
          <w:bCs/>
          <w:sz w:val="32"/>
          <w:szCs w:val="32"/>
        </w:rPr>
        <w:t>3.公务接待费支出</w:t>
      </w:r>
      <w:r>
        <w:rPr>
          <w:rFonts w:hint="eastAsia" w:ascii="仿宋_GB2312" w:hAnsi="仿宋_GB2312" w:eastAsia="仿宋_GB2312" w:cs="仿宋_GB2312"/>
          <w:b/>
          <w:bCs/>
          <w:sz w:val="32"/>
          <w:szCs w:val="32"/>
        </w:rPr>
        <w:t>0.4万</w:t>
      </w:r>
      <w:r>
        <w:rPr>
          <w:rFonts w:hint="eastAsia" w:eastAsia="仿宋_GB2312" w:cs="仿宋_GB2312"/>
          <w:b/>
          <w:bCs/>
          <w:sz w:val="32"/>
          <w:szCs w:val="32"/>
        </w:rPr>
        <w:t>元</w:t>
      </w:r>
      <w:r>
        <w:rPr>
          <w:rFonts w:hint="eastAsia" w:ascii="仿宋_GB2312" w:hAnsi="仿宋_GB2312" w:eastAsia="仿宋_GB2312" w:cs="仿宋_GB2312"/>
          <w:b/>
          <w:bCs/>
          <w:sz w:val="32"/>
          <w:szCs w:val="32"/>
        </w:rPr>
        <w:t>，</w:t>
      </w:r>
      <w:r>
        <w:rPr>
          <w:rStyle w:val="17"/>
          <w:rFonts w:hint="eastAsia" w:ascii="仿宋_GB2312" w:hAnsi="仿宋_GB2312" w:eastAsia="仿宋_GB2312" w:cs="仿宋_GB2312"/>
          <w:b w:val="0"/>
          <w:bCs/>
          <w:sz w:val="32"/>
          <w:szCs w:val="32"/>
        </w:rPr>
        <w:t>完成预算100%。</w:t>
      </w:r>
      <w:r>
        <w:rPr>
          <w:rFonts w:hint="eastAsia" w:ascii="仿宋_GB2312" w:hAnsi="仿宋_GB2312" w:eastAsia="仿宋_GB2312" w:cs="仿宋_GB2312"/>
          <w:sz w:val="32"/>
          <w:szCs w:val="32"/>
        </w:rPr>
        <w:t>公务接待费支出决算比2022年度无变化。其中：</w:t>
      </w:r>
    </w:p>
    <w:p>
      <w:pPr>
        <w:spacing w:line="600" w:lineRule="exact"/>
        <w:ind w:firstLine="640"/>
        <w:rPr>
          <w:rFonts w:eastAsia="仿宋_GB2312" w:cs="仿宋_GB2312"/>
          <w:sz w:val="32"/>
          <w:szCs w:val="32"/>
        </w:rPr>
      </w:pPr>
      <w:r>
        <w:rPr>
          <w:rFonts w:hint="eastAsia" w:eastAsia="仿宋_GB2312" w:cs="仿宋_GB2312"/>
          <w:sz w:val="32"/>
          <w:szCs w:val="32"/>
        </w:rPr>
        <w:t>国内公务接待支</w:t>
      </w:r>
      <w:r>
        <w:rPr>
          <w:rFonts w:hint="eastAsia" w:ascii="仿宋_GB2312" w:hAnsi="仿宋_GB2312" w:eastAsia="仿宋_GB2312" w:cs="仿宋_GB2312"/>
          <w:sz w:val="32"/>
          <w:szCs w:val="32"/>
        </w:rPr>
        <w:t>出0.4万</w:t>
      </w:r>
      <w:r>
        <w:rPr>
          <w:rFonts w:hint="eastAsia" w:eastAsia="仿宋_GB2312" w:cs="仿宋_GB2312"/>
          <w:sz w:val="32"/>
          <w:szCs w:val="32"/>
        </w:rPr>
        <w:t>元，主要用于汛中督查、人事工作、大春产量调查等。国内公务接</w:t>
      </w:r>
      <w:r>
        <w:rPr>
          <w:rFonts w:hint="eastAsia" w:ascii="仿宋_GB2312" w:hAnsi="仿宋_GB2312" w:eastAsia="仿宋_GB2312" w:cs="仿宋_GB2312"/>
          <w:sz w:val="32"/>
          <w:szCs w:val="32"/>
        </w:rPr>
        <w:t>待8批次，40</w:t>
      </w:r>
      <w:r>
        <w:rPr>
          <w:rFonts w:hint="eastAsia" w:eastAsia="仿宋_GB2312" w:cs="仿宋_GB2312"/>
          <w:sz w:val="32"/>
          <w:szCs w:val="32"/>
        </w:rPr>
        <w:t>人次（不包括陪同人员），共计支出0.4万元，具体内容包括：省局汛中督查625元，干部人事工作480元，探测数据中心指导授课500元，人事处开展干部工作320元，大春产量农情调查540元，防雷检测资质考核认定318元，天气雷达反射率一致性提升检查测试工作500元，风廓线雷达现场验收717元。</w:t>
      </w:r>
    </w:p>
    <w:p>
      <w:pPr>
        <w:spacing w:line="600" w:lineRule="exact"/>
        <w:ind w:firstLine="640"/>
        <w:rPr>
          <w:rFonts w:eastAsia="仿宋_GB2312" w:cs="仿宋_GB2312"/>
          <w:sz w:val="32"/>
          <w:szCs w:val="32"/>
        </w:rPr>
      </w:pPr>
      <w:r>
        <w:rPr>
          <w:rFonts w:hint="eastAsia" w:eastAsia="仿宋_GB2312" w:cs="仿宋_GB2312"/>
          <w:sz w:val="32"/>
          <w:szCs w:val="32"/>
        </w:rPr>
        <w:t>外事接待支</w:t>
      </w:r>
      <w:r>
        <w:rPr>
          <w:rFonts w:hint="eastAsia" w:ascii="仿宋_GB2312" w:hAnsi="仿宋_GB2312" w:eastAsia="仿宋_GB2312" w:cs="仿宋_GB2312"/>
          <w:sz w:val="32"/>
          <w:szCs w:val="32"/>
        </w:rPr>
        <w:t>出0万元</w:t>
      </w:r>
      <w:r>
        <w:rPr>
          <w:rFonts w:hint="eastAsia" w:eastAsia="仿宋_GB2312" w:cs="仿宋_GB2312"/>
          <w:sz w:val="32"/>
          <w:szCs w:val="32"/>
        </w:rPr>
        <w:t>。</w:t>
      </w:r>
      <w:bookmarkStart w:id="47" w:name="_Toc15396610"/>
      <w:bookmarkStart w:id="48" w:name="_Toc15377218"/>
    </w:p>
    <w:p>
      <w:pPr>
        <w:spacing w:line="600" w:lineRule="exact"/>
        <w:ind w:firstLine="640"/>
        <w:outlineLvl w:val="1"/>
        <w:rPr>
          <w:rStyle w:val="20"/>
          <w:rFonts w:ascii="Times New Roman" w:hAnsi="Times New Roman" w:eastAsia="黑体"/>
        </w:rPr>
      </w:pPr>
      <w:bookmarkStart w:id="49" w:name="_Toc208479424"/>
      <w:r>
        <w:rPr>
          <w:rFonts w:hint="eastAsia" w:eastAsia="黑体"/>
          <w:sz w:val="32"/>
          <w:szCs w:val="32"/>
        </w:rPr>
        <w:t>八、</w:t>
      </w:r>
      <w:r>
        <w:rPr>
          <w:rStyle w:val="20"/>
          <w:rFonts w:hint="eastAsia" w:ascii="Times New Roman" w:hAnsi="Times New Roman" w:eastAsia="黑体"/>
          <w:b w:val="0"/>
        </w:rPr>
        <w:t>政府性基金预算支出决算情况说明</w:t>
      </w:r>
      <w:bookmarkEnd w:id="47"/>
      <w:bookmarkEnd w:id="48"/>
      <w:bookmarkEnd w:id="49"/>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2024年度政府性基金预算财政拨款支出0万元。</w:t>
      </w:r>
    </w:p>
    <w:p>
      <w:pPr>
        <w:spacing w:line="600" w:lineRule="exact"/>
        <w:ind w:left="630"/>
        <w:outlineLvl w:val="1"/>
        <w:rPr>
          <w:rStyle w:val="20"/>
          <w:rFonts w:ascii="Times New Roman" w:hAnsi="Times New Roman" w:eastAsia="黑体"/>
          <w:b w:val="0"/>
        </w:rPr>
      </w:pPr>
      <w:bookmarkStart w:id="50" w:name="_Toc15377219"/>
      <w:bookmarkStart w:id="51" w:name="_Toc15396611"/>
      <w:bookmarkStart w:id="52" w:name="_Toc208479425"/>
      <w:r>
        <w:rPr>
          <w:rStyle w:val="20"/>
          <w:rFonts w:hint="eastAsia" w:ascii="Times New Roman" w:hAnsi="Times New Roman" w:eastAsia="黑体"/>
          <w:b w:val="0"/>
        </w:rPr>
        <w:t>九、国有资本经营预算支出决算情况说明</w:t>
      </w:r>
      <w:bookmarkEnd w:id="50"/>
      <w:bookmarkEnd w:id="51"/>
      <w:bookmarkEnd w:id="52"/>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2024年度国有资本经营预算财政拨款支出0万元。</w:t>
      </w:r>
    </w:p>
    <w:p>
      <w:pPr>
        <w:spacing w:line="600" w:lineRule="exact"/>
        <w:ind w:left="630"/>
        <w:outlineLvl w:val="1"/>
        <w:rPr>
          <w:rStyle w:val="20"/>
          <w:rFonts w:ascii="Times New Roman" w:hAnsi="Times New Roman" w:eastAsia="黑体"/>
          <w:b w:val="0"/>
        </w:rPr>
      </w:pPr>
      <w:bookmarkStart w:id="53" w:name="_Toc15396612"/>
      <w:bookmarkStart w:id="54" w:name="_Toc15377221"/>
      <w:bookmarkStart w:id="55" w:name="_Toc208479426"/>
      <w:r>
        <w:rPr>
          <w:rStyle w:val="20"/>
          <w:rFonts w:hint="eastAsia" w:ascii="Times New Roman" w:hAnsi="Times New Roman" w:eastAsia="黑体"/>
          <w:b w:val="0"/>
        </w:rPr>
        <w:t>十、其他重要事项的情况说明</w:t>
      </w:r>
      <w:bookmarkEnd w:id="53"/>
      <w:bookmarkEnd w:id="54"/>
      <w:bookmarkEnd w:id="55"/>
    </w:p>
    <w:p>
      <w:pPr>
        <w:spacing w:line="600" w:lineRule="exact"/>
        <w:ind w:firstLine="642" w:firstLineChars="200"/>
        <w:rPr>
          <w:rFonts w:eastAsia="楷体_GB2312" w:cs="楷体_GB2312"/>
          <w:b/>
          <w:sz w:val="32"/>
          <w:szCs w:val="32"/>
        </w:rPr>
      </w:pPr>
      <w:bookmarkStart w:id="56" w:name="_Toc15377222"/>
      <w:r>
        <w:rPr>
          <w:rFonts w:hint="eastAsia" w:eastAsia="楷体_GB2312" w:cs="楷体_GB2312"/>
          <w:b/>
          <w:sz w:val="32"/>
          <w:szCs w:val="32"/>
        </w:rPr>
        <w:t>（一）机关运行经费支出情况</w:t>
      </w:r>
      <w:bookmarkEnd w:id="56"/>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由于我单位为其他事业单位，故无机关运行经费</w:t>
      </w:r>
      <w:r>
        <w:rPr>
          <w:rFonts w:hint="eastAsia" w:ascii="仿宋_GB2312" w:eastAsia="仿宋_GB2312"/>
          <w:sz w:val="32"/>
          <w:szCs w:val="32"/>
          <w:lang w:eastAsia="zh-CN"/>
        </w:rPr>
        <w:t>，较上年无变化</w:t>
      </w:r>
      <w:r>
        <w:rPr>
          <w:rFonts w:hint="eastAsia" w:ascii="仿宋_GB2312" w:eastAsia="仿宋_GB2312"/>
          <w:sz w:val="32"/>
          <w:szCs w:val="32"/>
        </w:rPr>
        <w:t>。</w:t>
      </w:r>
    </w:p>
    <w:p>
      <w:pPr>
        <w:spacing w:line="600" w:lineRule="exact"/>
        <w:ind w:firstLine="642" w:firstLineChars="200"/>
        <w:rPr>
          <w:rFonts w:eastAsia="楷体_GB2312" w:cs="楷体_GB2312"/>
          <w:b/>
          <w:sz w:val="32"/>
          <w:szCs w:val="32"/>
        </w:rPr>
      </w:pPr>
      <w:bookmarkStart w:id="57" w:name="_Toc15377223"/>
      <w:r>
        <w:rPr>
          <w:rFonts w:hint="eastAsia" w:eastAsia="楷体_GB2312" w:cs="楷体_GB2312"/>
          <w:b/>
          <w:sz w:val="32"/>
          <w:szCs w:val="32"/>
        </w:rPr>
        <w:t>（二）政府采购支出情况</w:t>
      </w:r>
      <w:bookmarkEnd w:id="57"/>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2024年度，广元市气象局政府采购支出总额10.81万元，其中：政府采购货物支出10.81万元。主要用于人工影响天气指挥室LED屏。授予中小企业合同金额10.81万元，占政府采购支出总额的100%，其中：授予小微企业合同金额0万元，占政府采购支出总额的0%。</w:t>
      </w:r>
    </w:p>
    <w:p>
      <w:pPr>
        <w:spacing w:line="600" w:lineRule="exact"/>
        <w:ind w:firstLine="642" w:firstLineChars="200"/>
        <w:rPr>
          <w:rFonts w:eastAsia="楷体_GB2312" w:cs="楷体_GB2312"/>
          <w:b/>
          <w:sz w:val="32"/>
          <w:szCs w:val="32"/>
        </w:rPr>
      </w:pPr>
      <w:bookmarkStart w:id="58" w:name="_Toc15377224"/>
      <w:r>
        <w:rPr>
          <w:rFonts w:hint="eastAsia" w:eastAsia="楷体_GB2312" w:cs="楷体_GB2312"/>
          <w:b/>
          <w:sz w:val="32"/>
          <w:szCs w:val="32"/>
        </w:rPr>
        <w:t>（三）国有资产占有使用情况</w:t>
      </w:r>
      <w:bookmarkEnd w:id="58"/>
    </w:p>
    <w:p>
      <w:pPr>
        <w:autoSpaceDE w:val="0"/>
        <w:autoSpaceDN w:val="0"/>
        <w:adjustRightInd w:val="0"/>
        <w:spacing w:line="600" w:lineRule="exact"/>
        <w:ind w:firstLine="640" w:firstLineChars="200"/>
        <w:jc w:val="left"/>
        <w:rPr>
          <w:rFonts w:eastAsia="仿宋_GB2312" w:cs="仿宋_GB2312"/>
          <w:sz w:val="32"/>
          <w:szCs w:val="32"/>
        </w:rPr>
      </w:pPr>
      <w:r>
        <w:rPr>
          <w:rFonts w:hint="eastAsia" w:ascii="仿宋_GB2312" w:eastAsia="仿宋_GB2312"/>
          <w:sz w:val="32"/>
          <w:szCs w:val="32"/>
        </w:rPr>
        <w:t>截至2024年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日，单位</w:t>
      </w:r>
      <w:r>
        <w:rPr>
          <w:rFonts w:ascii="仿宋_GB2312" w:eastAsia="仿宋_GB2312"/>
          <w:sz w:val="32"/>
          <w:szCs w:val="32"/>
        </w:rPr>
        <w:t>无车辆及单价</w:t>
      </w:r>
      <w:r>
        <w:rPr>
          <w:rFonts w:hint="eastAsia" w:ascii="仿宋_GB2312" w:eastAsia="仿宋_GB2312"/>
          <w:sz w:val="32"/>
          <w:szCs w:val="32"/>
        </w:rPr>
        <w:t>100万元以上资产</w:t>
      </w:r>
      <w:r>
        <w:rPr>
          <w:rFonts w:ascii="仿宋_GB2312" w:eastAsia="仿宋_GB2312"/>
          <w:sz w:val="32"/>
          <w:szCs w:val="32"/>
        </w:rPr>
        <w:t>。</w:t>
      </w:r>
    </w:p>
    <w:p>
      <w:pPr>
        <w:spacing w:line="600" w:lineRule="exact"/>
        <w:ind w:firstLine="642" w:firstLineChars="200"/>
        <w:rPr>
          <w:rFonts w:eastAsia="楷体_GB2312" w:cs="楷体_GB2312"/>
          <w:b/>
          <w:sz w:val="32"/>
          <w:szCs w:val="32"/>
        </w:rPr>
      </w:pPr>
      <w:r>
        <w:rPr>
          <w:rFonts w:hint="eastAsia" w:eastAsia="楷体_GB2312" w:cs="楷体_GB2312"/>
          <w:b/>
          <w:sz w:val="32"/>
          <w:szCs w:val="32"/>
        </w:rPr>
        <w:t>（四）预算绩效管理情况</w:t>
      </w:r>
    </w:p>
    <w:p>
      <w:pPr>
        <w:spacing w:line="600" w:lineRule="exact"/>
        <w:ind w:firstLine="640"/>
        <w:rPr>
          <w:rFonts w:eastAsia="仿宋_GB2312" w:cs="仿宋_GB2312"/>
          <w:sz w:val="32"/>
          <w:szCs w:val="32"/>
        </w:rPr>
      </w:pPr>
      <w:r>
        <w:rPr>
          <w:rFonts w:hint="eastAsia" w:eastAsia="仿宋_GB2312" w:cs="仿宋_GB2312"/>
          <w:sz w:val="32"/>
          <w:szCs w:val="32"/>
        </w:rPr>
        <w:t>根据预算绩效管理要求，本部门在2024年度预算编制阶段，组织对广元电视台天气播报经费、广元人工影响天气专项经费、广元气候生态监测站、乡村振兴工作经费、央视天气预报播出经费、广元区域自动气象站运行维护费等6个项目开展了预算事前绩效评估，对6个项目编制了绩效目标，预算执行过程中，选取6个项目开展绩效监控。</w:t>
      </w:r>
    </w:p>
    <w:p>
      <w:pPr>
        <w:spacing w:line="600" w:lineRule="exact"/>
        <w:ind w:firstLine="640"/>
        <w:rPr>
          <w:rFonts w:eastAsia="仿宋_GB2312" w:cs="仿宋_GB2312"/>
          <w:sz w:val="32"/>
          <w:szCs w:val="32"/>
        </w:rPr>
      </w:pPr>
      <w:r>
        <w:rPr>
          <w:rFonts w:hint="eastAsia" w:eastAsia="仿宋_GB2312" w:cs="仿宋_GB2312"/>
          <w:sz w:val="32"/>
          <w:szCs w:val="32"/>
        </w:rPr>
        <w:t>组织对2024年度一般公共预算、政府性基金预算、国有资本经营预算、社会保险基金预算以及资本资产、债券资金等全面开展绩效自评，形成广元市气象局部门整体（含部门预算项目）绩效自评报告、广元电视台天气播报经费、广元人工影响天气专项经费、广元气候生态监测站、乡村振兴工作经费、央视天气预报播出经费、广元区域自动气象站运行维护费等专项预算项目绩效自评报告，其中，广元市气象局部门整体（含部门预算项目）绩效自评得分为73.79分，绩效自评综述：</w:t>
      </w:r>
    </w:p>
    <w:p>
      <w:pPr>
        <w:spacing w:line="600" w:lineRule="exact"/>
        <w:ind w:firstLine="640"/>
        <w:rPr>
          <w:rFonts w:eastAsia="仿宋_GB2312" w:cs="仿宋_GB2312"/>
          <w:sz w:val="32"/>
          <w:szCs w:val="32"/>
        </w:rPr>
      </w:pPr>
      <w:r>
        <w:rPr>
          <w:rFonts w:hint="eastAsia" w:eastAsia="仿宋_GB2312" w:cs="仿宋_GB2312"/>
          <w:sz w:val="32"/>
          <w:szCs w:val="32"/>
        </w:rPr>
        <w:t>1.履职效能。广元市气象局部门整体绩效目标中未涉及履职效能，此项15分在总分中剔除。</w:t>
      </w:r>
    </w:p>
    <w:p>
      <w:pPr>
        <w:spacing w:line="600" w:lineRule="exact"/>
        <w:ind w:firstLine="640"/>
        <w:rPr>
          <w:rFonts w:eastAsia="仿宋_GB2312" w:cs="仿宋_GB2312"/>
          <w:sz w:val="32"/>
          <w:szCs w:val="32"/>
        </w:rPr>
      </w:pPr>
      <w:r>
        <w:rPr>
          <w:rFonts w:hint="eastAsia" w:eastAsia="仿宋_GB2312" w:cs="仿宋_GB2312"/>
          <w:sz w:val="32"/>
          <w:szCs w:val="32"/>
        </w:rPr>
        <w:t>2.预算管理。围绕部门职能，以支出绩效为核心，认真把握国家有关政策，强化预算编制、预算执行、结果应用程序管控，扎实做好预算管理工作。</w:t>
      </w:r>
    </w:p>
    <w:p>
      <w:pPr>
        <w:spacing w:line="600" w:lineRule="exact"/>
        <w:ind w:firstLine="640"/>
        <w:rPr>
          <w:rFonts w:eastAsia="仿宋_GB2312" w:cs="仿宋_GB2312"/>
          <w:sz w:val="32"/>
          <w:szCs w:val="32"/>
        </w:rPr>
      </w:pPr>
      <w:r>
        <w:rPr>
          <w:rFonts w:hint="eastAsia" w:eastAsia="仿宋_GB2312" w:cs="仿宋_GB2312"/>
          <w:sz w:val="32"/>
          <w:szCs w:val="32"/>
        </w:rPr>
        <w:t>一是严格按照市级财政预算编制要求，认真贯彻落实党中央、市委市政府、中国气象局关于“厉行节约”的一系列指示要求，把握各项支出的轻重缓急，同时理清基本支出和项目支出边界，严格按照绩效目标制定的相关规定，结合符合绩效编制要求的各部门预算项目的实际情况，完整、合理地制定各项目的绩效目标，无要素遗漏，绩效指标也基本做到细化量化。</w:t>
      </w:r>
    </w:p>
    <w:p>
      <w:pPr>
        <w:spacing w:line="600" w:lineRule="exact"/>
        <w:ind w:firstLine="640"/>
        <w:rPr>
          <w:rFonts w:eastAsia="仿宋_GB2312" w:cs="仿宋_GB2312"/>
          <w:sz w:val="32"/>
          <w:szCs w:val="32"/>
        </w:rPr>
      </w:pPr>
      <w:r>
        <w:rPr>
          <w:rFonts w:hint="eastAsia" w:eastAsia="仿宋_GB2312" w:cs="仿宋_GB2312"/>
          <w:sz w:val="32"/>
          <w:szCs w:val="32"/>
        </w:rPr>
        <w:t>二是加强预算执行进度、绩效自行监控管理，积极思考分析，提前谋划，确保项目的有效实施。</w:t>
      </w:r>
    </w:p>
    <w:p>
      <w:pPr>
        <w:spacing w:line="600" w:lineRule="exact"/>
        <w:ind w:firstLine="640"/>
        <w:rPr>
          <w:rFonts w:eastAsia="仿宋_GB2312" w:cs="仿宋_GB2312"/>
          <w:sz w:val="32"/>
          <w:szCs w:val="32"/>
        </w:rPr>
      </w:pPr>
      <w:r>
        <w:rPr>
          <w:rFonts w:hint="eastAsia" w:eastAsia="仿宋_GB2312" w:cs="仿宋_GB2312"/>
          <w:sz w:val="32"/>
          <w:szCs w:val="32"/>
        </w:rPr>
        <w:t>三是压实主体责任，强化项目绩效事前、事中、事后管理，切实提升资金使用效率。</w:t>
      </w:r>
    </w:p>
    <w:p>
      <w:pPr>
        <w:spacing w:line="600" w:lineRule="exact"/>
        <w:ind w:firstLine="640"/>
        <w:rPr>
          <w:rFonts w:eastAsia="仿宋_GB2312" w:cs="仿宋_GB2312"/>
          <w:sz w:val="32"/>
          <w:szCs w:val="32"/>
        </w:rPr>
      </w:pPr>
      <w:r>
        <w:rPr>
          <w:rFonts w:hint="eastAsia" w:eastAsia="仿宋_GB2312" w:cs="仿宋_GB2312"/>
          <w:sz w:val="32"/>
          <w:szCs w:val="32"/>
        </w:rPr>
        <w:t>广元市气象局严格按要求编制年初部门预算，预算编制根据单位履行职责、业务运行、事业发展目标和现有资源的配置情况进行编制，各项收支要符合客观实际，有真实可靠的预算依据，年初预算编制科学准确；1至6月、1至10月预算执行情况得分3.1分；“三公”经费、会议、培训、差旅、办节办展、办公设备购置、信息网络及软件购置更新、课题经费等8项一般性支出情况与上年相较无压减，严控一般支出总分6分，得0分；部门整体年终预算结余情况得分4.25分，结转金额87.66万，注销金额248元，预算结余率为15.02%。该项预算管理得分15.35分。</w:t>
      </w:r>
    </w:p>
    <w:p>
      <w:pPr>
        <w:spacing w:line="600" w:lineRule="exact"/>
        <w:ind w:firstLine="640"/>
        <w:rPr>
          <w:rFonts w:eastAsia="仿宋_GB2312" w:cs="仿宋_GB2312"/>
          <w:sz w:val="32"/>
          <w:szCs w:val="32"/>
        </w:rPr>
      </w:pPr>
      <w:r>
        <w:rPr>
          <w:rFonts w:hint="eastAsia" w:eastAsia="仿宋_GB2312" w:cs="仿宋_GB2312"/>
          <w:sz w:val="32"/>
          <w:szCs w:val="32"/>
        </w:rPr>
        <w:t>3.财务管理。广元市气象局已制定《广元市气象部门预算管理实施细则》、《广元市气象部门财务报销管理办法》、《广元市气象部门财务工作内部控制制度》等一系列内部财务管理制度，财务管理制度落实到位。广元市气象局合理设置财务工作岗位，明确职责权限，并严格实行不相容岗位分离，部门资金使用是否符合相关财务管理制度规定。该项得分为10分。</w:t>
      </w:r>
    </w:p>
    <w:p>
      <w:pPr>
        <w:spacing w:line="600" w:lineRule="exact"/>
        <w:ind w:firstLine="640"/>
        <w:rPr>
          <w:rFonts w:eastAsia="仿宋_GB2312" w:cs="仿宋_GB2312"/>
          <w:sz w:val="32"/>
          <w:szCs w:val="32"/>
        </w:rPr>
      </w:pPr>
      <w:r>
        <w:rPr>
          <w:rFonts w:hint="eastAsia" w:eastAsia="仿宋_GB2312" w:cs="仿宋_GB2312"/>
          <w:sz w:val="32"/>
          <w:szCs w:val="32"/>
        </w:rPr>
        <w:t>4.资产管理。广元市气象局人均资产变化率95.52%，部门人均资产增长率-4.48%。办公家具超最低使用年限资产利用率为99.1%，办公设备超最低使用年限资产利用率91.54%。两年均无闲置资产。该项得分9分。</w:t>
      </w:r>
    </w:p>
    <w:p>
      <w:pPr>
        <w:spacing w:line="600" w:lineRule="exact"/>
        <w:ind w:firstLine="640"/>
        <w:rPr>
          <w:rFonts w:eastAsia="仿宋_GB2312" w:cs="仿宋_GB2312"/>
          <w:sz w:val="32"/>
          <w:szCs w:val="32"/>
        </w:rPr>
      </w:pPr>
      <w:r>
        <w:rPr>
          <w:rFonts w:hint="eastAsia" w:eastAsia="仿宋_GB2312" w:cs="仿宋_GB2312"/>
          <w:sz w:val="32"/>
          <w:szCs w:val="32"/>
        </w:rPr>
        <w:t>5.采购管理。广元市气象局2024年涉及两项政府采购，分别为LED大屏和广元生态监测站，LED大屏采购已完成，预算10.84万元，实际支付10.81万元；广元生态监测站于2024年12月31日完成中标公告发布，后续签订合同和资金支付预计2025年完成。该项得分9分。</w:t>
      </w:r>
    </w:p>
    <w:p>
      <w:pPr>
        <w:spacing w:line="600" w:lineRule="exact"/>
        <w:ind w:firstLine="640"/>
        <w:rPr>
          <w:rFonts w:eastAsia="仿宋_GB2312" w:cs="仿宋_GB2312"/>
          <w:sz w:val="32"/>
          <w:szCs w:val="32"/>
        </w:rPr>
      </w:pPr>
      <w:r>
        <w:rPr>
          <w:rFonts w:hint="eastAsia" w:eastAsia="仿宋_GB2312" w:cs="仿宋_GB2312"/>
          <w:sz w:val="32"/>
          <w:szCs w:val="32"/>
        </w:rPr>
        <w:t>自动站运行维护费：该项目自评得分100分，现已顺利完成，无资金结余。能够按照时间进度安排进行实施，设备的采购流程满足相应管理制度要求，设备的质量、安装和调试均符合气象业务需要，项目成本在控制范围内。按照气象业务规范的有关要求，及时开展设备系统的维护维修。总体来说，该项目的实施能够满足气象监测、预报和服务的需要，对气象观测数据的及时采集、上传和提高数据可用率均发挥了积极作用，同时也对天气预报现代化水平和准确率起到了促进作用。2024年地面气象观测站维护维修数量为100套，地面气象观测站维修合格率为100%，地面气象观测站故障修复时间小于3小时，均保持稳中有进的态势。</w:t>
      </w:r>
    </w:p>
    <w:p>
      <w:pPr>
        <w:spacing w:line="600" w:lineRule="exact"/>
        <w:ind w:firstLine="640"/>
        <w:rPr>
          <w:rFonts w:eastAsia="仿宋_GB2312" w:cs="仿宋_GB2312"/>
          <w:sz w:val="32"/>
          <w:szCs w:val="32"/>
        </w:rPr>
      </w:pPr>
      <w:r>
        <w:rPr>
          <w:rFonts w:hint="eastAsia" w:eastAsia="仿宋_GB2312" w:cs="仿宋_GB2312"/>
          <w:sz w:val="32"/>
          <w:szCs w:val="32"/>
        </w:rPr>
        <w:t>广元电视天气预报系统项目：该项目自评得分100分，现已顺利完成，无资金结余。丰富了节目内容，提高了节目质量水平，更好地为广元地方经济、人民的日常生活服务。在广元电视台公共频道和旅游频道共2个频道2个播出时段进行播出，共4个时段；正常播放天数366天；2024年1月至2023年12月完成节目制作播出为，成本5万元。</w:t>
      </w:r>
    </w:p>
    <w:p>
      <w:pPr>
        <w:spacing w:line="600" w:lineRule="exact"/>
        <w:ind w:firstLine="640"/>
        <w:rPr>
          <w:rFonts w:eastAsia="仿宋_GB2312" w:cs="仿宋_GB2312"/>
          <w:sz w:val="32"/>
          <w:szCs w:val="32"/>
        </w:rPr>
      </w:pPr>
      <w:r>
        <w:rPr>
          <w:rFonts w:hint="eastAsia" w:eastAsia="仿宋_GB2312" w:cs="仿宋_GB2312"/>
          <w:sz w:val="32"/>
          <w:szCs w:val="32"/>
        </w:rPr>
        <w:t>央视天气预报播出经费：该项目自评得分100分，每天通过央视1套早/午间、央视4套午间等4个央视平台的天气预报栏目，开展广元城市宣传，按时制作2024年度每日的广元天气预报，预报数据及时提交，在央视天气预报栏目播出2024年365天广元天气预报。广元已通过央视平台高频次开展城市宣传15年了，许多人持续关注，四川多个市州也计划通过该平台开展城市宣传，但广元因为连续多年与央视合作，有续签合约的优先权，通过2024年继续播出，有利于巩固在央视宣传的阵地。</w:t>
      </w:r>
    </w:p>
    <w:p>
      <w:pPr>
        <w:spacing w:line="600" w:lineRule="exact"/>
        <w:ind w:firstLine="640"/>
        <w:rPr>
          <w:rFonts w:eastAsia="仿宋_GB2312" w:cs="仿宋_GB2312"/>
          <w:sz w:val="32"/>
          <w:szCs w:val="32"/>
        </w:rPr>
      </w:pPr>
      <w:r>
        <w:rPr>
          <w:rFonts w:hint="eastAsia" w:eastAsia="仿宋_GB2312" w:cs="仿宋_GB2312"/>
          <w:sz w:val="32"/>
          <w:szCs w:val="32"/>
        </w:rPr>
        <w:t>人工影响天气专项经费：该项目自评得分100分，按时完成了2024年人工影响天气业务，主要包括购买作业人员保险、开展高炮、火箭年检与维护、移动作业点标准化建设和人影地面焰炉设备日常巡检工作等。</w:t>
      </w:r>
    </w:p>
    <w:p>
      <w:pPr>
        <w:spacing w:line="600" w:lineRule="exact"/>
        <w:ind w:firstLine="640"/>
        <w:rPr>
          <w:rFonts w:eastAsia="仿宋_GB2312" w:cs="仿宋_GB2312"/>
          <w:sz w:val="32"/>
          <w:szCs w:val="32"/>
        </w:rPr>
      </w:pPr>
      <w:r>
        <w:rPr>
          <w:rFonts w:hint="eastAsia" w:eastAsia="仿宋_GB2312" w:cs="仿宋_GB2312"/>
          <w:sz w:val="32"/>
          <w:szCs w:val="32"/>
        </w:rPr>
        <w:t>广元气候生态监测站：该项目自评得分40分，截止项目绩效自评时点，项目已签订合同，完成政府集中采购，完成初步选址，但目前市林业局还正在进行选址用地占用湿地公园和森林公园的环境影响评估，项目建设还未完成，预计2025年4月底完成。</w:t>
      </w:r>
    </w:p>
    <w:p>
      <w:pPr>
        <w:spacing w:line="600" w:lineRule="exact"/>
        <w:ind w:firstLine="640"/>
        <w:rPr>
          <w:rFonts w:eastAsia="仿宋_GB2312" w:cs="仿宋_GB2312"/>
          <w:sz w:val="32"/>
          <w:szCs w:val="32"/>
        </w:rPr>
      </w:pPr>
      <w:r>
        <w:rPr>
          <w:rFonts w:hint="eastAsia" w:eastAsia="仿宋_GB2312" w:cs="仿宋_GB2312"/>
          <w:sz w:val="32"/>
          <w:szCs w:val="32"/>
        </w:rPr>
        <w:t>乡村振兴专项经费：该项目自评得分100分，市气象局派出3名同志全脱产在旺苍县东河镇梨花村开展驻村帮扶工作，积极配合协助村两委开展工作，积极谋划村集体经济产业发展，为当地群众谋划就地产业，引导外出务工增收；驻村工作队以“建强村党组织，推进强村富民，为民办事服务，提升治理水平”四项职责为纲领，在市气象局党组的引领下，从多方面开展帮扶工作。在做好党建工作的前提下，首先关注村集体经济发展，对村鱼塘、果园等产业进行谋划后续发展。同时抓好精神文明建设，提升村民获得感、幸福感，保障村民生活水平。制定帮扶计划，严格实施，定期入户排查，持续</w:t>
      </w:r>
      <w:r>
        <w:rPr>
          <w:rFonts w:hint="eastAsia" w:eastAsia="仿宋_GB2312" w:cs="仿宋_GB2312"/>
          <w:sz w:val="32"/>
          <w:szCs w:val="32"/>
          <w:lang w:eastAsia="zh-CN"/>
        </w:rPr>
        <w:t>巩固拓展脱贫攻坚成果</w:t>
      </w:r>
      <w:r>
        <w:rPr>
          <w:rFonts w:hint="eastAsia" w:eastAsia="仿宋_GB2312" w:cs="仿宋_GB2312"/>
          <w:sz w:val="32"/>
          <w:szCs w:val="32"/>
        </w:rPr>
        <w:t>，切实做好防返贫人口监测工作。着力解决村民问题，重点关注监测户、脱贫户、特困供养户、残疾人、留守老人等困难群体。开展以购代扶工作，帮助村民销售农产品。</w:t>
      </w:r>
    </w:p>
    <w:p>
      <w:pPr>
        <w:spacing w:line="600" w:lineRule="exact"/>
        <w:ind w:firstLine="640"/>
        <w:rPr>
          <w:rFonts w:eastAsia="仿宋_GB2312" w:cs="仿宋_GB2312"/>
          <w:sz w:val="32"/>
          <w:szCs w:val="32"/>
        </w:rPr>
      </w:pPr>
    </w:p>
    <w:p>
      <w:pPr>
        <w:spacing w:line="600" w:lineRule="exact"/>
        <w:jc w:val="center"/>
        <w:outlineLvl w:val="0"/>
        <w:rPr>
          <w:rFonts w:eastAsia="黑体"/>
          <w:sz w:val="44"/>
          <w:szCs w:val="44"/>
        </w:rPr>
      </w:pPr>
      <w:bookmarkStart w:id="59" w:name="_Toc15377225"/>
      <w:bookmarkStart w:id="60" w:name="_Toc15396613"/>
      <w:bookmarkStart w:id="61" w:name="_Toc208479427"/>
      <w:r>
        <w:rPr>
          <w:rFonts w:hint="eastAsia" w:eastAsia="黑体"/>
          <w:sz w:val="44"/>
          <w:szCs w:val="44"/>
        </w:rPr>
        <w:t>第三部分  名词解释</w:t>
      </w:r>
      <w:bookmarkEnd w:id="59"/>
      <w:bookmarkEnd w:id="60"/>
      <w:bookmarkEnd w:id="61"/>
    </w:p>
    <w:p>
      <w:pPr>
        <w:numPr>
          <w:ilvl w:val="0"/>
          <w:numId w:val="1"/>
        </w:numPr>
        <w:spacing w:line="600" w:lineRule="exact"/>
        <w:ind w:left="0" w:leftChars="0" w:firstLine="400" w:firstLineChars="0"/>
        <w:jc w:val="left"/>
        <w:rPr>
          <w:rFonts w:eastAsia="仿宋_GB2312" w:cs="仿宋_GB2312"/>
          <w:sz w:val="32"/>
          <w:szCs w:val="32"/>
        </w:rPr>
      </w:pPr>
      <w:bookmarkStart w:id="62" w:name="_Toc15377226"/>
      <w:r>
        <w:rPr>
          <w:rFonts w:hint="eastAsia" w:eastAsia="仿宋_GB2312" w:cs="仿宋_GB2312"/>
          <w:sz w:val="32"/>
          <w:szCs w:val="32"/>
        </w:rPr>
        <w:t>财政拨款收入：指单位从同级财政部门取得的财政预算资金。</w:t>
      </w:r>
    </w:p>
    <w:p>
      <w:pPr>
        <w:numPr>
          <w:ilvl w:val="0"/>
          <w:numId w:val="1"/>
        </w:numPr>
        <w:spacing w:line="600" w:lineRule="exact"/>
        <w:ind w:left="0" w:leftChars="0" w:firstLine="400" w:firstLineChars="0"/>
        <w:jc w:val="left"/>
        <w:rPr>
          <w:rFonts w:eastAsia="仿宋_GB2312" w:cs="仿宋_GB2312"/>
          <w:sz w:val="32"/>
          <w:szCs w:val="32"/>
        </w:rPr>
      </w:pPr>
      <w:r>
        <w:rPr>
          <w:rFonts w:hint="eastAsia" w:eastAsia="仿宋_GB2312" w:cs="仿宋_GB2312"/>
          <w:sz w:val="32"/>
          <w:szCs w:val="32"/>
        </w:rPr>
        <w:t>社会保障和就业（类）行政事业养老支出（款）事业单位离退休（项）：指退休人员费用支出。</w:t>
      </w:r>
    </w:p>
    <w:p>
      <w:pPr>
        <w:numPr>
          <w:ilvl w:val="0"/>
          <w:numId w:val="1"/>
        </w:numPr>
        <w:spacing w:line="600" w:lineRule="exact"/>
        <w:ind w:left="0" w:leftChars="0" w:firstLine="400" w:firstLineChars="0"/>
        <w:jc w:val="left"/>
        <w:rPr>
          <w:rFonts w:eastAsia="仿宋_GB2312" w:cs="仿宋_GB2312"/>
          <w:sz w:val="32"/>
          <w:szCs w:val="32"/>
        </w:rPr>
      </w:pPr>
      <w:r>
        <w:rPr>
          <w:rFonts w:hint="eastAsia" w:eastAsia="仿宋_GB2312" w:cs="仿宋_GB2312"/>
          <w:sz w:val="32"/>
          <w:szCs w:val="32"/>
        </w:rPr>
        <w:t>社会保障和就业（类）行政事业单位养老支出（款）机关事业单位基本养老保险缴费支出（项）：指人员养老保险缴费支出。</w:t>
      </w:r>
    </w:p>
    <w:p>
      <w:pPr>
        <w:numPr>
          <w:ilvl w:val="0"/>
          <w:numId w:val="1"/>
        </w:numPr>
        <w:spacing w:line="600" w:lineRule="exact"/>
        <w:ind w:left="0" w:leftChars="0" w:firstLine="400" w:firstLineChars="0"/>
        <w:jc w:val="left"/>
        <w:rPr>
          <w:rFonts w:eastAsia="仿宋_GB2312" w:cs="仿宋_GB2312"/>
          <w:sz w:val="32"/>
          <w:szCs w:val="32"/>
        </w:rPr>
      </w:pPr>
      <w:r>
        <w:rPr>
          <w:rFonts w:hint="eastAsia" w:eastAsia="仿宋_GB2312" w:cs="仿宋_GB2312"/>
          <w:sz w:val="32"/>
          <w:szCs w:val="32"/>
        </w:rPr>
        <w:t>卫生健康支出（类）行政事业单位医疗（款）事业单位医疗（项）：指在职人员医疗保险单位部分缴费。</w:t>
      </w:r>
    </w:p>
    <w:p>
      <w:pPr>
        <w:numPr>
          <w:ilvl w:val="0"/>
          <w:numId w:val="1"/>
        </w:numPr>
        <w:spacing w:line="600" w:lineRule="exact"/>
        <w:ind w:left="0" w:leftChars="0" w:firstLine="400" w:firstLineChars="0"/>
        <w:jc w:val="left"/>
        <w:rPr>
          <w:rFonts w:eastAsia="仿宋_GB2312" w:cs="仿宋_GB2312"/>
          <w:sz w:val="32"/>
          <w:szCs w:val="32"/>
        </w:rPr>
      </w:pPr>
      <w:r>
        <w:rPr>
          <w:rFonts w:hint="eastAsia" w:eastAsia="仿宋_GB2312" w:cs="仿宋_GB2312"/>
          <w:sz w:val="32"/>
          <w:szCs w:val="32"/>
        </w:rPr>
        <w:t>节能环保支出（类）其他节能环保支出（款）其他节能环保支出（项）：指气象烟炉使用维护支出。</w:t>
      </w:r>
    </w:p>
    <w:p>
      <w:pPr>
        <w:numPr>
          <w:ilvl w:val="0"/>
          <w:numId w:val="1"/>
        </w:numPr>
        <w:spacing w:line="600" w:lineRule="exact"/>
        <w:ind w:left="0" w:leftChars="0" w:firstLine="400" w:firstLineChars="0"/>
        <w:jc w:val="left"/>
        <w:rPr>
          <w:rFonts w:eastAsia="仿宋_GB2312" w:cs="仿宋_GB2312"/>
          <w:sz w:val="32"/>
          <w:szCs w:val="32"/>
        </w:rPr>
      </w:pPr>
      <w:r>
        <w:rPr>
          <w:rFonts w:hint="eastAsia" w:eastAsia="仿宋_GB2312" w:cs="仿宋_GB2312"/>
          <w:sz w:val="32"/>
          <w:szCs w:val="32"/>
        </w:rPr>
        <w:t>农林水支出（类）巩固脱贫衔接乡村振兴（款）其他巩固脱贫衔接乡村振兴支出（项）：指巩固拓展脱贫攻坚成果同乡村振兴有效衔接等方面的支出。</w:t>
      </w:r>
    </w:p>
    <w:p>
      <w:pPr>
        <w:numPr>
          <w:ilvl w:val="0"/>
          <w:numId w:val="1"/>
        </w:numPr>
        <w:spacing w:line="600" w:lineRule="exact"/>
        <w:ind w:left="0" w:leftChars="0" w:firstLine="400" w:firstLineChars="0"/>
        <w:jc w:val="left"/>
        <w:rPr>
          <w:rFonts w:eastAsia="仿宋_GB2312" w:cs="仿宋_GB2312"/>
          <w:sz w:val="32"/>
          <w:szCs w:val="32"/>
        </w:rPr>
      </w:pPr>
      <w:r>
        <w:rPr>
          <w:rFonts w:hint="eastAsia" w:eastAsia="仿宋_GB2312" w:cs="仿宋_GB2312"/>
          <w:sz w:val="32"/>
          <w:szCs w:val="32"/>
        </w:rPr>
        <w:t xml:space="preserve">自然资源海洋气象等支出（类）气象事务（款）气象事业机构（项）：指气象部门在职人员经费及公用经费支出。  </w:t>
      </w:r>
    </w:p>
    <w:p>
      <w:pPr>
        <w:numPr>
          <w:ilvl w:val="0"/>
          <w:numId w:val="1"/>
        </w:numPr>
        <w:spacing w:line="600" w:lineRule="exact"/>
        <w:ind w:left="0" w:leftChars="0" w:firstLine="400" w:firstLineChars="0"/>
        <w:jc w:val="left"/>
        <w:rPr>
          <w:rFonts w:eastAsia="仿宋_GB2312" w:cs="仿宋_GB2312"/>
          <w:sz w:val="32"/>
          <w:szCs w:val="32"/>
        </w:rPr>
      </w:pPr>
      <w:r>
        <w:rPr>
          <w:rFonts w:hint="eastAsia" w:eastAsia="仿宋_GB2312" w:cs="仿宋_GB2312"/>
          <w:sz w:val="32"/>
          <w:szCs w:val="32"/>
        </w:rPr>
        <w:t>自然资源海洋气象等支出（类）气象事务（款）气象探测（项）：指气象自动站维护维修支出。</w:t>
      </w:r>
    </w:p>
    <w:p>
      <w:pPr>
        <w:numPr>
          <w:ilvl w:val="0"/>
          <w:numId w:val="1"/>
        </w:numPr>
        <w:spacing w:line="600" w:lineRule="exact"/>
        <w:ind w:left="0" w:leftChars="0" w:firstLine="400" w:firstLineChars="0"/>
        <w:jc w:val="left"/>
        <w:rPr>
          <w:rFonts w:eastAsia="仿宋_GB2312" w:cs="仿宋_GB2312"/>
          <w:sz w:val="32"/>
          <w:szCs w:val="32"/>
        </w:rPr>
      </w:pPr>
      <w:r>
        <w:rPr>
          <w:rFonts w:hint="eastAsia" w:eastAsia="仿宋_GB2312" w:cs="仿宋_GB2312"/>
          <w:sz w:val="32"/>
          <w:szCs w:val="32"/>
        </w:rPr>
        <w:t>自然资源海洋气象等支出（类）气象事务（款）气象预报预测（项）：主要指气象预报类业务项目经费开支。</w:t>
      </w:r>
    </w:p>
    <w:p>
      <w:pPr>
        <w:numPr>
          <w:ilvl w:val="0"/>
          <w:numId w:val="1"/>
        </w:numPr>
        <w:spacing w:line="600" w:lineRule="exact"/>
        <w:ind w:left="0" w:leftChars="0" w:firstLine="400" w:firstLineChars="0"/>
        <w:jc w:val="left"/>
        <w:rPr>
          <w:rFonts w:eastAsia="仿宋_GB2312" w:cs="仿宋_GB2312"/>
          <w:sz w:val="32"/>
          <w:szCs w:val="32"/>
        </w:rPr>
      </w:pPr>
      <w:r>
        <w:rPr>
          <w:rFonts w:hint="eastAsia" w:eastAsia="仿宋_GB2312" w:cs="仿宋_GB2312"/>
          <w:sz w:val="32"/>
          <w:szCs w:val="32"/>
        </w:rPr>
        <w:t>自然资源海洋气象等支出（类）气象事务（款）气象服务（项）：主要指人工影响天气等气象服务类业务项目开支。</w:t>
      </w:r>
    </w:p>
    <w:p>
      <w:pPr>
        <w:numPr>
          <w:ilvl w:val="0"/>
          <w:numId w:val="1"/>
        </w:numPr>
        <w:spacing w:line="600" w:lineRule="exact"/>
        <w:ind w:left="0" w:leftChars="0" w:firstLine="400" w:firstLineChars="0"/>
        <w:jc w:val="left"/>
        <w:rPr>
          <w:rFonts w:eastAsia="仿宋_GB2312" w:cs="仿宋_GB2312"/>
          <w:sz w:val="32"/>
          <w:szCs w:val="32"/>
        </w:rPr>
      </w:pPr>
      <w:r>
        <w:rPr>
          <w:rFonts w:hint="eastAsia" w:eastAsia="仿宋_GB2312" w:cs="仿宋_GB2312"/>
          <w:sz w:val="32"/>
          <w:szCs w:val="32"/>
        </w:rPr>
        <w:t>自然资源海洋气象等支出（类）气象事务（款）其他气象事务支出（项）：主要指保障气象烟炉等设备的支出。</w:t>
      </w:r>
    </w:p>
    <w:p>
      <w:pPr>
        <w:numPr>
          <w:ilvl w:val="0"/>
          <w:numId w:val="1"/>
        </w:numPr>
        <w:spacing w:line="600" w:lineRule="exact"/>
        <w:ind w:left="0" w:leftChars="0" w:firstLine="400" w:firstLineChars="0"/>
        <w:jc w:val="left"/>
        <w:rPr>
          <w:rFonts w:eastAsia="仿宋_GB2312" w:cs="仿宋_GB2312"/>
          <w:sz w:val="32"/>
          <w:szCs w:val="32"/>
        </w:rPr>
      </w:pPr>
      <w:r>
        <w:rPr>
          <w:rFonts w:hint="eastAsia" w:eastAsia="仿宋_GB2312" w:cs="仿宋_GB2312"/>
          <w:sz w:val="32"/>
          <w:szCs w:val="32"/>
        </w:rPr>
        <w:t>住房保障支出（类）住房改革支出（款）住房公积金（项）：指在职人员单位部分住房公积金缴费。</w:t>
      </w:r>
    </w:p>
    <w:p>
      <w:pPr>
        <w:numPr>
          <w:ilvl w:val="0"/>
          <w:numId w:val="1"/>
        </w:numPr>
        <w:spacing w:line="600" w:lineRule="exact"/>
        <w:ind w:left="0" w:leftChars="0" w:firstLine="400" w:firstLineChars="0"/>
        <w:jc w:val="left"/>
        <w:rPr>
          <w:rFonts w:eastAsia="仿宋_GB2312" w:cs="仿宋_GB2312"/>
          <w:sz w:val="32"/>
          <w:szCs w:val="32"/>
        </w:rPr>
      </w:pPr>
      <w:r>
        <w:rPr>
          <w:rFonts w:hint="eastAsia" w:eastAsia="仿宋_GB2312" w:cs="仿宋_GB2312"/>
          <w:sz w:val="32"/>
          <w:szCs w:val="32"/>
        </w:rPr>
        <w:t>基本支出：指为保障机构正常运转、完成日常工作任务而发生的人员支出和公用支出。</w:t>
      </w:r>
    </w:p>
    <w:p>
      <w:pPr>
        <w:numPr>
          <w:ilvl w:val="0"/>
          <w:numId w:val="1"/>
        </w:numPr>
        <w:spacing w:line="600" w:lineRule="exact"/>
        <w:ind w:left="0" w:leftChars="0" w:firstLine="400" w:firstLineChars="0"/>
        <w:jc w:val="left"/>
        <w:rPr>
          <w:rFonts w:eastAsia="仿宋_GB2312" w:cs="仿宋_GB2312"/>
          <w:sz w:val="32"/>
          <w:szCs w:val="32"/>
        </w:rPr>
      </w:pPr>
      <w:r>
        <w:rPr>
          <w:rFonts w:hint="eastAsia" w:eastAsia="仿宋_GB2312" w:cs="仿宋_GB2312"/>
          <w:sz w:val="32"/>
          <w:szCs w:val="32"/>
        </w:rPr>
        <w:t xml:space="preserve">项目支出：指在基本支出之外为完成特定行政任务和事业发展目标所发生的支出。 </w:t>
      </w:r>
    </w:p>
    <w:p>
      <w:pPr>
        <w:numPr>
          <w:ilvl w:val="0"/>
          <w:numId w:val="1"/>
        </w:numPr>
        <w:spacing w:line="600" w:lineRule="exact"/>
        <w:ind w:left="0" w:leftChars="0" w:firstLine="400" w:firstLineChars="0"/>
        <w:jc w:val="left"/>
        <w:rPr>
          <w:rFonts w:hint="eastAsia" w:eastAsia="仿宋_GB2312" w:cs="仿宋_GB2312"/>
          <w:sz w:val="32"/>
          <w:szCs w:val="32"/>
        </w:rPr>
      </w:pPr>
      <w:r>
        <w:rPr>
          <w:rFonts w:hint="eastAsia" w:eastAsia="仿宋_GB2312" w:cs="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19"/>
          <w:rFonts w:eastAsia="黑体"/>
          <w:b w:val="0"/>
        </w:rPr>
      </w:pPr>
      <w:r>
        <w:rPr>
          <w:rFonts w:hint="eastAsia" w:eastAsia="仿宋_GB2312" w:cs="仿宋_GB2312"/>
          <w:sz w:val="32"/>
          <w:szCs w:val="32"/>
        </w:rPr>
        <w:br w:type="page"/>
      </w:r>
      <w:bookmarkStart w:id="63" w:name="_Toc208479428"/>
      <w:bookmarkStart w:id="64" w:name="_Toc15396614"/>
      <w:r>
        <w:rPr>
          <w:rFonts w:hint="eastAsia" w:eastAsia="黑体"/>
          <w:sz w:val="44"/>
          <w:szCs w:val="44"/>
        </w:rPr>
        <w:t>第四部分  附件</w:t>
      </w:r>
      <w:bookmarkEnd w:id="63"/>
      <w:bookmarkEnd w:id="64"/>
    </w:p>
    <w:p>
      <w:pPr>
        <w:spacing w:line="572" w:lineRule="exact"/>
        <w:jc w:val="left"/>
        <w:outlineLvl w:val="0"/>
        <w:rPr>
          <w:rFonts w:eastAsia="黑体" w:cs="黑体"/>
          <w:color w:val="FF0000"/>
          <w:sz w:val="32"/>
          <w:szCs w:val="32"/>
        </w:rPr>
      </w:pPr>
    </w:p>
    <w:p>
      <w:pPr>
        <w:spacing w:line="572" w:lineRule="exact"/>
        <w:jc w:val="left"/>
        <w:rPr>
          <w:rFonts w:eastAsia="黑体" w:cs="方正小标宋简体"/>
          <w:sz w:val="44"/>
          <w:szCs w:val="44"/>
        </w:rPr>
      </w:pPr>
      <w:r>
        <w:rPr>
          <w:rFonts w:hint="eastAsia" w:eastAsia="黑体" w:cs="黑体"/>
          <w:sz w:val="32"/>
          <w:szCs w:val="32"/>
        </w:rPr>
        <w:t>附件1</w:t>
      </w:r>
    </w:p>
    <w:p>
      <w:pPr>
        <w:widowControl/>
        <w:spacing w:line="578" w:lineRule="exact"/>
        <w:contextualSpacing/>
        <w:jc w:val="center"/>
        <w:rPr>
          <w:rFonts w:eastAsia="方正小标宋简体"/>
          <w:bCs/>
          <w:sz w:val="44"/>
          <w:szCs w:val="44"/>
          <w:shd w:val="clear" w:color="auto" w:fill="FFFFFF"/>
        </w:rPr>
      </w:pPr>
    </w:p>
    <w:p>
      <w:pPr>
        <w:widowControl/>
        <w:spacing w:line="578" w:lineRule="exact"/>
        <w:contextualSpacing/>
        <w:jc w:val="center"/>
        <w:rPr>
          <w:rFonts w:eastAsia="方正小标宋简体"/>
          <w:bCs/>
          <w:sz w:val="44"/>
          <w:szCs w:val="44"/>
          <w:shd w:val="clear" w:color="auto" w:fill="FFFFFF"/>
        </w:rPr>
      </w:pPr>
      <w:r>
        <w:rPr>
          <w:rFonts w:eastAsia="方正小标宋简体"/>
          <w:bCs/>
          <w:sz w:val="44"/>
          <w:szCs w:val="44"/>
          <w:shd w:val="clear" w:color="auto" w:fill="FFFFFF"/>
        </w:rPr>
        <w:t>部门预算绩效</w:t>
      </w:r>
      <w:r>
        <w:rPr>
          <w:rFonts w:hint="eastAsia" w:eastAsia="方正小标宋简体"/>
          <w:bCs/>
          <w:sz w:val="44"/>
          <w:szCs w:val="44"/>
          <w:shd w:val="clear" w:color="auto" w:fill="FFFFFF"/>
        </w:rPr>
        <w:t>评价</w:t>
      </w:r>
      <w:r>
        <w:rPr>
          <w:rFonts w:eastAsia="方正小标宋简体"/>
          <w:bCs/>
          <w:sz w:val="44"/>
          <w:szCs w:val="44"/>
          <w:shd w:val="clear" w:color="auto" w:fill="FFFFFF"/>
        </w:rPr>
        <w:t>报告</w:t>
      </w:r>
    </w:p>
    <w:p>
      <w:pPr>
        <w:widowControl/>
        <w:spacing w:line="578" w:lineRule="exact"/>
        <w:contextualSpacing/>
        <w:jc w:val="center"/>
        <w:rPr>
          <w:rFonts w:eastAsia="仿宋_GB2312"/>
          <w:sz w:val="32"/>
          <w:szCs w:val="32"/>
          <w:shd w:val="clear" w:color="auto" w:fill="FFFFFF"/>
        </w:rPr>
      </w:pPr>
      <w:r>
        <w:rPr>
          <w:rFonts w:eastAsia="仿宋_GB2312"/>
          <w:sz w:val="32"/>
          <w:szCs w:val="32"/>
          <w:shd w:val="clear" w:color="auto" w:fill="FFFFFF"/>
        </w:rPr>
        <w:t>（报告范围包括机关和下属单位）</w:t>
      </w:r>
    </w:p>
    <w:p>
      <w:pPr>
        <w:widowControl/>
        <w:adjustRightInd w:val="0"/>
        <w:snapToGrid w:val="0"/>
        <w:spacing w:line="578" w:lineRule="exact"/>
        <w:ind w:firstLine="480" w:firstLineChars="200"/>
        <w:contextualSpacing/>
        <w:jc w:val="left"/>
        <w:rPr>
          <w:rFonts w:eastAsia="黑体"/>
          <w:color w:val="000000"/>
          <w:kern w:val="0"/>
          <w:sz w:val="24"/>
          <w:szCs w:val="32"/>
          <w:shd w:val="clear" w:color="auto" w:fill="FFFFFF"/>
        </w:rPr>
      </w:pPr>
    </w:p>
    <w:p>
      <w:pPr>
        <w:widowControl/>
        <w:adjustRightInd w:val="0"/>
        <w:snapToGrid w:val="0"/>
        <w:spacing w:line="578" w:lineRule="exact"/>
        <w:ind w:firstLine="640" w:firstLineChars="200"/>
        <w:contextualSpacing/>
        <w:jc w:val="left"/>
        <w:rPr>
          <w:rFonts w:eastAsia="黑体"/>
          <w:color w:val="000000"/>
          <w:kern w:val="0"/>
          <w:sz w:val="32"/>
          <w:szCs w:val="32"/>
          <w:shd w:val="clear" w:color="auto" w:fill="FFFFFF"/>
          <w:lang w:val="zh-CN"/>
        </w:rPr>
      </w:pPr>
      <w:r>
        <w:rPr>
          <w:rFonts w:hint="eastAsia" w:eastAsia="黑体"/>
          <w:color w:val="000000"/>
          <w:kern w:val="0"/>
          <w:sz w:val="32"/>
          <w:szCs w:val="32"/>
          <w:shd w:val="clear" w:color="auto" w:fill="FFFFFF"/>
          <w:lang w:val="zh-CN"/>
        </w:rPr>
        <w:t>一、</w:t>
      </w:r>
      <w:r>
        <w:rPr>
          <w:rFonts w:eastAsia="黑体"/>
          <w:color w:val="000000"/>
          <w:kern w:val="0"/>
          <w:sz w:val="32"/>
          <w:szCs w:val="32"/>
          <w:shd w:val="clear" w:color="auto" w:fill="FFFFFF"/>
          <w:lang w:val="zh-CN"/>
        </w:rPr>
        <w:t>部门（单位）基本情况</w:t>
      </w:r>
    </w:p>
    <w:p>
      <w:pPr>
        <w:widowControl/>
        <w:adjustRightInd w:val="0"/>
        <w:snapToGrid w:val="0"/>
        <w:spacing w:line="578" w:lineRule="exact"/>
        <w:ind w:firstLine="642" w:firstLineChars="200"/>
        <w:contextualSpacing/>
        <w:jc w:val="left"/>
        <w:rPr>
          <w:rFonts w:eastAsia="楷体_GB2312" w:cs="楷体_GB2312"/>
          <w:b/>
          <w:sz w:val="32"/>
          <w:szCs w:val="32"/>
          <w:lang w:val="zh-CN"/>
        </w:rPr>
      </w:pPr>
      <w:r>
        <w:rPr>
          <w:rFonts w:hint="eastAsia" w:eastAsia="楷体_GB2312" w:cs="楷体_GB2312"/>
          <w:b/>
          <w:sz w:val="32"/>
          <w:szCs w:val="32"/>
          <w:lang w:val="zh-CN"/>
        </w:rPr>
        <w:t>（一）</w:t>
      </w:r>
      <w:r>
        <w:rPr>
          <w:rFonts w:eastAsia="楷体_GB2312" w:cs="楷体_GB2312"/>
          <w:b/>
          <w:sz w:val="32"/>
          <w:szCs w:val="32"/>
          <w:lang w:val="zh-CN"/>
        </w:rPr>
        <w:t>机构组成。</w:t>
      </w:r>
    </w:p>
    <w:p>
      <w:pPr>
        <w:widowControl/>
        <w:adjustRightInd w:val="0"/>
        <w:snapToGrid w:val="0"/>
        <w:spacing w:line="578" w:lineRule="exact"/>
        <w:ind w:firstLine="640" w:firstLineChars="200"/>
        <w:contextualSpacing/>
        <w:jc w:val="left"/>
        <w:rPr>
          <w:szCs w:val="32"/>
        </w:rPr>
      </w:pPr>
      <w:r>
        <w:rPr>
          <w:rFonts w:hint="eastAsia" w:eastAsia="仿宋_GB2312" w:cs="仿宋_GB2312"/>
          <w:sz w:val="32"/>
          <w:szCs w:val="32"/>
        </w:rPr>
        <w:t>广元市气象局单位下属二级预算单位0个，其中行政单位0个，参照公务员法管理的事业单位0个，其他事业单位1个。</w:t>
      </w:r>
      <w:r>
        <w:rPr>
          <w:rFonts w:eastAsia="仿宋_GB2312" w:cs="仿宋_GB2312"/>
          <w:sz w:val="32"/>
          <w:szCs w:val="32"/>
        </w:rPr>
        <w:t>。</w:t>
      </w:r>
    </w:p>
    <w:p>
      <w:pPr>
        <w:widowControl/>
        <w:adjustRightInd w:val="0"/>
        <w:snapToGrid w:val="0"/>
        <w:spacing w:line="578" w:lineRule="exact"/>
        <w:ind w:firstLine="642" w:firstLineChars="200"/>
        <w:contextualSpacing/>
        <w:jc w:val="left"/>
        <w:rPr>
          <w:rFonts w:eastAsia="仿宋_GB2312" w:cs="仿宋_GB2312"/>
          <w:sz w:val="32"/>
          <w:szCs w:val="32"/>
        </w:rPr>
      </w:pPr>
      <w:r>
        <w:rPr>
          <w:rFonts w:eastAsia="楷体_GB2312" w:cs="楷体_GB2312"/>
          <w:b/>
          <w:sz w:val="32"/>
          <w:szCs w:val="32"/>
          <w:lang w:val="zh-CN"/>
        </w:rPr>
        <w:t>（二）机构职能</w:t>
      </w:r>
      <w:r>
        <w:rPr>
          <w:rFonts w:hint="eastAsia" w:eastAsia="楷体_GB2312" w:cs="楷体_GB2312"/>
          <w:b/>
          <w:sz w:val="32"/>
          <w:szCs w:val="32"/>
          <w:lang w:val="zh-CN"/>
        </w:rPr>
        <w:t>。</w:t>
      </w:r>
    </w:p>
    <w:p>
      <w:pPr>
        <w:suppressAutoHyphens/>
        <w:snapToGrid w:val="0"/>
        <w:spacing w:line="560" w:lineRule="exact"/>
        <w:ind w:firstLine="640" w:firstLineChars="200"/>
        <w:contextualSpacing/>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1.负责本行政区域内气象事业发展规划、计划及气象业务建设的组织实施；</w:t>
      </w:r>
    </w:p>
    <w:p>
      <w:pPr>
        <w:suppressAutoHyphens/>
        <w:snapToGrid w:val="0"/>
        <w:spacing w:line="560" w:lineRule="exact"/>
        <w:ind w:firstLine="640" w:firstLineChars="200"/>
        <w:contextualSpacing/>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2.管理本行政区域内公众气象预报、灾害性天气警报以及农业气象预报、城市环境气象预报、火险气象等级预报等专业气象预报的发布；</w:t>
      </w:r>
    </w:p>
    <w:p>
      <w:pPr>
        <w:suppressAutoHyphens/>
        <w:snapToGrid w:val="0"/>
        <w:spacing w:line="560" w:lineRule="exact"/>
        <w:ind w:firstLine="640" w:firstLineChars="200"/>
        <w:contextualSpacing/>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3.管理本行政区域内人工影响天气，指导和组织人工影响天气作业；</w:t>
      </w:r>
    </w:p>
    <w:p>
      <w:pPr>
        <w:suppressAutoHyphens/>
        <w:snapToGrid w:val="0"/>
        <w:spacing w:line="560" w:lineRule="exact"/>
        <w:ind w:firstLine="640" w:firstLineChars="200"/>
        <w:contextualSpacing/>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4.组织管理雷电灾害防御，会同有关部门指导对可能遭受袭击的建筑物、构筑物和其它设施安装的雷电灾害防护装置的检测工作；</w:t>
      </w:r>
    </w:p>
    <w:p>
      <w:pPr>
        <w:suppressAutoHyphens/>
        <w:snapToGrid w:val="0"/>
        <w:spacing w:line="560" w:lineRule="exact"/>
        <w:ind w:firstLine="640" w:firstLineChars="200"/>
        <w:contextualSpacing/>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5.协助地方党委和人民政府做好当地气象部门的精神文明建设和思想政治工作；</w:t>
      </w:r>
    </w:p>
    <w:p>
      <w:pPr>
        <w:suppressAutoHyphens/>
        <w:snapToGrid w:val="0"/>
        <w:spacing w:line="560" w:lineRule="exact"/>
        <w:ind w:firstLine="640" w:firstLineChars="200"/>
        <w:contextualSpacing/>
      </w:pPr>
      <w:r>
        <w:rPr>
          <w:rFonts w:hint="eastAsia" w:ascii="仿宋_GB2312" w:hAnsi="宋体" w:eastAsia="仿宋_GB2312" w:cs="宋体"/>
          <w:color w:val="000000"/>
          <w:kern w:val="0"/>
          <w:sz w:val="32"/>
          <w:szCs w:val="32"/>
          <w:shd w:val="clear" w:color="auto" w:fill="FFFFFF"/>
          <w:lang w:val="zh-CN"/>
        </w:rPr>
        <w:t>6.承担上级气象主管机构和本级人民政府交办的其他事项。</w:t>
      </w:r>
    </w:p>
    <w:p>
      <w:pPr>
        <w:spacing w:line="600" w:lineRule="exact"/>
        <w:ind w:firstLine="642" w:firstLineChars="200"/>
        <w:rPr>
          <w:rFonts w:eastAsia="楷体_GB2312"/>
          <w:b/>
          <w:bCs/>
          <w:color w:val="000000"/>
          <w:kern w:val="0"/>
          <w:sz w:val="32"/>
          <w:szCs w:val="32"/>
          <w:shd w:val="clear" w:color="auto" w:fill="FFFFFF"/>
          <w:lang w:val="zh-CN"/>
        </w:rPr>
      </w:pPr>
      <w:r>
        <w:rPr>
          <w:rFonts w:eastAsia="楷体_GB2312"/>
          <w:b/>
          <w:bCs/>
          <w:color w:val="000000"/>
          <w:kern w:val="0"/>
          <w:sz w:val="32"/>
          <w:szCs w:val="32"/>
          <w:shd w:val="clear" w:color="auto" w:fill="FFFFFF"/>
          <w:lang w:val="zh-CN"/>
        </w:rPr>
        <w:t>（</w:t>
      </w:r>
      <w:r>
        <w:rPr>
          <w:rFonts w:hint="eastAsia" w:eastAsia="楷体_GB2312"/>
          <w:b/>
          <w:bCs/>
          <w:color w:val="000000"/>
          <w:kern w:val="0"/>
          <w:sz w:val="32"/>
          <w:szCs w:val="32"/>
          <w:shd w:val="clear" w:color="auto" w:fill="FFFFFF"/>
          <w:lang w:val="zh-CN"/>
        </w:rPr>
        <w:t>三</w:t>
      </w:r>
      <w:r>
        <w:rPr>
          <w:rFonts w:eastAsia="楷体_GB2312"/>
          <w:b/>
          <w:bCs/>
          <w:color w:val="000000"/>
          <w:kern w:val="0"/>
          <w:sz w:val="32"/>
          <w:szCs w:val="32"/>
          <w:shd w:val="clear" w:color="auto" w:fill="FFFFFF"/>
          <w:lang w:val="zh-CN"/>
        </w:rPr>
        <w:t>）人员概况</w:t>
      </w:r>
      <w:r>
        <w:rPr>
          <w:rFonts w:hint="eastAsia" w:eastAsia="楷体_GB2312"/>
          <w:b/>
          <w:bCs/>
          <w:color w:val="000000"/>
          <w:kern w:val="0"/>
          <w:sz w:val="32"/>
          <w:szCs w:val="32"/>
          <w:shd w:val="clear" w:color="auto" w:fill="FFFFFF"/>
          <w:lang w:val="zh-CN"/>
        </w:rPr>
        <w:t>。</w:t>
      </w:r>
    </w:p>
    <w:p>
      <w:pPr>
        <w:spacing w:line="600" w:lineRule="exact"/>
        <w:ind w:firstLine="640" w:firstLineChars="200"/>
        <w:rPr>
          <w:szCs w:val="32"/>
        </w:rPr>
      </w:pPr>
      <w:r>
        <w:rPr>
          <w:rFonts w:hint="eastAsia" w:eastAsia="仿宋_GB2312"/>
          <w:sz w:val="32"/>
          <w:szCs w:val="32"/>
        </w:rPr>
        <w:t>总编制10名，在职人员8人，退休人员2人。</w:t>
      </w:r>
    </w:p>
    <w:p>
      <w:pPr>
        <w:widowControl/>
        <w:adjustRightInd w:val="0"/>
        <w:snapToGrid w:val="0"/>
        <w:spacing w:line="578" w:lineRule="exact"/>
        <w:ind w:firstLine="640" w:firstLineChars="200"/>
        <w:contextualSpacing/>
        <w:jc w:val="left"/>
        <w:rPr>
          <w:rFonts w:eastAsia="黑体"/>
          <w:color w:val="000000"/>
          <w:kern w:val="0"/>
          <w:sz w:val="32"/>
          <w:szCs w:val="32"/>
          <w:shd w:val="clear" w:color="auto" w:fill="FFFFFF"/>
          <w:lang w:val="zh-CN"/>
        </w:rPr>
      </w:pPr>
      <w:r>
        <w:rPr>
          <w:rFonts w:eastAsia="黑体"/>
          <w:color w:val="000000"/>
          <w:kern w:val="0"/>
          <w:sz w:val="32"/>
          <w:szCs w:val="32"/>
          <w:shd w:val="clear" w:color="auto" w:fill="FFFFFF"/>
          <w:lang w:val="zh-CN"/>
        </w:rPr>
        <w:t>二、部门资金收支情况</w:t>
      </w:r>
    </w:p>
    <w:p>
      <w:pPr>
        <w:widowControl/>
        <w:adjustRightInd w:val="0"/>
        <w:snapToGrid w:val="0"/>
        <w:spacing w:line="578" w:lineRule="exact"/>
        <w:ind w:firstLine="642" w:firstLineChars="200"/>
        <w:contextualSpacing/>
        <w:jc w:val="left"/>
        <w:rPr>
          <w:rFonts w:eastAsia="楷体_GB2312"/>
          <w:b/>
          <w:bCs/>
          <w:color w:val="000000"/>
          <w:kern w:val="0"/>
          <w:sz w:val="32"/>
          <w:szCs w:val="32"/>
          <w:shd w:val="clear" w:color="auto" w:fill="FFFFFF"/>
          <w:lang w:val="zh-CN"/>
        </w:rPr>
      </w:pPr>
      <w:r>
        <w:rPr>
          <w:rFonts w:eastAsia="楷体_GB2312"/>
          <w:b/>
          <w:bCs/>
          <w:color w:val="000000"/>
          <w:kern w:val="0"/>
          <w:sz w:val="32"/>
          <w:szCs w:val="32"/>
          <w:shd w:val="clear" w:color="auto" w:fill="FFFFFF"/>
          <w:lang w:val="zh-CN"/>
        </w:rPr>
        <w:t>（一）</w:t>
      </w:r>
      <w:r>
        <w:rPr>
          <w:rFonts w:hint="eastAsia" w:eastAsia="楷体_GB2312"/>
          <w:b/>
          <w:bCs/>
          <w:color w:val="000000"/>
          <w:kern w:val="0"/>
          <w:sz w:val="32"/>
          <w:szCs w:val="32"/>
          <w:shd w:val="clear" w:color="auto" w:fill="FFFFFF"/>
          <w:lang w:val="zh-CN"/>
        </w:rPr>
        <w:t>收入情况</w:t>
      </w:r>
      <w:r>
        <w:rPr>
          <w:rFonts w:eastAsia="楷体_GB2312"/>
          <w:b/>
          <w:bCs/>
          <w:color w:val="000000"/>
          <w:kern w:val="0"/>
          <w:sz w:val="32"/>
          <w:szCs w:val="32"/>
          <w:shd w:val="clear" w:color="auto" w:fill="FFFFFF"/>
          <w:lang w:val="zh-CN"/>
        </w:rPr>
        <w:t>。</w:t>
      </w:r>
    </w:p>
    <w:p>
      <w:pPr>
        <w:widowControl/>
        <w:adjustRightInd w:val="0"/>
        <w:snapToGrid w:val="0"/>
        <w:spacing w:line="578" w:lineRule="exact"/>
        <w:ind w:firstLine="640" w:firstLineChars="200"/>
        <w:contextualSpacing/>
        <w:jc w:val="left"/>
        <w:rPr>
          <w:rFonts w:eastAsia="仿宋_GB2312" w:cs="仿宋_GB2312"/>
          <w:sz w:val="32"/>
          <w:szCs w:val="32"/>
        </w:rPr>
      </w:pPr>
      <w:r>
        <w:rPr>
          <w:rFonts w:hint="eastAsia" w:eastAsia="仿宋_GB2312" w:cs="仿宋_GB2312"/>
          <w:sz w:val="32"/>
          <w:szCs w:val="32"/>
        </w:rPr>
        <w:t>2024年本年收入合计495.9万元，其中：一般公共预算财政拨款收入495.9万元，占100%。</w:t>
      </w:r>
    </w:p>
    <w:p>
      <w:pPr>
        <w:widowControl/>
        <w:adjustRightInd w:val="0"/>
        <w:snapToGrid w:val="0"/>
        <w:spacing w:line="578" w:lineRule="exact"/>
        <w:ind w:firstLine="642" w:firstLineChars="200"/>
        <w:contextualSpacing/>
        <w:jc w:val="left"/>
        <w:rPr>
          <w:rFonts w:eastAsia="楷体_GB2312"/>
          <w:b/>
          <w:bCs/>
          <w:color w:val="000000"/>
          <w:kern w:val="0"/>
          <w:sz w:val="32"/>
          <w:szCs w:val="32"/>
          <w:shd w:val="clear" w:color="auto" w:fill="FFFFFF"/>
          <w:lang w:val="zh-CN"/>
        </w:rPr>
      </w:pPr>
      <w:r>
        <w:rPr>
          <w:rFonts w:eastAsia="楷体_GB2312"/>
          <w:b/>
          <w:bCs/>
          <w:color w:val="000000"/>
          <w:kern w:val="0"/>
          <w:sz w:val="32"/>
          <w:szCs w:val="32"/>
          <w:shd w:val="clear" w:color="auto" w:fill="FFFFFF"/>
          <w:lang w:val="zh-CN"/>
        </w:rPr>
        <w:t>（</w:t>
      </w:r>
      <w:r>
        <w:rPr>
          <w:rFonts w:hint="eastAsia" w:eastAsia="楷体_GB2312"/>
          <w:b/>
          <w:bCs/>
          <w:color w:val="000000"/>
          <w:kern w:val="0"/>
          <w:sz w:val="32"/>
          <w:szCs w:val="32"/>
          <w:shd w:val="clear" w:color="auto" w:fill="FFFFFF"/>
          <w:lang w:val="zh-CN"/>
        </w:rPr>
        <w:t>二</w:t>
      </w:r>
      <w:r>
        <w:rPr>
          <w:rFonts w:eastAsia="楷体_GB2312"/>
          <w:b/>
          <w:bCs/>
          <w:color w:val="000000"/>
          <w:kern w:val="0"/>
          <w:sz w:val="32"/>
          <w:szCs w:val="32"/>
          <w:shd w:val="clear" w:color="auto" w:fill="FFFFFF"/>
          <w:lang w:val="zh-CN"/>
        </w:rPr>
        <w:t>）</w:t>
      </w:r>
      <w:r>
        <w:rPr>
          <w:rFonts w:hint="eastAsia" w:eastAsia="楷体_GB2312"/>
          <w:b/>
          <w:bCs/>
          <w:color w:val="000000"/>
          <w:kern w:val="0"/>
          <w:sz w:val="32"/>
          <w:szCs w:val="32"/>
          <w:shd w:val="clear" w:color="auto" w:fill="FFFFFF"/>
          <w:lang w:val="zh-CN"/>
        </w:rPr>
        <w:t>支出情况</w:t>
      </w:r>
      <w:r>
        <w:rPr>
          <w:rFonts w:eastAsia="楷体_GB2312"/>
          <w:b/>
          <w:bCs/>
          <w:color w:val="000000"/>
          <w:kern w:val="0"/>
          <w:sz w:val="32"/>
          <w:szCs w:val="32"/>
          <w:shd w:val="clear" w:color="auto" w:fill="FFFFFF"/>
          <w:lang w:val="zh-CN"/>
        </w:rPr>
        <w:t>。</w:t>
      </w:r>
    </w:p>
    <w:p>
      <w:pPr>
        <w:widowControl/>
        <w:adjustRightInd w:val="0"/>
        <w:snapToGrid w:val="0"/>
        <w:spacing w:line="578" w:lineRule="exact"/>
        <w:ind w:firstLine="640" w:firstLineChars="200"/>
        <w:contextualSpacing/>
        <w:jc w:val="left"/>
        <w:rPr>
          <w:rFonts w:eastAsia="仿宋_GB2312" w:cs="仿宋_GB2312"/>
          <w:sz w:val="32"/>
          <w:szCs w:val="32"/>
        </w:rPr>
      </w:pPr>
      <w:r>
        <w:rPr>
          <w:rFonts w:hint="eastAsia" w:eastAsia="仿宋_GB2312" w:cs="仿宋_GB2312"/>
          <w:sz w:val="32"/>
          <w:szCs w:val="32"/>
        </w:rPr>
        <w:t>2024年本年支出合计495.9万元，其中：基本支出290.49万元，占58.58%；项目支出205.41万元，占41.42%。</w:t>
      </w:r>
    </w:p>
    <w:p>
      <w:pPr>
        <w:widowControl/>
        <w:adjustRightInd w:val="0"/>
        <w:snapToGrid w:val="0"/>
        <w:spacing w:line="578" w:lineRule="exact"/>
        <w:ind w:firstLine="642" w:firstLineChars="200"/>
        <w:contextualSpacing/>
        <w:jc w:val="left"/>
        <w:rPr>
          <w:rFonts w:eastAsia="仿宋_GB2312" w:cs="仿宋_GB2312"/>
          <w:sz w:val="32"/>
          <w:szCs w:val="32"/>
        </w:rPr>
      </w:pPr>
      <w:r>
        <w:rPr>
          <w:rFonts w:eastAsia="楷体_GB2312"/>
          <w:b/>
          <w:bCs/>
          <w:color w:val="000000"/>
          <w:kern w:val="0"/>
          <w:sz w:val="32"/>
          <w:szCs w:val="32"/>
          <w:shd w:val="clear" w:color="auto" w:fill="FFFFFF"/>
          <w:lang w:val="zh-CN"/>
        </w:rPr>
        <w:t>（</w:t>
      </w:r>
      <w:r>
        <w:rPr>
          <w:rFonts w:hint="eastAsia" w:eastAsia="楷体_GB2312"/>
          <w:b/>
          <w:bCs/>
          <w:color w:val="000000"/>
          <w:kern w:val="0"/>
          <w:sz w:val="32"/>
          <w:szCs w:val="32"/>
          <w:shd w:val="clear" w:color="auto" w:fill="FFFFFF"/>
          <w:lang w:val="zh-CN"/>
        </w:rPr>
        <w:t>三</w:t>
      </w:r>
      <w:r>
        <w:rPr>
          <w:rFonts w:eastAsia="楷体_GB2312"/>
          <w:b/>
          <w:bCs/>
          <w:color w:val="000000"/>
          <w:kern w:val="0"/>
          <w:sz w:val="32"/>
          <w:szCs w:val="32"/>
          <w:shd w:val="clear" w:color="auto" w:fill="FFFFFF"/>
          <w:lang w:val="zh-CN"/>
        </w:rPr>
        <w:t>）结余分配和结转结余情况</w:t>
      </w:r>
      <w:r>
        <w:rPr>
          <w:rFonts w:hint="eastAsia" w:eastAsia="楷体_GB2312"/>
          <w:b/>
          <w:bCs/>
          <w:color w:val="000000"/>
          <w:kern w:val="0"/>
          <w:sz w:val="32"/>
          <w:szCs w:val="32"/>
          <w:shd w:val="clear" w:color="auto" w:fill="FFFFFF"/>
          <w:lang w:val="zh-CN"/>
        </w:rPr>
        <w:t>。</w:t>
      </w:r>
    </w:p>
    <w:p>
      <w:pPr>
        <w:widowControl/>
        <w:adjustRightInd w:val="0"/>
        <w:snapToGrid w:val="0"/>
        <w:spacing w:line="578" w:lineRule="exact"/>
        <w:ind w:firstLine="640" w:firstLineChars="200"/>
        <w:contextualSpacing/>
        <w:jc w:val="left"/>
        <w:rPr>
          <w:rFonts w:eastAsia="仿宋_GB2312" w:cs="仿宋_GB2312"/>
          <w:sz w:val="32"/>
          <w:szCs w:val="32"/>
        </w:rPr>
      </w:pPr>
      <w:r>
        <w:rPr>
          <w:rFonts w:hint="eastAsia" w:eastAsia="仿宋_GB2312" w:cs="仿宋_GB2312"/>
          <w:sz w:val="32"/>
          <w:szCs w:val="32"/>
        </w:rPr>
        <w:t>无。</w:t>
      </w:r>
    </w:p>
    <w:p>
      <w:pPr>
        <w:widowControl/>
        <w:adjustRightInd w:val="0"/>
        <w:snapToGrid w:val="0"/>
        <w:spacing w:line="578" w:lineRule="exact"/>
        <w:ind w:firstLine="640" w:firstLineChars="200"/>
        <w:contextualSpacing/>
        <w:jc w:val="left"/>
        <w:rPr>
          <w:rFonts w:eastAsia="黑体"/>
          <w:color w:val="000000"/>
          <w:kern w:val="0"/>
          <w:sz w:val="32"/>
          <w:szCs w:val="32"/>
          <w:shd w:val="clear" w:color="auto" w:fill="FFFFFF"/>
          <w:lang w:val="zh-CN"/>
        </w:rPr>
      </w:pPr>
      <w:r>
        <w:rPr>
          <w:rFonts w:eastAsia="黑体"/>
          <w:color w:val="000000"/>
          <w:kern w:val="0"/>
          <w:sz w:val="32"/>
          <w:szCs w:val="32"/>
          <w:shd w:val="clear" w:color="auto" w:fill="FFFFFF"/>
          <w:lang w:val="zh-CN"/>
        </w:rPr>
        <w:t>三、部门预算绩效分析</w:t>
      </w:r>
    </w:p>
    <w:p>
      <w:pPr>
        <w:adjustRightInd w:val="0"/>
        <w:snapToGrid w:val="0"/>
        <w:spacing w:line="578" w:lineRule="exact"/>
        <w:ind w:firstLine="642" w:firstLineChars="200"/>
        <w:contextualSpacing/>
        <w:jc w:val="left"/>
        <w:rPr>
          <w:rFonts w:eastAsia="仿宋_GB2312" w:cs="仿宋_GB2312"/>
          <w:sz w:val="32"/>
          <w:szCs w:val="32"/>
          <w:lang w:val="zh-CN"/>
        </w:rPr>
      </w:pPr>
      <w:r>
        <w:rPr>
          <w:rFonts w:eastAsia="楷体_GB2312"/>
          <w:b/>
          <w:bCs/>
          <w:color w:val="000000"/>
          <w:kern w:val="0"/>
          <w:sz w:val="32"/>
          <w:szCs w:val="32"/>
          <w:shd w:val="clear" w:color="auto" w:fill="FFFFFF"/>
          <w:lang w:val="zh-CN"/>
        </w:rPr>
        <w:t>（一）</w:t>
      </w:r>
      <w:r>
        <w:rPr>
          <w:rFonts w:hint="eastAsia" w:eastAsia="楷体_GB2312"/>
          <w:b/>
          <w:bCs/>
          <w:color w:val="000000"/>
          <w:kern w:val="0"/>
          <w:sz w:val="32"/>
          <w:szCs w:val="32"/>
          <w:shd w:val="clear" w:color="auto" w:fill="FFFFFF"/>
          <w:lang w:val="zh-CN"/>
        </w:rPr>
        <w:t>部门预算</w:t>
      </w:r>
      <w:r>
        <w:rPr>
          <w:rFonts w:eastAsia="楷体_GB2312"/>
          <w:b/>
          <w:bCs/>
          <w:color w:val="000000"/>
          <w:kern w:val="0"/>
          <w:sz w:val="32"/>
          <w:szCs w:val="32"/>
          <w:shd w:val="clear" w:color="auto" w:fill="FFFFFF"/>
          <w:lang w:val="zh-CN"/>
        </w:rPr>
        <w:t>总体绩效分析。</w:t>
      </w:r>
    </w:p>
    <w:p>
      <w:pPr>
        <w:adjustRightInd w:val="0"/>
        <w:snapToGrid w:val="0"/>
        <w:spacing w:line="578" w:lineRule="exact"/>
        <w:ind w:firstLine="640" w:firstLineChars="200"/>
        <w:contextualSpacing/>
        <w:jc w:val="left"/>
        <w:rPr>
          <w:rFonts w:ascii="仿宋_GB2312" w:hAnsi="宋体" w:eastAsia="仿宋_GB2312" w:cs="宋体"/>
          <w:color w:val="000000"/>
          <w:kern w:val="0"/>
          <w:sz w:val="32"/>
          <w:szCs w:val="32"/>
          <w:shd w:val="clear" w:color="auto" w:fill="FFFFFF"/>
        </w:rPr>
      </w:pPr>
      <w:r>
        <w:rPr>
          <w:rFonts w:hint="eastAsia" w:eastAsia="仿宋_GB2312" w:cs="仿宋_GB2312"/>
          <w:sz w:val="32"/>
          <w:szCs w:val="32"/>
        </w:rPr>
        <w:t>1.</w:t>
      </w:r>
      <w:r>
        <w:rPr>
          <w:rFonts w:hint="eastAsia" w:eastAsia="仿宋_GB2312" w:cs="仿宋_GB2312"/>
          <w:sz w:val="32"/>
          <w:szCs w:val="32"/>
          <w:lang w:val="zh-CN"/>
        </w:rPr>
        <w:t>履职效能。</w:t>
      </w:r>
      <w:r>
        <w:rPr>
          <w:rFonts w:hint="eastAsia" w:ascii="仿宋_GB2312" w:hAnsi="宋体" w:eastAsia="仿宋_GB2312" w:cs="宋体"/>
          <w:color w:val="000000"/>
          <w:kern w:val="0"/>
          <w:sz w:val="32"/>
          <w:szCs w:val="32"/>
          <w:shd w:val="clear" w:color="auto" w:fill="FFFFFF"/>
        </w:rPr>
        <w:t>广元市气象局</w:t>
      </w:r>
      <w:r>
        <w:rPr>
          <w:rFonts w:hint="eastAsia" w:ascii="仿宋_GB2312" w:hAnsi="宋体" w:eastAsia="仿宋_GB2312" w:cs="宋体"/>
          <w:color w:val="000000"/>
          <w:kern w:val="0"/>
          <w:sz w:val="32"/>
          <w:szCs w:val="32"/>
          <w:shd w:val="clear" w:color="auto" w:fill="FFFFFF"/>
          <w:lang w:val="zh-CN"/>
        </w:rPr>
        <w:t>部门整体绩效目标中</w:t>
      </w:r>
      <w:r>
        <w:rPr>
          <w:rFonts w:hint="eastAsia" w:ascii="仿宋_GB2312" w:hAnsi="宋体" w:eastAsia="仿宋_GB2312" w:cs="宋体"/>
          <w:color w:val="000000"/>
          <w:kern w:val="0"/>
          <w:sz w:val="32"/>
          <w:szCs w:val="32"/>
          <w:shd w:val="clear" w:color="auto" w:fill="FFFFFF"/>
        </w:rPr>
        <w:t>未涉及履职效能，此项15分在总分中剔除。</w:t>
      </w:r>
    </w:p>
    <w:p>
      <w:pPr>
        <w:adjustRightInd w:val="0"/>
        <w:snapToGrid w:val="0"/>
        <w:spacing w:line="578" w:lineRule="exact"/>
        <w:ind w:firstLine="640" w:firstLineChars="200"/>
        <w:contextualSpacing/>
        <w:jc w:val="left"/>
        <w:rPr>
          <w:rFonts w:eastAsia="仿宋_GB2312" w:cs="仿宋_GB2312"/>
          <w:sz w:val="32"/>
          <w:szCs w:val="32"/>
          <w:lang w:val="zh-CN"/>
        </w:rPr>
      </w:pPr>
      <w:r>
        <w:rPr>
          <w:rFonts w:hint="eastAsia" w:eastAsia="仿宋_GB2312" w:cs="仿宋_GB2312"/>
          <w:sz w:val="32"/>
          <w:szCs w:val="32"/>
        </w:rPr>
        <w:t>2.</w:t>
      </w:r>
      <w:r>
        <w:rPr>
          <w:rFonts w:eastAsia="仿宋_GB2312" w:cs="仿宋_GB2312"/>
          <w:sz w:val="32"/>
          <w:szCs w:val="32"/>
          <w:lang w:val="zh-CN"/>
        </w:rPr>
        <w:t>预算管理</w:t>
      </w:r>
      <w:r>
        <w:rPr>
          <w:rFonts w:hint="eastAsia" w:eastAsia="仿宋_GB2312" w:cs="仿宋_GB2312"/>
          <w:sz w:val="32"/>
          <w:szCs w:val="32"/>
          <w:lang w:val="zh-CN"/>
        </w:rPr>
        <w:t>。围绕部门职能，以支出绩效为核心，认真把握国家有关政策，强化预算编制、预算执行、结果应用程序管控，扎实做好预算管理工作。</w:t>
      </w:r>
    </w:p>
    <w:p>
      <w:pPr>
        <w:adjustRightInd w:val="0"/>
        <w:snapToGrid w:val="0"/>
        <w:spacing w:line="578" w:lineRule="exact"/>
        <w:ind w:firstLine="640" w:firstLineChars="200"/>
        <w:contextualSpacing/>
        <w:jc w:val="left"/>
        <w:rPr>
          <w:rFonts w:eastAsia="仿宋_GB2312" w:cs="仿宋_GB2312"/>
          <w:sz w:val="32"/>
          <w:szCs w:val="32"/>
          <w:lang w:val="zh-CN"/>
        </w:rPr>
      </w:pPr>
      <w:r>
        <w:rPr>
          <w:rFonts w:hint="eastAsia" w:eastAsia="仿宋_GB2312" w:cs="仿宋_GB2312"/>
          <w:sz w:val="32"/>
          <w:szCs w:val="32"/>
          <w:lang w:val="zh-CN"/>
        </w:rPr>
        <w:t>一是严格按照市级财政预算编制要求，认真贯彻落实党中央、市委市政府、中国气象局关于“厉行节约”的一系列指示要求，把握各项支出的轻重缓急，同时理清基本支出和项目支出边界，严格按照绩效目标制定的相关规定，结合符合绩效编制要求的各部门预算项目的实际情况，完整、合理地制定各项目的绩效目标，无要素遗漏，绩效指标也基本做到细化量化。</w:t>
      </w:r>
    </w:p>
    <w:p>
      <w:pPr>
        <w:adjustRightInd w:val="0"/>
        <w:snapToGrid w:val="0"/>
        <w:spacing w:line="578" w:lineRule="exact"/>
        <w:ind w:firstLine="640" w:firstLineChars="200"/>
        <w:contextualSpacing/>
        <w:jc w:val="left"/>
        <w:rPr>
          <w:rFonts w:eastAsia="仿宋_GB2312" w:cs="仿宋_GB2312"/>
          <w:sz w:val="32"/>
          <w:szCs w:val="32"/>
          <w:lang w:val="zh-CN"/>
        </w:rPr>
      </w:pPr>
      <w:r>
        <w:rPr>
          <w:rFonts w:hint="eastAsia" w:eastAsia="仿宋_GB2312" w:cs="仿宋_GB2312"/>
          <w:sz w:val="32"/>
          <w:szCs w:val="32"/>
          <w:lang w:val="zh-CN"/>
        </w:rPr>
        <w:t>二是加强预算执行进度、绩效自行监控管理，积极思考分析，提前谋划，确保项目的有效实施。</w:t>
      </w:r>
    </w:p>
    <w:p>
      <w:pPr>
        <w:adjustRightInd w:val="0"/>
        <w:snapToGrid w:val="0"/>
        <w:spacing w:line="578" w:lineRule="exact"/>
        <w:ind w:firstLine="640" w:firstLineChars="200"/>
        <w:contextualSpacing/>
        <w:jc w:val="left"/>
        <w:rPr>
          <w:rFonts w:eastAsia="仿宋_GB2312" w:cs="仿宋_GB2312"/>
          <w:sz w:val="32"/>
          <w:szCs w:val="32"/>
          <w:lang w:val="zh-CN"/>
        </w:rPr>
      </w:pPr>
      <w:r>
        <w:rPr>
          <w:rFonts w:hint="eastAsia" w:eastAsia="仿宋_GB2312" w:cs="仿宋_GB2312"/>
          <w:sz w:val="32"/>
          <w:szCs w:val="32"/>
          <w:lang w:val="zh-CN"/>
        </w:rPr>
        <w:t>三是压实主体责任，强化项目绩效事前、事中、事后管理，切实提升资金使用效率。</w:t>
      </w:r>
    </w:p>
    <w:p>
      <w:pPr>
        <w:adjustRightInd w:val="0"/>
        <w:snapToGrid w:val="0"/>
        <w:spacing w:line="578" w:lineRule="exact"/>
        <w:ind w:firstLine="640" w:firstLineChars="200"/>
        <w:contextualSpacing/>
        <w:jc w:val="left"/>
        <w:rPr>
          <w:rFonts w:eastAsia="仿宋_GB2312" w:cs="仿宋_GB2312"/>
          <w:sz w:val="32"/>
          <w:szCs w:val="32"/>
          <w:lang w:val="zh-CN"/>
        </w:rPr>
      </w:pPr>
      <w:r>
        <w:rPr>
          <w:rFonts w:hint="eastAsia" w:eastAsia="仿宋_GB2312" w:cs="仿宋_GB2312"/>
          <w:sz w:val="32"/>
          <w:szCs w:val="32"/>
          <w:lang w:val="zh-CN"/>
        </w:rPr>
        <w:t>广元市气象局严格按要求编制年初部门预算，预算编制根据单位履行职责、业务运行、事业发展目标和现有资源的配置情况进行编制，各项收支要符合客观实际，有真实可靠的预算依据，年初预算编制科学准确；1至6月、1至10月预算执行情况得分3.1分；“三公”经费、会议、培训、差旅、办节办展、办公设备购置、信息网络及软件购置更新、课题经费等8项一般性支出情况与上年相较无压减，严控一般支出总分6分，得0分；部门整体年终预算结余情况得分4.25分，结转金额87.66万，注销金额248元，预算结余率为15.02%。该项预算管理得分15.35分。。</w:t>
      </w:r>
    </w:p>
    <w:p>
      <w:pPr>
        <w:adjustRightInd w:val="0"/>
        <w:snapToGrid w:val="0"/>
        <w:spacing w:line="578" w:lineRule="exact"/>
        <w:ind w:firstLine="640" w:firstLineChars="200"/>
        <w:contextualSpacing/>
        <w:jc w:val="left"/>
        <w:rPr>
          <w:rFonts w:eastAsia="仿宋_GB2312" w:cs="仿宋_GB2312"/>
          <w:sz w:val="32"/>
          <w:szCs w:val="32"/>
          <w:lang w:val="zh-CN"/>
        </w:rPr>
      </w:pPr>
      <w:r>
        <w:rPr>
          <w:rFonts w:hint="eastAsia" w:eastAsia="仿宋_GB2312" w:cs="仿宋_GB2312"/>
          <w:sz w:val="32"/>
          <w:szCs w:val="32"/>
        </w:rPr>
        <w:t>3.</w:t>
      </w:r>
      <w:r>
        <w:rPr>
          <w:rFonts w:eastAsia="仿宋_GB2312" w:cs="仿宋_GB2312"/>
          <w:sz w:val="32"/>
          <w:szCs w:val="32"/>
          <w:lang w:val="zh-CN"/>
        </w:rPr>
        <w:t>财务管理</w:t>
      </w:r>
      <w:r>
        <w:rPr>
          <w:rFonts w:hint="eastAsia" w:eastAsia="仿宋_GB2312" w:cs="仿宋_GB2312"/>
          <w:sz w:val="32"/>
          <w:szCs w:val="32"/>
          <w:lang w:val="zh-CN"/>
        </w:rPr>
        <w:t>。广元市气象局已制定《广元市气象部门预算管理实施细则》、《广元市气象部门财务报销管理办法》、《广元市气象部门财务工作内部控制制度》等一系列内部财务管理制度，财务管理制度落实到位。广元市气象局合理设置财务工作岗位，明确职责权限，并严格实行不相容岗位分离，部门资金使用是否符合相关财务管理制度规定。该项得分为10分。</w:t>
      </w:r>
    </w:p>
    <w:p>
      <w:pPr>
        <w:adjustRightInd w:val="0"/>
        <w:snapToGrid w:val="0"/>
        <w:spacing w:line="578" w:lineRule="exact"/>
        <w:ind w:firstLine="640" w:firstLineChars="200"/>
        <w:contextualSpacing/>
        <w:jc w:val="left"/>
        <w:rPr>
          <w:rFonts w:eastAsia="仿宋_GB2312" w:cs="仿宋_GB2312"/>
          <w:sz w:val="32"/>
          <w:szCs w:val="32"/>
          <w:lang w:val="zh-CN"/>
        </w:rPr>
      </w:pPr>
      <w:r>
        <w:rPr>
          <w:rFonts w:hint="eastAsia" w:eastAsia="仿宋_GB2312" w:cs="仿宋_GB2312"/>
          <w:sz w:val="32"/>
          <w:szCs w:val="32"/>
        </w:rPr>
        <w:t>4.</w:t>
      </w:r>
      <w:r>
        <w:rPr>
          <w:rFonts w:eastAsia="仿宋_GB2312" w:cs="仿宋_GB2312"/>
          <w:sz w:val="32"/>
          <w:szCs w:val="32"/>
          <w:lang w:val="zh-CN"/>
        </w:rPr>
        <w:t>资产管理</w:t>
      </w:r>
      <w:r>
        <w:rPr>
          <w:rFonts w:hint="eastAsia" w:eastAsia="仿宋_GB2312" w:cs="仿宋_GB2312"/>
          <w:sz w:val="32"/>
          <w:szCs w:val="32"/>
          <w:lang w:val="zh-CN"/>
        </w:rPr>
        <w:t>。广元市气象局人均资产变化率95.52%，部门人均资产增长率-4.48%。办公家具超最低使用年限资产利用率为99.1%，办公设备超最低使用年限资产利用率91.54%。两年均无闲置资产。该项得分9分。</w:t>
      </w:r>
    </w:p>
    <w:p>
      <w:pPr>
        <w:adjustRightInd w:val="0"/>
        <w:snapToGrid w:val="0"/>
        <w:spacing w:line="578" w:lineRule="exact"/>
        <w:ind w:firstLine="640" w:firstLineChars="200"/>
        <w:contextualSpacing/>
        <w:jc w:val="left"/>
        <w:rPr>
          <w:rFonts w:eastAsia="仿宋_GB2312" w:cs="仿宋_GB2312"/>
          <w:sz w:val="32"/>
          <w:szCs w:val="32"/>
          <w:lang w:val="zh-CN"/>
        </w:rPr>
      </w:pPr>
      <w:r>
        <w:rPr>
          <w:rFonts w:hint="eastAsia" w:eastAsia="仿宋_GB2312" w:cs="仿宋_GB2312"/>
          <w:sz w:val="32"/>
          <w:szCs w:val="32"/>
        </w:rPr>
        <w:t>5.</w:t>
      </w:r>
      <w:r>
        <w:rPr>
          <w:rFonts w:eastAsia="仿宋_GB2312" w:cs="仿宋_GB2312"/>
          <w:sz w:val="32"/>
          <w:szCs w:val="32"/>
          <w:lang w:val="zh-CN"/>
        </w:rPr>
        <w:t>采购管理</w:t>
      </w:r>
      <w:r>
        <w:rPr>
          <w:rFonts w:hint="eastAsia" w:eastAsia="仿宋_GB2312" w:cs="仿宋_GB2312"/>
          <w:sz w:val="32"/>
          <w:szCs w:val="32"/>
          <w:lang w:val="zh-CN"/>
        </w:rPr>
        <w:t>。广元市气象局2024年涉及两项政府采购，分别为LED大屏和广元生态监测站，LED大屏采购已完成，预算10.84万元，实际支付10.81万元；广元生态监测站于2024年12月31日完成中标公告发布，后续签订合同和资金支付预计2025年完成。该项得分9分。</w:t>
      </w:r>
    </w:p>
    <w:p>
      <w:pPr>
        <w:adjustRightInd w:val="0"/>
        <w:snapToGrid w:val="0"/>
        <w:spacing w:line="578" w:lineRule="exact"/>
        <w:ind w:firstLine="642" w:firstLineChars="200"/>
        <w:contextualSpacing/>
        <w:rPr>
          <w:rFonts w:eastAsia="仿宋_GB2312" w:cs="仿宋_GB2312"/>
          <w:sz w:val="32"/>
          <w:szCs w:val="32"/>
          <w:lang w:val="zh-CN"/>
        </w:rPr>
      </w:pPr>
      <w:r>
        <w:rPr>
          <w:rFonts w:eastAsia="楷体_GB2312"/>
          <w:b/>
          <w:bCs/>
          <w:color w:val="000000"/>
          <w:kern w:val="0"/>
          <w:sz w:val="32"/>
          <w:szCs w:val="32"/>
          <w:shd w:val="clear" w:color="auto" w:fill="FFFFFF"/>
          <w:lang w:val="zh-CN"/>
        </w:rPr>
        <w:t>（二）部门预算项目绩效分析。</w:t>
      </w:r>
    </w:p>
    <w:p>
      <w:pPr>
        <w:suppressAutoHyphens/>
        <w:snapToGrid w:val="0"/>
        <w:spacing w:line="560" w:lineRule="exact"/>
        <w:ind w:firstLine="640" w:firstLineChars="200"/>
        <w:contextualSpacing/>
        <w:rPr>
          <w:rFonts w:eastAsia="仿宋_GB2312" w:cs="仿宋_GB2312"/>
          <w:sz w:val="32"/>
          <w:szCs w:val="32"/>
        </w:rPr>
      </w:pPr>
      <w:r>
        <w:rPr>
          <w:rFonts w:ascii="仿宋_GB2312" w:hAnsi="宋体" w:eastAsia="仿宋_GB2312" w:cs="宋体"/>
          <w:color w:val="000000"/>
          <w:kern w:val="0"/>
          <w:sz w:val="32"/>
          <w:szCs w:val="32"/>
          <w:shd w:val="clear" w:color="auto" w:fill="FFFFFF"/>
          <w:lang w:val="zh-CN"/>
        </w:rPr>
        <w:t>项目总数</w:t>
      </w:r>
      <w:r>
        <w:rPr>
          <w:rFonts w:hint="eastAsia" w:ascii="仿宋_GB2312" w:hAnsi="宋体" w:eastAsia="仿宋_GB2312" w:cs="宋体"/>
          <w:color w:val="000000"/>
          <w:kern w:val="0"/>
          <w:sz w:val="32"/>
          <w:szCs w:val="32"/>
          <w:shd w:val="clear" w:color="auto" w:fill="FFFFFF"/>
        </w:rPr>
        <w:t>6</w:t>
      </w:r>
      <w:r>
        <w:rPr>
          <w:rFonts w:ascii="仿宋_GB2312" w:hAnsi="宋体" w:eastAsia="仿宋_GB2312" w:cs="宋体"/>
          <w:color w:val="000000"/>
          <w:kern w:val="0"/>
          <w:sz w:val="32"/>
          <w:szCs w:val="32"/>
          <w:shd w:val="clear" w:color="auto" w:fill="FFFFFF"/>
          <w:lang w:val="zh-CN"/>
        </w:rPr>
        <w:t>个，涉及预算总金额</w:t>
      </w:r>
      <w:r>
        <w:rPr>
          <w:rFonts w:ascii="仿宋_GB2312" w:hAnsi="宋体" w:eastAsia="仿宋_GB2312" w:cs="宋体"/>
          <w:color w:val="000000"/>
          <w:kern w:val="0"/>
          <w:sz w:val="32"/>
          <w:szCs w:val="32"/>
          <w:shd w:val="clear" w:color="auto" w:fill="FFFFFF"/>
        </w:rPr>
        <w:t xml:space="preserve"> </w:t>
      </w:r>
      <w:r>
        <w:rPr>
          <w:rFonts w:hint="eastAsia" w:ascii="仿宋_GB2312" w:hAnsi="宋体" w:eastAsia="仿宋_GB2312" w:cs="宋体"/>
          <w:color w:val="000000"/>
          <w:kern w:val="0"/>
          <w:sz w:val="32"/>
          <w:szCs w:val="32"/>
          <w:shd w:val="clear" w:color="auto" w:fill="FFFFFF"/>
        </w:rPr>
        <w:t>232.2</w:t>
      </w:r>
      <w:r>
        <w:rPr>
          <w:rFonts w:ascii="仿宋_GB2312" w:hAnsi="宋体" w:eastAsia="仿宋_GB2312" w:cs="宋体"/>
          <w:color w:val="000000"/>
          <w:kern w:val="0"/>
          <w:sz w:val="32"/>
          <w:szCs w:val="32"/>
          <w:shd w:val="clear" w:color="auto" w:fill="FFFFFF"/>
          <w:lang w:val="zh-CN"/>
        </w:rPr>
        <w:t>万元，1</w:t>
      </w:r>
      <w:r>
        <w:rPr>
          <w:rFonts w:hint="eastAsia" w:ascii="仿宋_GB2312" w:hAnsi="宋体" w:eastAsia="仿宋_GB2312" w:cs="宋体"/>
          <w:color w:val="000000"/>
          <w:kern w:val="0"/>
          <w:sz w:val="32"/>
          <w:szCs w:val="32"/>
          <w:shd w:val="clear" w:color="auto" w:fill="FFFFFF"/>
          <w:lang w:val="zh-CN"/>
        </w:rPr>
        <w:t>—</w:t>
      </w:r>
      <w:r>
        <w:rPr>
          <w:rFonts w:ascii="仿宋_GB2312" w:hAnsi="宋体" w:eastAsia="仿宋_GB2312" w:cs="宋体"/>
          <w:color w:val="000000"/>
          <w:kern w:val="0"/>
          <w:sz w:val="32"/>
          <w:szCs w:val="32"/>
          <w:shd w:val="clear" w:color="auto" w:fill="FFFFFF"/>
          <w:lang w:val="zh-CN"/>
        </w:rPr>
        <w:t>1</w:t>
      </w:r>
      <w:r>
        <w:rPr>
          <w:rFonts w:ascii="仿宋_GB2312" w:hAnsi="宋体" w:eastAsia="仿宋_GB2312" w:cs="宋体"/>
          <w:color w:val="000000"/>
          <w:kern w:val="0"/>
          <w:sz w:val="32"/>
          <w:szCs w:val="32"/>
          <w:shd w:val="clear" w:color="auto" w:fill="FFFFFF"/>
        </w:rPr>
        <w:t>2</w:t>
      </w:r>
      <w:r>
        <w:rPr>
          <w:rFonts w:ascii="仿宋_GB2312" w:hAnsi="宋体" w:eastAsia="仿宋_GB2312" w:cs="宋体"/>
          <w:color w:val="000000"/>
          <w:kern w:val="0"/>
          <w:sz w:val="32"/>
          <w:szCs w:val="32"/>
          <w:shd w:val="clear" w:color="auto" w:fill="FFFFFF"/>
          <w:lang w:val="zh-CN"/>
        </w:rPr>
        <w:t>月预算执行总体进度为</w:t>
      </w:r>
      <w:r>
        <w:rPr>
          <w:rFonts w:hint="eastAsia" w:ascii="仿宋_GB2312" w:hAnsi="宋体" w:eastAsia="仿宋_GB2312" w:cs="宋体"/>
          <w:color w:val="000000"/>
          <w:kern w:val="0"/>
          <w:sz w:val="32"/>
          <w:szCs w:val="32"/>
          <w:shd w:val="clear" w:color="auto" w:fill="FFFFFF"/>
        </w:rPr>
        <w:t>100</w:t>
      </w:r>
      <w:r>
        <w:rPr>
          <w:rFonts w:ascii="仿宋_GB2312" w:hAnsi="宋体" w:eastAsia="仿宋_GB2312" w:cs="宋体"/>
          <w:color w:val="000000"/>
          <w:kern w:val="0"/>
          <w:sz w:val="32"/>
          <w:szCs w:val="32"/>
          <w:shd w:val="clear" w:color="auto" w:fill="FFFFFF"/>
          <w:lang w:val="zh-CN"/>
        </w:rPr>
        <w:t>%，其中：预算结余率大于</w:t>
      </w:r>
      <w:r>
        <w:rPr>
          <w:rFonts w:ascii="仿宋_GB2312" w:hAnsi="宋体" w:eastAsia="仿宋_GB2312" w:cs="宋体"/>
          <w:color w:val="000000"/>
          <w:kern w:val="0"/>
          <w:sz w:val="32"/>
          <w:szCs w:val="32"/>
          <w:shd w:val="clear" w:color="auto" w:fill="FFFFFF"/>
        </w:rPr>
        <w:t>10%</w:t>
      </w:r>
      <w:r>
        <w:rPr>
          <w:rFonts w:ascii="仿宋_GB2312" w:hAnsi="宋体" w:eastAsia="仿宋_GB2312" w:cs="宋体"/>
          <w:color w:val="000000"/>
          <w:kern w:val="0"/>
          <w:sz w:val="32"/>
          <w:szCs w:val="32"/>
          <w:shd w:val="clear" w:color="auto" w:fill="FFFFFF"/>
          <w:lang w:val="zh-CN"/>
        </w:rPr>
        <w:t>的项目共计</w:t>
      </w:r>
      <w:r>
        <w:rPr>
          <w:rFonts w:hint="eastAsia" w:ascii="仿宋_GB2312" w:hAnsi="宋体" w:eastAsia="仿宋_GB2312" w:cs="宋体"/>
          <w:color w:val="000000"/>
          <w:kern w:val="0"/>
          <w:sz w:val="32"/>
          <w:szCs w:val="32"/>
          <w:shd w:val="clear" w:color="auto" w:fill="FFFFFF"/>
        </w:rPr>
        <w:t>0</w:t>
      </w:r>
      <w:r>
        <w:rPr>
          <w:rFonts w:ascii="仿宋_GB2312" w:hAnsi="宋体" w:eastAsia="仿宋_GB2312" w:cs="宋体"/>
          <w:color w:val="000000"/>
          <w:kern w:val="0"/>
          <w:sz w:val="32"/>
          <w:szCs w:val="32"/>
          <w:shd w:val="clear" w:color="auto" w:fill="FFFFFF"/>
        </w:rPr>
        <w:t xml:space="preserve"> </w:t>
      </w:r>
      <w:r>
        <w:rPr>
          <w:rFonts w:ascii="仿宋_GB2312" w:hAnsi="宋体" w:eastAsia="仿宋_GB2312" w:cs="宋体"/>
          <w:color w:val="000000"/>
          <w:kern w:val="0"/>
          <w:sz w:val="32"/>
          <w:szCs w:val="32"/>
          <w:shd w:val="clear" w:color="auto" w:fill="FFFFFF"/>
          <w:lang w:val="zh-CN"/>
        </w:rPr>
        <w:t>个。</w:t>
      </w:r>
    </w:p>
    <w:p>
      <w:pPr>
        <w:adjustRightInd w:val="0"/>
        <w:snapToGrid w:val="0"/>
        <w:spacing w:line="578" w:lineRule="exact"/>
        <w:ind w:firstLine="640" w:firstLineChars="200"/>
        <w:contextualSpacing/>
        <w:rPr>
          <w:rFonts w:eastAsia="仿宋_GB2312" w:cs="仿宋_GB2312"/>
          <w:sz w:val="32"/>
          <w:szCs w:val="32"/>
          <w:lang w:val="zh-CN"/>
        </w:rPr>
      </w:pPr>
      <w:r>
        <w:rPr>
          <w:rFonts w:hint="eastAsia" w:eastAsia="仿宋_GB2312" w:cs="仿宋_GB2312"/>
          <w:sz w:val="32"/>
          <w:szCs w:val="32"/>
        </w:rPr>
        <w:t>1.</w:t>
      </w:r>
      <w:r>
        <w:rPr>
          <w:rFonts w:hint="eastAsia" w:eastAsia="仿宋_GB2312" w:cs="仿宋_GB2312"/>
          <w:sz w:val="32"/>
          <w:szCs w:val="32"/>
          <w:lang w:val="zh-CN"/>
        </w:rPr>
        <w:t>项目决策。部门预算项目设立按规定履行评估论证、申报程序。绩效目标与计划期内的任务量、预算安排相匹配。部门预算项目是在规定时间完成项目入库。</w:t>
      </w:r>
    </w:p>
    <w:p>
      <w:pPr>
        <w:adjustRightInd w:val="0"/>
        <w:snapToGrid w:val="0"/>
        <w:spacing w:line="578" w:lineRule="exact"/>
        <w:ind w:firstLine="640" w:firstLineChars="200"/>
        <w:contextualSpacing/>
        <w:rPr>
          <w:rFonts w:eastAsia="仿宋_GB2312" w:cs="仿宋_GB2312"/>
          <w:sz w:val="32"/>
          <w:szCs w:val="32"/>
          <w:lang w:val="zh-CN"/>
        </w:rPr>
      </w:pPr>
      <w:r>
        <w:rPr>
          <w:rFonts w:hint="eastAsia" w:eastAsia="仿宋_GB2312" w:cs="仿宋_GB2312"/>
          <w:sz w:val="32"/>
          <w:szCs w:val="32"/>
        </w:rPr>
        <w:t>2.项目执行</w:t>
      </w:r>
      <w:r>
        <w:rPr>
          <w:rFonts w:hint="eastAsia" w:eastAsia="仿宋_GB2312" w:cs="仿宋_GB2312"/>
          <w:sz w:val="32"/>
          <w:szCs w:val="32"/>
          <w:lang w:val="zh-CN"/>
        </w:rPr>
        <w:t>。部门预算项目实际列支内容与绩效目标设置方向相符，年中未涉及项目调整，预算结余率大于10%得项目为0个。</w:t>
      </w:r>
    </w:p>
    <w:p>
      <w:pPr>
        <w:adjustRightInd w:val="0"/>
        <w:snapToGrid w:val="0"/>
        <w:spacing w:line="578" w:lineRule="exact"/>
        <w:ind w:firstLine="640" w:firstLineChars="200"/>
        <w:contextualSpacing/>
        <w:rPr>
          <w:rFonts w:eastAsia="仿宋_GB2312" w:cs="仿宋_GB2312"/>
          <w:sz w:val="32"/>
          <w:szCs w:val="32"/>
          <w:lang w:val="zh-CN"/>
        </w:rPr>
      </w:pPr>
      <w:r>
        <w:rPr>
          <w:rFonts w:hint="eastAsia" w:eastAsia="仿宋_GB2312" w:cs="仿宋_GB2312"/>
          <w:sz w:val="32"/>
          <w:szCs w:val="32"/>
        </w:rPr>
        <w:t>3.</w:t>
      </w:r>
      <w:r>
        <w:rPr>
          <w:rFonts w:hint="eastAsia" w:eastAsia="仿宋_GB2312" w:cs="仿宋_GB2312"/>
          <w:sz w:val="32"/>
          <w:szCs w:val="32"/>
          <w:lang w:val="zh-CN"/>
        </w:rPr>
        <w:t>目标实现。广元市气象局预算项目绩效目标数量指标全部完成，部门预算项目绩效目标数量指标实现程度与预期目标无偏离，部门预算项目绩效目标效益指标实施效果较好。</w:t>
      </w:r>
    </w:p>
    <w:p>
      <w:pPr>
        <w:snapToGrid w:val="0"/>
        <w:spacing w:line="600" w:lineRule="exact"/>
        <w:ind w:firstLine="642" w:firstLineChars="200"/>
        <w:rPr>
          <w:rFonts w:eastAsia="仿宋_GB2312"/>
          <w:sz w:val="32"/>
          <w:szCs w:val="32"/>
          <w:lang w:val="zh-CN" w:bidi="ar"/>
        </w:rPr>
      </w:pPr>
      <w:r>
        <w:rPr>
          <w:rFonts w:eastAsia="楷体_GB2312"/>
          <w:b/>
          <w:bCs/>
          <w:color w:val="000000"/>
          <w:kern w:val="0"/>
          <w:sz w:val="32"/>
          <w:szCs w:val="32"/>
          <w:shd w:val="clear" w:color="auto" w:fill="FFFFFF"/>
          <w:lang w:val="zh-CN"/>
        </w:rPr>
        <w:t>（</w:t>
      </w:r>
      <w:r>
        <w:rPr>
          <w:rFonts w:hint="eastAsia" w:eastAsia="楷体_GB2312"/>
          <w:b/>
          <w:bCs/>
          <w:color w:val="000000"/>
          <w:kern w:val="0"/>
          <w:sz w:val="32"/>
          <w:szCs w:val="32"/>
          <w:shd w:val="clear" w:color="auto" w:fill="FFFFFF"/>
        </w:rPr>
        <w:t>三</w:t>
      </w:r>
      <w:r>
        <w:rPr>
          <w:rFonts w:eastAsia="楷体_GB2312"/>
          <w:b/>
          <w:bCs/>
          <w:color w:val="000000"/>
          <w:kern w:val="0"/>
          <w:sz w:val="32"/>
          <w:szCs w:val="32"/>
          <w:shd w:val="clear" w:color="auto" w:fill="FFFFFF"/>
          <w:lang w:val="zh-CN"/>
        </w:rPr>
        <w:t>）绩效结果应用情况</w:t>
      </w:r>
      <w:r>
        <w:rPr>
          <w:rFonts w:hint="eastAsia" w:eastAsia="楷体_GB2312"/>
          <w:b/>
          <w:bCs/>
          <w:color w:val="000000"/>
          <w:kern w:val="0"/>
          <w:sz w:val="32"/>
          <w:szCs w:val="32"/>
          <w:shd w:val="clear" w:color="auto" w:fill="FFFFFF"/>
          <w:lang w:val="zh-CN"/>
        </w:rPr>
        <w:t>。</w:t>
      </w:r>
    </w:p>
    <w:p>
      <w:pPr>
        <w:snapToGrid w:val="0"/>
        <w:spacing w:line="600" w:lineRule="exact"/>
        <w:ind w:firstLine="640" w:firstLineChars="200"/>
        <w:rPr>
          <w:rFonts w:eastAsia="仿宋_GB2312"/>
          <w:sz w:val="32"/>
          <w:szCs w:val="32"/>
          <w:lang w:val="zh-CN" w:bidi="ar"/>
        </w:rPr>
      </w:pPr>
      <w:r>
        <w:rPr>
          <w:rFonts w:hint="eastAsia" w:eastAsia="仿宋_GB2312"/>
          <w:sz w:val="32"/>
          <w:szCs w:val="32"/>
          <w:lang w:val="zh-CN" w:bidi="ar"/>
        </w:rPr>
        <w:t>扎实推动整体绩效自评、绩效监控自评、项目实施自评、绩效管理工作自评等工作，认真落实预算绩效考核各项要求，绩效管理结果应用成绩显著。</w:t>
      </w:r>
    </w:p>
    <w:p>
      <w:pPr>
        <w:snapToGrid w:val="0"/>
        <w:spacing w:line="600" w:lineRule="exact"/>
        <w:ind w:firstLine="640" w:firstLineChars="200"/>
        <w:rPr>
          <w:rFonts w:eastAsia="仿宋_GB2312"/>
          <w:sz w:val="32"/>
          <w:szCs w:val="32"/>
          <w:lang w:val="zh-CN" w:bidi="ar"/>
        </w:rPr>
      </w:pPr>
      <w:r>
        <w:rPr>
          <w:rFonts w:hint="eastAsia" w:eastAsia="仿宋_GB2312"/>
          <w:sz w:val="32"/>
          <w:szCs w:val="32"/>
          <w:lang w:val="zh-CN" w:bidi="ar"/>
        </w:rPr>
        <w:t>一是我局严格按照预决算编制要求编制绩效目标，填列绩效目标完成情况，开展绩效自评工作，并将相关绩效信息在市政府网站予以公示公开。</w:t>
      </w:r>
    </w:p>
    <w:p>
      <w:pPr>
        <w:snapToGrid w:val="0"/>
        <w:spacing w:line="600" w:lineRule="exact"/>
        <w:ind w:firstLine="640" w:firstLineChars="200"/>
        <w:rPr>
          <w:rFonts w:eastAsia="仿宋_GB2312"/>
          <w:sz w:val="32"/>
          <w:szCs w:val="32"/>
          <w:lang w:bidi="ar"/>
        </w:rPr>
      </w:pPr>
      <w:r>
        <w:rPr>
          <w:rFonts w:hint="eastAsia" w:eastAsia="仿宋_GB2312"/>
          <w:sz w:val="32"/>
          <w:szCs w:val="32"/>
          <w:lang w:val="zh-CN" w:bidi="ar"/>
        </w:rPr>
        <w:t>二是绩效管理结果应用方面，结合部门预算实际情况以及财政绩效目标评审提出的有关问题，及时完善和调整绩效目标各项指标内容，指标要素设置基本做到细化量化；对发现执行进度偏低的项目，积极思考，采取多种方法切实推进加快预算执行，通过将绩效管理结果应用于调整预算安排，优化支出结构，提高执行进度，我局工作效能得到一定程度的提升。</w:t>
      </w:r>
    </w:p>
    <w:p>
      <w:pPr>
        <w:widowControl/>
        <w:adjustRightInd w:val="0"/>
        <w:snapToGrid w:val="0"/>
        <w:spacing w:line="578" w:lineRule="exact"/>
        <w:ind w:firstLine="640" w:firstLineChars="200"/>
        <w:contextualSpacing/>
        <w:jc w:val="left"/>
        <w:rPr>
          <w:rFonts w:eastAsia="黑体"/>
          <w:color w:val="000000"/>
          <w:kern w:val="0"/>
          <w:sz w:val="32"/>
          <w:szCs w:val="32"/>
          <w:shd w:val="clear" w:color="auto" w:fill="FFFFFF"/>
          <w:lang w:val="zh-CN"/>
        </w:rPr>
      </w:pPr>
      <w:r>
        <w:rPr>
          <w:rFonts w:eastAsia="黑体"/>
          <w:color w:val="000000"/>
          <w:kern w:val="0"/>
          <w:sz w:val="32"/>
          <w:szCs w:val="32"/>
          <w:shd w:val="clear" w:color="auto" w:fill="FFFFFF"/>
          <w:lang w:val="zh-CN"/>
        </w:rPr>
        <w:t>四、评价结论及建议</w:t>
      </w:r>
    </w:p>
    <w:p>
      <w:pPr>
        <w:widowControl/>
        <w:adjustRightInd w:val="0"/>
        <w:snapToGrid w:val="0"/>
        <w:spacing w:line="578" w:lineRule="exact"/>
        <w:ind w:firstLine="642" w:firstLineChars="200"/>
        <w:contextualSpacing/>
        <w:jc w:val="left"/>
        <w:rPr>
          <w:rFonts w:eastAsia="仿宋_GB2312"/>
          <w:sz w:val="32"/>
          <w:szCs w:val="32"/>
          <w:lang w:bidi="ar"/>
        </w:rPr>
      </w:pPr>
      <w:r>
        <w:rPr>
          <w:rFonts w:eastAsia="楷体_GB2312"/>
          <w:b/>
          <w:bCs/>
          <w:color w:val="000000"/>
          <w:kern w:val="0"/>
          <w:sz w:val="32"/>
          <w:szCs w:val="32"/>
          <w:shd w:val="clear" w:color="auto" w:fill="FFFFFF"/>
          <w:lang w:val="zh-CN"/>
        </w:rPr>
        <w:t>（一）评价结论。</w:t>
      </w:r>
      <w:r>
        <w:rPr>
          <w:rFonts w:hint="eastAsia" w:eastAsia="仿宋_GB2312"/>
          <w:sz w:val="32"/>
          <w:szCs w:val="32"/>
          <w:lang w:bidi="ar"/>
        </w:rPr>
        <w:t>2024年广元市气象局预算编制合理、规范；信息公开及时、内容完整；内控制度建设较为完善；资产管理按要求纳入系统管理，并与预算相结合按标准配置单位需求的资产，较好地保障了年度各项工作任务的顺利开展。</w:t>
      </w:r>
    </w:p>
    <w:p>
      <w:pPr>
        <w:suppressAutoHyphens/>
        <w:snapToGrid w:val="0"/>
        <w:spacing w:line="560" w:lineRule="exact"/>
        <w:ind w:firstLine="640" w:firstLineChars="200"/>
        <w:contextualSpacing/>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对照《202</w:t>
      </w:r>
      <w:r>
        <w:rPr>
          <w:rFonts w:hint="eastAsia" w:ascii="仿宋_GB2312" w:hAnsi="宋体" w:eastAsia="仿宋_GB2312" w:cs="宋体"/>
          <w:color w:val="000000"/>
          <w:kern w:val="0"/>
          <w:sz w:val="32"/>
          <w:szCs w:val="32"/>
          <w:shd w:val="clear" w:color="auto" w:fill="FFFFFF"/>
        </w:rPr>
        <w:t>4</w:t>
      </w:r>
      <w:r>
        <w:rPr>
          <w:rFonts w:hint="eastAsia" w:ascii="仿宋_GB2312" w:hAnsi="宋体" w:eastAsia="仿宋_GB2312" w:cs="宋体"/>
          <w:color w:val="000000"/>
          <w:kern w:val="0"/>
          <w:sz w:val="32"/>
          <w:szCs w:val="32"/>
          <w:shd w:val="clear" w:color="auto" w:fill="FFFFFF"/>
          <w:lang w:val="zh-CN"/>
        </w:rPr>
        <w:t>市级部门整体预算绩效评价</w:t>
      </w:r>
      <w:r>
        <w:rPr>
          <w:rFonts w:hint="eastAsia" w:ascii="仿宋_GB2312" w:hAnsi="宋体" w:eastAsia="仿宋_GB2312" w:cs="宋体"/>
          <w:color w:val="000000"/>
          <w:kern w:val="0"/>
          <w:sz w:val="32"/>
          <w:szCs w:val="32"/>
          <w:shd w:val="clear" w:color="auto" w:fill="FFFFFF"/>
        </w:rPr>
        <w:t>评分表</w:t>
      </w:r>
      <w:r>
        <w:rPr>
          <w:rFonts w:hint="eastAsia" w:ascii="仿宋_GB2312" w:hAnsi="宋体" w:eastAsia="仿宋_GB2312" w:cs="宋体"/>
          <w:color w:val="000000"/>
          <w:kern w:val="0"/>
          <w:sz w:val="32"/>
          <w:szCs w:val="32"/>
          <w:shd w:val="clear" w:color="auto" w:fill="FFFFFF"/>
          <w:lang w:val="zh-CN"/>
        </w:rPr>
        <w:t>》,我局各项指标较好地达到了相关要求，自评分为</w:t>
      </w:r>
      <w:r>
        <w:rPr>
          <w:rFonts w:hint="eastAsia" w:ascii="仿宋_GB2312" w:hAnsi="宋体" w:eastAsia="仿宋_GB2312" w:cs="宋体"/>
          <w:color w:val="000000"/>
          <w:kern w:val="0"/>
          <w:sz w:val="32"/>
          <w:szCs w:val="32"/>
          <w:shd w:val="clear" w:color="auto" w:fill="FFFFFF"/>
        </w:rPr>
        <w:t>73.79</w:t>
      </w:r>
      <w:r>
        <w:rPr>
          <w:rFonts w:hint="eastAsia" w:ascii="仿宋_GB2312" w:hAnsi="宋体" w:eastAsia="仿宋_GB2312" w:cs="宋体"/>
          <w:color w:val="000000"/>
          <w:kern w:val="0"/>
          <w:sz w:val="32"/>
          <w:szCs w:val="32"/>
          <w:shd w:val="clear" w:color="auto" w:fill="FFFFFF"/>
          <w:lang w:val="zh-CN"/>
        </w:rPr>
        <w:t>分。</w:t>
      </w:r>
    </w:p>
    <w:p>
      <w:pPr>
        <w:widowControl/>
        <w:adjustRightInd w:val="0"/>
        <w:snapToGrid w:val="0"/>
        <w:spacing w:line="578" w:lineRule="exact"/>
        <w:ind w:firstLine="642" w:firstLineChars="200"/>
        <w:contextualSpacing/>
        <w:jc w:val="left"/>
        <w:rPr>
          <w:rFonts w:eastAsia="仿宋_GB2312"/>
          <w:sz w:val="32"/>
          <w:szCs w:val="32"/>
          <w:lang w:bidi="ar"/>
        </w:rPr>
      </w:pPr>
      <w:r>
        <w:rPr>
          <w:rFonts w:eastAsia="楷体_GB2312"/>
          <w:b/>
          <w:bCs/>
          <w:color w:val="000000"/>
          <w:kern w:val="0"/>
          <w:sz w:val="32"/>
          <w:szCs w:val="32"/>
          <w:shd w:val="clear" w:color="auto" w:fill="FFFFFF"/>
          <w:lang w:val="zh-CN"/>
        </w:rPr>
        <w:t>（二）存在问题。</w:t>
      </w:r>
      <w:r>
        <w:rPr>
          <w:rFonts w:hint="eastAsia" w:eastAsia="仿宋_GB2312"/>
          <w:sz w:val="32"/>
          <w:szCs w:val="32"/>
          <w:lang w:bidi="ar"/>
        </w:rPr>
        <w:t>个别项目洽谈合同时未考虑预算执行要求，从而在一定程度上影响了预算执行。由此可看出对于预算编制、预算执行、预算绩效管理和监控的重视程度还需进一步加强。</w:t>
      </w:r>
    </w:p>
    <w:p>
      <w:pPr>
        <w:widowControl/>
        <w:adjustRightInd w:val="0"/>
        <w:snapToGrid w:val="0"/>
        <w:spacing w:line="578" w:lineRule="exact"/>
        <w:ind w:firstLine="642" w:firstLineChars="200"/>
        <w:contextualSpacing/>
        <w:jc w:val="left"/>
        <w:rPr>
          <w:rFonts w:eastAsia="仿宋_GB2312"/>
          <w:sz w:val="32"/>
          <w:szCs w:val="32"/>
          <w:lang w:bidi="ar"/>
        </w:rPr>
      </w:pPr>
      <w:r>
        <w:rPr>
          <w:rFonts w:eastAsia="楷体_GB2312"/>
          <w:b/>
          <w:bCs/>
          <w:color w:val="000000"/>
          <w:kern w:val="0"/>
          <w:sz w:val="32"/>
          <w:szCs w:val="32"/>
          <w:shd w:val="clear" w:color="auto" w:fill="FFFFFF"/>
          <w:lang w:val="zh-CN"/>
        </w:rPr>
        <w:t>（三）改进建议。</w:t>
      </w:r>
      <w:r>
        <w:rPr>
          <w:rFonts w:hint="eastAsia" w:eastAsia="仿宋_GB2312"/>
          <w:sz w:val="32"/>
          <w:szCs w:val="32"/>
          <w:lang w:bidi="ar"/>
        </w:rPr>
        <w:t>1.提高预算绩效管理工作意识，明确职责分工，压实主体责任，强化各具体项目承办科室的资金绩效管理意识，合理测算预算资金，提高预算编制的准确性和科学性，确保项目的有效实施。</w:t>
      </w:r>
    </w:p>
    <w:p>
      <w:pPr>
        <w:widowControl/>
        <w:adjustRightInd w:val="0"/>
        <w:snapToGrid w:val="0"/>
        <w:spacing w:line="578" w:lineRule="exact"/>
        <w:ind w:firstLine="640" w:firstLineChars="200"/>
        <w:contextualSpacing/>
        <w:jc w:val="left"/>
        <w:rPr>
          <w:rFonts w:eastAsia="仿宋_GB2312"/>
          <w:sz w:val="32"/>
          <w:lang w:val="zh-CN" w:bidi="ar"/>
        </w:rPr>
      </w:pPr>
      <w:r>
        <w:rPr>
          <w:rFonts w:hint="eastAsia" w:eastAsia="仿宋_GB2312"/>
          <w:sz w:val="32"/>
          <w:szCs w:val="32"/>
          <w:lang w:bidi="ar"/>
        </w:rPr>
        <w:t>2.建议加强学习和宣传，举办绩效管理专题培训班，进一步提高财务、业务、项目管理等人员绩效考评意识，将绩效管理贯穿到项目管理全过程，提高全局绩效管理水平。</w:t>
      </w:r>
    </w:p>
    <w:p>
      <w:pPr>
        <w:pStyle w:val="3"/>
        <w:spacing w:line="560" w:lineRule="exact"/>
        <w:ind w:left="0" w:leftChars="0" w:firstLine="640"/>
        <w:rPr>
          <w:rFonts w:ascii="Times New Roman" w:eastAsia="仿宋_GB2312"/>
          <w:sz w:val="32"/>
          <w:lang w:val="zh-CN" w:bidi="ar"/>
        </w:rPr>
      </w:pPr>
      <w:r>
        <w:rPr>
          <w:rFonts w:hint="eastAsia" w:ascii="Times New Roman" w:eastAsia="仿宋_GB2312"/>
          <w:sz w:val="32"/>
          <w:lang w:val="zh-CN" w:bidi="ar"/>
        </w:rPr>
        <w:t>附表：</w:t>
      </w:r>
      <w:r>
        <w:rPr>
          <w:rFonts w:hint="eastAsia" w:ascii="Times New Roman" w:eastAsia="仿宋_GB2312"/>
          <w:sz w:val="32"/>
          <w:lang w:bidi="ar"/>
        </w:rPr>
        <w:t>部门预算项目支出绩效自评表（2024年度）</w:t>
      </w:r>
    </w:p>
    <w:p>
      <w:pPr>
        <w:pStyle w:val="8"/>
        <w:spacing w:before="93"/>
        <w:ind w:firstLine="640" w:firstLineChars="200"/>
        <w:rPr>
          <w:rFonts w:hAnsi="仿宋_GB2312" w:cs="仿宋_GB2312"/>
          <w:sz w:val="32"/>
          <w:szCs w:val="32"/>
          <w:shd w:val="clear" w:color="auto" w:fill="FFFFFF"/>
        </w:rPr>
      </w:pPr>
      <w:r>
        <w:rPr>
          <w:rFonts w:hint="eastAsia" w:hAnsi="仿宋_GB2312" w:cs="仿宋_GB2312"/>
          <w:sz w:val="32"/>
          <w:szCs w:val="32"/>
          <w:shd w:val="clear" w:color="auto" w:fill="FFFFFF"/>
        </w:rPr>
        <w:t>详情见附表</w:t>
      </w:r>
    </w:p>
    <w:p>
      <w:pPr>
        <w:pStyle w:val="3"/>
        <w:spacing w:line="560" w:lineRule="exact"/>
        <w:ind w:left="0" w:leftChars="0" w:firstLine="0" w:firstLineChars="0"/>
        <w:rPr>
          <w:rFonts w:ascii="Times New Roman"/>
          <w:sz w:val="32"/>
          <w:highlight w:val="yellow"/>
          <w:lang w:val="zh-CN"/>
        </w:rPr>
      </w:pPr>
    </w:p>
    <w:p>
      <w:pPr>
        <w:pStyle w:val="8"/>
        <w:spacing w:before="93"/>
        <w:rPr>
          <w:rFonts w:ascii="Times New Roman" w:cs="宋体"/>
          <w:color w:val="FF0000"/>
          <w:sz w:val="32"/>
          <w:szCs w:val="32"/>
          <w:highlight w:val="yellow"/>
          <w:shd w:val="clear" w:color="auto" w:fill="FFFFFF"/>
          <w:lang w:val="zh-CN"/>
        </w:rPr>
      </w:pPr>
    </w:p>
    <w:p>
      <w:pPr>
        <w:rPr>
          <w:rFonts w:eastAsia="黑体" w:cs="黑体"/>
          <w:kern w:val="0"/>
          <w:sz w:val="32"/>
          <w:szCs w:val="32"/>
          <w:shd w:val="clear" w:color="auto" w:fill="FFFFFF"/>
          <w:lang w:val="zh-CN"/>
        </w:rPr>
      </w:pPr>
      <w:r>
        <w:rPr>
          <w:rFonts w:hint="eastAsia" w:eastAsia="黑体" w:cs="黑体"/>
          <w:kern w:val="0"/>
          <w:sz w:val="32"/>
          <w:szCs w:val="32"/>
          <w:shd w:val="clear" w:color="auto" w:fill="FFFFFF"/>
          <w:lang w:val="zh-CN"/>
        </w:rPr>
        <w:br w:type="page"/>
      </w:r>
    </w:p>
    <w:p>
      <w:pPr>
        <w:pStyle w:val="8"/>
        <w:spacing w:before="93"/>
        <w:rPr>
          <w:rFonts w:ascii="Times New Roman" w:eastAsia="黑体" w:cs="黑体"/>
          <w:sz w:val="32"/>
          <w:szCs w:val="32"/>
        </w:rPr>
      </w:pPr>
      <w:r>
        <w:rPr>
          <w:rFonts w:hint="eastAsia" w:ascii="Times New Roman" w:eastAsia="黑体" w:cs="黑体"/>
          <w:sz w:val="32"/>
          <w:szCs w:val="32"/>
          <w:shd w:val="clear" w:color="auto" w:fill="FFFFFF"/>
          <w:lang w:val="zh-CN"/>
        </w:rPr>
        <w:t>附件</w:t>
      </w:r>
      <w:r>
        <w:rPr>
          <w:rFonts w:hint="eastAsia" w:ascii="Times New Roman" w:eastAsia="黑体" w:cs="黑体"/>
          <w:sz w:val="32"/>
          <w:szCs w:val="32"/>
          <w:shd w:val="clear" w:color="auto" w:fill="FFFFFF"/>
        </w:rPr>
        <w:t>2</w:t>
      </w:r>
    </w:p>
    <w:p>
      <w:pPr>
        <w:pStyle w:val="34"/>
        <w:spacing w:line="578" w:lineRule="exact"/>
        <w:jc w:val="center"/>
        <w:rPr>
          <w:rFonts w:ascii="Times New Roman" w:hAnsi="Times New Roman" w:eastAsia="方正小标宋简体" w:cs="方正小标宋简体"/>
          <w:color w:val="auto"/>
          <w:kern w:val="2"/>
          <w:sz w:val="44"/>
          <w:szCs w:val="44"/>
          <w:lang w:val="en-US"/>
        </w:rPr>
      </w:pPr>
    </w:p>
    <w:p>
      <w:pPr>
        <w:pStyle w:val="34"/>
        <w:spacing w:line="578" w:lineRule="exact"/>
        <w:jc w:val="center"/>
        <w:rPr>
          <w:rFonts w:ascii="Times New Roman" w:hAnsi="Times New Roman" w:eastAsia="方正小标宋简体" w:cs="方正小标宋简体"/>
          <w:color w:val="auto"/>
          <w:kern w:val="2"/>
          <w:sz w:val="44"/>
          <w:szCs w:val="44"/>
          <w:lang w:val="en-US"/>
        </w:rPr>
      </w:pPr>
      <w:r>
        <w:rPr>
          <w:rFonts w:hint="eastAsia" w:ascii="Times New Roman" w:hAnsi="Times New Roman" w:eastAsia="方正小标宋简体" w:cs="方正小标宋简体"/>
          <w:color w:val="auto"/>
          <w:kern w:val="2"/>
          <w:sz w:val="44"/>
          <w:szCs w:val="44"/>
          <w:lang w:val="en-US"/>
        </w:rPr>
        <w:t>专项预算项目绩效评价报告</w:t>
      </w:r>
    </w:p>
    <w:p>
      <w:pPr>
        <w:pStyle w:val="34"/>
        <w:spacing w:line="578" w:lineRule="exact"/>
        <w:ind w:firstLine="640"/>
        <w:jc w:val="center"/>
        <w:rPr>
          <w:rFonts w:ascii="Times New Roman" w:hAnsi="Times New Roman"/>
          <w:color w:val="auto"/>
          <w:kern w:val="2"/>
          <w:sz w:val="32"/>
          <w:szCs w:val="32"/>
        </w:rPr>
      </w:pPr>
    </w:p>
    <w:p>
      <w:pPr>
        <w:adjustRightInd w:val="0"/>
        <w:snapToGrid w:val="0"/>
        <w:spacing w:line="578" w:lineRule="exact"/>
        <w:ind w:firstLine="640" w:firstLineChars="200"/>
        <w:rPr>
          <w:rFonts w:eastAsia="黑体"/>
          <w:sz w:val="32"/>
          <w:szCs w:val="32"/>
          <w:lang w:val="zh-CN"/>
        </w:rPr>
      </w:pPr>
      <w:r>
        <w:rPr>
          <w:rFonts w:hint="eastAsia" w:eastAsia="黑体"/>
          <w:sz w:val="32"/>
          <w:szCs w:val="32"/>
        </w:rPr>
        <w:t>一、</w:t>
      </w:r>
      <w:r>
        <w:rPr>
          <w:rFonts w:hint="eastAsia" w:eastAsia="黑体"/>
          <w:sz w:val="32"/>
          <w:szCs w:val="32"/>
          <w:lang w:val="zh-CN"/>
        </w:rPr>
        <w:t>项目概况</w:t>
      </w:r>
    </w:p>
    <w:p>
      <w:pPr>
        <w:widowControl/>
        <w:adjustRightInd w:val="0"/>
        <w:snapToGrid w:val="0"/>
        <w:spacing w:line="578" w:lineRule="exact"/>
        <w:ind w:firstLine="642" w:firstLineChars="200"/>
        <w:contextualSpacing/>
        <w:jc w:val="left"/>
        <w:rPr>
          <w:rFonts w:eastAsia="仿宋_GB2312" w:cs="仿宋_GB2312"/>
          <w:kern w:val="0"/>
          <w:sz w:val="32"/>
          <w:szCs w:val="32"/>
          <w:shd w:val="clear" w:color="auto" w:fill="FFFFFF"/>
          <w:lang w:val="zh-CN"/>
        </w:rPr>
      </w:pPr>
      <w:r>
        <w:rPr>
          <w:rFonts w:hint="eastAsia" w:eastAsia="楷体_GB2312"/>
          <w:b/>
          <w:sz w:val="32"/>
          <w:szCs w:val="32"/>
          <w:lang w:val="zh-CN"/>
        </w:rPr>
        <w:t>（一）设立背景及基本情况。</w:t>
      </w:r>
      <w:r>
        <w:rPr>
          <w:rFonts w:hint="eastAsia" w:eastAsia="仿宋_GB2312" w:cs="仿宋_GB2312"/>
          <w:kern w:val="0"/>
          <w:sz w:val="32"/>
          <w:szCs w:val="32"/>
        </w:rPr>
        <w:t>为展现了我市良好的城市形象，有效提升了广元城市知名度和影响力，更好传播广元天气预报信息，让全国来广旅游和经商的商旅提前掌握广元天气，为大力提升公共气象服务能力，充分发挥气象科技在广元经济社会建设，尤其是气象防灾减灾中的作用，使气象服务于民，服务于社会。经请示市政府同意后，从2008年以来，广元天视天气预报保持在中央电视台天气预报栏目中每日连续播出。通过召开培训会议，组织人员培训，开展日常装备维护保养等，保障人工影响天顺利开展，通过人工增雨、防雹作业防御干旱、冰雹等气象灾害；通过增雨作业开发空中水资源，缓解地面、地下水资源不足的矛盾，防范大气污染和有效降低森林火险等级。做好地面气象观测系统的运行维护，及时处理自动站故障，定期更新硬件设备，开展网络传输维护，确保气象观测设备运行稳定，气象数据准确可靠。为实现巩固脱贫成效与乡村振兴有效衔接，发展村产业经济，关注重点户，确保不出现返贫，通过“以购代扶”、联系销路等方式，帮助群众销售农产品，提高收入。</w:t>
      </w:r>
    </w:p>
    <w:p>
      <w:pPr>
        <w:adjustRightInd w:val="0"/>
        <w:snapToGrid w:val="0"/>
        <w:spacing w:line="578" w:lineRule="exact"/>
        <w:ind w:firstLine="642" w:firstLineChars="200"/>
        <w:rPr>
          <w:rFonts w:eastAsia="仿宋_GB2312" w:cs="仿宋_GB2312"/>
          <w:kern w:val="0"/>
          <w:sz w:val="32"/>
          <w:szCs w:val="32"/>
          <w:lang w:val="zh-CN"/>
        </w:rPr>
      </w:pPr>
      <w:r>
        <w:rPr>
          <w:rFonts w:hint="eastAsia" w:eastAsia="楷体_GB2312"/>
          <w:b/>
          <w:sz w:val="32"/>
          <w:szCs w:val="32"/>
          <w:lang w:val="zh-CN"/>
        </w:rPr>
        <w:t>（二）</w:t>
      </w:r>
      <w:r>
        <w:rPr>
          <w:rFonts w:eastAsia="楷体_GB2312"/>
          <w:b/>
          <w:sz w:val="32"/>
          <w:szCs w:val="32"/>
        </w:rPr>
        <w:t>实施目的及支持方向</w:t>
      </w:r>
      <w:r>
        <w:rPr>
          <w:rFonts w:hint="eastAsia" w:eastAsia="楷体_GB2312"/>
          <w:b/>
          <w:sz w:val="32"/>
          <w:szCs w:val="32"/>
        </w:rPr>
        <w:t>。</w:t>
      </w:r>
      <w:r>
        <w:rPr>
          <w:rFonts w:hint="eastAsia" w:eastAsia="仿宋_GB2312" w:cs="仿宋_GB2312"/>
          <w:kern w:val="0"/>
          <w:sz w:val="32"/>
          <w:szCs w:val="32"/>
        </w:rPr>
        <w:t>我单位在该项目管理中的职能为主导全市区域站正常运行、保障人工影响天气作业安全顺利开展、向广元电视台购买公共频道和新闻综合频道共2个频道的播出、全面完成乡村振兴年度帮扶工作任务</w:t>
      </w:r>
      <w:r>
        <w:rPr>
          <w:rFonts w:hint="eastAsia" w:eastAsia="仿宋_GB2312" w:cs="仿宋_GB2312"/>
          <w:kern w:val="0"/>
          <w:sz w:val="32"/>
          <w:szCs w:val="32"/>
          <w:lang w:val="zh-CN"/>
        </w:rPr>
        <w:t>。</w:t>
      </w:r>
    </w:p>
    <w:p>
      <w:pPr>
        <w:widowControl/>
        <w:adjustRightInd w:val="0"/>
        <w:snapToGrid w:val="0"/>
        <w:spacing w:line="578" w:lineRule="exact"/>
        <w:ind w:firstLine="642" w:firstLineChars="200"/>
        <w:contextualSpacing/>
        <w:jc w:val="left"/>
        <w:rPr>
          <w:rFonts w:eastAsia="仿宋_GB2312" w:cs="仿宋_GB2312"/>
          <w:kern w:val="0"/>
          <w:sz w:val="32"/>
          <w:szCs w:val="32"/>
          <w:lang w:val="zh-CN"/>
        </w:rPr>
      </w:pPr>
      <w:r>
        <w:rPr>
          <w:rFonts w:hint="eastAsia" w:eastAsia="楷体_GB2312"/>
          <w:b/>
          <w:sz w:val="32"/>
          <w:szCs w:val="32"/>
          <w:lang w:val="zh-CN"/>
        </w:rPr>
        <w:t>（三）</w:t>
      </w:r>
      <w:r>
        <w:rPr>
          <w:rFonts w:eastAsia="楷体_GB2312"/>
          <w:b/>
          <w:sz w:val="32"/>
          <w:szCs w:val="32"/>
        </w:rPr>
        <w:t>预算安排及分配管理</w:t>
      </w:r>
      <w:r>
        <w:rPr>
          <w:rFonts w:hint="eastAsia" w:eastAsia="楷体_GB2312"/>
          <w:b/>
          <w:sz w:val="32"/>
          <w:szCs w:val="32"/>
          <w:lang w:val="zh-CN"/>
        </w:rPr>
        <w:t>。</w:t>
      </w:r>
      <w:r>
        <w:rPr>
          <w:rFonts w:hint="eastAsia" w:eastAsia="仿宋_GB2312" w:cs="仿宋_GB2312"/>
          <w:kern w:val="0"/>
          <w:sz w:val="32"/>
          <w:szCs w:val="32"/>
          <w:lang w:val="zh-CN"/>
        </w:rPr>
        <w:t>项目预算安排：广元区域自动气象站运行维护经费13.88万，人工影响天气工作经费14.6万元，央视天气预报经费136万元，广元气候生态监测站建设项目57.66万元，广元电视天气预报系统项目5万元，乡村振兴专项经费5.46万元，人工影响天气资金30万；省级环境空气质量激励约束资金0.5万，人影作业30万，截止评价时点实际均已到位。</w:t>
      </w:r>
    </w:p>
    <w:p>
      <w:pPr>
        <w:adjustRightInd w:val="0"/>
        <w:snapToGrid w:val="0"/>
        <w:spacing w:line="578" w:lineRule="exact"/>
        <w:ind w:firstLine="642" w:firstLineChars="200"/>
        <w:rPr>
          <w:rFonts w:eastAsia="仿宋_GB2312" w:cs="仿宋_GB2312"/>
          <w:kern w:val="0"/>
          <w:sz w:val="32"/>
          <w:szCs w:val="32"/>
          <w:lang w:val="zh-CN"/>
        </w:rPr>
      </w:pPr>
      <w:r>
        <w:rPr>
          <w:rFonts w:hint="eastAsia" w:eastAsia="楷体_GB2312"/>
          <w:b/>
          <w:sz w:val="32"/>
          <w:szCs w:val="32"/>
          <w:lang w:val="zh-CN"/>
        </w:rPr>
        <w:t>（四）项目绩效目标设置。</w:t>
      </w:r>
      <w:r>
        <w:rPr>
          <w:rFonts w:hint="eastAsia" w:eastAsia="仿宋_GB2312" w:cs="仿宋_GB2312"/>
          <w:kern w:val="0"/>
          <w:sz w:val="32"/>
          <w:szCs w:val="32"/>
          <w:lang w:val="zh-CN"/>
        </w:rPr>
        <w:t>通过增雨作业开发空中水资源，缓解地面、地下水资源不足的矛盾，防范大气污染、抗旱增雨、森林防灭火、重大活动保障。经过与中央电视台天气预报栏目制作播出方洽谈，成功取得播放名额，签定播放合同，并按进度支付项目经费。广元天气预报全年365天在中央电视台1、4、13频道连续播出，根据我市要求同步展示广元形象图片，增加广元的知名度和影响力，同时提升了天气预报信息的覆盖面，为全国各地来广元旅游经商的客商服务。广泛发布气象预报信息，避免自然灾害，保护生态环境，降低经济损失，发展农业生产，进一步促进经济发展，为人民生产生活更好服务。地面气象观测系统开展实时监测和数据收集，通过无线传输方式将各站点气象数据汇总到资料数据库中，及时、准确、全面地收集各站点的第一手气象资料。通过数据开展气象预报和服务，为政府和相关部门提供决策依据。气象观测资料在空气污染气象条件预报预警服务和应对气候变化服务中得到有效应用，为生态环境保护、防灾减灾等提供气象保障。完成2024年度乡村振兴旺苍县梨花村帮扶任务，驻村工作队以“建强村党组织，推进强村富民，为民办事服务，提升治理水平”四项职责为纲领，在市气象局党组的引领下，从多方面开展帮扶工作。在做好党建工作的前提下，首先关注村集体经济发展，对村鱼塘、果园等产业进行谋划后续发展。同时抓好精神文明建设，提升村民获得感、幸福感，保障村民生活水平。制定帮扶计划，严格实施，定期入户排查，持续巩固拓展脱贫攻坚成果，切实做好防返贫人口监测工作。着力解决村民问题，重点关注监测户、脱贫户、特困供养户、残疾人、留守老人等困难群体。开展以购代扶工作，帮助村民销售农产品。。</w:t>
      </w:r>
    </w:p>
    <w:p>
      <w:pPr>
        <w:adjustRightInd w:val="0"/>
        <w:snapToGrid w:val="0"/>
        <w:spacing w:line="578" w:lineRule="exact"/>
        <w:ind w:firstLine="640" w:firstLineChars="200"/>
        <w:rPr>
          <w:rFonts w:eastAsia="黑体"/>
          <w:sz w:val="32"/>
          <w:szCs w:val="32"/>
        </w:rPr>
      </w:pPr>
      <w:r>
        <w:rPr>
          <w:rFonts w:hint="eastAsia" w:eastAsia="黑体"/>
          <w:sz w:val="32"/>
          <w:szCs w:val="32"/>
        </w:rPr>
        <w:t>二、评价实施</w:t>
      </w:r>
    </w:p>
    <w:p>
      <w:pPr>
        <w:spacing w:line="578" w:lineRule="exact"/>
        <w:ind w:firstLine="640"/>
        <w:rPr>
          <w:rFonts w:eastAsia="仿宋_GB2312" w:cs="仿宋_GB2312"/>
          <w:kern w:val="0"/>
          <w:sz w:val="32"/>
          <w:szCs w:val="32"/>
          <w:lang w:val="zh-CN"/>
        </w:rPr>
      </w:pPr>
      <w:r>
        <w:rPr>
          <w:rFonts w:hint="eastAsia" w:eastAsia="楷体_GB2312"/>
          <w:b/>
          <w:sz w:val="32"/>
          <w:szCs w:val="32"/>
          <w:lang w:val="zh-CN"/>
        </w:rPr>
        <w:t>（一）评价目的。</w:t>
      </w:r>
      <w:r>
        <w:rPr>
          <w:rFonts w:hint="eastAsia" w:eastAsia="仿宋_GB2312" w:cs="仿宋_GB2312"/>
          <w:kern w:val="0"/>
          <w:sz w:val="32"/>
          <w:szCs w:val="32"/>
          <w:lang w:val="zh-CN"/>
        </w:rPr>
        <w:t>对项目实施情况以及取得的成效进行梳理和盘点，评价实施项目的价值，发现存在的问题，提出改进的意见。</w:t>
      </w:r>
    </w:p>
    <w:p>
      <w:pPr>
        <w:adjustRightInd w:val="0"/>
        <w:snapToGrid w:val="0"/>
        <w:spacing w:line="578" w:lineRule="exact"/>
        <w:ind w:firstLine="642" w:firstLineChars="200"/>
        <w:rPr>
          <w:rFonts w:eastAsia="仿宋_GB2312" w:cs="仿宋_GB2312"/>
          <w:kern w:val="0"/>
          <w:sz w:val="32"/>
          <w:szCs w:val="32"/>
          <w:lang w:val="zh-CN"/>
        </w:rPr>
      </w:pPr>
      <w:r>
        <w:rPr>
          <w:rFonts w:hint="eastAsia" w:eastAsia="楷体_GB2312"/>
          <w:b/>
          <w:sz w:val="32"/>
          <w:szCs w:val="32"/>
          <w:lang w:val="zh-CN"/>
        </w:rPr>
        <w:t>（二）预设问题及评价重点。</w:t>
      </w:r>
      <w:r>
        <w:rPr>
          <w:rFonts w:hint="eastAsia" w:eastAsia="仿宋_GB2312" w:cs="仿宋_GB2312"/>
          <w:kern w:val="0"/>
          <w:sz w:val="32"/>
          <w:szCs w:val="32"/>
          <w:lang w:val="zh-CN"/>
        </w:rPr>
        <w:t>本项目实施由计财科牵头并监管，各项目实施部门具体实施。计财科对责任部门提出工作要求并督促完成，及时通报情况、交流信息，主动向分管领导、主要领导汇报工作进度。</w:t>
      </w:r>
    </w:p>
    <w:p>
      <w:pPr>
        <w:spacing w:line="578" w:lineRule="exact"/>
        <w:ind w:firstLine="640"/>
        <w:rPr>
          <w:rFonts w:eastAsia="楷体_GB2312"/>
          <w:b/>
          <w:sz w:val="32"/>
          <w:szCs w:val="32"/>
          <w:lang w:val="zh-CN"/>
        </w:rPr>
      </w:pPr>
      <w:r>
        <w:rPr>
          <w:rFonts w:hint="eastAsia" w:eastAsia="楷体_GB2312"/>
          <w:b/>
          <w:sz w:val="32"/>
          <w:szCs w:val="32"/>
          <w:lang w:val="zh-CN"/>
        </w:rPr>
        <w:t>（三）评价选点。</w:t>
      </w:r>
      <w:r>
        <w:rPr>
          <w:rFonts w:hint="eastAsia" w:eastAsia="仿宋_GB2312" w:cs="仿宋_GB2312"/>
          <w:kern w:val="0"/>
          <w:sz w:val="32"/>
          <w:szCs w:val="32"/>
          <w:lang w:val="zh-CN"/>
        </w:rPr>
        <w:t>对广元电视台天气播报经费、广元人工影响天气专项经费、省级环境空气质量激励约束资金、乡村振兴工作经费、广元气候生态监测站建设项目、央视天气预报播出经费、自动站运行维护费、人工影响天气、人影作业等9个项目都进行重点评价。</w:t>
      </w:r>
    </w:p>
    <w:p>
      <w:pPr>
        <w:spacing w:line="578" w:lineRule="exact"/>
        <w:ind w:firstLine="640"/>
        <w:rPr>
          <w:rFonts w:eastAsia="仿宋_GB2312" w:cs="仿宋_GB2312"/>
          <w:kern w:val="0"/>
          <w:sz w:val="32"/>
          <w:szCs w:val="32"/>
          <w:lang w:val="zh-CN"/>
        </w:rPr>
      </w:pPr>
      <w:r>
        <w:rPr>
          <w:rFonts w:hint="eastAsia" w:eastAsia="楷体_GB2312"/>
          <w:b/>
          <w:sz w:val="32"/>
          <w:szCs w:val="32"/>
          <w:lang w:val="zh-CN"/>
        </w:rPr>
        <w:t>（四）评价方法。</w:t>
      </w:r>
      <w:r>
        <w:rPr>
          <w:rFonts w:hint="eastAsia" w:eastAsia="仿宋_GB2312" w:cs="仿宋_GB2312"/>
          <w:kern w:val="0"/>
          <w:sz w:val="32"/>
          <w:szCs w:val="32"/>
          <w:lang w:val="zh-CN"/>
        </w:rPr>
        <w:t>单位自评法。</w:t>
      </w:r>
    </w:p>
    <w:p>
      <w:pPr>
        <w:spacing w:line="578" w:lineRule="exact"/>
        <w:ind w:firstLine="640"/>
        <w:rPr>
          <w:rFonts w:eastAsia="仿宋_GB2312"/>
          <w:bCs/>
        </w:rPr>
      </w:pPr>
      <w:r>
        <w:rPr>
          <w:rFonts w:hint="eastAsia" w:eastAsia="楷体_GB2312"/>
          <w:b/>
          <w:sz w:val="32"/>
          <w:szCs w:val="32"/>
          <w:lang w:val="zh-CN"/>
        </w:rPr>
        <w:t>（五）评价组织。</w:t>
      </w:r>
      <w:r>
        <w:rPr>
          <w:rFonts w:hint="eastAsia" w:eastAsia="仿宋_GB2312" w:cs="仿宋_GB2312"/>
          <w:kern w:val="0"/>
          <w:sz w:val="32"/>
          <w:szCs w:val="32"/>
          <w:lang w:val="zh-CN"/>
        </w:rPr>
        <w:t>计财科监督，业务科室自评。</w:t>
      </w:r>
    </w:p>
    <w:p>
      <w:pPr>
        <w:adjustRightInd w:val="0"/>
        <w:snapToGrid w:val="0"/>
        <w:spacing w:line="578" w:lineRule="exact"/>
        <w:ind w:firstLine="640" w:firstLineChars="200"/>
        <w:rPr>
          <w:sz w:val="32"/>
          <w:szCs w:val="32"/>
          <w:lang w:val="zh-CN"/>
        </w:rPr>
      </w:pPr>
      <w:r>
        <w:rPr>
          <w:rFonts w:hint="eastAsia" w:eastAsia="黑体"/>
          <w:sz w:val="32"/>
          <w:szCs w:val="32"/>
        </w:rPr>
        <w:t>三、绩效分析</w:t>
      </w:r>
      <w:r>
        <w:rPr>
          <w:rFonts w:hint="eastAsia"/>
          <w:sz w:val="32"/>
          <w:szCs w:val="32"/>
          <w:lang w:val="zh-CN"/>
        </w:rPr>
        <w:tab/>
      </w:r>
    </w:p>
    <w:p>
      <w:pPr>
        <w:spacing w:line="578" w:lineRule="exact"/>
        <w:ind w:firstLine="640"/>
        <w:rPr>
          <w:rFonts w:eastAsia="楷体_GB2312"/>
          <w:b/>
          <w:sz w:val="32"/>
          <w:szCs w:val="32"/>
        </w:rPr>
      </w:pPr>
      <w:r>
        <w:rPr>
          <w:rFonts w:hint="eastAsia" w:eastAsia="楷体_GB2312"/>
          <w:b/>
          <w:sz w:val="32"/>
          <w:szCs w:val="32"/>
          <w:lang w:val="zh-CN"/>
        </w:rPr>
        <w:t>（一）</w:t>
      </w:r>
      <w:r>
        <w:rPr>
          <w:rFonts w:hint="eastAsia" w:eastAsia="楷体_GB2312"/>
          <w:b/>
          <w:sz w:val="32"/>
          <w:szCs w:val="32"/>
        </w:rPr>
        <w:t>通用指标</w:t>
      </w:r>
      <w:r>
        <w:rPr>
          <w:rFonts w:eastAsia="楷体_GB2312"/>
          <w:b/>
          <w:bCs/>
          <w:color w:val="000000"/>
          <w:kern w:val="0"/>
          <w:sz w:val="32"/>
          <w:szCs w:val="32"/>
          <w:shd w:val="clear" w:color="auto" w:fill="FFFFFF"/>
          <w:lang w:val="zh-CN"/>
        </w:rPr>
        <w:t>绩效分析。</w:t>
      </w:r>
    </w:p>
    <w:p>
      <w:pPr>
        <w:spacing w:line="578" w:lineRule="exact"/>
        <w:ind w:firstLine="640"/>
        <w:rPr>
          <w:rFonts w:eastAsia="仿宋_GB2312" w:cs="仿宋_GB2312"/>
          <w:kern w:val="0"/>
          <w:sz w:val="32"/>
          <w:szCs w:val="32"/>
          <w:lang w:val="zh-CN"/>
        </w:rPr>
      </w:pPr>
      <w:r>
        <w:rPr>
          <w:rFonts w:hint="eastAsia" w:eastAsia="仿宋_GB2312" w:cs="仿宋_GB2312"/>
          <w:kern w:val="0"/>
          <w:sz w:val="32"/>
          <w:szCs w:val="32"/>
        </w:rPr>
        <w:t>1.</w:t>
      </w:r>
      <w:r>
        <w:rPr>
          <w:rFonts w:hint="eastAsia" w:eastAsia="仿宋_GB2312" w:cs="仿宋_GB2312"/>
          <w:kern w:val="0"/>
          <w:sz w:val="32"/>
          <w:szCs w:val="32"/>
          <w:lang w:val="zh-CN"/>
        </w:rPr>
        <w:t>项目决策。项目经市气象局请示，市政府同意后进行实施。项目实施过程中资金支付等重要环节皆通过市局党组会议研究决策。</w:t>
      </w:r>
    </w:p>
    <w:p>
      <w:pPr>
        <w:spacing w:line="578" w:lineRule="exact"/>
        <w:ind w:firstLine="640"/>
        <w:rPr>
          <w:rFonts w:eastAsia="仿宋_GB2312" w:cs="仿宋_GB2312"/>
          <w:kern w:val="0"/>
          <w:sz w:val="32"/>
          <w:szCs w:val="32"/>
          <w:lang w:val="zh-CN"/>
        </w:rPr>
      </w:pPr>
      <w:r>
        <w:rPr>
          <w:rFonts w:hint="eastAsia" w:eastAsia="仿宋_GB2312" w:cs="仿宋_GB2312"/>
          <w:kern w:val="0"/>
          <w:sz w:val="32"/>
          <w:szCs w:val="32"/>
        </w:rPr>
        <w:t>2.</w:t>
      </w:r>
      <w:r>
        <w:rPr>
          <w:rFonts w:hint="eastAsia" w:eastAsia="仿宋_GB2312" w:cs="仿宋_GB2312"/>
          <w:kern w:val="0"/>
          <w:sz w:val="32"/>
          <w:szCs w:val="32"/>
          <w:lang w:val="zh-CN"/>
        </w:rPr>
        <w:t>项目管理。本单位按照相关法律法规及项目管理制度等实施项目，我单位形成了主要领导主抓、分管领导具体抓、各实施单位抓落实的工作格局。根据具体工作要求进行阶段性自查，发现问题及时整改。</w:t>
      </w:r>
    </w:p>
    <w:p>
      <w:pPr>
        <w:spacing w:line="578" w:lineRule="exact"/>
        <w:ind w:firstLine="640"/>
        <w:rPr>
          <w:rFonts w:eastAsia="仿宋_GB2312" w:cs="仿宋_GB2312"/>
          <w:kern w:val="0"/>
          <w:sz w:val="32"/>
          <w:szCs w:val="32"/>
          <w:lang w:val="zh-CN"/>
        </w:rPr>
      </w:pPr>
      <w:r>
        <w:rPr>
          <w:rFonts w:hint="eastAsia" w:eastAsia="仿宋_GB2312" w:cs="仿宋_GB2312"/>
          <w:kern w:val="0"/>
          <w:sz w:val="32"/>
          <w:szCs w:val="32"/>
        </w:rPr>
        <w:t>3.项目实施。</w:t>
      </w:r>
      <w:r>
        <w:rPr>
          <w:rFonts w:hint="eastAsia" w:eastAsia="仿宋_GB2312" w:cs="仿宋_GB2312"/>
          <w:kern w:val="0"/>
          <w:sz w:val="32"/>
          <w:szCs w:val="32"/>
          <w:lang w:val="zh-CN"/>
        </w:rPr>
        <w:t>项目严格按照预算执行进度节点进行资金支付，截止评价时点，除广元气候生态监测站、人工影响天气两个项目，其他项目已完成制定的目标任务。</w:t>
      </w:r>
    </w:p>
    <w:p>
      <w:pPr>
        <w:spacing w:line="578" w:lineRule="exact"/>
        <w:ind w:firstLine="640"/>
        <w:rPr>
          <w:rFonts w:eastAsia="仿宋_GB2312" w:cs="仿宋_GB2312"/>
          <w:kern w:val="0"/>
          <w:sz w:val="32"/>
          <w:szCs w:val="32"/>
        </w:rPr>
      </w:pPr>
      <w:r>
        <w:rPr>
          <w:rFonts w:hint="eastAsia" w:eastAsia="仿宋_GB2312" w:cs="仿宋_GB2312"/>
          <w:kern w:val="0"/>
          <w:sz w:val="32"/>
          <w:szCs w:val="32"/>
        </w:rPr>
        <w:t>4.项目结果。自动站运行维护费：该项目自评得分100分，现已顺利完成，无资金结余。能够按照时间进度安排进行实施，设备的采购流程满足相应管理制度要求，设备的质量、安装和调试均符合气象业务需要，项目成本在控制范围内。按照气象业务规范的有关要求，及时开展设备系统的维护维修。总体来说，该项目的实施能够满足气象监测、预报和服务的需要，对气象观测数据的及时采集、上传和提高数据可用率均发挥了积极作用，同时也对天气预报现代化水平和准确率起到了促进作用。2024年地面气象观测站维护维修数量为100套，地面气象观测站维修合格率为100%，地面气象观测站故障修复时间小于3小时，均保持稳中有进的态势。</w:t>
      </w:r>
    </w:p>
    <w:p>
      <w:pPr>
        <w:spacing w:line="578" w:lineRule="exact"/>
        <w:ind w:firstLine="640"/>
        <w:rPr>
          <w:rFonts w:eastAsia="仿宋_GB2312" w:cs="仿宋_GB2312"/>
          <w:kern w:val="0"/>
          <w:sz w:val="32"/>
          <w:szCs w:val="32"/>
        </w:rPr>
      </w:pPr>
      <w:r>
        <w:rPr>
          <w:rFonts w:hint="eastAsia" w:eastAsia="仿宋_GB2312" w:cs="仿宋_GB2312"/>
          <w:kern w:val="0"/>
          <w:sz w:val="32"/>
          <w:szCs w:val="32"/>
        </w:rPr>
        <w:t>广元电视天气预报系统项目：该项目自评得分100分，现已顺利完成，无资金结余。丰富了节目内容，提高了节目质量水平，更好地为广元地方经济、人民的日常生活服务。在广元电视台公共频道和旅游频道共2个频道2个播出时段进行播出，共4个时段；正常播放天数366天；2024年1月至2023年12月完成节目制作播出为，成本5万元。</w:t>
      </w:r>
    </w:p>
    <w:p>
      <w:pPr>
        <w:spacing w:line="578" w:lineRule="exact"/>
        <w:ind w:firstLine="640"/>
        <w:rPr>
          <w:rFonts w:eastAsia="仿宋_GB2312" w:cs="仿宋_GB2312"/>
          <w:kern w:val="0"/>
          <w:sz w:val="32"/>
          <w:szCs w:val="32"/>
        </w:rPr>
      </w:pPr>
      <w:r>
        <w:rPr>
          <w:rFonts w:hint="eastAsia" w:eastAsia="仿宋_GB2312" w:cs="仿宋_GB2312"/>
          <w:kern w:val="0"/>
          <w:sz w:val="32"/>
          <w:szCs w:val="32"/>
        </w:rPr>
        <w:t>央视天气预报播出经费：该项目自评得分100分，每天通过央视1套早/午间、央视4套午间等4个央视平台的天气预报栏目，开展广元城市宣传，按时制作2024年度每日的广元天气预报，预报数据及时提交，在央视天气预报栏目播出2024年365天广元天气预报。广元已通过央视平台高频次开展城市宣传15年了，许多人持续关注，四川多个市州也计划通过该平台开展城市宣传，但广元因为连续多年与央视合作，有续签合约的优先权，通过2024年继续播出，有利于巩固在央视宣传的阵地。</w:t>
      </w:r>
    </w:p>
    <w:p>
      <w:pPr>
        <w:spacing w:line="578" w:lineRule="exact"/>
        <w:ind w:firstLine="640"/>
        <w:rPr>
          <w:rFonts w:eastAsia="仿宋_GB2312" w:cs="仿宋_GB2312"/>
          <w:kern w:val="0"/>
          <w:sz w:val="32"/>
          <w:szCs w:val="32"/>
        </w:rPr>
      </w:pPr>
      <w:r>
        <w:rPr>
          <w:rFonts w:hint="eastAsia" w:eastAsia="仿宋_GB2312" w:cs="仿宋_GB2312"/>
          <w:kern w:val="0"/>
          <w:sz w:val="32"/>
          <w:szCs w:val="32"/>
        </w:rPr>
        <w:t>人工影响天气专项经费：该项目自评得分100分，按时完成了2024年人工影响天气业务，主要包括购买作业人员保险、开展高炮、火箭年检与维护、移动作业点标准化建设和人影地面焰炉设备日常巡检工作等。</w:t>
      </w:r>
    </w:p>
    <w:p>
      <w:pPr>
        <w:spacing w:line="578" w:lineRule="exact"/>
        <w:ind w:firstLine="640"/>
        <w:rPr>
          <w:rFonts w:eastAsia="仿宋_GB2312" w:cs="仿宋_GB2312"/>
          <w:kern w:val="0"/>
          <w:sz w:val="32"/>
          <w:szCs w:val="32"/>
        </w:rPr>
      </w:pPr>
      <w:r>
        <w:rPr>
          <w:rFonts w:hint="eastAsia" w:eastAsia="仿宋_GB2312" w:cs="仿宋_GB2312"/>
          <w:kern w:val="0"/>
          <w:sz w:val="32"/>
          <w:szCs w:val="32"/>
        </w:rPr>
        <w:t>广元气候生态监测站：该项目自评得分40分，截止项目绩效自评时点，项目已签订合同，完成政府集中采购，完成初步选址，但目前市林业局还正在进行选址用地占用湿地公园和森林公园的环境影响评估，项目建设还未完成，预计2025年4月底完成。</w:t>
      </w:r>
    </w:p>
    <w:p>
      <w:pPr>
        <w:spacing w:line="578" w:lineRule="exact"/>
        <w:ind w:firstLine="640"/>
        <w:rPr>
          <w:rFonts w:eastAsia="仿宋_GB2312" w:cs="仿宋_GB2312"/>
          <w:kern w:val="0"/>
          <w:sz w:val="32"/>
          <w:szCs w:val="32"/>
        </w:rPr>
      </w:pPr>
      <w:r>
        <w:rPr>
          <w:rFonts w:hint="eastAsia" w:eastAsia="仿宋_GB2312" w:cs="仿宋_GB2312"/>
          <w:kern w:val="0"/>
          <w:sz w:val="32"/>
          <w:szCs w:val="32"/>
        </w:rPr>
        <w:t>乡村振兴专项经费：该项目自评得分100分，市气象局派出3名同志全脱产在旺苍县东河镇梨花村开展驻村帮扶工作，积极配合协助村两委开展工作，积极谋划村集体经济产业发展，为当地群众谋划就地产业，引导外出务工增收；驻村工作队以“建强村党组织，推进强村富民，为民办事服务，提升治理水平”四项职责为纲领，在市气象局党组的引领下，从多方面开展帮扶工作。在做好党建工作的前提下，首先关注村集体经济发展，对村鱼塘、果园等产业进行谋划后续发展。同时抓好精神文明建设，提升村民获得感、幸福感，保障村民生活水平。制定帮扶计划，严格实施，定期入户排查，持续</w:t>
      </w:r>
      <w:r>
        <w:rPr>
          <w:rFonts w:hint="eastAsia" w:eastAsia="仿宋_GB2312" w:cs="仿宋_GB2312"/>
          <w:kern w:val="0"/>
          <w:sz w:val="32"/>
          <w:szCs w:val="32"/>
          <w:lang w:eastAsia="zh-CN"/>
        </w:rPr>
        <w:t>巩固拓展脱贫攻坚成果</w:t>
      </w:r>
      <w:r>
        <w:rPr>
          <w:rFonts w:hint="eastAsia" w:eastAsia="仿宋_GB2312" w:cs="仿宋_GB2312"/>
          <w:kern w:val="0"/>
          <w:sz w:val="32"/>
          <w:szCs w:val="32"/>
        </w:rPr>
        <w:t>，切实做好防返贫人口监测工作。着力解决村民问题，重点关注监测户、脱贫户、特困供养户、残疾人、留守老人等困难群体。开展以购代扶工作，帮助村民销售农产品。</w:t>
      </w:r>
    </w:p>
    <w:p>
      <w:pPr>
        <w:spacing w:line="578" w:lineRule="exact"/>
        <w:ind w:firstLine="640"/>
        <w:rPr>
          <w:rFonts w:eastAsia="仿宋_GB2312" w:cs="仿宋_GB2312"/>
          <w:kern w:val="0"/>
          <w:sz w:val="32"/>
          <w:szCs w:val="32"/>
        </w:rPr>
      </w:pPr>
      <w:r>
        <w:rPr>
          <w:rFonts w:hint="eastAsia" w:eastAsia="仿宋_GB2312" w:cs="仿宋_GB2312"/>
          <w:kern w:val="0"/>
          <w:sz w:val="32"/>
          <w:szCs w:val="32"/>
        </w:rPr>
        <w:t>省级环境空气质量激励约束资金：根据2023省级环境空气质量激励约束资金规定，此项目编报了立项申报方案，申报项目资金30万元。，结转0.5万元至2024年。项目资金用于广元市地面碘化银焰炉建设、购买焰条、培训会议召开、户外作业装备购买等，通过增雨作业开发空中水资源，缓解地面、地下水资源不足的矛盾，防范大气污染。</w:t>
      </w:r>
    </w:p>
    <w:p>
      <w:pPr>
        <w:spacing w:line="578" w:lineRule="exact"/>
        <w:ind w:firstLine="640"/>
        <w:rPr>
          <w:rFonts w:eastAsia="仿宋_GB2312" w:cs="仿宋_GB2312"/>
          <w:kern w:val="0"/>
          <w:sz w:val="32"/>
          <w:szCs w:val="32"/>
        </w:rPr>
      </w:pPr>
      <w:r>
        <w:rPr>
          <w:rFonts w:hint="eastAsia" w:eastAsia="仿宋_GB2312" w:cs="仿宋_GB2312"/>
          <w:kern w:val="0"/>
          <w:sz w:val="32"/>
          <w:szCs w:val="32"/>
        </w:rPr>
        <w:t>人影作业：30万元专项资金于2024年已全部到位，已执行29.98万元，资金执行率为99.93%，剩余的0.02万元已由财政局收回。地面碘化银焰条277根已全部采购并投入使用；野外应急防雨LED灯具及雨具等作业装备8套已采购并在野外作业进行使用；人影指挥平台高清显示屏1套已建设完成并投入使用；地面焰炉设备日常巡检维护4次已完成；地面焰炉设备年检1次已完成；全年地面碘化银焰炉作业22次已全部完成。</w:t>
      </w:r>
    </w:p>
    <w:p>
      <w:pPr>
        <w:spacing w:line="578" w:lineRule="exact"/>
        <w:ind w:firstLine="640"/>
        <w:rPr>
          <w:rFonts w:hint="eastAsia" w:eastAsia="仿宋_GB2312" w:cs="仿宋_GB2312"/>
          <w:kern w:val="0"/>
          <w:sz w:val="32"/>
          <w:szCs w:val="32"/>
        </w:rPr>
      </w:pPr>
      <w:r>
        <w:rPr>
          <w:rFonts w:hint="eastAsia" w:eastAsia="仿宋_GB2312" w:cs="仿宋_GB2312"/>
          <w:kern w:val="0"/>
          <w:sz w:val="32"/>
          <w:szCs w:val="32"/>
        </w:rPr>
        <w:t>人工影响天气：根据广元市地方财政下达的转移支付预算和区域绩效目标任务，广元市气象局对30万元资金进行了合理安排，专项用于开展飞机增雨作业1次和购买10套人影户外作业摄像装置。该资金已及时分解下达，并明确了绩效目标，确保资金使用效益最大化。</w:t>
      </w:r>
    </w:p>
    <w:p>
      <w:pPr>
        <w:spacing w:line="578" w:lineRule="exact"/>
        <w:ind w:firstLine="640"/>
        <w:rPr>
          <w:rFonts w:eastAsia="仿宋_GB2312" w:cs="仿宋_GB2312"/>
          <w:kern w:val="0"/>
          <w:sz w:val="32"/>
          <w:szCs w:val="32"/>
          <w:lang w:val="zh-CN"/>
        </w:rPr>
      </w:pPr>
      <w:r>
        <w:rPr>
          <w:rFonts w:hint="eastAsia" w:eastAsia="楷体_GB2312"/>
          <w:b/>
          <w:sz w:val="32"/>
          <w:szCs w:val="32"/>
          <w:lang w:val="zh-CN"/>
        </w:rPr>
        <w:t>（二）</w:t>
      </w:r>
      <w:r>
        <w:rPr>
          <w:rFonts w:hint="eastAsia" w:eastAsia="楷体_GB2312"/>
          <w:b/>
          <w:sz w:val="32"/>
          <w:szCs w:val="32"/>
        </w:rPr>
        <w:t>专用指标</w:t>
      </w:r>
      <w:r>
        <w:rPr>
          <w:rFonts w:eastAsia="楷体_GB2312"/>
          <w:b/>
          <w:bCs/>
          <w:color w:val="000000"/>
          <w:kern w:val="0"/>
          <w:sz w:val="32"/>
          <w:szCs w:val="32"/>
          <w:shd w:val="clear" w:color="auto" w:fill="FFFFFF"/>
          <w:lang w:val="zh-CN"/>
        </w:rPr>
        <w:t>绩效分析。</w:t>
      </w:r>
    </w:p>
    <w:p>
      <w:pPr>
        <w:spacing w:line="578" w:lineRule="exact"/>
        <w:ind w:firstLine="640"/>
        <w:rPr>
          <w:rFonts w:eastAsia="仿宋_GB2312" w:cs="仿宋_GB2312"/>
          <w:kern w:val="0"/>
          <w:sz w:val="32"/>
          <w:szCs w:val="32"/>
          <w:lang w:val="zh-CN"/>
        </w:rPr>
      </w:pPr>
      <w:r>
        <w:rPr>
          <w:rFonts w:hint="eastAsia" w:eastAsia="仿宋_GB2312" w:cs="仿宋_GB2312"/>
          <w:kern w:val="0"/>
          <w:sz w:val="32"/>
          <w:szCs w:val="32"/>
          <w:lang w:val="zh-CN"/>
        </w:rPr>
        <w:t>无。</w:t>
      </w:r>
    </w:p>
    <w:p>
      <w:pPr>
        <w:spacing w:line="578" w:lineRule="exact"/>
        <w:ind w:firstLine="640"/>
        <w:rPr>
          <w:rFonts w:eastAsia="仿宋_GB2312" w:cs="仿宋_GB2312"/>
          <w:kern w:val="0"/>
          <w:sz w:val="32"/>
          <w:szCs w:val="32"/>
          <w:lang w:val="zh-CN"/>
        </w:rPr>
      </w:pPr>
      <w:r>
        <w:rPr>
          <w:rFonts w:hint="eastAsia" w:eastAsia="楷体_GB2312"/>
          <w:b/>
          <w:sz w:val="32"/>
          <w:szCs w:val="32"/>
          <w:lang w:val="zh-CN"/>
        </w:rPr>
        <w:t>（三）</w:t>
      </w:r>
      <w:r>
        <w:rPr>
          <w:rFonts w:hint="eastAsia" w:eastAsia="楷体_GB2312"/>
          <w:b/>
          <w:sz w:val="32"/>
          <w:szCs w:val="32"/>
        </w:rPr>
        <w:t>个性指标</w:t>
      </w:r>
      <w:r>
        <w:rPr>
          <w:rFonts w:eastAsia="楷体_GB2312"/>
          <w:b/>
          <w:bCs/>
          <w:color w:val="000000"/>
          <w:kern w:val="0"/>
          <w:sz w:val="32"/>
          <w:szCs w:val="32"/>
          <w:shd w:val="clear" w:color="auto" w:fill="FFFFFF"/>
          <w:lang w:val="zh-CN"/>
        </w:rPr>
        <w:t>绩效分析。</w:t>
      </w:r>
    </w:p>
    <w:p>
      <w:pPr>
        <w:spacing w:line="578" w:lineRule="exact"/>
        <w:ind w:firstLine="640"/>
        <w:rPr>
          <w:rFonts w:eastAsia="仿宋_GB2312" w:cs="仿宋_GB2312"/>
          <w:kern w:val="0"/>
          <w:sz w:val="32"/>
          <w:szCs w:val="32"/>
          <w:lang w:val="zh-CN"/>
        </w:rPr>
      </w:pPr>
      <w:r>
        <w:rPr>
          <w:rFonts w:hint="eastAsia" w:eastAsia="仿宋_GB2312" w:cs="仿宋_GB2312"/>
          <w:kern w:val="0"/>
          <w:sz w:val="32"/>
          <w:szCs w:val="32"/>
          <w:lang w:val="zh-CN"/>
        </w:rPr>
        <w:t>无。</w:t>
      </w:r>
    </w:p>
    <w:p>
      <w:pPr>
        <w:spacing w:line="578" w:lineRule="exact"/>
        <w:ind w:firstLine="640"/>
        <w:rPr>
          <w:rFonts w:ascii="黑体" w:hAnsi="黑体" w:eastAsia="黑体" w:cs="黑体"/>
          <w:kern w:val="0"/>
          <w:sz w:val="32"/>
          <w:szCs w:val="32"/>
        </w:rPr>
      </w:pPr>
      <w:r>
        <w:rPr>
          <w:rFonts w:hint="eastAsia" w:ascii="黑体" w:hAnsi="黑体" w:eastAsia="黑体" w:cs="黑体"/>
          <w:kern w:val="0"/>
          <w:sz w:val="32"/>
          <w:szCs w:val="32"/>
        </w:rPr>
        <w:t>四、评价结论</w:t>
      </w:r>
    </w:p>
    <w:p>
      <w:pPr>
        <w:spacing w:line="578" w:lineRule="exact"/>
        <w:ind w:firstLine="640"/>
        <w:rPr>
          <w:rFonts w:eastAsia="仿宋_GB2312" w:cs="仿宋_GB2312"/>
          <w:kern w:val="0"/>
          <w:sz w:val="32"/>
          <w:szCs w:val="32"/>
        </w:rPr>
      </w:pPr>
      <w:r>
        <w:rPr>
          <w:rFonts w:hint="eastAsia" w:eastAsia="仿宋_GB2312" w:cs="仿宋_GB2312"/>
          <w:kern w:val="0"/>
          <w:sz w:val="32"/>
          <w:szCs w:val="32"/>
        </w:rPr>
        <w:t>2024年各项目的实施，我单位取得了诸多成果，积累了许多经验，全面完成了2024年工作计划任务，2024年各项目的实施在气象事业的发展中起到了重要作用</w:t>
      </w:r>
      <w:r>
        <w:rPr>
          <w:rFonts w:hint="eastAsia" w:eastAsia="仿宋_GB2312" w:cs="仿宋_GB2312"/>
          <w:kern w:val="0"/>
          <w:sz w:val="32"/>
          <w:szCs w:val="32"/>
          <w:lang w:val="zh-CN"/>
        </w:rPr>
        <w:t>。</w:t>
      </w:r>
    </w:p>
    <w:p>
      <w:pPr>
        <w:spacing w:line="578" w:lineRule="exact"/>
        <w:ind w:firstLine="640"/>
        <w:rPr>
          <w:rFonts w:ascii="黑体" w:hAnsi="黑体" w:eastAsia="黑体" w:cs="黑体"/>
          <w:kern w:val="0"/>
          <w:sz w:val="32"/>
          <w:szCs w:val="32"/>
        </w:rPr>
      </w:pPr>
      <w:r>
        <w:rPr>
          <w:rFonts w:hint="eastAsia" w:ascii="黑体" w:hAnsi="黑体" w:eastAsia="黑体" w:cs="黑体"/>
          <w:kern w:val="0"/>
          <w:sz w:val="32"/>
          <w:szCs w:val="32"/>
        </w:rPr>
        <w:t>五、存在主要问题</w:t>
      </w:r>
    </w:p>
    <w:p>
      <w:pPr>
        <w:spacing w:line="578" w:lineRule="exact"/>
        <w:ind w:firstLine="640"/>
        <w:rPr>
          <w:rFonts w:eastAsia="仿宋_GB2312" w:cs="仿宋_GB2312"/>
          <w:kern w:val="0"/>
          <w:sz w:val="32"/>
          <w:szCs w:val="32"/>
        </w:rPr>
      </w:pPr>
      <w:r>
        <w:rPr>
          <w:rFonts w:hint="eastAsia" w:eastAsia="仿宋_GB2312" w:cs="仿宋_GB2312"/>
          <w:kern w:val="0"/>
          <w:sz w:val="32"/>
          <w:szCs w:val="32"/>
        </w:rPr>
        <w:t>无。</w:t>
      </w:r>
    </w:p>
    <w:p>
      <w:pPr>
        <w:spacing w:line="578" w:lineRule="exact"/>
        <w:ind w:firstLine="640"/>
        <w:rPr>
          <w:rFonts w:ascii="黑体" w:hAnsi="黑体" w:eastAsia="黑体" w:cs="黑体"/>
          <w:kern w:val="0"/>
          <w:sz w:val="32"/>
          <w:szCs w:val="32"/>
          <w:lang w:val="zh-CN"/>
        </w:rPr>
      </w:pPr>
      <w:r>
        <w:rPr>
          <w:rFonts w:hint="eastAsia" w:ascii="黑体" w:hAnsi="黑体" w:eastAsia="黑体" w:cs="黑体"/>
          <w:kern w:val="0"/>
          <w:sz w:val="32"/>
          <w:szCs w:val="32"/>
          <w:lang w:val="zh-CN"/>
        </w:rPr>
        <w:t>六、改进建议</w:t>
      </w:r>
    </w:p>
    <w:p>
      <w:pPr>
        <w:spacing w:line="578" w:lineRule="exact"/>
        <w:ind w:firstLine="640"/>
        <w:rPr>
          <w:rFonts w:eastAsia="仿宋_GB2312" w:cs="仿宋_GB2312"/>
          <w:kern w:val="0"/>
          <w:sz w:val="32"/>
          <w:szCs w:val="32"/>
        </w:rPr>
      </w:pPr>
      <w:r>
        <w:rPr>
          <w:rFonts w:eastAsia="仿宋_GB2312" w:cs="仿宋_GB2312"/>
          <w:kern w:val="0"/>
          <w:sz w:val="32"/>
          <w:szCs w:val="32"/>
        </w:rPr>
        <w:t>无。</w:t>
      </w:r>
    </w:p>
    <w:p>
      <w:pPr>
        <w:spacing w:line="578" w:lineRule="exact"/>
        <w:ind w:firstLine="640"/>
        <w:rPr>
          <w:rFonts w:eastAsia="仿宋_GB2312" w:cs="仿宋_GB2312"/>
          <w:kern w:val="0"/>
          <w:sz w:val="32"/>
          <w:szCs w:val="32"/>
        </w:rPr>
      </w:pPr>
    </w:p>
    <w:p>
      <w:pPr>
        <w:spacing w:line="578" w:lineRule="exact"/>
        <w:ind w:firstLine="640"/>
        <w:rPr>
          <w:rFonts w:eastAsia="仿宋_GB2312" w:cs="仿宋_GB2312"/>
          <w:kern w:val="0"/>
          <w:sz w:val="32"/>
          <w:szCs w:val="32"/>
        </w:rPr>
      </w:pPr>
    </w:p>
    <w:p>
      <w:pPr>
        <w:spacing w:line="578" w:lineRule="exact"/>
        <w:ind w:firstLine="640"/>
        <w:rPr>
          <w:rFonts w:eastAsia="仿宋_GB2312" w:cs="仿宋_GB2312"/>
          <w:kern w:val="0"/>
          <w:sz w:val="32"/>
          <w:szCs w:val="32"/>
        </w:rPr>
      </w:pPr>
      <w:bookmarkStart w:id="65" w:name="_Toc15396618"/>
      <w:r>
        <w:rPr>
          <w:rFonts w:hint="eastAsia" w:eastAsia="仿宋_GB2312" w:cs="仿宋_GB2312"/>
          <w:kern w:val="0"/>
          <w:sz w:val="32"/>
          <w:szCs w:val="32"/>
        </w:rPr>
        <w:br w:type="page"/>
      </w:r>
    </w:p>
    <w:p>
      <w:pPr>
        <w:widowControl/>
        <w:jc w:val="center"/>
        <w:outlineLvl w:val="0"/>
        <w:rPr>
          <w:rFonts w:eastAsia="仿宋"/>
        </w:rPr>
      </w:pPr>
      <w:bookmarkStart w:id="66" w:name="_Toc208479429"/>
      <w:r>
        <w:rPr>
          <w:rFonts w:hint="eastAsia" w:eastAsia="黑体"/>
          <w:sz w:val="44"/>
          <w:szCs w:val="44"/>
        </w:rPr>
        <w:t>第</w:t>
      </w:r>
      <w:r>
        <w:rPr>
          <w:rStyle w:val="19"/>
          <w:rFonts w:hint="eastAsia" w:eastAsia="黑体"/>
          <w:b w:val="0"/>
        </w:rPr>
        <w:t>五部分 附表</w:t>
      </w:r>
      <w:bookmarkEnd w:id="62"/>
      <w:bookmarkEnd w:id="65"/>
      <w:bookmarkEnd w:id="66"/>
      <w:bookmarkStart w:id="67" w:name="_Toc15396619"/>
    </w:p>
    <w:p>
      <w:pPr>
        <w:pStyle w:val="14"/>
        <w:adjustRightInd w:val="0"/>
        <w:snapToGrid w:val="0"/>
        <w:spacing w:line="560" w:lineRule="exact"/>
        <w:jc w:val="left"/>
        <w:rPr>
          <w:rFonts w:eastAsia="仿宋_GB2312" w:cs="仿宋_GB2312"/>
          <w:sz w:val="32"/>
          <w:szCs w:val="32"/>
        </w:rPr>
      </w:pPr>
    </w:p>
    <w:p>
      <w:pPr>
        <w:pStyle w:val="14"/>
        <w:adjustRightInd w:val="0"/>
        <w:snapToGrid w:val="0"/>
        <w:spacing w:line="560" w:lineRule="exact"/>
        <w:jc w:val="left"/>
        <w:outlineLvl w:val="1"/>
        <w:rPr>
          <w:rFonts w:eastAsia="仿宋_GB2312" w:cs="仿宋_GB2312"/>
          <w:sz w:val="32"/>
          <w:szCs w:val="32"/>
        </w:rPr>
      </w:pPr>
      <w:bookmarkStart w:id="68" w:name="_Toc208479430"/>
      <w:r>
        <w:rPr>
          <w:rFonts w:hint="eastAsia" w:eastAsia="仿宋_GB2312" w:cs="仿宋_GB2312"/>
          <w:sz w:val="32"/>
          <w:szCs w:val="32"/>
        </w:rPr>
        <w:t>一、收入支出决算总表</w:t>
      </w:r>
      <w:bookmarkEnd w:id="67"/>
      <w:bookmarkEnd w:id="68"/>
    </w:p>
    <w:p>
      <w:pPr>
        <w:pStyle w:val="14"/>
        <w:adjustRightInd w:val="0"/>
        <w:snapToGrid w:val="0"/>
        <w:spacing w:line="560" w:lineRule="exact"/>
        <w:jc w:val="left"/>
        <w:outlineLvl w:val="1"/>
        <w:rPr>
          <w:rFonts w:eastAsia="仿宋_GB2312" w:cs="仿宋_GB2312"/>
          <w:sz w:val="32"/>
          <w:szCs w:val="32"/>
        </w:rPr>
      </w:pPr>
      <w:bookmarkStart w:id="69" w:name="_Toc15396620"/>
      <w:bookmarkStart w:id="70" w:name="_Toc208479431"/>
      <w:r>
        <w:rPr>
          <w:rFonts w:hint="eastAsia" w:eastAsia="仿宋_GB2312" w:cs="仿宋_GB2312"/>
          <w:sz w:val="32"/>
          <w:szCs w:val="32"/>
        </w:rPr>
        <w:t>二、收入决算表</w:t>
      </w:r>
      <w:bookmarkEnd w:id="69"/>
      <w:bookmarkEnd w:id="70"/>
    </w:p>
    <w:p>
      <w:pPr>
        <w:pStyle w:val="14"/>
        <w:adjustRightInd w:val="0"/>
        <w:snapToGrid w:val="0"/>
        <w:spacing w:line="560" w:lineRule="exact"/>
        <w:jc w:val="left"/>
        <w:outlineLvl w:val="1"/>
        <w:rPr>
          <w:rFonts w:eastAsia="仿宋_GB2312" w:cs="仿宋_GB2312"/>
          <w:sz w:val="32"/>
          <w:szCs w:val="32"/>
        </w:rPr>
      </w:pPr>
      <w:bookmarkStart w:id="71" w:name="_Toc15396621"/>
      <w:bookmarkStart w:id="72" w:name="_Toc208479432"/>
      <w:r>
        <w:rPr>
          <w:rFonts w:hint="eastAsia" w:eastAsia="仿宋_GB2312" w:cs="仿宋_GB2312"/>
          <w:sz w:val="32"/>
          <w:szCs w:val="32"/>
        </w:rPr>
        <w:t>三、支出决算表</w:t>
      </w:r>
      <w:bookmarkEnd w:id="71"/>
      <w:bookmarkEnd w:id="72"/>
    </w:p>
    <w:p>
      <w:pPr>
        <w:pStyle w:val="14"/>
        <w:adjustRightInd w:val="0"/>
        <w:snapToGrid w:val="0"/>
        <w:spacing w:line="560" w:lineRule="exact"/>
        <w:jc w:val="left"/>
        <w:outlineLvl w:val="1"/>
        <w:rPr>
          <w:rFonts w:eastAsia="仿宋_GB2312" w:cs="仿宋_GB2312"/>
          <w:sz w:val="32"/>
          <w:szCs w:val="32"/>
        </w:rPr>
      </w:pPr>
      <w:bookmarkStart w:id="73" w:name="_Toc208479433"/>
      <w:bookmarkStart w:id="74" w:name="_Toc15396622"/>
      <w:r>
        <w:rPr>
          <w:rFonts w:hint="eastAsia" w:eastAsia="仿宋_GB2312" w:cs="仿宋_GB2312"/>
          <w:sz w:val="32"/>
          <w:szCs w:val="32"/>
        </w:rPr>
        <w:t>四、财政拨款收入支出决算总表</w:t>
      </w:r>
      <w:bookmarkEnd w:id="73"/>
      <w:bookmarkEnd w:id="74"/>
    </w:p>
    <w:p>
      <w:pPr>
        <w:pStyle w:val="14"/>
        <w:adjustRightInd w:val="0"/>
        <w:snapToGrid w:val="0"/>
        <w:spacing w:line="560" w:lineRule="exact"/>
        <w:jc w:val="left"/>
        <w:outlineLvl w:val="1"/>
        <w:rPr>
          <w:rFonts w:eastAsia="仿宋_GB2312" w:cs="仿宋_GB2312"/>
          <w:sz w:val="32"/>
          <w:szCs w:val="32"/>
        </w:rPr>
      </w:pPr>
      <w:bookmarkStart w:id="75" w:name="_Toc15396623"/>
      <w:bookmarkStart w:id="76" w:name="_Toc208479434"/>
      <w:r>
        <w:rPr>
          <w:rFonts w:hint="eastAsia" w:eastAsia="仿宋_GB2312" w:cs="仿宋_GB2312"/>
          <w:sz w:val="32"/>
          <w:szCs w:val="32"/>
        </w:rPr>
        <w:t>五、财政拨款支出决算明细表</w:t>
      </w:r>
      <w:bookmarkEnd w:id="75"/>
      <w:bookmarkEnd w:id="76"/>
      <w:bookmarkStart w:id="77" w:name="_Toc15396624"/>
    </w:p>
    <w:p>
      <w:pPr>
        <w:pStyle w:val="14"/>
        <w:adjustRightInd w:val="0"/>
        <w:snapToGrid w:val="0"/>
        <w:spacing w:line="560" w:lineRule="exact"/>
        <w:jc w:val="left"/>
        <w:outlineLvl w:val="1"/>
        <w:rPr>
          <w:rFonts w:eastAsia="仿宋_GB2312" w:cs="仿宋_GB2312"/>
          <w:sz w:val="32"/>
          <w:szCs w:val="32"/>
        </w:rPr>
      </w:pPr>
      <w:bookmarkStart w:id="78" w:name="_Toc208479435"/>
      <w:r>
        <w:rPr>
          <w:rFonts w:hint="eastAsia" w:eastAsia="仿宋_GB2312" w:cs="仿宋_GB2312"/>
          <w:sz w:val="32"/>
          <w:szCs w:val="32"/>
        </w:rPr>
        <w:t>六、一般公共预算财政拨款支出决算表</w:t>
      </w:r>
      <w:bookmarkEnd w:id="77"/>
      <w:bookmarkEnd w:id="78"/>
    </w:p>
    <w:p>
      <w:pPr>
        <w:pStyle w:val="14"/>
        <w:adjustRightInd w:val="0"/>
        <w:snapToGrid w:val="0"/>
        <w:spacing w:line="560" w:lineRule="exact"/>
        <w:jc w:val="left"/>
        <w:outlineLvl w:val="1"/>
        <w:rPr>
          <w:rFonts w:eastAsia="仿宋_GB2312" w:cs="仿宋_GB2312"/>
          <w:sz w:val="32"/>
          <w:szCs w:val="32"/>
        </w:rPr>
      </w:pPr>
      <w:bookmarkStart w:id="79" w:name="_Toc208479436"/>
      <w:bookmarkStart w:id="80" w:name="_Toc15396625"/>
      <w:r>
        <w:rPr>
          <w:rFonts w:hint="eastAsia" w:eastAsia="仿宋_GB2312" w:cs="仿宋_GB2312"/>
          <w:sz w:val="32"/>
          <w:szCs w:val="32"/>
        </w:rPr>
        <w:t>七、一般公共预算财政拨款支出决算明细表</w:t>
      </w:r>
      <w:bookmarkEnd w:id="79"/>
      <w:bookmarkEnd w:id="80"/>
    </w:p>
    <w:p>
      <w:pPr>
        <w:pStyle w:val="14"/>
        <w:adjustRightInd w:val="0"/>
        <w:snapToGrid w:val="0"/>
        <w:spacing w:line="560" w:lineRule="exact"/>
        <w:jc w:val="left"/>
        <w:outlineLvl w:val="1"/>
        <w:rPr>
          <w:rFonts w:eastAsia="仿宋_GB2312" w:cs="仿宋_GB2312"/>
          <w:sz w:val="32"/>
          <w:szCs w:val="32"/>
        </w:rPr>
      </w:pPr>
      <w:bookmarkStart w:id="81" w:name="_Toc208479437"/>
      <w:bookmarkStart w:id="82" w:name="_Toc15396626"/>
      <w:r>
        <w:rPr>
          <w:rFonts w:hint="eastAsia" w:eastAsia="仿宋_GB2312" w:cs="仿宋_GB2312"/>
          <w:sz w:val="32"/>
          <w:szCs w:val="32"/>
        </w:rPr>
        <w:t>八、一般公共预算财政拨款基本支出决算表</w:t>
      </w:r>
      <w:bookmarkEnd w:id="81"/>
      <w:bookmarkEnd w:id="82"/>
    </w:p>
    <w:p>
      <w:pPr>
        <w:pStyle w:val="14"/>
        <w:adjustRightInd w:val="0"/>
        <w:snapToGrid w:val="0"/>
        <w:spacing w:line="560" w:lineRule="exact"/>
        <w:jc w:val="left"/>
        <w:outlineLvl w:val="1"/>
        <w:rPr>
          <w:rFonts w:eastAsia="仿宋_GB2312" w:cs="仿宋_GB2312"/>
          <w:sz w:val="32"/>
          <w:szCs w:val="32"/>
        </w:rPr>
      </w:pPr>
      <w:bookmarkStart w:id="83" w:name="_Toc208479438"/>
      <w:bookmarkStart w:id="84" w:name="_Toc15396627"/>
      <w:r>
        <w:rPr>
          <w:rFonts w:hint="eastAsia" w:eastAsia="仿宋_GB2312" w:cs="仿宋_GB2312"/>
          <w:sz w:val="32"/>
          <w:szCs w:val="32"/>
        </w:rPr>
        <w:t>九、一般公共预算财政拨款项目支出决算表</w:t>
      </w:r>
      <w:bookmarkEnd w:id="83"/>
      <w:bookmarkEnd w:id="84"/>
    </w:p>
    <w:p>
      <w:pPr>
        <w:pStyle w:val="14"/>
        <w:adjustRightInd w:val="0"/>
        <w:snapToGrid w:val="0"/>
        <w:spacing w:line="560" w:lineRule="exact"/>
        <w:jc w:val="left"/>
        <w:outlineLvl w:val="1"/>
        <w:rPr>
          <w:rFonts w:eastAsia="仿宋_GB2312" w:cs="仿宋_GB2312"/>
          <w:sz w:val="32"/>
          <w:szCs w:val="32"/>
        </w:rPr>
      </w:pPr>
      <w:bookmarkStart w:id="85" w:name="_Toc15396628"/>
      <w:bookmarkStart w:id="86" w:name="_Toc208479439"/>
      <w:r>
        <w:rPr>
          <w:rFonts w:hint="eastAsia" w:eastAsia="仿宋_GB2312" w:cs="仿宋_GB2312"/>
          <w:sz w:val="32"/>
          <w:szCs w:val="32"/>
        </w:rPr>
        <w:t>十、</w:t>
      </w:r>
      <w:bookmarkEnd w:id="85"/>
      <w:r>
        <w:rPr>
          <w:rFonts w:hint="eastAsia" w:eastAsia="仿宋_GB2312" w:cs="仿宋_GB2312"/>
          <w:sz w:val="32"/>
          <w:szCs w:val="32"/>
        </w:rPr>
        <w:t>政府性基金预算财政拨款收入支出决算表</w:t>
      </w:r>
      <w:bookmarkEnd w:id="86"/>
    </w:p>
    <w:p>
      <w:pPr>
        <w:pStyle w:val="14"/>
        <w:adjustRightInd w:val="0"/>
        <w:snapToGrid w:val="0"/>
        <w:spacing w:line="560" w:lineRule="exact"/>
        <w:jc w:val="left"/>
        <w:outlineLvl w:val="1"/>
        <w:rPr>
          <w:rFonts w:eastAsia="仿宋_GB2312" w:cs="仿宋_GB2312"/>
          <w:sz w:val="32"/>
          <w:szCs w:val="32"/>
        </w:rPr>
      </w:pPr>
      <w:bookmarkStart w:id="87" w:name="_Toc15396629"/>
      <w:bookmarkStart w:id="88" w:name="_Toc208479440"/>
      <w:r>
        <w:rPr>
          <w:rFonts w:hint="eastAsia" w:eastAsia="仿宋_GB2312" w:cs="仿宋_GB2312"/>
          <w:sz w:val="32"/>
          <w:szCs w:val="32"/>
        </w:rPr>
        <w:t>十一、</w:t>
      </w:r>
      <w:bookmarkEnd w:id="87"/>
      <w:r>
        <w:rPr>
          <w:rFonts w:hint="eastAsia" w:eastAsia="仿宋_GB2312" w:cs="仿宋_GB2312"/>
          <w:sz w:val="32"/>
          <w:szCs w:val="32"/>
        </w:rPr>
        <w:t>国有资本经营预算财政拨款收入支出决算表</w:t>
      </w:r>
      <w:bookmarkEnd w:id="88"/>
    </w:p>
    <w:p>
      <w:pPr>
        <w:pStyle w:val="14"/>
        <w:adjustRightInd w:val="0"/>
        <w:snapToGrid w:val="0"/>
        <w:spacing w:line="560" w:lineRule="exact"/>
        <w:jc w:val="left"/>
        <w:outlineLvl w:val="1"/>
        <w:rPr>
          <w:rFonts w:eastAsia="仿宋_GB2312" w:cs="仿宋_GB2312"/>
          <w:sz w:val="32"/>
          <w:szCs w:val="32"/>
        </w:rPr>
      </w:pPr>
      <w:bookmarkStart w:id="89" w:name="_Toc15396630"/>
      <w:bookmarkStart w:id="90" w:name="_Toc208479441"/>
      <w:r>
        <w:rPr>
          <w:rFonts w:hint="eastAsia" w:eastAsia="仿宋_GB2312" w:cs="仿宋_GB2312"/>
          <w:sz w:val="32"/>
          <w:szCs w:val="32"/>
        </w:rPr>
        <w:t>十二、</w:t>
      </w:r>
      <w:bookmarkEnd w:id="89"/>
      <w:r>
        <w:rPr>
          <w:rFonts w:hint="eastAsia" w:eastAsia="仿宋_GB2312" w:cs="仿宋_GB2312"/>
          <w:sz w:val="32"/>
          <w:szCs w:val="32"/>
        </w:rPr>
        <w:t>国有资本经营预算财政拨款支出决算表</w:t>
      </w:r>
      <w:bookmarkEnd w:id="90"/>
    </w:p>
    <w:p>
      <w:pPr>
        <w:pStyle w:val="14"/>
        <w:adjustRightInd w:val="0"/>
        <w:snapToGrid w:val="0"/>
        <w:spacing w:line="560" w:lineRule="exact"/>
        <w:jc w:val="left"/>
        <w:outlineLvl w:val="1"/>
        <w:rPr>
          <w:rFonts w:eastAsia="仿宋_GB2312" w:cs="仿宋_GB2312"/>
          <w:sz w:val="32"/>
          <w:szCs w:val="32"/>
        </w:rPr>
      </w:pPr>
      <w:bookmarkStart w:id="91" w:name="_Toc15396631"/>
      <w:bookmarkStart w:id="92" w:name="_Toc208479442"/>
      <w:r>
        <w:rPr>
          <w:rFonts w:hint="eastAsia" w:eastAsia="仿宋_GB2312" w:cs="仿宋_GB2312"/>
          <w:sz w:val="32"/>
          <w:szCs w:val="32"/>
        </w:rPr>
        <w:t>十三、</w:t>
      </w:r>
      <w:bookmarkEnd w:id="91"/>
      <w:r>
        <w:rPr>
          <w:rFonts w:hint="eastAsia" w:eastAsia="仿宋_GB2312" w:cs="仿宋_GB2312"/>
          <w:sz w:val="32"/>
          <w:szCs w:val="32"/>
        </w:rPr>
        <w:t>财政拨款“三公”经费支出决算表</w:t>
      </w:r>
      <w:bookmarkEnd w:id="92"/>
    </w:p>
    <w:p/>
    <w:sectPr>
      <w:footerReference r:id="rId8" w:type="first"/>
      <w:footerReference r:id="rId7"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TBEOMHAIAACkEAAAOAAAAZHJz&#10;L2Uyb0RvYy54bWytU82O0zAQviPxDpbvNGkRu1X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UwRDjBwCAAApBAAADgAAAAAAAAABACAAAAA1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- 2 -</w:t>
                    </w:r>
                    <w:r>
                      <w:fldChar w:fldCharType="end"/>
                    </w:r>
                  </w:p>
                </w:txbxContent>
              </v:textbox>
            </v:shape>
          </w:pict>
        </mc:Fallback>
      </mc:AlternateContent>
    </w:r>
  </w:p>
  <w:p>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y2DMHAIAACkEAAAOAAAAZHJz&#10;L2Uyb0RvYy54bWytU82O0zAQviPxDpbvNGkRq27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K8tgzBwCAAApBAAADgAAAAAAAAABACAAAAA1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B9C269"/>
    <w:multiLevelType w:val="singleLevel"/>
    <w:tmpl w:val="F4B9C269"/>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427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2BC5"/>
    <w:rsid w:val="000E6613"/>
    <w:rsid w:val="000E7119"/>
    <w:rsid w:val="00101A1B"/>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416FE"/>
    <w:rsid w:val="00260C38"/>
    <w:rsid w:val="002616C0"/>
    <w:rsid w:val="00265372"/>
    <w:rsid w:val="002662AA"/>
    <w:rsid w:val="002759AE"/>
    <w:rsid w:val="00280496"/>
    <w:rsid w:val="0028641B"/>
    <w:rsid w:val="00294DC9"/>
    <w:rsid w:val="00295495"/>
    <w:rsid w:val="002A31DE"/>
    <w:rsid w:val="002B2613"/>
    <w:rsid w:val="002D6D05"/>
    <w:rsid w:val="002F1818"/>
    <w:rsid w:val="002F567B"/>
    <w:rsid w:val="0031071C"/>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E78B6"/>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E2215"/>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0C01"/>
    <w:rsid w:val="0066343B"/>
    <w:rsid w:val="00664777"/>
    <w:rsid w:val="00673FE4"/>
    <w:rsid w:val="006748A4"/>
    <w:rsid w:val="00681A31"/>
    <w:rsid w:val="00683E73"/>
    <w:rsid w:val="006A3141"/>
    <w:rsid w:val="006A5E34"/>
    <w:rsid w:val="006B2422"/>
    <w:rsid w:val="006B2B9A"/>
    <w:rsid w:val="006C1937"/>
    <w:rsid w:val="006F020C"/>
    <w:rsid w:val="00705F16"/>
    <w:rsid w:val="007127B7"/>
    <w:rsid w:val="0071798E"/>
    <w:rsid w:val="007416B6"/>
    <w:rsid w:val="00746F48"/>
    <w:rsid w:val="0075404D"/>
    <w:rsid w:val="00756196"/>
    <w:rsid w:val="0076182A"/>
    <w:rsid w:val="00767B7E"/>
    <w:rsid w:val="007770C3"/>
    <w:rsid w:val="00784D24"/>
    <w:rsid w:val="00785FBA"/>
    <w:rsid w:val="00786C2C"/>
    <w:rsid w:val="00786E4A"/>
    <w:rsid w:val="007875EB"/>
    <w:rsid w:val="0079426B"/>
    <w:rsid w:val="0079710C"/>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248B"/>
    <w:rsid w:val="008C380E"/>
    <w:rsid w:val="008C4DB1"/>
    <w:rsid w:val="008C4EAF"/>
    <w:rsid w:val="008C5176"/>
    <w:rsid w:val="008C7FD0"/>
    <w:rsid w:val="008E1DE7"/>
    <w:rsid w:val="008E707C"/>
    <w:rsid w:val="008F736F"/>
    <w:rsid w:val="00900B08"/>
    <w:rsid w:val="00902155"/>
    <w:rsid w:val="00902FA3"/>
    <w:rsid w:val="00923564"/>
    <w:rsid w:val="0092392E"/>
    <w:rsid w:val="00930456"/>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80F49"/>
    <w:rsid w:val="00A91760"/>
    <w:rsid w:val="00A93B00"/>
    <w:rsid w:val="00A93C21"/>
    <w:rsid w:val="00AB64C9"/>
    <w:rsid w:val="00AC3C6A"/>
    <w:rsid w:val="00AD3F8D"/>
    <w:rsid w:val="00AD5620"/>
    <w:rsid w:val="00AD656B"/>
    <w:rsid w:val="00AD7C1B"/>
    <w:rsid w:val="00AE16BA"/>
    <w:rsid w:val="00AE1EBE"/>
    <w:rsid w:val="00B015A1"/>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A1897"/>
    <w:rsid w:val="00BB4DF0"/>
    <w:rsid w:val="00BC289F"/>
    <w:rsid w:val="00BC2D50"/>
    <w:rsid w:val="00BC5361"/>
    <w:rsid w:val="00BC5460"/>
    <w:rsid w:val="00BC6B50"/>
    <w:rsid w:val="00BD0E25"/>
    <w:rsid w:val="00BF5BD6"/>
    <w:rsid w:val="00C03E31"/>
    <w:rsid w:val="00C33E72"/>
    <w:rsid w:val="00C354B2"/>
    <w:rsid w:val="00C35554"/>
    <w:rsid w:val="00C41E00"/>
    <w:rsid w:val="00C42709"/>
    <w:rsid w:val="00C533CC"/>
    <w:rsid w:val="00C5751C"/>
    <w:rsid w:val="00C61BFC"/>
    <w:rsid w:val="00C62B85"/>
    <w:rsid w:val="00C65438"/>
    <w:rsid w:val="00C87800"/>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4C34"/>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469"/>
    <w:rsid w:val="00F36D8F"/>
    <w:rsid w:val="00F417B1"/>
    <w:rsid w:val="00F45853"/>
    <w:rsid w:val="00F6022D"/>
    <w:rsid w:val="00F602DF"/>
    <w:rsid w:val="00F754A1"/>
    <w:rsid w:val="00F776B4"/>
    <w:rsid w:val="00F81FD9"/>
    <w:rsid w:val="00F841AA"/>
    <w:rsid w:val="00F84A94"/>
    <w:rsid w:val="00F87E96"/>
    <w:rsid w:val="00F9543C"/>
    <w:rsid w:val="00FA23E8"/>
    <w:rsid w:val="00FC6962"/>
    <w:rsid w:val="00FD3CC1"/>
    <w:rsid w:val="00FF1E02"/>
    <w:rsid w:val="00FF30B4"/>
    <w:rsid w:val="012A5EC2"/>
    <w:rsid w:val="015975B8"/>
    <w:rsid w:val="02FEBE30"/>
    <w:rsid w:val="04916F1E"/>
    <w:rsid w:val="061E35DE"/>
    <w:rsid w:val="066E0107"/>
    <w:rsid w:val="07996F6E"/>
    <w:rsid w:val="07DFD8BA"/>
    <w:rsid w:val="09867E8F"/>
    <w:rsid w:val="0A2032A3"/>
    <w:rsid w:val="0CA8290A"/>
    <w:rsid w:val="0D35B1ED"/>
    <w:rsid w:val="0E254B6B"/>
    <w:rsid w:val="0F98263C"/>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BE8440E"/>
    <w:rsid w:val="1D155CEE"/>
    <w:rsid w:val="1D1638FE"/>
    <w:rsid w:val="1E312DEB"/>
    <w:rsid w:val="1E740ACF"/>
    <w:rsid w:val="1FF35744"/>
    <w:rsid w:val="1FF6BC77"/>
    <w:rsid w:val="2186353C"/>
    <w:rsid w:val="23860B96"/>
    <w:rsid w:val="240371BF"/>
    <w:rsid w:val="244F3473"/>
    <w:rsid w:val="24C97D99"/>
    <w:rsid w:val="25A718F0"/>
    <w:rsid w:val="25BB59F6"/>
    <w:rsid w:val="260F557C"/>
    <w:rsid w:val="26970054"/>
    <w:rsid w:val="281408E2"/>
    <w:rsid w:val="29FD04D3"/>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EE7CF3"/>
    <w:rsid w:val="3E740A63"/>
    <w:rsid w:val="3E78745D"/>
    <w:rsid w:val="3EE17838"/>
    <w:rsid w:val="3F55381A"/>
    <w:rsid w:val="3F7F7599"/>
    <w:rsid w:val="3FF4CAE0"/>
    <w:rsid w:val="3FF7B227"/>
    <w:rsid w:val="44E268DA"/>
    <w:rsid w:val="450D13D7"/>
    <w:rsid w:val="45506656"/>
    <w:rsid w:val="486A6C7A"/>
    <w:rsid w:val="4A627F82"/>
    <w:rsid w:val="4B0E749A"/>
    <w:rsid w:val="4B2477C4"/>
    <w:rsid w:val="4B4F25DA"/>
    <w:rsid w:val="4BE068DB"/>
    <w:rsid w:val="4D577224"/>
    <w:rsid w:val="4DBF1CEB"/>
    <w:rsid w:val="4DF0007C"/>
    <w:rsid w:val="4EAB630A"/>
    <w:rsid w:val="4ECE2238"/>
    <w:rsid w:val="4F833267"/>
    <w:rsid w:val="4FE9BD67"/>
    <w:rsid w:val="4FFB052F"/>
    <w:rsid w:val="537E6D0A"/>
    <w:rsid w:val="53F74C96"/>
    <w:rsid w:val="55170BA8"/>
    <w:rsid w:val="553218C9"/>
    <w:rsid w:val="567E1AA5"/>
    <w:rsid w:val="56E47B74"/>
    <w:rsid w:val="57175D52"/>
    <w:rsid w:val="57BD3DD4"/>
    <w:rsid w:val="5AF92295"/>
    <w:rsid w:val="5B250254"/>
    <w:rsid w:val="5BDD79E6"/>
    <w:rsid w:val="5BF561CA"/>
    <w:rsid w:val="5BFF5DFC"/>
    <w:rsid w:val="5CD71FC4"/>
    <w:rsid w:val="5D1F11B5"/>
    <w:rsid w:val="5D695134"/>
    <w:rsid w:val="5DAE1B18"/>
    <w:rsid w:val="5DE7D9E5"/>
    <w:rsid w:val="5EBA98CC"/>
    <w:rsid w:val="5ECEC941"/>
    <w:rsid w:val="5FBF9FF3"/>
    <w:rsid w:val="5FCD4E2C"/>
    <w:rsid w:val="5FEF394A"/>
    <w:rsid w:val="5FF67715"/>
    <w:rsid w:val="62BF3928"/>
    <w:rsid w:val="63B3701E"/>
    <w:rsid w:val="647F5392"/>
    <w:rsid w:val="65E66580"/>
    <w:rsid w:val="664B1D71"/>
    <w:rsid w:val="664B4E8E"/>
    <w:rsid w:val="67277B67"/>
    <w:rsid w:val="67AA3209"/>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0FEA2F6"/>
    <w:rsid w:val="712A28F1"/>
    <w:rsid w:val="715C0E4B"/>
    <w:rsid w:val="71911060"/>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5DD8BB4"/>
    <w:rsid w:val="B7CF06AB"/>
    <w:rsid w:val="B7CFA926"/>
    <w:rsid w:val="B7F8786B"/>
    <w:rsid w:val="BABB6AA1"/>
    <w:rsid w:val="BB2F4199"/>
    <w:rsid w:val="BCFFB442"/>
    <w:rsid w:val="BD079C78"/>
    <w:rsid w:val="BD733540"/>
    <w:rsid w:val="BF3735D5"/>
    <w:rsid w:val="BF7F09AC"/>
    <w:rsid w:val="BFD475C3"/>
    <w:rsid w:val="BFD7D72F"/>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DF560CB"/>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200" w:leftChars="200"/>
    </w:pPr>
    <w:rPr>
      <w:rFonts w:ascii="仿宋_GB2312"/>
      <w:szCs w:val="32"/>
    </w:rPr>
  </w:style>
  <w:style w:type="paragraph" w:styleId="8">
    <w:name w:val="Body Text"/>
    <w:basedOn w:val="1"/>
    <w:link w:val="28"/>
    <w:qFormat/>
    <w:uiPriority w:val="99"/>
    <w:pPr>
      <w:spacing w:beforeLines="30"/>
    </w:pPr>
    <w:rPr>
      <w:rFonts w:ascii="仿宋_GB2312" w:eastAsia="仿宋_GB2312"/>
      <w:kern w:val="0"/>
      <w:sz w:val="30"/>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标题 1 Char"/>
    <w:basedOn w:val="16"/>
    <w:link w:val="5"/>
    <w:qFormat/>
    <w:uiPriority w:val="9"/>
    <w:rPr>
      <w:rFonts w:ascii="Times New Roman" w:hAnsi="Times New Roman"/>
      <w:b/>
      <w:bCs/>
      <w:kern w:val="44"/>
      <w:sz w:val="44"/>
      <w:szCs w:val="44"/>
    </w:rPr>
  </w:style>
  <w:style w:type="character" w:customStyle="1" w:styleId="20">
    <w:name w:val="标题 2 Char"/>
    <w:basedOn w:val="16"/>
    <w:link w:val="6"/>
    <w:qFormat/>
    <w:uiPriority w:val="9"/>
    <w:rPr>
      <w:rFonts w:asciiTheme="majorHAnsi" w:hAnsiTheme="majorHAnsi" w:eastAsiaTheme="majorEastAsia" w:cstheme="majorBidi"/>
      <w:b/>
      <w:bCs/>
      <w:kern w:val="2"/>
      <w:sz w:val="32"/>
      <w:szCs w:val="32"/>
    </w:rPr>
  </w:style>
  <w:style w:type="character" w:customStyle="1" w:styleId="21">
    <w:name w:val="标题 3 Char"/>
    <w:basedOn w:val="16"/>
    <w:link w:val="7"/>
    <w:qFormat/>
    <w:uiPriority w:val="9"/>
    <w:rPr>
      <w:rFonts w:ascii="Times New Roman" w:hAnsi="Times New Roman"/>
      <w:b/>
      <w:bCs/>
      <w:kern w:val="2"/>
      <w:sz w:val="32"/>
      <w:szCs w:val="32"/>
    </w:rPr>
  </w:style>
  <w:style w:type="paragraph" w:customStyle="1" w:styleId="2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3">
    <w:name w:val="Header Char"/>
    <w:basedOn w:val="16"/>
    <w:semiHidden/>
    <w:qFormat/>
    <w:uiPriority w:val="99"/>
    <w:rPr>
      <w:rFonts w:ascii="Times New Roman" w:hAnsi="Times New Roman"/>
      <w:sz w:val="18"/>
      <w:szCs w:val="18"/>
    </w:rPr>
  </w:style>
  <w:style w:type="character" w:customStyle="1" w:styleId="24">
    <w:name w:val="页眉 Char"/>
    <w:link w:val="12"/>
    <w:semiHidden/>
    <w:qFormat/>
    <w:locked/>
    <w:uiPriority w:val="99"/>
    <w:rPr>
      <w:sz w:val="18"/>
    </w:rPr>
  </w:style>
  <w:style w:type="character" w:customStyle="1" w:styleId="25">
    <w:name w:val="Footer Char"/>
    <w:basedOn w:val="16"/>
    <w:semiHidden/>
    <w:qFormat/>
    <w:uiPriority w:val="99"/>
    <w:rPr>
      <w:rFonts w:ascii="Times New Roman" w:hAnsi="Times New Roman"/>
      <w:sz w:val="18"/>
      <w:szCs w:val="18"/>
    </w:rPr>
  </w:style>
  <w:style w:type="character" w:customStyle="1" w:styleId="26">
    <w:name w:val="页脚 Char"/>
    <w:link w:val="11"/>
    <w:qFormat/>
    <w:locked/>
    <w:uiPriority w:val="99"/>
    <w:rPr>
      <w:sz w:val="18"/>
    </w:rPr>
  </w:style>
  <w:style w:type="character" w:customStyle="1" w:styleId="27">
    <w:name w:val="Body Text Char"/>
    <w:basedOn w:val="16"/>
    <w:semiHidden/>
    <w:qFormat/>
    <w:uiPriority w:val="99"/>
    <w:rPr>
      <w:rFonts w:ascii="Times New Roman" w:hAnsi="Times New Roman"/>
      <w:szCs w:val="24"/>
    </w:rPr>
  </w:style>
  <w:style w:type="character" w:customStyle="1" w:styleId="28">
    <w:name w:val="正文文本 Char"/>
    <w:link w:val="8"/>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paragraph" w:customStyle="1" w:styleId="31">
    <w:name w:val="TOC 标题1"/>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6"/>
    <w:link w:val="10"/>
    <w:semiHidden/>
    <w:qFormat/>
    <w:uiPriority w:val="99"/>
    <w:rPr>
      <w:rFonts w:ascii="Times New Roman" w:hAnsi="Times New Roman"/>
      <w:kern w:val="2"/>
      <w:sz w:val="18"/>
      <w:szCs w:val="18"/>
    </w:rPr>
  </w:style>
  <w:style w:type="paragraph" w:customStyle="1" w:styleId="33">
    <w:name w:val="TOC 标题2"/>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color w:val="000000"/>
      <w:kern w:val="0"/>
      <w:sz w:val="28"/>
      <w:szCs w:val="21"/>
      <w:lang w:val="zh-CN"/>
    </w:rPr>
  </w:style>
  <w:style w:type="paragraph" w:customStyle="1" w:styleId="35">
    <w:name w:val="TOC Heading"/>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r>
              <a:rPr lang="zh-CN" altLang="en-US"/>
              <a:t>“三公”经费支出比重图</a:t>
            </a:r>
            <a:endParaRPr lang="zh-CN" altLang="en-US"/>
          </a:p>
        </c:rich>
      </c:tx>
      <c:layout/>
      <c:overlay val="false"/>
    </c:title>
    <c:autoTitleDeleted val="false"/>
    <c:plotArea>
      <c:layout/>
      <c:pieChart>
        <c:varyColors val="true"/>
        <c:ser>
          <c:idx val="0"/>
          <c:order val="0"/>
          <c:explosion val="0"/>
          <c:dPt>
            <c:idx val="0"/>
            <c:bubble3D val="false"/>
          </c:dPt>
          <c:dPt>
            <c:idx val="1"/>
            <c:bubble3D val="false"/>
          </c:dPt>
          <c:dPt>
            <c:idx val="2"/>
            <c:bubble3D val="false"/>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Sheet1!$A$60:$A$62</c:f>
              <c:strCache>
                <c:ptCount val="3"/>
                <c:pt idx="0">
                  <c:v>公务用车购置及运行维护费支出</c:v>
                </c:pt>
                <c:pt idx="1">
                  <c:v>公务接待费支出</c:v>
                </c:pt>
                <c:pt idx="2">
                  <c:v>因公出国（境）费支出</c:v>
                </c:pt>
              </c:strCache>
            </c:strRef>
          </c:cat>
          <c:val>
            <c:numRef>
              <c:f>Sheet1!$B$60:$B$62</c:f>
              <c:numCache>
                <c:formatCode>General</c:formatCode>
                <c:ptCount val="3"/>
                <c:pt idx="0">
                  <c:v>0</c:v>
                </c:pt>
                <c:pt idx="1">
                  <c:v>0.4</c:v>
                </c:pt>
                <c:pt idx="2">
                  <c:v>0</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33</Pages>
  <Words>12843</Words>
  <Characters>13656</Characters>
  <Lines>113</Lines>
  <Paragraphs>31</Paragraphs>
  <TotalTime>13</TotalTime>
  <ScaleCrop>false</ScaleCrop>
  <LinksUpToDate>false</LinksUpToDate>
  <CharactersWithSpaces>13838</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2020-08-10T01:49:00Z</dcterms:created>
  <dc:creator>曹颖</dc:creator>
  <cp:lastModifiedBy> </cp:lastModifiedBy>
  <cp:lastPrinted>2025-08-07T09:34:00Z</cp:lastPrinted>
  <dcterms:modified xsi:type="dcterms:W3CDTF">2025-10-11T16:49:21Z</dcterms:modified>
  <dc:title>四川省***</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04787F2533EB45DC91BCDE4AB213247F</vt:lpwstr>
  </property>
  <property fmtid="{D5CDD505-2E9C-101B-9397-08002B2CF9AE}" pid="4" name="KSOTemplateDocerSaveRecord">
    <vt:lpwstr>eyJoZGlkIjoiYTc2ZGZiNzZiNDVlOGViOWVmM2JhOTY0NGJkNjUyYzgiLCJ1c2VySWQiOiIyMjA2OTAwNTAifQ==</vt:lpwstr>
  </property>
</Properties>
</file>