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br w:type="textWrapping"/>
      </w:r>
    </w:p>
    <w:p>
      <w:pPr>
        <w:pStyle w:val="2"/>
        <w:jc w:val="both"/>
        <w:rPr>
          <w:rFonts w:hint="eastAsia" w:ascii="Times New Roman" w:hAnsi="Times New Roman" w:eastAsia="黑体"/>
          <w:color w:val="auto"/>
          <w:sz w:val="48"/>
          <w:szCs w:val="48"/>
          <w:highlight w:val="none"/>
        </w:rPr>
      </w:pPr>
    </w:p>
    <w:p>
      <w:pPr>
        <w:pStyle w:val="2"/>
        <w:jc w:val="both"/>
        <w:rPr>
          <w:rFonts w:hint="eastAsia" w:ascii="Times New Roman" w:hAnsi="Times New Roman" w:eastAsia="黑体"/>
          <w:color w:val="auto"/>
          <w:sz w:val="48"/>
          <w:szCs w:val="48"/>
          <w:highlight w:val="none"/>
        </w:rPr>
      </w:pPr>
    </w:p>
    <w:p>
      <w:pPr>
        <w:pStyle w:val="2"/>
        <w:jc w:val="both"/>
        <w:rPr>
          <w:rFonts w:hint="eastAsia" w:ascii="Times New Roman" w:hAnsi="Times New Roman" w:eastAsia="黑体"/>
          <w:color w:val="auto"/>
          <w:sz w:val="48"/>
          <w:szCs w:val="48"/>
          <w:highlight w:val="none"/>
        </w:rPr>
      </w:pPr>
    </w:p>
    <w:p>
      <w:pPr>
        <w:adjustRightInd w:val="0"/>
        <w:snapToGrid w:val="0"/>
        <w:spacing w:line="360" w:lineRule="auto"/>
        <w:jc w:val="center"/>
        <w:outlineLvl w:val="0"/>
        <w:rPr>
          <w:rFonts w:hint="eastAsia" w:ascii="黑体" w:hAnsi="黑体" w:eastAsia="黑体" w:cs="黑体"/>
          <w:sz w:val="72"/>
          <w:szCs w:val="72"/>
        </w:rPr>
      </w:pPr>
      <w:bookmarkStart w:id="0" w:name="_Toc15396597"/>
      <w:bookmarkStart w:id="1" w:name="_Toc15377425"/>
      <w:bookmarkStart w:id="2" w:name="_Toc23126"/>
      <w:bookmarkStart w:id="3" w:name="_Toc15396475"/>
      <w:bookmarkStart w:id="4" w:name="_Toc13470"/>
      <w:bookmarkStart w:id="5" w:name="_Toc31774"/>
      <w:bookmarkStart w:id="6" w:name="_Toc15378441"/>
      <w:bookmarkStart w:id="7" w:name="_Toc26510"/>
      <w:bookmarkStart w:id="8" w:name="_Toc17863"/>
      <w:bookmarkStart w:id="9" w:name="_Toc15377193"/>
      <w:r>
        <w:rPr>
          <w:rFonts w:hint="eastAsia" w:ascii="黑体" w:hAnsi="黑体" w:eastAsia="黑体" w:cs="黑体"/>
          <w:sz w:val="72"/>
          <w:szCs w:val="72"/>
        </w:rPr>
        <w:t>202</w:t>
      </w:r>
      <w:r>
        <w:rPr>
          <w:rFonts w:hint="eastAsia" w:ascii="黑体" w:hAnsi="黑体" w:eastAsia="黑体" w:cs="黑体"/>
          <w:sz w:val="72"/>
          <w:szCs w:val="72"/>
          <w:lang w:val="en-US" w:eastAsia="zh-CN"/>
        </w:rPr>
        <w:t>4</w:t>
      </w:r>
      <w:r>
        <w:rPr>
          <w:rFonts w:hint="eastAsia" w:ascii="黑体" w:hAnsi="黑体" w:eastAsia="黑体" w:cs="黑体"/>
          <w:sz w:val="72"/>
          <w:szCs w:val="72"/>
        </w:rPr>
        <w:t>年度</w:t>
      </w:r>
      <w:bookmarkEnd w:id="0"/>
      <w:bookmarkEnd w:id="1"/>
      <w:bookmarkEnd w:id="2"/>
      <w:bookmarkEnd w:id="3"/>
      <w:bookmarkEnd w:id="4"/>
      <w:bookmarkEnd w:id="5"/>
      <w:bookmarkEnd w:id="6"/>
      <w:bookmarkEnd w:id="7"/>
      <w:bookmarkEnd w:id="8"/>
      <w:bookmarkEnd w:id="9"/>
    </w:p>
    <w:p>
      <w:pPr>
        <w:adjustRightInd w:val="0"/>
        <w:snapToGrid w:val="0"/>
        <w:spacing w:line="360" w:lineRule="auto"/>
        <w:jc w:val="center"/>
        <w:outlineLvl w:val="0"/>
        <w:rPr>
          <w:rFonts w:hint="eastAsia" w:ascii="黑体" w:hAnsi="黑体" w:eastAsia="黑体" w:cs="黑体"/>
          <w:sz w:val="72"/>
          <w:szCs w:val="72"/>
        </w:rPr>
      </w:pPr>
      <w:bookmarkStart w:id="10" w:name="_Toc24589"/>
      <w:bookmarkStart w:id="11" w:name="_Toc26262"/>
      <w:bookmarkStart w:id="12" w:name="_Toc9615"/>
      <w:bookmarkStart w:id="13" w:name="_Toc16923"/>
      <w:bookmarkStart w:id="14" w:name="_Toc23008"/>
      <w:bookmarkStart w:id="15" w:name="_Toc15378442"/>
      <w:bookmarkStart w:id="16" w:name="_Toc15396598"/>
      <w:bookmarkStart w:id="17" w:name="_Toc15377426"/>
      <w:bookmarkStart w:id="18" w:name="_Toc15377194"/>
      <w:bookmarkStart w:id="19" w:name="_Toc15396476"/>
      <w:bookmarkStart w:id="20" w:name="_Toc15306268"/>
      <w:r>
        <w:rPr>
          <w:rFonts w:hint="eastAsia" w:ascii="黑体" w:hAnsi="黑体" w:eastAsia="黑体" w:cs="黑体"/>
          <w:sz w:val="72"/>
          <w:szCs w:val="72"/>
        </w:rPr>
        <w:t>广元市教师发展中心</w:t>
      </w:r>
      <w:bookmarkEnd w:id="10"/>
      <w:bookmarkEnd w:id="11"/>
      <w:bookmarkEnd w:id="12"/>
      <w:bookmarkEnd w:id="13"/>
      <w:bookmarkEnd w:id="14"/>
    </w:p>
    <w:p>
      <w:pPr>
        <w:pStyle w:val="2"/>
        <w:jc w:val="center"/>
        <w:rPr>
          <w:rFonts w:hint="eastAsia" w:ascii="Times New Roman" w:hAnsi="Times New Roman" w:eastAsia="黑体"/>
          <w:color w:val="auto"/>
          <w:sz w:val="48"/>
          <w:szCs w:val="48"/>
          <w:highlight w:val="none"/>
        </w:rPr>
      </w:pPr>
      <w:bookmarkStart w:id="21" w:name="_Toc5863"/>
      <w:bookmarkStart w:id="22" w:name="_Toc9589"/>
      <w:r>
        <w:rPr>
          <w:rFonts w:hint="eastAsia" w:ascii="黑体" w:hAnsi="黑体" w:eastAsia="黑体" w:cs="黑体"/>
          <w:sz w:val="72"/>
          <w:szCs w:val="72"/>
        </w:rPr>
        <w:t>单位决算</w:t>
      </w:r>
      <w:bookmarkEnd w:id="15"/>
      <w:bookmarkEnd w:id="16"/>
      <w:bookmarkEnd w:id="17"/>
      <w:bookmarkEnd w:id="18"/>
      <w:bookmarkEnd w:id="19"/>
      <w:bookmarkEnd w:id="20"/>
      <w:bookmarkEnd w:id="21"/>
      <w:bookmarkEnd w:id="22"/>
    </w:p>
    <w:p>
      <w:pPr>
        <w:pStyle w:val="2"/>
        <w:jc w:val="both"/>
        <w:rPr>
          <w:rFonts w:hint="eastAsia" w:ascii="Times New Roman" w:hAnsi="Times New Roman" w:eastAsia="黑体"/>
          <w:color w:val="auto"/>
          <w:sz w:val="48"/>
          <w:szCs w:val="48"/>
          <w:highlight w:val="none"/>
        </w:rPr>
      </w:pPr>
    </w:p>
    <w:p>
      <w:pPr>
        <w:pStyle w:val="2"/>
        <w:jc w:val="both"/>
        <w:rPr>
          <w:rFonts w:hint="eastAsia" w:ascii="Times New Roman" w:hAnsi="Times New Roman" w:eastAsia="黑体"/>
          <w:color w:val="auto"/>
          <w:sz w:val="48"/>
          <w:szCs w:val="48"/>
          <w:highlight w:val="none"/>
        </w:rPr>
      </w:pPr>
    </w:p>
    <w:p>
      <w:pPr>
        <w:pStyle w:val="2"/>
        <w:jc w:val="both"/>
        <w:rPr>
          <w:rFonts w:hint="eastAsia" w:ascii="Times New Roman" w:hAnsi="Times New Roman" w:eastAsia="黑体"/>
          <w:color w:val="auto"/>
          <w:sz w:val="48"/>
          <w:szCs w:val="48"/>
          <w:highlight w:val="none"/>
        </w:rPr>
      </w:pPr>
    </w:p>
    <w:p>
      <w:pPr>
        <w:pStyle w:val="2"/>
        <w:jc w:val="both"/>
        <w:rPr>
          <w:rFonts w:hint="eastAsia" w:ascii="Times New Roman" w:hAnsi="Times New Roman" w:eastAsia="黑体"/>
          <w:color w:val="auto"/>
          <w:sz w:val="48"/>
          <w:szCs w:val="48"/>
          <w:highlight w:val="none"/>
        </w:rPr>
      </w:pPr>
    </w:p>
    <w:p>
      <w:pPr>
        <w:pStyle w:val="2"/>
        <w:jc w:val="both"/>
        <w:rPr>
          <w:rFonts w:hint="eastAsia" w:ascii="Times New Roman" w:hAnsi="Times New Roman" w:eastAsia="黑体"/>
          <w:color w:val="auto"/>
          <w:sz w:val="48"/>
          <w:szCs w:val="48"/>
          <w:highlight w:val="none"/>
        </w:rPr>
      </w:pPr>
    </w:p>
    <w:p>
      <w:pPr>
        <w:pStyle w:val="2"/>
        <w:jc w:val="both"/>
        <w:rPr>
          <w:rFonts w:hint="eastAsia" w:ascii="Times New Roman" w:hAnsi="Times New Roman" w:eastAsia="黑体"/>
          <w:color w:val="auto"/>
          <w:sz w:val="48"/>
          <w:szCs w:val="48"/>
          <w:highlight w:val="none"/>
        </w:rPr>
      </w:pPr>
    </w:p>
    <w:p>
      <w:pPr>
        <w:pStyle w:val="2"/>
        <w:jc w:val="both"/>
        <w:rPr>
          <w:rFonts w:hint="eastAsia" w:ascii="Times New Roman" w:hAnsi="Times New Roman" w:eastAsia="黑体"/>
          <w:color w:val="auto"/>
          <w:sz w:val="48"/>
          <w:szCs w:val="48"/>
          <w:highlight w:val="none"/>
        </w:rPr>
      </w:pPr>
    </w:p>
    <w:p>
      <w:pPr>
        <w:pStyle w:val="2"/>
        <w:jc w:val="both"/>
        <w:rPr>
          <w:rFonts w:hint="eastAsia" w:ascii="Times New Roman" w:hAnsi="Times New Roman" w:eastAsia="黑体"/>
          <w:color w:val="auto"/>
          <w:sz w:val="48"/>
          <w:szCs w:val="48"/>
          <w:highlight w:val="none"/>
        </w:rPr>
      </w:pPr>
    </w:p>
    <w:p>
      <w:pPr>
        <w:pStyle w:val="2"/>
        <w:jc w:val="both"/>
        <w:rPr>
          <w:rFonts w:hint="eastAsia" w:ascii="Times New Roman" w:hAnsi="Times New Roman" w:eastAsia="黑体"/>
          <w:color w:val="auto"/>
          <w:sz w:val="48"/>
          <w:szCs w:val="48"/>
          <w:highlight w:val="none"/>
        </w:rPr>
      </w:pPr>
    </w:p>
    <w:p>
      <w:pPr>
        <w:rPr>
          <w:rFonts w:ascii="Times New Roman" w:hAnsi="Times New Roman"/>
          <w:color w:val="auto"/>
          <w:highlight w:val="none"/>
        </w:rPr>
      </w:pPr>
    </w:p>
    <w:p>
      <w:pPr>
        <w:spacing w:before="0" w:beforeLines="0" w:after="0" w:afterLines="0" w:line="240" w:lineRule="auto"/>
        <w:ind w:left="0" w:leftChars="0" w:right="0" w:rightChars="0" w:firstLine="0" w:firstLineChars="0"/>
        <w:jc w:val="center"/>
        <w:rPr>
          <w:rFonts w:hint="eastAsia" w:ascii="黑体" w:hAnsi="黑体" w:eastAsia="黑体" w:cs="黑体"/>
          <w:sz w:val="48"/>
          <w:szCs w:val="48"/>
        </w:rPr>
      </w:pPr>
      <w:r>
        <w:rPr>
          <w:rFonts w:hint="eastAsia" w:ascii="黑体" w:hAnsi="黑体" w:eastAsia="黑体" w:cs="黑体"/>
          <w:sz w:val="48"/>
          <w:szCs w:val="48"/>
        </w:rPr>
        <w:t>目录</w:t>
      </w:r>
    </w:p>
    <w:p>
      <w:pPr>
        <w:pStyle w:val="2"/>
        <w:jc w:val="center"/>
        <w:rPr>
          <w:rFonts w:hint="eastAsia"/>
        </w:rPr>
      </w:pPr>
      <w:r>
        <w:rPr>
          <w:rFonts w:hint="eastAsia" w:ascii="仿宋" w:hAnsi="仿宋" w:eastAsia="仿宋" w:cs="仿宋"/>
          <w:color w:val="auto"/>
          <w:sz w:val="28"/>
          <w:szCs w:val="28"/>
          <w:highlight w:val="none"/>
        </w:rPr>
        <w:t>公开时间：20</w:t>
      </w:r>
      <w:r>
        <w:rPr>
          <w:rFonts w:hint="eastAsia" w:ascii="仿宋" w:hAnsi="仿宋" w:eastAsia="仿宋" w:cs="仿宋"/>
          <w:color w:val="auto"/>
          <w:sz w:val="28"/>
          <w:szCs w:val="28"/>
          <w:highlight w:val="none"/>
          <w:lang w:val="en-US" w:eastAsia="zh-CN"/>
        </w:rPr>
        <w:t>25</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10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14</w:t>
      </w:r>
      <w:r>
        <w:rPr>
          <w:rFonts w:hint="eastAsia" w:ascii="仿宋" w:hAnsi="仿宋" w:eastAsia="仿宋" w:cs="仿宋"/>
          <w:color w:val="auto"/>
          <w:sz w:val="28"/>
          <w:szCs w:val="28"/>
          <w:highlight w:val="none"/>
        </w:rPr>
        <w:t>日</w:t>
      </w:r>
    </w:p>
    <w:sdt>
      <w:sdtPr>
        <w:rPr>
          <w:rFonts w:ascii="宋体" w:hAnsi="宋体" w:eastAsia="宋体" w:cs="Times New Roman"/>
          <w:kern w:val="2"/>
          <w:sz w:val="21"/>
          <w:szCs w:val="24"/>
          <w:lang w:val="en-US" w:eastAsia="zh-CN" w:bidi="ar-SA"/>
        </w:rPr>
        <w:id w:val="147457178"/>
        <w15:color w:val="DBDBDB"/>
        <w:docPartObj>
          <w:docPartGallery w:val="Table of Contents"/>
          <w:docPartUnique/>
        </w:docPartObj>
      </w:sdtPr>
      <w:sdtEndPr>
        <w:rPr>
          <w:rFonts w:hint="eastAsia" w:ascii="Times New Roman" w:hAnsi="Times New Roman" w:eastAsia="宋体" w:cs="Times New Roman"/>
          <w:b/>
          <w:bCs/>
          <w:kern w:val="44"/>
          <w:sz w:val="44"/>
          <w:szCs w:val="44"/>
          <w:lang w:val="en-US" w:eastAsia="zh-CN" w:bidi="ar-SA"/>
        </w:rPr>
      </w:sdtEndPr>
      <w:sdtContent>
        <w:p>
          <w:pPr>
            <w:spacing w:before="0" w:beforeLines="0" w:after="0" w:afterLines="0" w:line="240" w:lineRule="auto"/>
            <w:ind w:left="0" w:leftChars="0" w:right="0" w:rightChars="0" w:firstLine="0" w:firstLineChars="0"/>
            <w:jc w:val="center"/>
            <w:rPr>
              <w:b/>
            </w:rPr>
          </w:pPr>
          <w:r>
            <w:rPr>
              <w:rFonts w:hint="eastAsia"/>
            </w:rPr>
            <w:fldChar w:fldCharType="begin"/>
          </w:r>
          <w:r>
            <w:rPr>
              <w:rFonts w:hint="eastAsia"/>
            </w:rPr>
            <w:instrText xml:space="preserve">TOC \o "1-2" \h \u </w:instrText>
          </w:r>
          <w:r>
            <w:rPr>
              <w:rFonts w:hint="eastAsia"/>
            </w:rPr>
            <w:fldChar w:fldCharType="separate"/>
          </w:r>
        </w:p>
        <w:p>
          <w:pPr>
            <w:pStyle w:val="35"/>
            <w:keepNext w:val="0"/>
            <w:keepLines w:val="0"/>
            <w:pageBreakBefore w:val="0"/>
            <w:widowControl/>
            <w:tabs>
              <w:tab w:val="right" w:leader="dot" w:pos="8306"/>
            </w:tabs>
            <w:kinsoku/>
            <w:wordWrap/>
            <w:overflowPunct/>
            <w:topLinePunct w:val="0"/>
            <w:autoSpaceDE/>
            <w:autoSpaceDN/>
            <w:bidi w:val="0"/>
            <w:adjustRightInd/>
            <w:snapToGrid/>
            <w:spacing w:line="560" w:lineRule="exact"/>
            <w:textAlignment w:val="auto"/>
            <w:rPr>
              <w:b/>
            </w:rPr>
          </w:pPr>
          <w:r>
            <w:rPr>
              <w:rFonts w:hint="eastAsia"/>
              <w:b/>
            </w:rPr>
            <w:fldChar w:fldCharType="begin"/>
          </w:r>
          <w:r>
            <w:rPr>
              <w:rFonts w:hint="eastAsia"/>
              <w:b/>
            </w:rPr>
            <w:instrText xml:space="preserve"> HYPERLINK \l _Toc5707 </w:instrText>
          </w:r>
          <w:r>
            <w:rPr>
              <w:rFonts w:hint="eastAsia"/>
              <w:b/>
            </w:rPr>
            <w:fldChar w:fldCharType="separate"/>
          </w:r>
          <w:r>
            <w:rPr>
              <w:rFonts w:hint="eastAsia"/>
              <w:b/>
            </w:rPr>
            <w:t>第一部分</w:t>
          </w:r>
          <w:r>
            <w:rPr>
              <w:rFonts w:hint="eastAsia"/>
              <w:b/>
              <w:lang w:val="en-US" w:eastAsia="zh-CN"/>
            </w:rPr>
            <w:t xml:space="preserve"> </w:t>
          </w:r>
          <w:r>
            <w:rPr>
              <w:rFonts w:hint="eastAsia"/>
              <w:b/>
            </w:rPr>
            <w:t xml:space="preserve"> 部门概况</w:t>
          </w:r>
          <w:r>
            <w:rPr>
              <w:b/>
            </w:rPr>
            <w:tab/>
          </w:r>
          <w:r>
            <w:rPr>
              <w:b/>
            </w:rPr>
            <w:fldChar w:fldCharType="begin"/>
          </w:r>
          <w:r>
            <w:rPr>
              <w:b/>
            </w:rPr>
            <w:instrText xml:space="preserve"> PAGEREF _Toc5707 \h </w:instrText>
          </w:r>
          <w:r>
            <w:rPr>
              <w:b/>
            </w:rPr>
            <w:fldChar w:fldCharType="separate"/>
          </w:r>
          <w:r>
            <w:rPr>
              <w:b/>
            </w:rPr>
            <w:t>1</w:t>
          </w:r>
          <w:r>
            <w:rPr>
              <w:b/>
            </w:rPr>
            <w:fldChar w:fldCharType="end"/>
          </w:r>
          <w:r>
            <w:rPr>
              <w:rFonts w:hint="eastAsia"/>
              <w:b/>
            </w:rPr>
            <w:fldChar w:fldCharType="end"/>
          </w:r>
        </w:p>
        <w:p>
          <w:pPr>
            <w:pStyle w:val="36"/>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_Toc18200 </w:instrText>
          </w:r>
          <w:r>
            <w:rPr>
              <w:rFonts w:hint="eastAsia" w:ascii="Times New Roman" w:hAnsi="Times New Roman" w:eastAsia="宋体" w:cs="Times New Roman"/>
            </w:rPr>
            <w:fldChar w:fldCharType="separate"/>
          </w:r>
          <w:r>
            <w:rPr>
              <w:rFonts w:hint="eastAsia" w:ascii="Times New Roman" w:hAnsi="Times New Roman" w:eastAsia="宋体" w:cs="Times New Roman"/>
              <w:lang w:eastAsia="zh-CN"/>
            </w:rPr>
            <w:t>一、 主要职责</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_Toc18200 \h </w:instrText>
          </w:r>
          <w:r>
            <w:rPr>
              <w:rFonts w:hint="eastAsia" w:ascii="Times New Roman" w:hAnsi="Times New Roman" w:eastAsia="宋体" w:cs="Times New Roman"/>
            </w:rPr>
            <w:fldChar w:fldCharType="separate"/>
          </w:r>
          <w:r>
            <w:rPr>
              <w:rFonts w:hint="eastAsia" w:ascii="Times New Roman" w:hAnsi="Times New Roman" w:eastAsia="宋体" w:cs="Times New Roman"/>
            </w:rPr>
            <w:t>1</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36"/>
            <w:tabs>
              <w:tab w:val="right" w:leader="dot" w:pos="8306"/>
            </w:tabs>
          </w:pPr>
          <w:r>
            <w:rPr>
              <w:rFonts w:hint="eastAsia"/>
            </w:rPr>
            <w:fldChar w:fldCharType="begin"/>
          </w:r>
          <w:r>
            <w:rPr>
              <w:rFonts w:hint="eastAsia"/>
            </w:rPr>
            <w:instrText xml:space="preserve"> HYPERLINK \l _Toc20984 </w:instrText>
          </w:r>
          <w:r>
            <w:rPr>
              <w:rFonts w:hint="eastAsia"/>
            </w:rPr>
            <w:fldChar w:fldCharType="separate"/>
          </w:r>
          <w:r>
            <w:rPr>
              <w:rFonts w:hint="eastAsia"/>
            </w:rPr>
            <w:t>二、 机构设置</w:t>
          </w:r>
          <w:r>
            <w:tab/>
          </w:r>
          <w:r>
            <w:fldChar w:fldCharType="begin"/>
          </w:r>
          <w:r>
            <w:instrText xml:space="preserve"> PAGEREF _Toc20984 \h </w:instrText>
          </w:r>
          <w:r>
            <w:fldChar w:fldCharType="separate"/>
          </w:r>
          <w:r>
            <w:t>1</w:t>
          </w:r>
          <w:r>
            <w:fldChar w:fldCharType="end"/>
          </w:r>
          <w:r>
            <w:rPr>
              <w:rFonts w:hint="eastAsia"/>
            </w:rPr>
            <w:fldChar w:fldCharType="end"/>
          </w:r>
        </w:p>
        <w:p>
          <w:pPr>
            <w:pStyle w:val="35"/>
            <w:tabs>
              <w:tab w:val="right" w:leader="dot" w:pos="8306"/>
            </w:tabs>
            <w:rPr>
              <w:b/>
            </w:rPr>
          </w:pPr>
          <w:r>
            <w:rPr>
              <w:rFonts w:hint="eastAsia"/>
              <w:b/>
            </w:rPr>
            <w:fldChar w:fldCharType="begin"/>
          </w:r>
          <w:r>
            <w:rPr>
              <w:rFonts w:hint="eastAsia"/>
              <w:b/>
            </w:rPr>
            <w:instrText xml:space="preserve"> HYPERLINK \l _Toc31995 </w:instrText>
          </w:r>
          <w:r>
            <w:rPr>
              <w:rFonts w:hint="eastAsia"/>
              <w:b/>
            </w:rPr>
            <w:fldChar w:fldCharType="separate"/>
          </w:r>
          <w:r>
            <w:rPr>
              <w:rFonts w:hint="eastAsia"/>
              <w:b/>
            </w:rPr>
            <w:t>第二部分</w:t>
          </w:r>
          <w:r>
            <w:rPr>
              <w:rFonts w:hint="eastAsia"/>
              <w:b/>
              <w:lang w:val="en-US" w:eastAsia="zh-CN"/>
            </w:rPr>
            <w:t xml:space="preserve"> </w:t>
          </w:r>
          <w:r>
            <w:rPr>
              <w:rFonts w:hint="eastAsia"/>
              <w:b/>
            </w:rPr>
            <w:t xml:space="preserve"> </w:t>
          </w:r>
          <w:r>
            <w:rPr>
              <w:rFonts w:hint="eastAsia"/>
              <w:b/>
              <w:lang w:val="en-US" w:eastAsia="zh-CN"/>
            </w:rPr>
            <w:t>2024年度单位</w:t>
          </w:r>
          <w:r>
            <w:rPr>
              <w:rFonts w:hint="eastAsia"/>
              <w:b/>
            </w:rPr>
            <w:t>决算情况说明</w:t>
          </w:r>
          <w:r>
            <w:rPr>
              <w:b/>
            </w:rPr>
            <w:tab/>
          </w:r>
          <w:r>
            <w:rPr>
              <w:b/>
            </w:rPr>
            <w:fldChar w:fldCharType="begin"/>
          </w:r>
          <w:r>
            <w:rPr>
              <w:b/>
            </w:rPr>
            <w:instrText xml:space="preserve"> PAGEREF _Toc31995 \h </w:instrText>
          </w:r>
          <w:r>
            <w:rPr>
              <w:b/>
            </w:rPr>
            <w:fldChar w:fldCharType="separate"/>
          </w:r>
          <w:r>
            <w:rPr>
              <w:b/>
            </w:rPr>
            <w:t>2</w:t>
          </w:r>
          <w:r>
            <w:rPr>
              <w:b/>
            </w:rPr>
            <w:fldChar w:fldCharType="end"/>
          </w:r>
          <w:r>
            <w:rPr>
              <w:rFonts w:hint="eastAsia"/>
              <w:b/>
            </w:rPr>
            <w:fldChar w:fldCharType="end"/>
          </w:r>
        </w:p>
        <w:p>
          <w:pPr>
            <w:pStyle w:val="36"/>
            <w:tabs>
              <w:tab w:val="right" w:leader="dot" w:pos="8306"/>
            </w:tabs>
          </w:pPr>
          <w:r>
            <w:rPr>
              <w:rFonts w:hint="eastAsia"/>
            </w:rPr>
            <w:fldChar w:fldCharType="begin"/>
          </w:r>
          <w:r>
            <w:rPr>
              <w:rFonts w:hint="eastAsia"/>
            </w:rPr>
            <w:instrText xml:space="preserve"> HYPERLINK \l _Toc20089 </w:instrText>
          </w:r>
          <w:r>
            <w:rPr>
              <w:rFonts w:hint="eastAsia"/>
            </w:rPr>
            <w:fldChar w:fldCharType="separate"/>
          </w:r>
          <w:r>
            <w:rPr>
              <w:rFonts w:hint="eastAsia"/>
              <w:lang w:eastAsia="zh-CN"/>
            </w:rPr>
            <w:t>一、</w:t>
          </w:r>
          <w:r>
            <w:rPr>
              <w:rFonts w:hint="eastAsia"/>
            </w:rPr>
            <w:t>收入支出决算总体情况说明</w:t>
          </w:r>
          <w:r>
            <w:tab/>
          </w:r>
          <w:r>
            <w:fldChar w:fldCharType="begin"/>
          </w:r>
          <w:r>
            <w:instrText xml:space="preserve"> PAGEREF _Toc20089 \h </w:instrText>
          </w:r>
          <w:r>
            <w:fldChar w:fldCharType="separate"/>
          </w:r>
          <w:r>
            <w:t>2</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_Toc2915 </w:instrText>
          </w:r>
          <w:r>
            <w:rPr>
              <w:rFonts w:hint="eastAsia"/>
            </w:rPr>
            <w:fldChar w:fldCharType="separate"/>
          </w:r>
          <w:r>
            <w:rPr>
              <w:rFonts w:hint="eastAsia"/>
              <w:lang w:eastAsia="zh-CN"/>
            </w:rPr>
            <w:t>二、收入决算情况说明</w:t>
          </w:r>
          <w:r>
            <w:tab/>
          </w:r>
          <w:r>
            <w:fldChar w:fldCharType="begin"/>
          </w:r>
          <w:r>
            <w:instrText xml:space="preserve"> PAGEREF _Toc2915 \h </w:instrText>
          </w:r>
          <w:r>
            <w:fldChar w:fldCharType="separate"/>
          </w:r>
          <w:r>
            <w:t>2</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_Toc31123 </w:instrText>
          </w:r>
          <w:r>
            <w:rPr>
              <w:rFonts w:hint="eastAsia"/>
            </w:rPr>
            <w:fldChar w:fldCharType="separate"/>
          </w:r>
          <w:r>
            <w:rPr>
              <w:rFonts w:hint="eastAsia"/>
              <w:lang w:eastAsia="zh-CN"/>
            </w:rPr>
            <w:t>三、</w:t>
          </w:r>
          <w:r>
            <w:rPr>
              <w:rFonts w:hint="eastAsia"/>
            </w:rPr>
            <w:t>支出决算情况说明</w:t>
          </w:r>
          <w:r>
            <w:tab/>
          </w:r>
          <w:r>
            <w:fldChar w:fldCharType="begin"/>
          </w:r>
          <w:r>
            <w:instrText xml:space="preserve"> PAGEREF _Toc31123 \h </w:instrText>
          </w:r>
          <w:r>
            <w:fldChar w:fldCharType="separate"/>
          </w:r>
          <w:r>
            <w:t>3</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_Toc13733 </w:instrText>
          </w:r>
          <w:r>
            <w:rPr>
              <w:rFonts w:hint="eastAsia"/>
            </w:rPr>
            <w:fldChar w:fldCharType="separate"/>
          </w:r>
          <w:r>
            <w:rPr>
              <w:rFonts w:hint="eastAsia"/>
            </w:rPr>
            <w:t>四、财政拨款收入支出决算总体情况说明</w:t>
          </w:r>
          <w:r>
            <w:tab/>
          </w:r>
          <w:r>
            <w:fldChar w:fldCharType="begin"/>
          </w:r>
          <w:r>
            <w:instrText xml:space="preserve"> PAGEREF _Toc13733 \h </w:instrText>
          </w:r>
          <w:r>
            <w:fldChar w:fldCharType="separate"/>
          </w:r>
          <w:r>
            <w:t>4</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_Toc24025 </w:instrText>
          </w:r>
          <w:r>
            <w:rPr>
              <w:rFonts w:hint="eastAsia"/>
            </w:rPr>
            <w:fldChar w:fldCharType="separate"/>
          </w:r>
          <w:r>
            <w:rPr>
              <w:rFonts w:hint="eastAsia"/>
            </w:rPr>
            <w:t>五、一般公共预算财政拨款支出决算情况说明</w:t>
          </w:r>
          <w:r>
            <w:tab/>
          </w:r>
          <w:r>
            <w:fldChar w:fldCharType="begin"/>
          </w:r>
          <w:r>
            <w:instrText xml:space="preserve"> PAGEREF _Toc24025 \h </w:instrText>
          </w:r>
          <w:r>
            <w:fldChar w:fldCharType="separate"/>
          </w:r>
          <w:r>
            <w:t>4</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_Toc9738 </w:instrText>
          </w:r>
          <w:r>
            <w:rPr>
              <w:rFonts w:hint="eastAsia"/>
            </w:rPr>
            <w:fldChar w:fldCharType="separate"/>
          </w:r>
          <w:r>
            <w:rPr>
              <w:rFonts w:hint="eastAsia"/>
            </w:rPr>
            <w:t>六、一般公共预算财政拨款基本支出决算情况说明</w:t>
          </w:r>
          <w:r>
            <w:tab/>
          </w:r>
          <w:r>
            <w:fldChar w:fldCharType="begin"/>
          </w:r>
          <w:r>
            <w:instrText xml:space="preserve"> PAGEREF _Toc9738 \h </w:instrText>
          </w:r>
          <w:r>
            <w:fldChar w:fldCharType="separate"/>
          </w:r>
          <w:r>
            <w:t>7</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_Toc444 </w:instrText>
          </w:r>
          <w:r>
            <w:rPr>
              <w:rFonts w:hint="eastAsia"/>
            </w:rPr>
            <w:fldChar w:fldCharType="separate"/>
          </w:r>
          <w:r>
            <w:rPr>
              <w:rFonts w:hint="eastAsia"/>
            </w:rPr>
            <w:t>七、财政拨款“三公”经费支出决算情况说明</w:t>
          </w:r>
          <w:r>
            <w:tab/>
          </w:r>
          <w:r>
            <w:fldChar w:fldCharType="begin"/>
          </w:r>
          <w:r>
            <w:instrText xml:space="preserve"> PAGEREF _Toc444 \h </w:instrText>
          </w:r>
          <w:r>
            <w:fldChar w:fldCharType="separate"/>
          </w:r>
          <w:r>
            <w:t>7</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_Toc11716 </w:instrText>
          </w:r>
          <w:r>
            <w:rPr>
              <w:rFonts w:hint="eastAsia"/>
            </w:rPr>
            <w:fldChar w:fldCharType="separate"/>
          </w:r>
          <w:r>
            <w:rPr>
              <w:rFonts w:hint="eastAsia"/>
            </w:rPr>
            <w:t>八、政府性基金预算支出决算情况说明</w:t>
          </w:r>
          <w:r>
            <w:tab/>
          </w:r>
          <w:r>
            <w:fldChar w:fldCharType="begin"/>
          </w:r>
          <w:r>
            <w:instrText xml:space="preserve"> PAGEREF _Toc11716 \h </w:instrText>
          </w:r>
          <w:r>
            <w:fldChar w:fldCharType="separate"/>
          </w:r>
          <w:r>
            <w:t>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_Toc6276 </w:instrText>
          </w:r>
          <w:r>
            <w:rPr>
              <w:rFonts w:hint="eastAsia"/>
            </w:rPr>
            <w:fldChar w:fldCharType="separate"/>
          </w:r>
          <w:r>
            <w:rPr>
              <w:rFonts w:hint="eastAsia"/>
              <w:lang w:eastAsia="zh-CN"/>
            </w:rPr>
            <w:t>九、</w:t>
          </w:r>
          <w:r>
            <w:rPr>
              <w:rFonts w:hint="eastAsia"/>
            </w:rPr>
            <w:t>国有资本经营预算支出决算情况说明</w:t>
          </w:r>
          <w:r>
            <w:tab/>
          </w:r>
          <w:r>
            <w:fldChar w:fldCharType="begin"/>
          </w:r>
          <w:r>
            <w:instrText xml:space="preserve"> PAGEREF _Toc6276 \h </w:instrText>
          </w:r>
          <w:r>
            <w:fldChar w:fldCharType="separate"/>
          </w:r>
          <w:r>
            <w:t>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_Toc18221 </w:instrText>
          </w:r>
          <w:r>
            <w:rPr>
              <w:rFonts w:hint="eastAsia"/>
            </w:rPr>
            <w:fldChar w:fldCharType="separate"/>
          </w:r>
          <w:r>
            <w:rPr>
              <w:rFonts w:hint="eastAsia"/>
              <w:lang w:eastAsia="zh-CN"/>
            </w:rPr>
            <w:t>十、</w:t>
          </w:r>
          <w:r>
            <w:rPr>
              <w:rFonts w:hint="eastAsia"/>
            </w:rPr>
            <w:t>其他重要事项的情况说明</w:t>
          </w:r>
          <w:r>
            <w:tab/>
          </w:r>
          <w:r>
            <w:fldChar w:fldCharType="begin"/>
          </w:r>
          <w:r>
            <w:instrText xml:space="preserve"> PAGEREF _Toc18221 \h </w:instrText>
          </w:r>
          <w:r>
            <w:fldChar w:fldCharType="separate"/>
          </w:r>
          <w:r>
            <w:t>8</w:t>
          </w:r>
          <w:r>
            <w:fldChar w:fldCharType="end"/>
          </w:r>
          <w:r>
            <w:rPr>
              <w:rFonts w:hint="eastAsia"/>
            </w:rPr>
            <w:fldChar w:fldCharType="end"/>
          </w:r>
        </w:p>
        <w:p>
          <w:pPr>
            <w:pStyle w:val="35"/>
            <w:tabs>
              <w:tab w:val="right" w:leader="dot" w:pos="8306"/>
            </w:tabs>
            <w:rPr>
              <w:rFonts w:hint="eastAsia"/>
              <w:b/>
            </w:rPr>
          </w:pPr>
          <w:r>
            <w:rPr>
              <w:rFonts w:hint="eastAsia"/>
              <w:b/>
            </w:rPr>
            <w:fldChar w:fldCharType="begin"/>
          </w:r>
          <w:r>
            <w:rPr>
              <w:rFonts w:hint="eastAsia"/>
              <w:b/>
            </w:rPr>
            <w:instrText xml:space="preserve"> HYPERLINK \l _Toc31785 </w:instrText>
          </w:r>
          <w:r>
            <w:rPr>
              <w:rFonts w:hint="eastAsia"/>
              <w:b/>
            </w:rPr>
            <w:fldChar w:fldCharType="separate"/>
          </w:r>
          <w:r>
            <w:rPr>
              <w:rFonts w:hint="eastAsia"/>
              <w:b/>
            </w:rPr>
            <w:t>第</w:t>
          </w:r>
          <w:r>
            <w:rPr>
              <w:rFonts w:hint="eastAsia"/>
              <w:b/>
              <w:lang w:eastAsia="zh-CN"/>
            </w:rPr>
            <w:t>三</w:t>
          </w:r>
          <w:r>
            <w:rPr>
              <w:rFonts w:hint="eastAsia"/>
              <w:b/>
            </w:rPr>
            <w:t>部分</w:t>
          </w:r>
          <w:r>
            <w:rPr>
              <w:rFonts w:hint="eastAsia"/>
              <w:b/>
              <w:lang w:val="en-US" w:eastAsia="zh-CN"/>
            </w:rPr>
            <w:t xml:space="preserve"> </w:t>
          </w:r>
          <w:r>
            <w:rPr>
              <w:rFonts w:hint="eastAsia"/>
              <w:b/>
            </w:rPr>
            <w:t>名词解释</w:t>
          </w:r>
          <w:r>
            <w:rPr>
              <w:b/>
            </w:rPr>
            <w:tab/>
          </w:r>
          <w:r>
            <w:rPr>
              <w:b/>
            </w:rPr>
            <w:fldChar w:fldCharType="begin"/>
          </w:r>
          <w:r>
            <w:rPr>
              <w:b/>
            </w:rPr>
            <w:instrText xml:space="preserve"> PAGEREF _Toc31785 \h </w:instrText>
          </w:r>
          <w:r>
            <w:rPr>
              <w:b/>
            </w:rPr>
            <w:fldChar w:fldCharType="separate"/>
          </w:r>
          <w:r>
            <w:rPr>
              <w:b/>
            </w:rPr>
            <w:t>10</w:t>
          </w:r>
          <w:r>
            <w:rPr>
              <w:b/>
            </w:rPr>
            <w:fldChar w:fldCharType="end"/>
          </w:r>
          <w:r>
            <w:rPr>
              <w:rFonts w:hint="eastAsia"/>
              <w:b/>
            </w:rPr>
            <w:fldChar w:fldCharType="end"/>
          </w:r>
        </w:p>
        <w:p>
          <w:pPr>
            <w:pStyle w:val="35"/>
            <w:tabs>
              <w:tab w:val="right" w:leader="dot" w:pos="8306"/>
            </w:tabs>
            <w:rPr>
              <w:rFonts w:hint="eastAsia" w:ascii="Times New Roman" w:hAnsi="Times New Roman" w:eastAsia="宋体" w:cs="Times New Roman"/>
              <w:b/>
            </w:rPr>
          </w:pPr>
          <w:r>
            <w:rPr>
              <w:rFonts w:hint="eastAsia" w:ascii="Times New Roman" w:hAnsi="Times New Roman" w:eastAsia="宋体" w:cs="Times New Roman"/>
              <w:b/>
            </w:rPr>
            <w:fldChar w:fldCharType="begin"/>
          </w:r>
          <w:r>
            <w:rPr>
              <w:rFonts w:hint="eastAsia" w:ascii="Times New Roman" w:hAnsi="Times New Roman" w:eastAsia="宋体" w:cs="Times New Roman"/>
              <w:b/>
            </w:rPr>
            <w:instrText xml:space="preserve"> HYPERLINK \l _Toc30243 </w:instrText>
          </w:r>
          <w:r>
            <w:rPr>
              <w:rFonts w:hint="eastAsia" w:ascii="Times New Roman" w:hAnsi="Times New Roman" w:eastAsia="宋体" w:cs="Times New Roman"/>
              <w:b/>
            </w:rPr>
            <w:fldChar w:fldCharType="separate"/>
          </w:r>
          <w:r>
            <w:rPr>
              <w:rFonts w:hint="eastAsia" w:ascii="Times New Roman" w:hAnsi="Times New Roman" w:eastAsia="宋体" w:cs="Times New Roman"/>
              <w:b/>
            </w:rPr>
            <w:t>第四部分 附件</w:t>
          </w:r>
          <w:r>
            <w:rPr>
              <w:rFonts w:ascii="Times New Roman" w:hAnsi="Times New Roman" w:eastAsia="宋体" w:cs="Times New Roman"/>
              <w:b/>
            </w:rPr>
            <w:tab/>
          </w:r>
          <w:r>
            <w:rPr>
              <w:rFonts w:hint="eastAsia" w:ascii="Times New Roman" w:hAnsi="Times New Roman" w:eastAsia="宋体" w:cs="Times New Roman"/>
              <w:b/>
              <w:lang w:val="en-US" w:eastAsia="zh-CN"/>
            </w:rPr>
            <w:t xml:space="preserve">12 </w:t>
          </w:r>
          <w:r>
            <w:rPr>
              <w:rFonts w:hint="eastAsia" w:ascii="Times New Roman" w:hAnsi="Times New Roman" w:eastAsia="宋体" w:cs="Times New Roman"/>
              <w:b/>
            </w:rPr>
            <w:fldChar w:fldCharType="end"/>
          </w:r>
        </w:p>
        <w:p>
          <w:pPr>
            <w:pStyle w:val="35"/>
            <w:tabs>
              <w:tab w:val="right" w:leader="dot" w:pos="8306"/>
            </w:tabs>
            <w:rPr>
              <w:b/>
            </w:rPr>
          </w:pPr>
          <w:r>
            <w:rPr>
              <w:rFonts w:hint="eastAsia"/>
              <w:b/>
            </w:rPr>
            <w:fldChar w:fldCharType="begin"/>
          </w:r>
          <w:r>
            <w:rPr>
              <w:rFonts w:hint="eastAsia"/>
              <w:b/>
            </w:rPr>
            <w:instrText xml:space="preserve"> HYPERLINK \l _Toc12602 </w:instrText>
          </w:r>
          <w:r>
            <w:rPr>
              <w:rFonts w:hint="eastAsia"/>
              <w:b/>
            </w:rPr>
            <w:fldChar w:fldCharType="separate"/>
          </w:r>
          <w:r>
            <w:rPr>
              <w:rFonts w:hint="eastAsia"/>
              <w:b/>
            </w:rPr>
            <w:t>第五部分 附表</w:t>
          </w:r>
          <w:r>
            <w:rPr>
              <w:b/>
            </w:rPr>
            <w:tab/>
          </w:r>
          <w:r>
            <w:rPr>
              <w:b/>
            </w:rPr>
            <w:fldChar w:fldCharType="begin"/>
          </w:r>
          <w:r>
            <w:rPr>
              <w:b/>
            </w:rPr>
            <w:instrText xml:space="preserve"> PAGEREF _Toc12602 \h </w:instrText>
          </w:r>
          <w:r>
            <w:rPr>
              <w:b/>
            </w:rPr>
            <w:fldChar w:fldCharType="separate"/>
          </w:r>
          <w:r>
            <w:rPr>
              <w:b/>
            </w:rPr>
            <w:t>18</w:t>
          </w:r>
          <w:r>
            <w:rPr>
              <w:b/>
            </w:rPr>
            <w:fldChar w:fldCharType="end"/>
          </w:r>
          <w:r>
            <w:rPr>
              <w:rFonts w:hint="eastAsia"/>
              <w:b/>
            </w:rPr>
            <w:fldChar w:fldCharType="end"/>
          </w:r>
        </w:p>
        <w:p>
          <w:pPr>
            <w:pStyle w:val="36"/>
            <w:tabs>
              <w:tab w:val="right" w:leader="dot" w:pos="8306"/>
            </w:tabs>
          </w:pPr>
          <w:r>
            <w:rPr>
              <w:rFonts w:hint="eastAsia"/>
            </w:rPr>
            <w:fldChar w:fldCharType="begin"/>
          </w:r>
          <w:r>
            <w:rPr>
              <w:rFonts w:hint="eastAsia"/>
            </w:rPr>
            <w:instrText xml:space="preserve"> HYPERLINK \l _Toc4394 </w:instrText>
          </w:r>
          <w:r>
            <w:rPr>
              <w:rFonts w:hint="eastAsia"/>
            </w:rP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_Toc4394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_Toc16999 </w:instrText>
          </w:r>
          <w:r>
            <w:rPr>
              <w:rFonts w:hint="eastAsia"/>
            </w:rP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_Toc16999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_Toc4152 </w:instrText>
          </w:r>
          <w:r>
            <w:rPr>
              <w:rFonts w:hint="eastAsia"/>
            </w:rP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_Toc4152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_Toc17437 </w:instrText>
          </w:r>
          <w:r>
            <w:rPr>
              <w:rFonts w:hint="eastAsia"/>
            </w:rP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_Toc17437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_Toc19090 </w:instrText>
          </w:r>
          <w:r>
            <w:rPr>
              <w:rFonts w:hint="eastAsia"/>
            </w:rP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_Toc19090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_Toc8756 </w:instrText>
          </w:r>
          <w:r>
            <w:rPr>
              <w:rFonts w:hint="eastAsia"/>
            </w:rP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_Toc8756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_Toc9729 </w:instrText>
          </w:r>
          <w:r>
            <w:rPr>
              <w:rFonts w:hint="eastAsia"/>
            </w:rP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_Toc9729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_Toc22385 </w:instrText>
          </w:r>
          <w:r>
            <w:rPr>
              <w:rFonts w:hint="eastAsia"/>
            </w:rP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_Toc22385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_Toc13767 </w:instrText>
          </w:r>
          <w:r>
            <w:rPr>
              <w:rFonts w:hint="eastAsia"/>
            </w:rP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_Toc13767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_Toc1860 </w:instrText>
          </w:r>
          <w:r>
            <w:rPr>
              <w:rFonts w:hint="eastAsia"/>
            </w:rP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_Toc1860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_Toc16390 </w:instrText>
          </w:r>
          <w:r>
            <w:rPr>
              <w:rFonts w:hint="eastAsia"/>
            </w:rP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_Toc16390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_Toc30212 </w:instrText>
          </w:r>
          <w:r>
            <w:rPr>
              <w:rFonts w:hint="eastAsia"/>
            </w:rPr>
            <w:fldChar w:fldCharType="separate"/>
          </w:r>
          <w:r>
            <w:rPr>
              <w:rFonts w:hint="eastAsia" w:ascii="仿宋" w:hAnsi="仿宋" w:eastAsia="仿宋"/>
              <w:bCs w:val="0"/>
            </w:rPr>
            <w:t>十二、国有资本经营预算财政拨款支出决算表</w:t>
          </w:r>
          <w:r>
            <w:tab/>
          </w:r>
          <w:r>
            <w:fldChar w:fldCharType="begin"/>
          </w:r>
          <w:r>
            <w:instrText xml:space="preserve"> PAGEREF _Toc30212 \h </w:instrText>
          </w:r>
          <w:r>
            <w:fldChar w:fldCharType="separate"/>
          </w:r>
          <w:r>
            <w:t>18</w:t>
          </w:r>
          <w:r>
            <w:fldChar w:fldCharType="end"/>
          </w:r>
          <w:r>
            <w:rPr>
              <w:rFonts w:hint="eastAsia"/>
            </w:rPr>
            <w:fldChar w:fldCharType="end"/>
          </w:r>
        </w:p>
        <w:p>
          <w:pPr>
            <w:pStyle w:val="36"/>
            <w:tabs>
              <w:tab w:val="right" w:leader="dot" w:pos="8306"/>
            </w:tabs>
          </w:pPr>
          <w:r>
            <w:rPr>
              <w:rFonts w:hint="eastAsia"/>
            </w:rPr>
            <w:fldChar w:fldCharType="begin"/>
          </w:r>
          <w:r>
            <w:rPr>
              <w:rFonts w:hint="eastAsia"/>
            </w:rPr>
            <w:instrText xml:space="preserve"> HYPERLINK \l _Toc15211 </w:instrText>
          </w:r>
          <w:r>
            <w:rPr>
              <w:rFonts w:hint="eastAsia"/>
            </w:rPr>
            <w:fldChar w:fldCharType="separate"/>
          </w:r>
          <w:r>
            <w:rPr>
              <w:rFonts w:hint="eastAsia" w:ascii="仿宋" w:hAnsi="仿宋" w:eastAsia="仿宋"/>
              <w:bCs w:val="0"/>
            </w:rPr>
            <w:t>十三、财政拨款“三公”经费支出决算表</w:t>
          </w:r>
          <w:r>
            <w:tab/>
          </w:r>
          <w:r>
            <w:fldChar w:fldCharType="begin"/>
          </w:r>
          <w:r>
            <w:instrText xml:space="preserve"> PAGEREF _Toc15211 \h </w:instrText>
          </w:r>
          <w:r>
            <w:fldChar w:fldCharType="separate"/>
          </w:r>
          <w:r>
            <w:t>18</w:t>
          </w:r>
          <w:r>
            <w:fldChar w:fldCharType="end"/>
          </w:r>
          <w:r>
            <w:rPr>
              <w:rFonts w:hint="eastAsia"/>
            </w:rPr>
            <w:fldChar w:fldCharType="end"/>
          </w:r>
        </w:p>
        <w:p>
          <w:pPr>
            <w:pStyle w:val="3"/>
            <w:bidi w:val="0"/>
            <w:jc w:val="center"/>
            <w:outlineLvl w:val="9"/>
            <w:rPr>
              <w:rFonts w:hint="eastAsia"/>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r>
            <w:rPr>
              <w:rFonts w:hint="eastAsia"/>
              <w:b/>
            </w:rPr>
            <w:fldChar w:fldCharType="end"/>
          </w:r>
        </w:p>
      </w:sdtContent>
    </w:sdt>
    <w:p>
      <w:pPr>
        <w:pStyle w:val="3"/>
        <w:bidi w:val="0"/>
        <w:jc w:val="center"/>
      </w:pPr>
      <w:bookmarkStart w:id="23" w:name="_Toc5707"/>
      <w:bookmarkStart w:id="24" w:name="_Toc8032"/>
      <w:r>
        <w:rPr>
          <w:rFonts w:hint="eastAsia"/>
        </w:rPr>
        <w:t>第一部分</w:t>
      </w:r>
      <w:r>
        <w:rPr>
          <w:rFonts w:hint="eastAsia"/>
          <w:lang w:val="en-US" w:eastAsia="zh-CN"/>
        </w:rPr>
        <w:t xml:space="preserve"> </w:t>
      </w:r>
      <w:r>
        <w:rPr>
          <w:rFonts w:hint="eastAsia"/>
        </w:rPr>
        <w:t xml:space="preserve"> </w:t>
      </w:r>
      <w:r>
        <w:rPr>
          <w:rFonts w:hint="eastAsia"/>
          <w:lang w:val="en-US" w:eastAsia="zh-CN"/>
        </w:rPr>
        <w:t>单位</w:t>
      </w:r>
      <w:r>
        <w:rPr>
          <w:rFonts w:hint="eastAsia"/>
        </w:rPr>
        <w:t>概况</w:t>
      </w:r>
      <w:bookmarkEnd w:id="23"/>
      <w:bookmarkEnd w:id="24"/>
    </w:p>
    <w:p>
      <w:pPr>
        <w:pStyle w:val="4"/>
        <w:numPr>
          <w:ilvl w:val="0"/>
          <w:numId w:val="1"/>
        </w:numPr>
        <w:rPr>
          <w:rFonts w:hint="eastAsia" w:ascii="Times New Roman" w:hAnsi="Times New Roman" w:eastAsia="黑体"/>
          <w:b w:val="0"/>
          <w:color w:val="auto"/>
          <w:highlight w:val="none"/>
          <w:lang w:eastAsia="zh-CN"/>
        </w:rPr>
      </w:pPr>
      <w:bookmarkStart w:id="25" w:name="_Toc24049"/>
      <w:bookmarkStart w:id="26" w:name="_Toc18200"/>
      <w:r>
        <w:rPr>
          <w:rFonts w:hint="eastAsia" w:ascii="Times New Roman" w:hAnsi="Times New Roman" w:eastAsia="黑体"/>
          <w:b w:val="0"/>
          <w:color w:val="auto"/>
          <w:highlight w:val="none"/>
          <w:lang w:eastAsia="zh-CN"/>
        </w:rPr>
        <w:t>主要职责</w:t>
      </w:r>
      <w:bookmarkEnd w:id="25"/>
      <w:bookmarkEnd w:id="26"/>
    </w:p>
    <w:p>
      <w:pPr>
        <w:widowControl/>
        <w:ind w:firstLine="640" w:firstLineChars="200"/>
        <w:jc w:val="left"/>
        <w:rPr>
          <w:rFonts w:hint="eastAsia"/>
          <w:lang w:eastAsia="zh-CN"/>
        </w:rPr>
      </w:pPr>
      <w:r>
        <w:rPr>
          <w:rFonts w:hint="eastAsia" w:ascii="仿宋" w:hAnsi="仿宋" w:eastAsia="仿宋" w:cs="Times New Roman"/>
          <w:color w:val="auto"/>
          <w:sz w:val="32"/>
          <w:szCs w:val="32"/>
          <w:highlight w:val="none"/>
          <w:lang w:val="en-US" w:eastAsia="zh-CN"/>
        </w:rPr>
        <w:t>广元市教师发展中心承担全市教师队伍教育发展培训计划制定及市级培训项目的组织实施； 负责全市教师（校长）队伍继续教育、市级及以上名师（名校长）服务工作；协助争取国家、省级教师培训项目及组织实施；搭建市级教师专业发展平台和载体，开展县区级教师发展机构及学校校本培训相关指导，承担教师教育的课题研究工作，协助开展名师（名校长）先进教育教学经验和优秀教育教学成果推广工作。</w:t>
      </w:r>
    </w:p>
    <w:p>
      <w:pPr>
        <w:pStyle w:val="4"/>
        <w:numPr>
          <w:ilvl w:val="0"/>
          <w:numId w:val="1"/>
        </w:numPr>
        <w:bidi w:val="0"/>
        <w:rPr>
          <w:rFonts w:hint="eastAsia"/>
        </w:rPr>
      </w:pPr>
      <w:bookmarkStart w:id="27" w:name="_Toc10317"/>
      <w:bookmarkStart w:id="28" w:name="_Toc15396601"/>
      <w:bookmarkStart w:id="29" w:name="_Toc20984"/>
      <w:bookmarkStart w:id="30" w:name="_Toc15377200"/>
      <w:r>
        <w:rPr>
          <w:rFonts w:hint="eastAsia"/>
        </w:rPr>
        <w:t>机构设置</w:t>
      </w:r>
      <w:bookmarkEnd w:id="27"/>
      <w:bookmarkEnd w:id="28"/>
      <w:bookmarkEnd w:id="29"/>
      <w:bookmarkEnd w:id="30"/>
    </w:p>
    <w:p>
      <w:pPr>
        <w:pStyle w:val="4"/>
        <w:numPr>
          <w:ilvl w:val="0"/>
          <w:numId w:val="0"/>
        </w:numPr>
        <w:ind w:leftChars="0" w:firstLine="640" w:firstLineChars="200"/>
        <w:rPr>
          <w:rFonts w:hint="eastAsia" w:ascii="Times New Roman" w:hAnsi="Times New Roman" w:eastAsia="仿宋_GB2312" w:cs="仿宋_GB2312"/>
          <w:color w:val="auto"/>
          <w:sz w:val="32"/>
          <w:szCs w:val="32"/>
          <w:highlight w:val="none"/>
        </w:rPr>
      </w:pPr>
      <w:bookmarkStart w:id="31" w:name="_Toc5454"/>
      <w:bookmarkStart w:id="32" w:name="_Toc1022"/>
      <w:bookmarkStart w:id="33" w:name="_Toc11054"/>
      <w:r>
        <w:rPr>
          <w:rFonts w:hint="eastAsia" w:ascii="仿宋" w:hAnsi="仿宋" w:eastAsia="仿宋" w:cs="Times New Roman"/>
          <w:b w:val="0"/>
          <w:bCs w:val="0"/>
          <w:color w:val="auto"/>
          <w:kern w:val="2"/>
          <w:sz w:val="32"/>
          <w:szCs w:val="32"/>
          <w:highlight w:val="none"/>
          <w:lang w:val="en-US" w:eastAsia="zh-CN" w:bidi="ar-SA"/>
        </w:rPr>
        <w:t>广元市教师发展中心属于广元市教育局下属的二级预算单位，下设独立编制机构0个，其中行政机关0个，参照公务员法管理的事业机构0个，其他事业机构0个。</w:t>
      </w:r>
      <w:bookmarkEnd w:id="31"/>
      <w:bookmarkEnd w:id="32"/>
      <w:bookmarkEnd w:id="33"/>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3"/>
        <w:bidi w:val="0"/>
        <w:rPr>
          <w:rFonts w:hint="eastAsia"/>
        </w:rPr>
      </w:pPr>
      <w:bookmarkStart w:id="34" w:name="_Toc31995"/>
      <w:bookmarkStart w:id="35" w:name="_Toc15396602"/>
      <w:bookmarkStart w:id="36" w:name="_Toc6606"/>
      <w:bookmarkStart w:id="37" w:name="_Toc15377204"/>
      <w:r>
        <w:rPr>
          <w:rFonts w:hint="eastAsia"/>
        </w:rPr>
        <w:t>第二部分</w:t>
      </w:r>
      <w:r>
        <w:rPr>
          <w:rFonts w:hint="eastAsia"/>
          <w:lang w:val="en-US" w:eastAsia="zh-CN"/>
        </w:rPr>
        <w:t xml:space="preserve"> </w:t>
      </w:r>
      <w:r>
        <w:rPr>
          <w:rFonts w:hint="eastAsia"/>
        </w:rPr>
        <w:t xml:space="preserve"> </w:t>
      </w:r>
      <w:r>
        <w:rPr>
          <w:rFonts w:hint="eastAsia"/>
          <w:lang w:val="en-US" w:eastAsia="zh-CN"/>
        </w:rPr>
        <w:t>2024年度单位</w:t>
      </w:r>
      <w:r>
        <w:rPr>
          <w:rFonts w:hint="eastAsia"/>
        </w:rPr>
        <w:t>决算情况说明</w:t>
      </w:r>
      <w:bookmarkEnd w:id="34"/>
      <w:bookmarkEnd w:id="35"/>
      <w:bookmarkEnd w:id="36"/>
      <w:bookmarkEnd w:id="37"/>
    </w:p>
    <w:p>
      <w:pPr>
        <w:rPr>
          <w:rFonts w:ascii="Times New Roman" w:hAnsi="Times New Roman"/>
          <w:color w:val="auto"/>
          <w:highlight w:val="none"/>
        </w:rPr>
      </w:pPr>
    </w:p>
    <w:p>
      <w:pPr>
        <w:pStyle w:val="4"/>
        <w:bidi w:val="0"/>
        <w:rPr>
          <w:rFonts w:hint="eastAsia"/>
        </w:rPr>
      </w:pPr>
      <w:bookmarkStart w:id="38" w:name="_Toc15396603"/>
      <w:bookmarkStart w:id="39" w:name="_Toc15377205"/>
      <w:bookmarkStart w:id="40" w:name="_Toc4646"/>
      <w:bookmarkStart w:id="41" w:name="_Toc20089"/>
      <w:r>
        <w:rPr>
          <w:rFonts w:hint="eastAsia"/>
          <w:lang w:eastAsia="zh-CN"/>
        </w:rPr>
        <w:t>一、</w:t>
      </w:r>
      <w:r>
        <w:rPr>
          <w:rFonts w:hint="eastAsia"/>
        </w:rPr>
        <w:t>收入支出决算总体情况说明</w:t>
      </w:r>
      <w:bookmarkEnd w:id="38"/>
      <w:bookmarkEnd w:id="39"/>
      <w:bookmarkEnd w:id="40"/>
      <w:bookmarkEnd w:id="41"/>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eastAsia="仿宋_GB2312" w:cs="仿宋_GB2312"/>
          <w:color w:val="auto"/>
          <w:sz w:val="32"/>
          <w:szCs w:val="32"/>
          <w:highlight w:val="none"/>
          <w:lang w:val="en-US" w:eastAsia="zh-CN"/>
        </w:rPr>
      </w:pPr>
      <w:bookmarkStart w:id="42" w:name="_Toc10174"/>
      <w:bookmarkStart w:id="43" w:name="_Toc16225"/>
      <w:bookmarkStart w:id="44" w:name="_Toc7794"/>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665.87</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总计各增加</w:t>
      </w:r>
      <w:r>
        <w:rPr>
          <w:rFonts w:hint="eastAsia" w:eastAsia="仿宋_GB2312" w:cs="仿宋_GB2312"/>
          <w:color w:val="auto"/>
          <w:sz w:val="32"/>
          <w:szCs w:val="32"/>
          <w:highlight w:val="none"/>
          <w:lang w:val="en-US" w:eastAsia="zh-CN"/>
        </w:rPr>
        <w:t>405.12</w:t>
      </w:r>
      <w:r>
        <w:rPr>
          <w:rFonts w:hint="eastAsia" w:ascii="Times New Roman" w:hAnsi="Times New Roman" w:eastAsia="仿宋_GB2312" w:cs="仿宋_GB2312"/>
          <w:color w:val="auto"/>
          <w:sz w:val="32"/>
          <w:szCs w:val="32"/>
          <w:highlight w:val="none"/>
        </w:rPr>
        <w:t>万元，增长</w:t>
      </w:r>
      <w:r>
        <w:rPr>
          <w:rFonts w:hint="eastAsia" w:eastAsia="仿宋_GB2312" w:cs="仿宋_GB2312"/>
          <w:color w:val="auto"/>
          <w:sz w:val="32"/>
          <w:szCs w:val="32"/>
          <w:highlight w:val="none"/>
          <w:lang w:val="en-US" w:eastAsia="zh-CN"/>
        </w:rPr>
        <w:t>155.37</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eastAsia="zh-CN"/>
        </w:rPr>
        <w:t>项目支出增加</w:t>
      </w:r>
      <w:r>
        <w:rPr>
          <w:rFonts w:hint="eastAsia" w:eastAsia="仿宋_GB2312" w:cs="仿宋_GB2312"/>
          <w:color w:val="auto"/>
          <w:sz w:val="32"/>
          <w:szCs w:val="32"/>
          <w:highlight w:val="none"/>
          <w:lang w:val="en-US" w:eastAsia="zh-CN"/>
        </w:rPr>
        <w:t>417.55万元。</w:t>
      </w:r>
      <w:bookmarkEnd w:id="42"/>
      <w:bookmarkEnd w:id="43"/>
      <w:bookmarkEnd w:id="44"/>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eastAsia="仿宋_GB2312" w:cs="仿宋_GB2312"/>
          <w:color w:val="auto"/>
          <w:sz w:val="32"/>
          <w:szCs w:val="32"/>
          <w:highlight w:val="none"/>
          <w:lang w:val="en-US" w:eastAsia="zh-CN"/>
        </w:rPr>
      </w:pPr>
    </w:p>
    <w:p>
      <w:pPr>
        <w:pStyle w:val="30"/>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outlineLvl w:val="9"/>
        <w:rPr>
          <w:rFonts w:hint="default" w:eastAsia="仿宋_GB2312" w:cs="仿宋_GB2312"/>
          <w:color w:val="auto"/>
          <w:sz w:val="32"/>
          <w:szCs w:val="32"/>
          <w:highlight w:val="none"/>
          <w:lang w:val="en-US" w:eastAsia="zh-CN"/>
        </w:rPr>
      </w:pPr>
      <w:r>
        <w:drawing>
          <wp:inline distT="0" distB="0" distL="114300" distR="114300">
            <wp:extent cx="4800600" cy="2736215"/>
            <wp:effectExtent l="5080" t="4445" r="13970" b="2159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pPr>
        <w:pStyle w:val="4"/>
        <w:bidi w:val="0"/>
        <w:rPr>
          <w:rFonts w:hint="eastAsia"/>
          <w:lang w:eastAsia="zh-CN"/>
        </w:rPr>
      </w:pPr>
      <w:bookmarkStart w:id="45" w:name="_Toc15377206"/>
      <w:bookmarkStart w:id="46" w:name="_Toc29055"/>
      <w:bookmarkStart w:id="47" w:name="_Toc15396604"/>
      <w:bookmarkStart w:id="48" w:name="_Toc2915"/>
      <w:r>
        <w:rPr>
          <w:rFonts w:hint="eastAsia"/>
          <w:lang w:eastAsia="zh-CN"/>
        </w:rPr>
        <w:t>二、收入决算情况说明</w:t>
      </w:r>
      <w:bookmarkEnd w:id="45"/>
      <w:bookmarkEnd w:id="46"/>
      <w:bookmarkEnd w:id="47"/>
      <w:bookmarkEnd w:id="48"/>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bookmarkStart w:id="49" w:name="_Toc12289"/>
      <w:bookmarkStart w:id="50" w:name="_Toc18440"/>
      <w:bookmarkStart w:id="51" w:name="_Toc18615"/>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665.87万元，其中：一般公共预算财政拨款收入665.87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w:t>
      </w:r>
      <w:bookmarkEnd w:id="49"/>
      <w:bookmarkEnd w:id="50"/>
      <w:bookmarkEnd w:id="51"/>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color w:val="auto"/>
          <w:sz w:val="32"/>
          <w:szCs w:val="32"/>
          <w:highlight w:val="none"/>
          <w:lang w:eastAsia="zh-CN"/>
        </w:rPr>
      </w:pPr>
    </w:p>
    <w:p>
      <w:pPr>
        <w:rPr>
          <w:rFonts w:hint="eastAsia" w:ascii="Times New Roman" w:hAnsi="Times New Roman" w:eastAsia="仿宋_GB2312" w:cs="仿宋_GB2312"/>
          <w:color w:val="auto"/>
          <w:sz w:val="32"/>
          <w:szCs w:val="32"/>
          <w:highlight w:val="none"/>
          <w:lang w:eastAsia="zh-CN"/>
        </w:rPr>
      </w:pPr>
      <w:r>
        <w:drawing>
          <wp:anchor distT="0" distB="0" distL="114300" distR="114300" simplePos="0" relativeHeight="251659264" behindDoc="1" locked="0" layoutInCell="1" allowOverlap="1">
            <wp:simplePos x="0" y="0"/>
            <wp:positionH relativeFrom="column">
              <wp:posOffset>247015</wp:posOffset>
            </wp:positionH>
            <wp:positionV relativeFrom="paragraph">
              <wp:posOffset>225425</wp:posOffset>
            </wp:positionV>
            <wp:extent cx="4579620" cy="2687955"/>
            <wp:effectExtent l="4445" t="4445" r="6985" b="69850"/>
            <wp:wrapThrough wrapText="bothSides">
              <wp:wrapPolygon>
                <wp:start x="-21" y="-36"/>
                <wp:lineTo x="-21" y="21549"/>
                <wp:lineTo x="21543" y="21549"/>
                <wp:lineTo x="21543" y="-36"/>
                <wp:lineTo x="-21" y="-36"/>
              </wp:wrapPolygon>
            </wp:wrapThrough>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ind w:firstLine="800" w:firstLineChars="250"/>
        <w:rPr>
          <w:rFonts w:hint="eastAsia" w:ascii="Times New Roman" w:hAnsi="Times New Roman" w:eastAsia="仿宋_GB2312" w:cs="仿宋_GB2312"/>
          <w:color w:val="auto"/>
          <w:sz w:val="32"/>
          <w:szCs w:val="32"/>
          <w:highlight w:val="none"/>
          <w:lang w:eastAsia="zh-CN"/>
        </w:rPr>
      </w:pPr>
    </w:p>
    <w:p>
      <w:pPr>
        <w:ind w:firstLine="800" w:firstLineChars="250"/>
        <w:rPr>
          <w:rFonts w:hint="eastAsia" w:ascii="Times New Roman" w:hAnsi="Times New Roman" w:eastAsia="仿宋_GB2312" w:cs="仿宋_GB2312"/>
          <w:color w:val="auto"/>
          <w:sz w:val="32"/>
          <w:szCs w:val="32"/>
          <w:highlight w:val="none"/>
          <w:lang w:eastAsia="zh-CN"/>
        </w:rPr>
      </w:pPr>
    </w:p>
    <w:p>
      <w:pPr>
        <w:ind w:firstLine="800" w:firstLineChars="250"/>
        <w:rPr>
          <w:rFonts w:hint="eastAsia" w:ascii="Times New Roman" w:hAnsi="Times New Roman" w:eastAsia="仿宋_GB2312" w:cs="仿宋_GB2312"/>
          <w:color w:val="auto"/>
          <w:sz w:val="32"/>
          <w:szCs w:val="32"/>
          <w:highlight w:val="none"/>
          <w:lang w:eastAsia="zh-CN"/>
        </w:rPr>
      </w:pPr>
    </w:p>
    <w:p>
      <w:pPr>
        <w:rPr>
          <w:rFonts w:hint="eastAsia" w:ascii="Times New Roman" w:hAnsi="Times New Roman" w:eastAsia="仿宋_GB2312" w:cs="仿宋_GB2312"/>
          <w:color w:val="auto"/>
          <w:sz w:val="32"/>
          <w:szCs w:val="32"/>
          <w:highlight w:val="none"/>
          <w:lang w:eastAsia="zh-CN"/>
        </w:rPr>
      </w:pPr>
    </w:p>
    <w:p>
      <w:pPr>
        <w:ind w:firstLine="800" w:firstLineChars="250"/>
        <w:jc w:val="center"/>
        <w:rPr>
          <w:rFonts w:hint="eastAsia"/>
          <w:lang w:eastAsia="zh-CN"/>
        </w:rPr>
      </w:pPr>
      <w:r>
        <w:rPr>
          <w:rFonts w:hint="eastAsia" w:ascii="Times New Roman" w:hAnsi="Times New Roman" w:eastAsia="仿宋_GB2312" w:cs="仿宋_GB2312"/>
          <w:color w:val="auto"/>
          <w:sz w:val="32"/>
          <w:szCs w:val="32"/>
          <w:highlight w:val="none"/>
          <w:lang w:eastAsia="zh-CN"/>
        </w:rPr>
        <w:t>（图2：收入决算结构图）（饼状图）</w:t>
      </w:r>
    </w:p>
    <w:p>
      <w:pPr>
        <w:pStyle w:val="4"/>
        <w:bidi w:val="0"/>
        <w:rPr>
          <w:rFonts w:hint="eastAsia"/>
        </w:rPr>
      </w:pPr>
      <w:bookmarkStart w:id="52" w:name="_Toc26977"/>
      <w:bookmarkStart w:id="53" w:name="_Toc31123"/>
      <w:bookmarkStart w:id="54" w:name="_Toc15396605"/>
      <w:bookmarkStart w:id="55" w:name="_Toc15377207"/>
      <w:r>
        <w:rPr>
          <w:rFonts w:hint="eastAsia"/>
          <w:lang w:eastAsia="zh-CN"/>
        </w:rPr>
        <w:t>三、</w:t>
      </w:r>
      <w:r>
        <w:rPr>
          <w:rFonts w:hint="eastAsia"/>
        </w:rPr>
        <w:t>支出决算情况说明</w:t>
      </w:r>
      <w:bookmarkEnd w:id="52"/>
      <w:bookmarkEnd w:id="53"/>
      <w:bookmarkEnd w:id="54"/>
      <w:bookmarkEnd w:id="55"/>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bookmarkStart w:id="56" w:name="_Toc5105"/>
      <w:bookmarkStart w:id="57" w:name="_Toc3612"/>
      <w:bookmarkStart w:id="58" w:name="_Toc21087"/>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665.87</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150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22.52</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515.86</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77.47</w:t>
      </w:r>
      <w:r>
        <w:rPr>
          <w:rFonts w:hint="eastAsia" w:ascii="仿宋_GB2312" w:hAnsi="仿宋_GB2312" w:eastAsia="仿宋_GB2312" w:cs="仿宋_GB2312"/>
          <w:color w:val="auto"/>
          <w:sz w:val="32"/>
          <w:szCs w:val="32"/>
          <w:highlight w:val="none"/>
          <w:lang w:eastAsia="zh-CN"/>
        </w:rPr>
        <w:t>%。</w:t>
      </w:r>
      <w:bookmarkEnd w:id="56"/>
      <w:bookmarkEnd w:id="57"/>
      <w:bookmarkEnd w:id="58"/>
    </w:p>
    <w:p>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20" w:firstLineChars="200"/>
        <w:jc w:val="center"/>
        <w:textAlignment w:val="auto"/>
        <w:outlineLvl w:val="1"/>
        <w:rPr>
          <w:rFonts w:hint="eastAsia" w:ascii="Times New Roman" w:hAnsi="Times New Roman" w:eastAsia="仿宋_GB2312" w:cs="仿宋_GB2312"/>
          <w:color w:val="auto"/>
          <w:sz w:val="32"/>
          <w:szCs w:val="32"/>
          <w:highlight w:val="none"/>
          <w:lang w:eastAsia="zh-CN"/>
        </w:rPr>
      </w:pPr>
      <w:bookmarkStart w:id="59" w:name="_Toc24245"/>
      <w:bookmarkStart w:id="60" w:name="_Toc18311"/>
      <w:bookmarkStart w:id="61" w:name="_Toc5001"/>
      <w:r>
        <w:drawing>
          <wp:anchor distT="0" distB="0" distL="114300" distR="114300" simplePos="0" relativeHeight="251660288" behindDoc="1" locked="0" layoutInCell="1" allowOverlap="1">
            <wp:simplePos x="0" y="0"/>
            <wp:positionH relativeFrom="column">
              <wp:posOffset>287020</wp:posOffset>
            </wp:positionH>
            <wp:positionV relativeFrom="paragraph">
              <wp:posOffset>116205</wp:posOffset>
            </wp:positionV>
            <wp:extent cx="4848225" cy="2743200"/>
            <wp:effectExtent l="4445" t="4445" r="5080" b="14605"/>
            <wp:wrapThrough wrapText="bothSides">
              <wp:wrapPolygon>
                <wp:start x="-20" y="-35"/>
                <wp:lineTo x="-20" y="21565"/>
                <wp:lineTo x="21538" y="21565"/>
                <wp:lineTo x="21538" y="-35"/>
                <wp:lineTo x="-20" y="-35"/>
              </wp:wrapPolygon>
            </wp:wrapThrough>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Times New Roman" w:hAnsi="Times New Roman" w:eastAsia="仿宋_GB2312" w:cs="仿宋_GB2312"/>
          <w:color w:val="auto"/>
          <w:sz w:val="32"/>
          <w:szCs w:val="32"/>
          <w:highlight w:val="none"/>
          <w:lang w:eastAsia="zh-CN"/>
        </w:rPr>
        <w:t>（图3：支出决算结构图）（饼状图）</w:t>
      </w:r>
      <w:bookmarkEnd w:id="59"/>
      <w:bookmarkEnd w:id="60"/>
      <w:bookmarkEnd w:id="61"/>
    </w:p>
    <w:p>
      <w:pPr>
        <w:pStyle w:val="4"/>
        <w:bidi w:val="0"/>
      </w:pPr>
      <w:bookmarkStart w:id="62" w:name="_Toc30656"/>
      <w:bookmarkStart w:id="63" w:name="_Toc15377208"/>
      <w:bookmarkStart w:id="64" w:name="_Toc15396606"/>
      <w:bookmarkStart w:id="65" w:name="_Toc13733"/>
      <w:r>
        <w:rPr>
          <w:rFonts w:hint="eastAsia"/>
        </w:rPr>
        <w:t>四、财政拨款收入支出决算总体情况说明</w:t>
      </w:r>
      <w:bookmarkEnd w:id="62"/>
      <w:bookmarkEnd w:id="63"/>
      <w:bookmarkEnd w:id="64"/>
      <w:bookmarkEnd w:id="65"/>
    </w:p>
    <w:p>
      <w:pPr>
        <w:spacing w:line="600" w:lineRule="exact"/>
        <w:ind w:firstLine="640"/>
        <w:rPr>
          <w:rFonts w:hint="eastAsia" w:eastAsia="仿宋_GB2312" w:cs="仿宋_GB2312"/>
          <w:color w:val="auto"/>
          <w:sz w:val="32"/>
          <w:szCs w:val="32"/>
          <w:highlight w:val="none"/>
          <w:lang w:val="en-US" w:eastAsia="zh-CN"/>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665.87</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万元。与2023年度相比，财政拨款收入总计、支出总计各增加</w:t>
      </w:r>
      <w:r>
        <w:rPr>
          <w:rFonts w:hint="eastAsia" w:eastAsia="仿宋_GB2312" w:cs="仿宋_GB2312"/>
          <w:color w:val="auto"/>
          <w:kern w:val="2"/>
          <w:sz w:val="32"/>
          <w:szCs w:val="32"/>
          <w:highlight w:val="none"/>
          <w:lang w:val="en-US" w:eastAsia="zh-CN" w:bidi="ar-SA"/>
        </w:rPr>
        <w:t>405.12</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155.37</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sz w:val="32"/>
          <w:szCs w:val="32"/>
          <w:highlight w:val="none"/>
          <w:lang w:eastAsia="zh-CN"/>
        </w:rPr>
        <w:t>项目支出增加</w:t>
      </w:r>
      <w:r>
        <w:rPr>
          <w:rFonts w:hint="eastAsia" w:eastAsia="仿宋_GB2312" w:cs="仿宋_GB2312"/>
          <w:color w:val="auto"/>
          <w:sz w:val="32"/>
          <w:szCs w:val="32"/>
          <w:highlight w:val="none"/>
          <w:lang w:val="en-US" w:eastAsia="zh-CN"/>
        </w:rPr>
        <w:t>417.55万元。</w:t>
      </w:r>
    </w:p>
    <w:p>
      <w:pPr>
        <w:pStyle w:val="2"/>
        <w:jc w:val="center"/>
        <w:rPr>
          <w:rFonts w:hint="eastAsia" w:eastAsia="仿宋_GB2312" w:cs="仿宋_GB2312"/>
          <w:color w:val="auto"/>
          <w:sz w:val="32"/>
          <w:szCs w:val="32"/>
          <w:highlight w:val="none"/>
          <w:lang w:val="en-US" w:eastAsia="zh-CN"/>
        </w:rPr>
      </w:pPr>
      <w:r>
        <w:drawing>
          <wp:inline distT="0" distB="0" distL="114300" distR="114300">
            <wp:extent cx="4676775" cy="2743200"/>
            <wp:effectExtent l="4445" t="4445" r="5080" b="14605"/>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4"/>
        <w:bidi w:val="0"/>
      </w:pPr>
      <w:bookmarkStart w:id="66" w:name="_Toc24025"/>
      <w:bookmarkStart w:id="67" w:name="_Toc15377209"/>
      <w:bookmarkStart w:id="68" w:name="_Toc15396607"/>
      <w:bookmarkStart w:id="69" w:name="_Toc30344"/>
      <w:r>
        <w:rPr>
          <w:rFonts w:hint="eastAsia"/>
        </w:rPr>
        <w:t>五、一般公共预算财政拨款支出决算情况说明</w:t>
      </w:r>
      <w:bookmarkEnd w:id="66"/>
      <w:bookmarkEnd w:id="67"/>
      <w:bookmarkEnd w:id="68"/>
      <w:bookmarkEnd w:id="69"/>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70"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70"/>
    </w:p>
    <w:p>
      <w:pPr>
        <w:spacing w:line="600" w:lineRule="exact"/>
        <w:ind w:firstLine="640"/>
        <w:rPr>
          <w:rFonts w:hint="eastAsia"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665.87</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%。与2023年度相比，一般公共预算财政拨款支出增加405.12万元，增长155.37%。主要变动原因是</w:t>
      </w:r>
      <w:r>
        <w:rPr>
          <w:rFonts w:hint="eastAsia" w:eastAsia="仿宋_GB2312" w:cs="仿宋_GB2312"/>
          <w:color w:val="auto"/>
          <w:sz w:val="32"/>
          <w:szCs w:val="32"/>
          <w:highlight w:val="none"/>
          <w:lang w:eastAsia="zh-CN"/>
        </w:rPr>
        <w:t>项目支出增加</w:t>
      </w:r>
      <w:r>
        <w:rPr>
          <w:rFonts w:hint="eastAsia" w:eastAsia="仿宋_GB2312" w:cs="仿宋_GB2312"/>
          <w:color w:val="auto"/>
          <w:sz w:val="32"/>
          <w:szCs w:val="32"/>
          <w:highlight w:val="none"/>
          <w:lang w:val="en-US" w:eastAsia="zh-CN"/>
        </w:rPr>
        <w:t>417.55万元。</w:t>
      </w:r>
    </w:p>
    <w:p>
      <w:pPr>
        <w:pStyle w:val="2"/>
        <w:rPr>
          <w:rFonts w:hint="eastAsia" w:eastAsia="仿宋_GB2312" w:cs="仿宋_GB2312"/>
          <w:color w:val="auto"/>
          <w:sz w:val="32"/>
          <w:szCs w:val="32"/>
          <w:highlight w:val="none"/>
          <w:lang w:val="en-US" w:eastAsia="zh-CN"/>
        </w:rPr>
      </w:pPr>
    </w:p>
    <w:p>
      <w:pPr>
        <w:pStyle w:val="2"/>
        <w:jc w:val="center"/>
      </w:pPr>
      <w:r>
        <w:drawing>
          <wp:inline distT="0" distB="0" distL="114300" distR="114300">
            <wp:extent cx="4177665" cy="2070100"/>
            <wp:effectExtent l="5080" t="4445" r="8255" b="20955"/>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2"/>
        <w:jc w:val="lef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71"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71"/>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665.87</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教育支出</w:t>
      </w:r>
      <w:r>
        <w:rPr>
          <w:rFonts w:hint="eastAsia" w:eastAsia="仿宋_GB2312" w:cs="仿宋_GB2312"/>
          <w:color w:val="auto"/>
          <w:kern w:val="2"/>
          <w:sz w:val="32"/>
          <w:szCs w:val="32"/>
          <w:highlight w:val="none"/>
          <w:lang w:val="en-US" w:eastAsia="zh-CN" w:bidi="ar-SA"/>
        </w:rPr>
        <w:t>631.16</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94.79</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18.9</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2.84</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4.63</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0.70</w:t>
      </w:r>
      <w:r>
        <w:rPr>
          <w:rFonts w:hint="eastAsia" w:ascii="Times New Roman" w:hAnsi="Times New Roman" w:eastAsia="仿宋_GB2312" w:cs="仿宋_GB2312"/>
          <w:color w:val="auto"/>
          <w:kern w:val="2"/>
          <w:sz w:val="32"/>
          <w:szCs w:val="32"/>
          <w:highlight w:val="none"/>
          <w:lang w:val="en-US" w:eastAsia="zh-CN" w:bidi="ar-SA"/>
        </w:rPr>
        <w:t>%；住房保障支出</w:t>
      </w:r>
      <w:r>
        <w:rPr>
          <w:rFonts w:hint="eastAsia" w:eastAsia="仿宋_GB2312" w:cs="仿宋_GB2312"/>
          <w:color w:val="auto"/>
          <w:kern w:val="2"/>
          <w:sz w:val="32"/>
          <w:szCs w:val="32"/>
          <w:highlight w:val="none"/>
          <w:lang w:val="en-US" w:eastAsia="zh-CN" w:bidi="ar-SA"/>
        </w:rPr>
        <w:t>11.18</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1.68</w:t>
      </w:r>
      <w:r>
        <w:rPr>
          <w:rFonts w:hint="eastAsia" w:ascii="Times New Roman" w:hAnsi="Times New Roman" w:eastAsia="仿宋_GB2312" w:cs="仿宋_GB2312"/>
          <w:color w:val="auto"/>
          <w:kern w:val="2"/>
          <w:sz w:val="32"/>
          <w:szCs w:val="32"/>
          <w:highlight w:val="none"/>
          <w:lang w:val="en-US" w:eastAsia="zh-CN" w:bidi="ar-SA"/>
        </w:rPr>
        <w:t>%。</w:t>
      </w:r>
    </w:p>
    <w:p>
      <w:pPr>
        <w:pStyle w:val="2"/>
        <w:jc w:val="center"/>
        <w:rPr>
          <w:rFonts w:hint="eastAsia" w:ascii="Times New Roman" w:hAnsi="Times New Roman" w:eastAsia="仿宋_GB2312" w:cs="仿宋_GB2312"/>
          <w:color w:val="auto"/>
          <w:kern w:val="2"/>
          <w:sz w:val="32"/>
          <w:szCs w:val="32"/>
          <w:highlight w:val="none"/>
          <w:lang w:val="en-US" w:eastAsia="zh-CN" w:bidi="ar-SA"/>
        </w:rPr>
      </w:pPr>
      <w:r>
        <w:drawing>
          <wp:inline distT="0" distB="0" distL="114300" distR="114300">
            <wp:extent cx="4674235" cy="3030855"/>
            <wp:effectExtent l="4445" t="4445" r="7620" b="12700"/>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72"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7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73" w:name="_Toc15377213"/>
      <w:bookmarkStart w:id="74" w:name="_Toc15378460"/>
      <w:bookmarkStart w:id="75" w:name="_Toc15377444"/>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665.87</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73"/>
      <w:bookmarkEnd w:id="74"/>
      <w:bookmarkEnd w:id="75"/>
    </w:p>
    <w:p>
      <w:pPr>
        <w:spacing w:line="600" w:lineRule="exact"/>
        <w:ind w:firstLine="642" w:firstLineChars="200"/>
        <w:rPr>
          <w:rFonts w:ascii="仿宋" w:hAnsi="仿宋" w:eastAsia="仿宋"/>
          <w:b/>
          <w:sz w:val="32"/>
          <w:szCs w:val="32"/>
        </w:rPr>
      </w:pPr>
      <w:r>
        <w:rPr>
          <w:rStyle w:val="17"/>
          <w:rFonts w:hint="eastAsia" w:ascii="仿宋" w:hAnsi="仿宋" w:eastAsia="仿宋"/>
          <w:bCs/>
          <w:sz w:val="32"/>
          <w:szCs w:val="32"/>
          <w:lang w:val="en-US" w:eastAsia="zh-CN"/>
        </w:rPr>
        <w:t>1</w:t>
      </w:r>
      <w:r>
        <w:rPr>
          <w:rStyle w:val="17"/>
          <w:rFonts w:ascii="仿宋" w:hAnsi="仿宋" w:eastAsia="仿宋"/>
          <w:bCs/>
          <w:sz w:val="32"/>
          <w:szCs w:val="32"/>
        </w:rPr>
        <w:t>.</w:t>
      </w:r>
      <w:r>
        <w:rPr>
          <w:rStyle w:val="17"/>
          <w:rFonts w:hint="eastAsia" w:ascii="仿宋" w:hAnsi="仿宋" w:eastAsia="仿宋"/>
          <w:bCs/>
          <w:sz w:val="32"/>
          <w:szCs w:val="32"/>
        </w:rPr>
        <w:t>教育（类）</w:t>
      </w:r>
      <w:r>
        <w:rPr>
          <w:rStyle w:val="17"/>
          <w:rFonts w:hint="eastAsia" w:ascii="仿宋" w:hAnsi="仿宋" w:eastAsia="仿宋"/>
          <w:bCs/>
          <w:sz w:val="32"/>
          <w:szCs w:val="32"/>
          <w:lang w:val="en-US" w:eastAsia="zh-CN"/>
        </w:rPr>
        <w:t>教育管理事务</w:t>
      </w:r>
      <w:r>
        <w:rPr>
          <w:rStyle w:val="17"/>
          <w:rFonts w:hint="eastAsia" w:ascii="仿宋" w:hAnsi="仿宋" w:eastAsia="仿宋"/>
          <w:bCs/>
          <w:sz w:val="32"/>
          <w:szCs w:val="32"/>
        </w:rPr>
        <w:t>（款）</w:t>
      </w:r>
      <w:r>
        <w:rPr>
          <w:rStyle w:val="17"/>
          <w:rFonts w:hint="eastAsia" w:ascii="仿宋" w:hAnsi="仿宋" w:eastAsia="仿宋"/>
          <w:bCs/>
          <w:sz w:val="32"/>
          <w:szCs w:val="32"/>
          <w:lang w:val="en-US" w:eastAsia="zh-CN"/>
        </w:rPr>
        <w:t>其他教育管理事务</w:t>
      </w:r>
      <w:r>
        <w:rPr>
          <w:rStyle w:val="17"/>
          <w:rFonts w:hint="eastAsia" w:ascii="仿宋" w:hAnsi="仿宋" w:eastAsia="仿宋"/>
          <w:bCs/>
          <w:sz w:val="32"/>
          <w:szCs w:val="32"/>
        </w:rPr>
        <w:t>（项）</w:t>
      </w:r>
      <w:r>
        <w:rPr>
          <w:rStyle w:val="17"/>
          <w:rFonts w:hint="eastAsia" w:ascii="仿宋" w:hAnsi="仿宋" w:eastAsia="仿宋"/>
          <w:bCs/>
          <w:sz w:val="32"/>
          <w:szCs w:val="32"/>
          <w:lang w:eastAsia="zh-CN"/>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220.16</w:t>
      </w:r>
      <w:r>
        <w:rPr>
          <w:rStyle w:val="17"/>
          <w:rFonts w:hint="eastAsia" w:ascii="仿宋" w:hAnsi="仿宋" w:eastAsia="仿宋"/>
          <w:b w:val="0"/>
          <w:bCs/>
          <w:sz w:val="32"/>
          <w:szCs w:val="32"/>
        </w:rPr>
        <w:t>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，与预算数持平。</w:t>
      </w:r>
    </w:p>
    <w:p>
      <w:pPr>
        <w:spacing w:line="600" w:lineRule="exact"/>
        <w:ind w:firstLine="642" w:firstLineChars="200"/>
        <w:rPr>
          <w:rStyle w:val="17"/>
          <w:rFonts w:hint="eastAsia" w:ascii="仿宋" w:hAnsi="仿宋" w:eastAsia="仿宋"/>
          <w:b w:val="0"/>
          <w:bCs/>
          <w:color w:val="auto"/>
          <w:sz w:val="32"/>
          <w:szCs w:val="32"/>
          <w:highlight w:val="none"/>
        </w:rPr>
      </w:pPr>
      <w:r>
        <w:rPr>
          <w:rStyle w:val="17"/>
          <w:rFonts w:hint="eastAsia" w:ascii="仿宋" w:hAnsi="仿宋" w:eastAsia="仿宋"/>
          <w:bCs/>
          <w:sz w:val="32"/>
          <w:szCs w:val="32"/>
          <w:lang w:val="en-US" w:eastAsia="zh-CN"/>
        </w:rPr>
        <w:t>2</w:t>
      </w:r>
      <w:r>
        <w:rPr>
          <w:rStyle w:val="17"/>
          <w:rFonts w:ascii="仿宋" w:hAnsi="仿宋" w:eastAsia="仿宋"/>
          <w:bCs/>
          <w:sz w:val="32"/>
          <w:szCs w:val="32"/>
        </w:rPr>
        <w:t>.</w:t>
      </w:r>
      <w:r>
        <w:rPr>
          <w:rStyle w:val="17"/>
          <w:rFonts w:hint="eastAsia" w:ascii="仿宋" w:hAnsi="仿宋" w:eastAsia="仿宋"/>
          <w:bCs/>
          <w:sz w:val="32"/>
          <w:szCs w:val="32"/>
        </w:rPr>
        <w:t>教育（类）</w:t>
      </w:r>
      <w:r>
        <w:rPr>
          <w:rStyle w:val="17"/>
          <w:rFonts w:hint="eastAsia" w:ascii="仿宋" w:hAnsi="仿宋" w:eastAsia="仿宋"/>
          <w:bCs/>
          <w:sz w:val="32"/>
          <w:szCs w:val="32"/>
          <w:lang w:val="en-US" w:eastAsia="zh-CN"/>
        </w:rPr>
        <w:t>普通教育</w:t>
      </w:r>
      <w:r>
        <w:rPr>
          <w:rStyle w:val="17"/>
          <w:rFonts w:hint="eastAsia" w:ascii="仿宋" w:hAnsi="仿宋" w:eastAsia="仿宋"/>
          <w:bCs/>
          <w:sz w:val="32"/>
          <w:szCs w:val="32"/>
        </w:rPr>
        <w:t>（款）</w:t>
      </w:r>
      <w:r>
        <w:rPr>
          <w:rStyle w:val="17"/>
          <w:rFonts w:hint="eastAsia" w:ascii="仿宋" w:hAnsi="仿宋" w:eastAsia="仿宋"/>
          <w:bCs/>
          <w:sz w:val="32"/>
          <w:szCs w:val="32"/>
          <w:lang w:val="en-US" w:eastAsia="zh-CN"/>
        </w:rPr>
        <w:t>初中教育</w:t>
      </w:r>
      <w:r>
        <w:rPr>
          <w:rStyle w:val="17"/>
          <w:rFonts w:hint="eastAsia" w:ascii="仿宋" w:hAnsi="仿宋" w:eastAsia="仿宋"/>
          <w:bCs/>
          <w:sz w:val="32"/>
          <w:szCs w:val="32"/>
        </w:rPr>
        <w:t>（项）</w:t>
      </w:r>
      <w:r>
        <w:rPr>
          <w:rStyle w:val="17"/>
          <w:rFonts w:hint="eastAsia" w:ascii="仿宋" w:hAnsi="仿宋" w:eastAsia="仿宋"/>
          <w:bCs/>
          <w:sz w:val="32"/>
          <w:szCs w:val="32"/>
          <w:lang w:eastAsia="zh-CN"/>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334</w:t>
      </w:r>
      <w:r>
        <w:rPr>
          <w:rStyle w:val="17"/>
          <w:rFonts w:hint="eastAsia" w:ascii="仿宋" w:hAnsi="仿宋" w:eastAsia="仿宋"/>
          <w:b w:val="0"/>
          <w:bCs/>
          <w:sz w:val="32"/>
          <w:szCs w:val="32"/>
        </w:rPr>
        <w:t>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，与预算数持平。</w:t>
      </w:r>
    </w:p>
    <w:p>
      <w:pPr>
        <w:spacing w:line="600" w:lineRule="exact"/>
        <w:ind w:firstLine="642" w:firstLineChars="200"/>
        <w:rPr>
          <w:rStyle w:val="17"/>
          <w:rFonts w:hint="eastAsia" w:ascii="仿宋" w:hAnsi="仿宋" w:eastAsia="仿宋"/>
          <w:b w:val="0"/>
          <w:bCs/>
          <w:color w:val="auto"/>
          <w:sz w:val="32"/>
          <w:szCs w:val="32"/>
          <w:highlight w:val="none"/>
        </w:rPr>
      </w:pPr>
      <w:r>
        <w:rPr>
          <w:rStyle w:val="17"/>
          <w:rFonts w:hint="eastAsia" w:ascii="仿宋" w:hAnsi="仿宋" w:eastAsia="仿宋"/>
          <w:bCs/>
          <w:sz w:val="32"/>
          <w:szCs w:val="32"/>
          <w:lang w:val="en-US" w:eastAsia="zh-CN"/>
        </w:rPr>
        <w:t>3</w:t>
      </w:r>
      <w:r>
        <w:rPr>
          <w:rStyle w:val="17"/>
          <w:rFonts w:ascii="仿宋" w:hAnsi="仿宋" w:eastAsia="仿宋"/>
          <w:bCs/>
          <w:sz w:val="32"/>
          <w:szCs w:val="32"/>
        </w:rPr>
        <w:t>.</w:t>
      </w:r>
      <w:r>
        <w:rPr>
          <w:rStyle w:val="17"/>
          <w:rFonts w:hint="eastAsia" w:ascii="仿宋" w:hAnsi="仿宋" w:eastAsia="仿宋"/>
          <w:bCs/>
          <w:sz w:val="32"/>
          <w:szCs w:val="32"/>
        </w:rPr>
        <w:t>教育（类）</w:t>
      </w:r>
      <w:r>
        <w:rPr>
          <w:rStyle w:val="17"/>
          <w:rFonts w:hint="eastAsia" w:ascii="仿宋" w:hAnsi="仿宋" w:eastAsia="仿宋"/>
          <w:bCs/>
          <w:sz w:val="32"/>
          <w:szCs w:val="32"/>
          <w:lang w:val="en-US" w:eastAsia="zh-CN"/>
        </w:rPr>
        <w:t>进修及培训</w:t>
      </w:r>
      <w:r>
        <w:rPr>
          <w:rStyle w:val="17"/>
          <w:rFonts w:hint="eastAsia" w:ascii="仿宋" w:hAnsi="仿宋" w:eastAsia="仿宋"/>
          <w:bCs/>
          <w:sz w:val="32"/>
          <w:szCs w:val="32"/>
        </w:rPr>
        <w:t>（款）</w:t>
      </w:r>
      <w:r>
        <w:rPr>
          <w:rStyle w:val="17"/>
          <w:rFonts w:hint="eastAsia" w:ascii="仿宋" w:hAnsi="仿宋" w:eastAsia="仿宋"/>
          <w:bCs/>
          <w:sz w:val="32"/>
          <w:szCs w:val="32"/>
          <w:lang w:val="en-US" w:eastAsia="zh-CN"/>
        </w:rPr>
        <w:t>教师进修</w:t>
      </w:r>
      <w:r>
        <w:rPr>
          <w:rStyle w:val="17"/>
          <w:rFonts w:hint="eastAsia" w:ascii="仿宋" w:hAnsi="仿宋" w:eastAsia="仿宋"/>
          <w:bCs/>
          <w:sz w:val="32"/>
          <w:szCs w:val="32"/>
        </w:rPr>
        <w:t>（项）</w:t>
      </w:r>
      <w:r>
        <w:rPr>
          <w:rStyle w:val="17"/>
          <w:rFonts w:hint="eastAsia" w:ascii="仿宋" w:hAnsi="仿宋" w:eastAsia="仿宋"/>
          <w:bCs/>
          <w:sz w:val="32"/>
          <w:szCs w:val="32"/>
          <w:lang w:eastAsia="zh-CN"/>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77</w:t>
      </w:r>
      <w:r>
        <w:rPr>
          <w:rStyle w:val="17"/>
          <w:rFonts w:hint="eastAsia" w:ascii="仿宋" w:hAnsi="仿宋" w:eastAsia="仿宋"/>
          <w:b w:val="0"/>
          <w:bCs/>
          <w:sz w:val="32"/>
          <w:szCs w:val="32"/>
        </w:rPr>
        <w:t>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，与预算数持平。</w:t>
      </w:r>
    </w:p>
    <w:p>
      <w:pPr>
        <w:spacing w:line="600" w:lineRule="exact"/>
        <w:ind w:firstLine="642" w:firstLineChars="200"/>
        <w:rPr>
          <w:rStyle w:val="17"/>
          <w:rFonts w:ascii="仿宋" w:hAnsi="仿宋" w:eastAsia="仿宋"/>
          <w:bCs/>
          <w:sz w:val="32"/>
          <w:szCs w:val="32"/>
        </w:rPr>
      </w:pPr>
      <w:r>
        <w:rPr>
          <w:rStyle w:val="17"/>
          <w:rFonts w:hint="eastAsia" w:ascii="仿宋" w:hAnsi="仿宋" w:eastAsia="仿宋"/>
          <w:bCs/>
          <w:sz w:val="32"/>
          <w:szCs w:val="32"/>
          <w:lang w:val="en-US" w:eastAsia="zh-CN"/>
        </w:rPr>
        <w:t>4</w:t>
      </w:r>
      <w:r>
        <w:rPr>
          <w:rStyle w:val="17"/>
          <w:rFonts w:ascii="仿宋" w:hAnsi="仿宋" w:eastAsia="仿宋"/>
          <w:bCs/>
          <w:sz w:val="32"/>
          <w:szCs w:val="32"/>
        </w:rPr>
        <w:t>.</w:t>
      </w:r>
      <w:r>
        <w:rPr>
          <w:rStyle w:val="17"/>
          <w:rFonts w:hint="eastAsia" w:ascii="仿宋" w:hAnsi="仿宋" w:eastAsia="仿宋"/>
          <w:bCs/>
          <w:sz w:val="32"/>
          <w:szCs w:val="32"/>
        </w:rPr>
        <w:t>社会保障和就业（类）</w:t>
      </w:r>
      <w:r>
        <w:rPr>
          <w:rStyle w:val="17"/>
          <w:rFonts w:hint="eastAsia" w:ascii="仿宋" w:hAnsi="仿宋" w:eastAsia="仿宋"/>
          <w:bCs/>
          <w:sz w:val="32"/>
          <w:szCs w:val="32"/>
          <w:lang w:val="en-US" w:eastAsia="zh-CN"/>
        </w:rPr>
        <w:t>人力资源和社会保障管理实务</w:t>
      </w:r>
      <w:r>
        <w:rPr>
          <w:rStyle w:val="17"/>
          <w:rFonts w:hint="eastAsia" w:ascii="仿宋" w:hAnsi="仿宋" w:eastAsia="仿宋"/>
          <w:bCs/>
          <w:sz w:val="32"/>
          <w:szCs w:val="32"/>
        </w:rPr>
        <w:t>（款）</w:t>
      </w:r>
      <w:r>
        <w:rPr>
          <w:rStyle w:val="17"/>
          <w:rFonts w:hint="eastAsia" w:ascii="仿宋" w:hAnsi="仿宋" w:eastAsia="仿宋"/>
          <w:bCs/>
          <w:sz w:val="32"/>
          <w:szCs w:val="32"/>
          <w:lang w:val="en-US" w:eastAsia="zh-CN"/>
        </w:rPr>
        <w:t>引进人才费用</w:t>
      </w:r>
      <w:r>
        <w:rPr>
          <w:rStyle w:val="17"/>
          <w:rFonts w:hint="eastAsia" w:ascii="仿宋" w:hAnsi="仿宋" w:eastAsia="仿宋"/>
          <w:bCs/>
          <w:sz w:val="32"/>
          <w:szCs w:val="32"/>
        </w:rPr>
        <w:t>（项）</w:t>
      </w:r>
      <w:r>
        <w:rPr>
          <w:rStyle w:val="17"/>
          <w:rFonts w:hint="eastAsia" w:ascii="仿宋" w:hAnsi="仿宋" w:eastAsia="仿宋"/>
          <w:bCs/>
          <w:sz w:val="32"/>
          <w:szCs w:val="32"/>
          <w:lang w:eastAsia="zh-CN"/>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5.1</w:t>
      </w:r>
      <w:r>
        <w:rPr>
          <w:rStyle w:val="17"/>
          <w:rFonts w:hint="eastAsia" w:ascii="仿宋" w:hAnsi="仿宋" w:eastAsia="仿宋"/>
          <w:b w:val="0"/>
          <w:bCs/>
          <w:sz w:val="32"/>
          <w:szCs w:val="32"/>
        </w:rPr>
        <w:t>万元，</w:t>
      </w:r>
      <w:r>
        <w:rPr>
          <w:rStyle w:val="17"/>
          <w:rFonts w:hint="eastAsia" w:ascii="仿宋" w:hAnsi="仿宋" w:eastAsia="仿宋"/>
          <w:b w:val="0"/>
          <w:bCs/>
          <w:sz w:val="32"/>
          <w:szCs w:val="32"/>
          <w:lang w:eastAsia="zh-CN"/>
        </w:rPr>
        <w:t>完成</w:t>
      </w:r>
      <w:r>
        <w:rPr>
          <w:rStyle w:val="17"/>
          <w:rFonts w:hint="eastAsia" w:ascii="仿宋" w:hAnsi="仿宋" w:eastAsia="仿宋"/>
          <w:b w:val="0"/>
          <w:bCs/>
          <w:color w:val="auto"/>
          <w:sz w:val="32"/>
          <w:szCs w:val="32"/>
          <w:highlight w:val="none"/>
        </w:rPr>
        <w:t>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，与预算数持平。</w:t>
      </w:r>
    </w:p>
    <w:p>
      <w:pPr>
        <w:spacing w:line="600" w:lineRule="exact"/>
        <w:ind w:firstLine="642" w:firstLineChars="200"/>
        <w:rPr>
          <w:rStyle w:val="17"/>
          <w:rFonts w:hint="eastAsia" w:ascii="仿宋" w:hAnsi="仿宋" w:eastAsia="仿宋"/>
          <w:b w:val="0"/>
          <w:bCs/>
          <w:color w:val="auto"/>
          <w:sz w:val="32"/>
          <w:szCs w:val="32"/>
          <w:highlight w:val="none"/>
        </w:rPr>
      </w:pPr>
      <w:r>
        <w:rPr>
          <w:rStyle w:val="17"/>
          <w:rFonts w:hint="eastAsia" w:ascii="仿宋" w:hAnsi="仿宋" w:eastAsia="仿宋"/>
          <w:bCs/>
          <w:sz w:val="32"/>
          <w:szCs w:val="32"/>
          <w:lang w:val="en-US" w:eastAsia="zh-CN"/>
        </w:rPr>
        <w:t>5</w:t>
      </w:r>
      <w:r>
        <w:rPr>
          <w:rStyle w:val="17"/>
          <w:rFonts w:ascii="仿宋" w:hAnsi="仿宋" w:eastAsia="仿宋"/>
          <w:bCs/>
          <w:sz w:val="32"/>
          <w:szCs w:val="32"/>
        </w:rPr>
        <w:t>.</w:t>
      </w:r>
      <w:r>
        <w:rPr>
          <w:rStyle w:val="17"/>
          <w:rFonts w:hint="eastAsia" w:ascii="仿宋" w:hAnsi="仿宋" w:eastAsia="仿宋"/>
          <w:bCs/>
          <w:sz w:val="32"/>
          <w:szCs w:val="32"/>
        </w:rPr>
        <w:t>社会保障和就业（类）</w:t>
      </w:r>
      <w:r>
        <w:rPr>
          <w:rStyle w:val="17"/>
          <w:rFonts w:hint="eastAsia" w:ascii="仿宋" w:hAnsi="仿宋" w:eastAsia="仿宋"/>
          <w:bCs/>
          <w:sz w:val="32"/>
          <w:szCs w:val="32"/>
          <w:lang w:val="en-US" w:eastAsia="zh-CN"/>
        </w:rPr>
        <w:t>行政事业单位养老支出</w:t>
      </w:r>
      <w:r>
        <w:rPr>
          <w:rStyle w:val="17"/>
          <w:rFonts w:hint="eastAsia" w:ascii="仿宋" w:hAnsi="仿宋" w:eastAsia="仿宋"/>
          <w:bCs/>
          <w:sz w:val="32"/>
          <w:szCs w:val="32"/>
        </w:rPr>
        <w:t>（款）</w:t>
      </w:r>
      <w:r>
        <w:rPr>
          <w:rStyle w:val="17"/>
          <w:rFonts w:hint="eastAsia" w:ascii="仿宋" w:hAnsi="仿宋" w:eastAsia="仿宋"/>
          <w:bCs/>
          <w:sz w:val="32"/>
          <w:szCs w:val="32"/>
          <w:lang w:val="en-US" w:eastAsia="zh-CN"/>
        </w:rPr>
        <w:t>机关事业单位基本养老保险缴费支出</w:t>
      </w:r>
      <w:r>
        <w:rPr>
          <w:rStyle w:val="17"/>
          <w:rFonts w:hint="eastAsia" w:ascii="仿宋" w:hAnsi="仿宋" w:eastAsia="仿宋"/>
          <w:bCs/>
          <w:sz w:val="32"/>
          <w:szCs w:val="32"/>
        </w:rPr>
        <w:t>（项）</w:t>
      </w:r>
      <w:r>
        <w:rPr>
          <w:rStyle w:val="17"/>
          <w:rFonts w:hint="eastAsia" w:ascii="仿宋" w:hAnsi="仿宋" w:eastAsia="仿宋"/>
          <w:bCs/>
          <w:sz w:val="32"/>
          <w:szCs w:val="32"/>
          <w:lang w:eastAsia="zh-CN"/>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13.37</w:t>
      </w:r>
      <w:r>
        <w:rPr>
          <w:rStyle w:val="17"/>
          <w:rFonts w:hint="eastAsia" w:ascii="仿宋" w:hAnsi="仿宋" w:eastAsia="仿宋"/>
          <w:b w:val="0"/>
          <w:bCs/>
          <w:sz w:val="32"/>
          <w:szCs w:val="32"/>
        </w:rPr>
        <w:t>万元，</w:t>
      </w:r>
      <w:r>
        <w:rPr>
          <w:rStyle w:val="17"/>
          <w:rFonts w:hint="eastAsia" w:ascii="仿宋" w:hAnsi="仿宋" w:eastAsia="仿宋"/>
          <w:b w:val="0"/>
          <w:bCs/>
          <w:sz w:val="32"/>
          <w:szCs w:val="32"/>
          <w:lang w:eastAsia="zh-CN"/>
        </w:rPr>
        <w:t>完成</w:t>
      </w:r>
      <w:r>
        <w:rPr>
          <w:rStyle w:val="17"/>
          <w:rFonts w:hint="eastAsia" w:ascii="仿宋" w:hAnsi="仿宋" w:eastAsia="仿宋"/>
          <w:b w:val="0"/>
          <w:bCs/>
          <w:color w:val="auto"/>
          <w:sz w:val="32"/>
          <w:szCs w:val="32"/>
          <w:highlight w:val="none"/>
        </w:rPr>
        <w:t>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，与预算数持平。</w:t>
      </w:r>
    </w:p>
    <w:p>
      <w:pPr>
        <w:spacing w:line="600" w:lineRule="exact"/>
        <w:ind w:firstLine="642" w:firstLineChars="200"/>
        <w:rPr>
          <w:rStyle w:val="17"/>
          <w:rFonts w:hint="eastAsia" w:ascii="仿宋" w:hAnsi="仿宋" w:eastAsia="仿宋"/>
          <w:b w:val="0"/>
          <w:bCs/>
          <w:color w:val="auto"/>
          <w:sz w:val="32"/>
          <w:szCs w:val="32"/>
          <w:highlight w:val="none"/>
        </w:rPr>
      </w:pPr>
      <w:r>
        <w:rPr>
          <w:rStyle w:val="17"/>
          <w:rFonts w:hint="eastAsia" w:ascii="仿宋" w:hAnsi="仿宋" w:eastAsia="仿宋" w:cstheme="minorBidi"/>
          <w:bCs/>
          <w:sz w:val="32"/>
          <w:szCs w:val="32"/>
          <w:lang w:val="en-US" w:eastAsia="zh-CN"/>
        </w:rPr>
        <w:t>6</w:t>
      </w:r>
      <w:r>
        <w:rPr>
          <w:rStyle w:val="17"/>
          <w:rFonts w:ascii="仿宋" w:hAnsi="仿宋" w:eastAsia="仿宋" w:cstheme="minorBidi"/>
          <w:bCs/>
          <w:sz w:val="32"/>
          <w:szCs w:val="32"/>
        </w:rPr>
        <w:t>.</w:t>
      </w:r>
      <w:r>
        <w:rPr>
          <w:rStyle w:val="17"/>
          <w:rFonts w:hint="eastAsia" w:ascii="仿宋" w:hAnsi="仿宋" w:eastAsia="仿宋" w:cstheme="minorBidi"/>
          <w:bCs/>
          <w:sz w:val="32"/>
          <w:szCs w:val="32"/>
        </w:rPr>
        <w:t>社会保障和就业（类）</w:t>
      </w:r>
      <w:r>
        <w:rPr>
          <w:rStyle w:val="17"/>
          <w:rFonts w:hint="eastAsia" w:ascii="仿宋" w:hAnsi="仿宋" w:eastAsia="仿宋" w:cstheme="minorBidi"/>
          <w:bCs/>
          <w:sz w:val="32"/>
          <w:szCs w:val="32"/>
          <w:lang w:val="en-US" w:eastAsia="zh-CN"/>
        </w:rPr>
        <w:t>其他社会保障和就业支出</w:t>
      </w:r>
      <w:r>
        <w:rPr>
          <w:rStyle w:val="17"/>
          <w:rFonts w:hint="eastAsia" w:ascii="仿宋" w:hAnsi="仿宋" w:eastAsia="仿宋" w:cstheme="minorBidi"/>
          <w:bCs/>
          <w:sz w:val="32"/>
          <w:szCs w:val="32"/>
        </w:rPr>
        <w:t>（款）</w:t>
      </w:r>
      <w:r>
        <w:rPr>
          <w:rStyle w:val="17"/>
          <w:rFonts w:hint="eastAsia" w:ascii="仿宋" w:hAnsi="仿宋" w:eastAsia="仿宋" w:cstheme="minorBidi"/>
          <w:bCs/>
          <w:sz w:val="32"/>
          <w:szCs w:val="32"/>
          <w:lang w:val="en-US" w:eastAsia="zh-CN"/>
        </w:rPr>
        <w:t>其他社会保障和就业支出</w:t>
      </w:r>
      <w:r>
        <w:rPr>
          <w:rStyle w:val="17"/>
          <w:rFonts w:hint="eastAsia" w:ascii="仿宋" w:hAnsi="仿宋" w:eastAsia="仿宋" w:cstheme="minorBidi"/>
          <w:bCs/>
          <w:sz w:val="32"/>
          <w:szCs w:val="32"/>
        </w:rPr>
        <w:t>（项）</w:t>
      </w:r>
      <w:r>
        <w:rPr>
          <w:rStyle w:val="17"/>
          <w:rFonts w:hint="eastAsia" w:ascii="仿宋" w:hAnsi="仿宋" w:eastAsia="仿宋" w:cstheme="minorBidi"/>
          <w:bCs/>
          <w:sz w:val="32"/>
          <w:szCs w:val="32"/>
          <w:lang w:eastAsia="zh-CN"/>
        </w:rPr>
        <w:t>：</w:t>
      </w:r>
      <w:r>
        <w:rPr>
          <w:rStyle w:val="17"/>
          <w:rFonts w:ascii="仿宋" w:hAnsi="仿宋" w:eastAsia="仿宋" w:cstheme="minorBidi"/>
          <w:b w:val="0"/>
          <w:bCs/>
          <w:sz w:val="32"/>
          <w:szCs w:val="32"/>
        </w:rPr>
        <w:t xml:space="preserve"> </w:t>
      </w:r>
      <w:r>
        <w:rPr>
          <w:rStyle w:val="17"/>
          <w:rFonts w:hint="eastAsia" w:ascii="仿宋" w:hAnsi="仿宋" w:eastAsia="仿宋" w:cstheme="minorBidi"/>
          <w:b w:val="0"/>
          <w:bCs/>
          <w:sz w:val="32"/>
          <w:szCs w:val="32"/>
        </w:rPr>
        <w:t>支出决算为</w:t>
      </w:r>
      <w:r>
        <w:rPr>
          <w:rStyle w:val="17"/>
          <w:rFonts w:hint="eastAsia" w:ascii="仿宋" w:hAnsi="仿宋" w:eastAsia="仿宋" w:cstheme="minorBidi"/>
          <w:b w:val="0"/>
          <w:bCs/>
          <w:sz w:val="32"/>
          <w:szCs w:val="32"/>
          <w:lang w:val="en-US" w:eastAsia="zh-CN"/>
        </w:rPr>
        <w:t>0.43</w:t>
      </w:r>
      <w:r>
        <w:rPr>
          <w:rStyle w:val="17"/>
          <w:rFonts w:hint="eastAsia" w:ascii="仿宋" w:hAnsi="仿宋" w:eastAsia="仿宋" w:cstheme="minorBidi"/>
          <w:b w:val="0"/>
          <w:bCs/>
          <w:sz w:val="32"/>
          <w:szCs w:val="32"/>
        </w:rPr>
        <w:t>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，与预算数持平。</w:t>
      </w:r>
    </w:p>
    <w:p>
      <w:pPr>
        <w:spacing w:line="600" w:lineRule="exact"/>
        <w:ind w:firstLine="642" w:firstLineChars="200"/>
        <w:rPr>
          <w:rStyle w:val="17"/>
          <w:rFonts w:hint="eastAsia" w:ascii="仿宋" w:hAnsi="仿宋" w:eastAsia="仿宋"/>
          <w:b w:val="0"/>
          <w:bCs/>
          <w:color w:val="auto"/>
          <w:sz w:val="32"/>
          <w:szCs w:val="32"/>
          <w:highlight w:val="none"/>
        </w:rPr>
      </w:pPr>
      <w:r>
        <w:rPr>
          <w:rStyle w:val="17"/>
          <w:rFonts w:hint="eastAsia" w:ascii="仿宋" w:hAnsi="仿宋" w:eastAsia="仿宋" w:cstheme="minorBidi"/>
          <w:bCs/>
          <w:sz w:val="32"/>
          <w:szCs w:val="32"/>
          <w:lang w:val="en-US" w:eastAsia="zh-CN"/>
        </w:rPr>
        <w:t>7</w:t>
      </w:r>
      <w:r>
        <w:rPr>
          <w:rStyle w:val="17"/>
          <w:rFonts w:ascii="仿宋" w:hAnsi="仿宋" w:eastAsia="仿宋" w:cstheme="minorBidi"/>
          <w:bCs/>
          <w:sz w:val="32"/>
          <w:szCs w:val="32"/>
        </w:rPr>
        <w:t>.</w:t>
      </w:r>
      <w:r>
        <w:rPr>
          <w:rStyle w:val="17"/>
          <w:rFonts w:hint="eastAsia" w:ascii="仿宋" w:hAnsi="仿宋" w:eastAsia="仿宋" w:cstheme="minorBidi"/>
          <w:bCs/>
          <w:sz w:val="32"/>
          <w:szCs w:val="32"/>
          <w:lang w:val="en-US" w:eastAsia="zh-CN"/>
        </w:rPr>
        <w:t>卫生健康支出</w:t>
      </w:r>
      <w:r>
        <w:rPr>
          <w:rStyle w:val="17"/>
          <w:rFonts w:hint="eastAsia" w:ascii="仿宋" w:hAnsi="仿宋" w:eastAsia="仿宋" w:cstheme="minorBidi"/>
          <w:bCs/>
          <w:sz w:val="32"/>
          <w:szCs w:val="32"/>
        </w:rPr>
        <w:t>（类）</w:t>
      </w:r>
      <w:r>
        <w:rPr>
          <w:rStyle w:val="17"/>
          <w:rFonts w:hint="eastAsia" w:ascii="仿宋" w:hAnsi="仿宋" w:eastAsia="仿宋" w:cstheme="minorBidi"/>
          <w:bCs/>
          <w:sz w:val="32"/>
          <w:szCs w:val="32"/>
          <w:lang w:val="en-US" w:eastAsia="zh-CN"/>
        </w:rPr>
        <w:t>行政事业单位医疗</w:t>
      </w:r>
      <w:r>
        <w:rPr>
          <w:rStyle w:val="17"/>
          <w:rFonts w:hint="eastAsia" w:ascii="仿宋" w:hAnsi="仿宋" w:eastAsia="仿宋" w:cstheme="minorBidi"/>
          <w:bCs/>
          <w:sz w:val="32"/>
          <w:szCs w:val="32"/>
        </w:rPr>
        <w:t>（款）</w:t>
      </w:r>
      <w:r>
        <w:rPr>
          <w:rStyle w:val="17"/>
          <w:rFonts w:hint="eastAsia" w:ascii="仿宋" w:hAnsi="仿宋" w:eastAsia="仿宋" w:cstheme="minorBidi"/>
          <w:bCs/>
          <w:sz w:val="32"/>
          <w:szCs w:val="32"/>
          <w:lang w:val="en-US" w:eastAsia="zh-CN"/>
        </w:rPr>
        <w:t>其事业单位医疗</w:t>
      </w:r>
      <w:r>
        <w:rPr>
          <w:rStyle w:val="17"/>
          <w:rFonts w:hint="eastAsia" w:ascii="仿宋" w:hAnsi="仿宋" w:eastAsia="仿宋" w:cstheme="minorBidi"/>
          <w:bCs/>
          <w:sz w:val="32"/>
          <w:szCs w:val="32"/>
        </w:rPr>
        <w:t>（项）</w:t>
      </w:r>
      <w:r>
        <w:rPr>
          <w:rStyle w:val="17"/>
          <w:rFonts w:hint="eastAsia" w:ascii="仿宋" w:hAnsi="仿宋" w:eastAsia="仿宋" w:cstheme="minorBidi"/>
          <w:bCs/>
          <w:sz w:val="32"/>
          <w:szCs w:val="32"/>
          <w:lang w:eastAsia="zh-CN"/>
        </w:rPr>
        <w:t>：</w:t>
      </w:r>
      <w:r>
        <w:rPr>
          <w:rStyle w:val="17"/>
          <w:rFonts w:ascii="仿宋" w:hAnsi="仿宋" w:eastAsia="仿宋" w:cstheme="minorBidi"/>
          <w:b w:val="0"/>
          <w:bCs/>
          <w:sz w:val="32"/>
          <w:szCs w:val="32"/>
        </w:rPr>
        <w:t xml:space="preserve"> </w:t>
      </w:r>
      <w:r>
        <w:rPr>
          <w:rStyle w:val="17"/>
          <w:rFonts w:hint="eastAsia" w:ascii="仿宋" w:hAnsi="仿宋" w:eastAsia="仿宋" w:cstheme="minorBidi"/>
          <w:b w:val="0"/>
          <w:bCs/>
          <w:sz w:val="32"/>
          <w:szCs w:val="32"/>
        </w:rPr>
        <w:t>支出决算为</w:t>
      </w:r>
      <w:r>
        <w:rPr>
          <w:rStyle w:val="17"/>
          <w:rFonts w:hint="eastAsia" w:ascii="仿宋" w:hAnsi="仿宋" w:eastAsia="仿宋" w:cstheme="minorBidi"/>
          <w:b w:val="0"/>
          <w:bCs/>
          <w:sz w:val="32"/>
          <w:szCs w:val="32"/>
          <w:lang w:val="en-US" w:eastAsia="zh-CN"/>
        </w:rPr>
        <w:t>4.63</w:t>
      </w:r>
      <w:r>
        <w:rPr>
          <w:rStyle w:val="17"/>
          <w:rFonts w:hint="eastAsia" w:ascii="仿宋" w:hAnsi="仿宋" w:eastAsia="仿宋" w:cstheme="minorBidi"/>
          <w:b w:val="0"/>
          <w:bCs/>
          <w:sz w:val="32"/>
          <w:szCs w:val="32"/>
        </w:rPr>
        <w:t>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，与预算数持平。</w:t>
      </w:r>
    </w:p>
    <w:p>
      <w:pPr>
        <w:spacing w:line="600" w:lineRule="exact"/>
        <w:ind w:firstLine="642" w:firstLineChars="200"/>
        <w:rPr>
          <w:rFonts w:ascii="仿宋" w:hAnsi="仿宋" w:eastAsia="仿宋"/>
          <w:b/>
          <w:sz w:val="32"/>
          <w:szCs w:val="32"/>
        </w:rPr>
      </w:pPr>
      <w:r>
        <w:rPr>
          <w:rStyle w:val="17"/>
          <w:rFonts w:hint="eastAsia" w:ascii="仿宋" w:hAnsi="仿宋" w:eastAsia="仿宋" w:cstheme="minorBidi"/>
          <w:bCs/>
          <w:sz w:val="32"/>
          <w:szCs w:val="32"/>
          <w:lang w:val="en-US" w:eastAsia="zh-CN"/>
        </w:rPr>
        <w:t>8</w:t>
      </w:r>
      <w:r>
        <w:rPr>
          <w:rStyle w:val="17"/>
          <w:rFonts w:ascii="仿宋" w:hAnsi="仿宋" w:eastAsia="仿宋" w:cstheme="minorBidi"/>
          <w:bCs/>
          <w:sz w:val="32"/>
          <w:szCs w:val="32"/>
        </w:rPr>
        <w:t>.</w:t>
      </w:r>
      <w:r>
        <w:rPr>
          <w:rStyle w:val="17"/>
          <w:rFonts w:hint="eastAsia" w:ascii="仿宋" w:hAnsi="仿宋" w:eastAsia="仿宋" w:cstheme="minorBidi"/>
          <w:bCs/>
          <w:sz w:val="32"/>
          <w:szCs w:val="32"/>
          <w:lang w:val="en-US" w:eastAsia="zh-CN"/>
        </w:rPr>
        <w:t>住房保障支出</w:t>
      </w:r>
      <w:r>
        <w:rPr>
          <w:rStyle w:val="17"/>
          <w:rFonts w:hint="eastAsia" w:ascii="仿宋" w:hAnsi="仿宋" w:eastAsia="仿宋" w:cstheme="minorBidi"/>
          <w:bCs/>
          <w:sz w:val="32"/>
          <w:szCs w:val="32"/>
        </w:rPr>
        <w:t>（类）</w:t>
      </w:r>
      <w:r>
        <w:rPr>
          <w:rStyle w:val="17"/>
          <w:rFonts w:hint="eastAsia" w:ascii="仿宋" w:hAnsi="仿宋" w:eastAsia="仿宋" w:cstheme="minorBidi"/>
          <w:bCs/>
          <w:sz w:val="32"/>
          <w:szCs w:val="32"/>
          <w:lang w:val="en-US" w:eastAsia="zh-CN"/>
        </w:rPr>
        <w:t>住房改革支出</w:t>
      </w:r>
      <w:r>
        <w:rPr>
          <w:rStyle w:val="17"/>
          <w:rFonts w:hint="eastAsia" w:ascii="仿宋" w:hAnsi="仿宋" w:eastAsia="仿宋" w:cstheme="minorBidi"/>
          <w:bCs/>
          <w:sz w:val="32"/>
          <w:szCs w:val="32"/>
        </w:rPr>
        <w:t>（款）</w:t>
      </w:r>
      <w:r>
        <w:rPr>
          <w:rStyle w:val="17"/>
          <w:rFonts w:hint="eastAsia" w:ascii="仿宋" w:hAnsi="仿宋" w:eastAsia="仿宋" w:cstheme="minorBidi"/>
          <w:bCs/>
          <w:sz w:val="32"/>
          <w:szCs w:val="32"/>
          <w:lang w:val="en-US" w:eastAsia="zh-CN"/>
        </w:rPr>
        <w:t>住房公积金</w:t>
      </w:r>
      <w:r>
        <w:rPr>
          <w:rStyle w:val="17"/>
          <w:rFonts w:hint="eastAsia" w:ascii="仿宋" w:hAnsi="仿宋" w:eastAsia="仿宋" w:cstheme="minorBidi"/>
          <w:bCs/>
          <w:sz w:val="32"/>
          <w:szCs w:val="32"/>
        </w:rPr>
        <w:t>（项）</w:t>
      </w:r>
      <w:r>
        <w:rPr>
          <w:rStyle w:val="17"/>
          <w:rFonts w:hint="eastAsia" w:ascii="仿宋" w:hAnsi="仿宋" w:eastAsia="仿宋" w:cstheme="minorBidi"/>
          <w:bCs/>
          <w:sz w:val="32"/>
          <w:szCs w:val="32"/>
          <w:lang w:eastAsia="zh-CN"/>
        </w:rPr>
        <w:t>：</w:t>
      </w:r>
      <w:r>
        <w:rPr>
          <w:rStyle w:val="17"/>
          <w:rFonts w:ascii="仿宋" w:hAnsi="仿宋" w:eastAsia="仿宋" w:cstheme="minorBidi"/>
          <w:b w:val="0"/>
          <w:bCs/>
          <w:sz w:val="32"/>
          <w:szCs w:val="32"/>
        </w:rPr>
        <w:t xml:space="preserve"> </w:t>
      </w:r>
      <w:r>
        <w:rPr>
          <w:rStyle w:val="17"/>
          <w:rFonts w:hint="eastAsia" w:ascii="仿宋" w:hAnsi="仿宋" w:eastAsia="仿宋" w:cstheme="minorBidi"/>
          <w:b w:val="0"/>
          <w:bCs/>
          <w:sz w:val="32"/>
          <w:szCs w:val="32"/>
        </w:rPr>
        <w:t>支出决算为</w:t>
      </w:r>
      <w:r>
        <w:rPr>
          <w:rStyle w:val="17"/>
          <w:rFonts w:hint="eastAsia" w:ascii="仿宋" w:hAnsi="仿宋" w:eastAsia="仿宋" w:cstheme="minorBidi"/>
          <w:b w:val="0"/>
          <w:bCs/>
          <w:sz w:val="32"/>
          <w:szCs w:val="32"/>
          <w:lang w:val="en-US" w:eastAsia="zh-CN"/>
        </w:rPr>
        <w:t>11.18</w:t>
      </w:r>
      <w:r>
        <w:rPr>
          <w:rStyle w:val="17"/>
          <w:rFonts w:hint="eastAsia" w:ascii="仿宋" w:hAnsi="仿宋" w:eastAsia="仿宋" w:cstheme="minorBidi"/>
          <w:b w:val="0"/>
          <w:bCs/>
          <w:sz w:val="32"/>
          <w:szCs w:val="32"/>
        </w:rPr>
        <w:t>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，与预算数持平。</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tabs>
          <w:tab w:val="right" w:pos="8306"/>
        </w:tabs>
        <w:spacing w:line="600" w:lineRule="exact"/>
        <w:outlineLvl w:val="1"/>
        <w:rPr>
          <w:rStyle w:val="20"/>
          <w:rFonts w:ascii="Times New Roman" w:hAnsi="Times New Roman"/>
          <w:color w:val="auto"/>
          <w:highlight w:val="none"/>
        </w:rPr>
      </w:pPr>
      <w:bookmarkStart w:id="76" w:name="_Toc15396608"/>
      <w:bookmarkStart w:id="77" w:name="_Toc7462"/>
      <w:bookmarkStart w:id="78" w:name="_Toc15377214"/>
      <w:bookmarkStart w:id="79" w:name="_Toc9738"/>
      <w:r>
        <w:rPr>
          <w:rStyle w:val="20"/>
          <w:rFonts w:hint="eastAsia"/>
        </w:rPr>
        <w:t>六、一般公共预算财政拨款基本支出决算情况说明</w:t>
      </w:r>
      <w:bookmarkEnd w:id="76"/>
      <w:bookmarkEnd w:id="77"/>
      <w:bookmarkEnd w:id="78"/>
      <w:bookmarkEnd w:id="79"/>
      <w:r>
        <w:rPr>
          <w:rStyle w:val="20"/>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150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136.89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元，主要包括：基本工资、津贴补贴、奖金、绩效工资、机关事业单位基本养老保险缴费、职工基本医疗保险缴费、其他社会保障缴费、住房公积金、其他工资福利支出、生活补助、奖励金。</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13.11</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w:t>
      </w:r>
      <w:r>
        <w:rPr>
          <w:rFonts w:hint="eastAsia" w:eastAsia="仿宋_GB2312" w:cs="仿宋_GB2312"/>
          <w:color w:val="auto"/>
          <w:kern w:val="2"/>
          <w:sz w:val="32"/>
          <w:szCs w:val="32"/>
          <w:highlight w:val="none"/>
          <w:lang w:val="en-US" w:eastAsia="zh-CN" w:bidi="ar-SA"/>
        </w:rPr>
        <w:t>邮电费、</w:t>
      </w:r>
      <w:r>
        <w:rPr>
          <w:rFonts w:hint="eastAsia" w:ascii="Times New Roman" w:hAnsi="Times New Roman" w:eastAsia="仿宋_GB2312" w:cs="仿宋_GB2312"/>
          <w:color w:val="auto"/>
          <w:kern w:val="2"/>
          <w:sz w:val="32"/>
          <w:szCs w:val="32"/>
          <w:highlight w:val="none"/>
          <w:lang w:val="en-US" w:eastAsia="zh-CN" w:bidi="ar-SA"/>
        </w:rPr>
        <w:t>差旅费、培训费、劳务费、工会经费、福利费、其他商品和服务支出。</w:t>
      </w:r>
    </w:p>
    <w:p>
      <w:pPr>
        <w:pStyle w:val="4"/>
        <w:bidi w:val="0"/>
      </w:pPr>
      <w:bookmarkStart w:id="80" w:name="_Toc15396609"/>
      <w:bookmarkStart w:id="81" w:name="_Toc444"/>
      <w:bookmarkStart w:id="82" w:name="_Toc32345"/>
      <w:bookmarkStart w:id="83" w:name="_Toc15377215"/>
      <w:r>
        <w:rPr>
          <w:rFonts w:hint="eastAsia"/>
        </w:rPr>
        <w:t>七、财政拨款“三公”经费支出决算情况说明</w:t>
      </w:r>
      <w:bookmarkEnd w:id="80"/>
      <w:bookmarkEnd w:id="81"/>
      <w:bookmarkEnd w:id="82"/>
      <w:bookmarkEnd w:id="83"/>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84"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84"/>
    </w:p>
    <w:p>
      <w:pPr>
        <w:spacing w:line="600" w:lineRule="exact"/>
        <w:ind w:firstLine="640"/>
        <w:rPr>
          <w:rFonts w:ascii="仿宋" w:hAnsi="仿宋" w:eastAsia="仿宋"/>
          <w:sz w:val="32"/>
          <w:szCs w:val="32"/>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仿宋" w:hAnsi="仿宋" w:eastAsia="仿宋" w:cs="Times New Roman"/>
          <w:color w:val="auto"/>
          <w:sz w:val="32"/>
          <w:szCs w:val="32"/>
          <w:highlight w:val="none"/>
        </w:rPr>
        <w:t>年初未安排预算</w:t>
      </w:r>
      <w:r>
        <w:rPr>
          <w:rFonts w:hint="default" w:ascii="仿宋" w:hAnsi="仿宋" w:eastAsia="仿宋" w:cs="Times New Roman"/>
          <w:color w:val="auto"/>
          <w:sz w:val="32"/>
          <w:szCs w:val="32"/>
          <w:highlight w:val="none"/>
        </w:rPr>
        <w:t>，较上年无变化</w:t>
      </w:r>
      <w:r>
        <w:rPr>
          <w:rFonts w:hint="eastAsia" w:ascii="仿宋" w:hAnsi="仿宋" w:eastAsia="仿宋"/>
          <w:sz w:val="32"/>
          <w:szCs w:val="32"/>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85"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85"/>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万元，占0%；公务接待费支出决算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万元，占0%。具体情况如下：</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Style w:val="17"/>
          <w:rFonts w:hint="eastAsia" w:ascii="仿宋" w:hAnsi="仿宋" w:eastAsia="仿宋"/>
          <w:b w:val="0"/>
          <w:bCs/>
          <w:color w:val="auto"/>
          <w:sz w:val="32"/>
          <w:szCs w:val="32"/>
          <w:highlight w:val="none"/>
        </w:rPr>
        <w:t>年初未安排预算，因公出国（境）支出决算较20</w:t>
      </w:r>
      <w:r>
        <w:rPr>
          <w:rStyle w:val="17"/>
          <w:rFonts w:hint="eastAsia" w:ascii="仿宋" w:hAnsi="仿宋" w:eastAsia="仿宋"/>
          <w:b w:val="0"/>
          <w:bCs/>
          <w:color w:val="auto"/>
          <w:sz w:val="32"/>
          <w:szCs w:val="32"/>
          <w:highlight w:val="none"/>
          <w:lang w:val="en-US" w:eastAsia="zh-CN"/>
        </w:rPr>
        <w:t>23</w:t>
      </w:r>
      <w:r>
        <w:rPr>
          <w:rStyle w:val="17"/>
          <w:rFonts w:hint="eastAsia" w:ascii="仿宋" w:hAnsi="仿宋" w:eastAsia="仿宋"/>
          <w:b w:val="0"/>
          <w:bCs/>
          <w:color w:val="auto"/>
          <w:sz w:val="32"/>
          <w:szCs w:val="32"/>
          <w:highlight w:val="none"/>
        </w:rPr>
        <w:t>年无变化。</w:t>
      </w:r>
    </w:p>
    <w:p>
      <w:pPr>
        <w:spacing w:line="600" w:lineRule="exact"/>
        <w:ind w:firstLine="640"/>
        <w:rPr>
          <w:rFonts w:hint="eastAsia" w:ascii="仿宋" w:hAnsi="仿宋" w:eastAsia="仿宋" w:cs="Times New Roman"/>
          <w:color w:val="auto"/>
          <w:sz w:val="32"/>
          <w:szCs w:val="32"/>
          <w:highlight w:val="none"/>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ascii="仿宋" w:hAnsi="仿宋" w:eastAsia="仿宋" w:cs="Times New Roman"/>
          <w:color w:val="auto"/>
          <w:sz w:val="32"/>
          <w:szCs w:val="32"/>
          <w:highlight w:val="none"/>
        </w:rPr>
        <w:t>年初未安排预算，与上年数无变化。本单位无公务用车保有量，与上年数相比无变化。</w:t>
      </w:r>
    </w:p>
    <w:p>
      <w:pPr>
        <w:spacing w:line="600" w:lineRule="exact"/>
        <w:ind w:firstLine="640" w:firstLineChars="200"/>
        <w:rPr>
          <w:rFonts w:hint="eastAsia" w:ascii="仿宋_GB2312" w:eastAsia="仿宋_GB2312"/>
          <w:color w:val="auto"/>
          <w:sz w:val="32"/>
          <w:szCs w:val="32"/>
          <w:highlight w:val="none"/>
        </w:rPr>
      </w:pPr>
      <w:r>
        <w:rPr>
          <w:rFonts w:hint="eastAsia" w:ascii="Times New Roman" w:hAnsi="Times New Roman" w:eastAsia="仿宋_GB2312" w:cs="仿宋_GB2312"/>
          <w:color w:val="auto"/>
          <w:kern w:val="2"/>
          <w:sz w:val="32"/>
          <w:szCs w:val="32"/>
          <w:highlight w:val="none"/>
          <w:lang w:val="en-US" w:eastAsia="zh-CN" w:bidi="ar-SA"/>
        </w:rPr>
        <w:t>其中：</w:t>
      </w:r>
      <w:r>
        <w:rPr>
          <w:rFonts w:hint="eastAsia" w:ascii="Times New Roman" w:hAnsi="Times New Roman" w:eastAsia="仿宋_GB2312" w:cs="仿宋_GB2312"/>
          <w:b/>
          <w:bCs/>
          <w:color w:val="auto"/>
          <w:kern w:val="2"/>
          <w:sz w:val="32"/>
          <w:szCs w:val="32"/>
          <w:highlight w:val="none"/>
          <w:lang w:val="en-US" w:eastAsia="zh-CN" w:bidi="ar-SA"/>
        </w:rPr>
        <w:t>公务用车购置支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ascii="仿宋_GB2312" w:eastAsia="仿宋_GB2312"/>
          <w:color w:val="auto"/>
          <w:sz w:val="32"/>
          <w:szCs w:val="32"/>
          <w:highlight w:val="none"/>
        </w:rPr>
        <w:t>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pPr>
        <w:spacing w:line="600" w:lineRule="exact"/>
        <w:ind w:firstLine="640"/>
        <w:rPr>
          <w:rFonts w:hint="eastAsia"/>
          <w:lang w:val="en-US" w:eastAsia="zh-CN"/>
        </w:rPr>
      </w:pPr>
      <w:r>
        <w:rPr>
          <w:rFonts w:hint="eastAsia" w:ascii="仿宋_GB2312" w:eastAsia="仿宋_GB2312"/>
          <w:b/>
          <w:bCs/>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0"/>
        </w:numPr>
        <w:spacing w:line="600" w:lineRule="exact"/>
        <w:ind w:firstLine="642" w:firstLineChars="200"/>
        <w:rPr>
          <w:rFonts w:hint="eastAsi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w:t>
      </w:r>
      <w:r>
        <w:rPr>
          <w:rStyle w:val="17"/>
          <w:rFonts w:hint="eastAsia" w:ascii="仿宋" w:hAnsi="仿宋" w:eastAsia="仿宋"/>
          <w:b w:val="0"/>
          <w:bCs/>
          <w:color w:val="auto"/>
          <w:sz w:val="32"/>
          <w:szCs w:val="32"/>
          <w:highlight w:val="none"/>
        </w:rPr>
        <w:t>年初未安排预算，与上年数无变化。其中：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国内公务接待支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外事接待支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w:t>
      </w:r>
      <w:bookmarkStart w:id="86" w:name="_Toc15377218"/>
      <w:bookmarkStart w:id="87" w:name="_Toc15396610"/>
    </w:p>
    <w:p>
      <w:pPr>
        <w:pStyle w:val="4"/>
        <w:bidi w:val="0"/>
      </w:pPr>
      <w:bookmarkStart w:id="88" w:name="_Toc11716"/>
      <w:bookmarkStart w:id="89" w:name="_Toc25035"/>
      <w:r>
        <w:rPr>
          <w:rFonts w:hint="eastAsia"/>
        </w:rPr>
        <w:t>八、政府性基金预算支出决算情况说明</w:t>
      </w:r>
      <w:bookmarkEnd w:id="86"/>
      <w:bookmarkEnd w:id="87"/>
      <w:bookmarkEnd w:id="88"/>
      <w:bookmarkEnd w:id="8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pStyle w:val="4"/>
        <w:bidi w:val="0"/>
      </w:pPr>
      <w:bookmarkStart w:id="90" w:name="_Toc15377219"/>
      <w:bookmarkStart w:id="91" w:name="_Toc20417"/>
      <w:bookmarkStart w:id="92" w:name="_Toc6276"/>
      <w:bookmarkStart w:id="93" w:name="_Toc15396611"/>
      <w:r>
        <w:rPr>
          <w:rFonts w:hint="eastAsia"/>
          <w:lang w:eastAsia="zh-CN"/>
        </w:rPr>
        <w:t>九、</w:t>
      </w:r>
      <w:r>
        <w:rPr>
          <w:rFonts w:hint="eastAsia"/>
        </w:rPr>
        <w:t>国有资本经营预算支出决算情况说明</w:t>
      </w:r>
      <w:bookmarkEnd w:id="90"/>
      <w:bookmarkEnd w:id="91"/>
      <w:bookmarkEnd w:id="92"/>
      <w:bookmarkEnd w:id="9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pStyle w:val="4"/>
        <w:bidi w:val="0"/>
        <w:rPr>
          <w:rFonts w:hint="eastAsia"/>
        </w:rPr>
      </w:pPr>
      <w:bookmarkStart w:id="94" w:name="_Toc29872"/>
      <w:bookmarkStart w:id="95" w:name="_Toc15396612"/>
      <w:bookmarkStart w:id="96" w:name="_Toc18221"/>
      <w:bookmarkStart w:id="97" w:name="_Toc15377221"/>
      <w:r>
        <w:rPr>
          <w:rFonts w:hint="eastAsia"/>
          <w:lang w:eastAsia="zh-CN"/>
        </w:rPr>
        <w:t>十、</w:t>
      </w:r>
      <w:r>
        <w:rPr>
          <w:rFonts w:hint="eastAsia"/>
        </w:rPr>
        <w:t>其他重要事项的情况说明</w:t>
      </w:r>
      <w:bookmarkEnd w:id="94"/>
      <w:bookmarkEnd w:id="95"/>
      <w:bookmarkEnd w:id="96"/>
      <w:bookmarkEnd w:id="97"/>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98" w:name="_Toc15377222"/>
      <w:r>
        <w:rPr>
          <w:rFonts w:hint="eastAsia" w:ascii="Times New Roman" w:hAnsi="Times New Roman" w:eastAsia="楷体_GB2312" w:cs="楷体_GB2312"/>
          <w:b/>
          <w:color w:val="auto"/>
          <w:sz w:val="32"/>
          <w:szCs w:val="32"/>
          <w:highlight w:val="none"/>
        </w:rPr>
        <w:t>（一）机关运行经费支出情况</w:t>
      </w:r>
      <w:bookmarkEnd w:id="98"/>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广元市教师发展中心</w:t>
      </w:r>
      <w:r>
        <w:rPr>
          <w:rFonts w:hint="eastAsia" w:ascii="仿宋_GB2312" w:hAnsi="仿宋_GB2312" w:eastAsia="仿宋_GB2312" w:cs="仿宋_GB2312"/>
          <w:sz w:val="32"/>
          <w:szCs w:val="32"/>
          <w:lang w:eastAsia="zh-CN"/>
        </w:rPr>
        <w:t>为事业单位，</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w:t>
      </w:r>
      <w:r>
        <w:rPr>
          <w:rFonts w:hint="eastAsia" w:ascii="仿宋_GB2312" w:eastAsia="仿宋_GB2312"/>
          <w:color w:val="auto"/>
          <w:sz w:val="32"/>
          <w:szCs w:val="32"/>
          <w:highlight w:val="none"/>
        </w:rPr>
        <w:t>与20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年决算数持平</w:t>
      </w:r>
      <w:r>
        <w:rPr>
          <w:rFonts w:hint="eastAsia" w:ascii="仿宋_GB2312" w:eastAsia="仿宋_GB2312"/>
          <w:color w:val="auto"/>
          <w:sz w:val="32"/>
          <w:szCs w:val="32"/>
          <w:highlight w:val="none"/>
          <w:lang w:eastAsia="zh-CN"/>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99" w:name="_Toc15377223"/>
      <w:r>
        <w:rPr>
          <w:rFonts w:hint="eastAsia" w:ascii="Times New Roman" w:hAnsi="Times New Roman" w:eastAsia="楷体_GB2312" w:cs="楷体_GB2312"/>
          <w:b/>
          <w:color w:val="auto"/>
          <w:sz w:val="32"/>
          <w:szCs w:val="32"/>
          <w:highlight w:val="none"/>
        </w:rPr>
        <w:t>（二）政府采购支出情况</w:t>
      </w:r>
      <w:bookmarkEnd w:id="99"/>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广元市教师发展中心</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仿宋_GB2312" w:eastAsia="仿宋_GB2312"/>
          <w:color w:val="auto"/>
          <w:sz w:val="32"/>
          <w:szCs w:val="32"/>
          <w:highlight w:val="none"/>
        </w:rPr>
        <w:t>本单位未发生政府采购支出。</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100" w:name="_Toc15377224"/>
      <w:r>
        <w:rPr>
          <w:rFonts w:hint="eastAsia" w:ascii="Times New Roman" w:hAnsi="Times New Roman" w:eastAsia="楷体_GB2312" w:cs="楷体_GB2312"/>
          <w:b/>
          <w:color w:val="auto"/>
          <w:sz w:val="32"/>
          <w:szCs w:val="32"/>
          <w:highlight w:val="none"/>
        </w:rPr>
        <w:t>（三）国有资产占有使用情况</w:t>
      </w:r>
      <w:bookmarkEnd w:id="100"/>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广元市教师发展中心</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w:t>
      </w:r>
      <w:r>
        <w:rPr>
          <w:rFonts w:hint="eastAsia" w:ascii="仿宋_GB2312" w:eastAsia="仿宋_GB2312"/>
          <w:sz w:val="32"/>
          <w:szCs w:val="32"/>
          <w:lang w:val="en-US" w:eastAsia="zh-CN"/>
        </w:rPr>
        <w:t>4</w:t>
      </w:r>
      <w:r>
        <w:rPr>
          <w:rFonts w:hint="eastAsia" w:ascii="仿宋_GB2312" w:eastAsia="仿宋_GB2312"/>
          <w:sz w:val="32"/>
          <w:szCs w:val="32"/>
        </w:rPr>
        <w:t>年度预算编制阶段，组织对市级专项资金教师培训项目等开展了预算事前绩效评估，对</w:t>
      </w:r>
      <w:r>
        <w:rPr>
          <w:rFonts w:hint="eastAsia" w:ascii="仿宋_GB2312" w:eastAsia="仿宋_GB2312"/>
          <w:sz w:val="32"/>
          <w:szCs w:val="32"/>
          <w:lang w:val="en-US" w:eastAsia="zh-CN"/>
        </w:rPr>
        <w:t>13</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13</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13</w:t>
      </w:r>
      <w:r>
        <w:rPr>
          <w:rFonts w:hint="eastAsia" w:ascii="仿宋_GB2312" w:eastAsia="仿宋_GB2312"/>
          <w:sz w:val="32"/>
          <w:szCs w:val="32"/>
        </w:rPr>
        <w:t>个项目开展绩效自评，绩效自评表详见第四部分附件。</w:t>
      </w:r>
    </w:p>
    <w:p>
      <w:pPr>
        <w:spacing w:line="600" w:lineRule="exact"/>
        <w:ind w:firstLine="640" w:firstLineChars="200"/>
        <w:rPr>
          <w:rFonts w:hint="eastAsia"/>
          <w:lang w:val="en-US" w:eastAsia="zh-CN"/>
        </w:rPr>
      </w:pPr>
      <w:r>
        <w:rPr>
          <w:rFonts w:hint="eastAsia" w:ascii="仿宋_GB2312" w:eastAsia="仿宋_GB2312"/>
          <w:sz w:val="32"/>
          <w:szCs w:val="32"/>
        </w:rPr>
        <w:br w:type="page"/>
      </w:r>
    </w:p>
    <w:p>
      <w:pPr>
        <w:pStyle w:val="3"/>
        <w:bidi w:val="0"/>
        <w:rPr>
          <w:rFonts w:ascii="宋体"/>
          <w:b/>
          <w:sz w:val="44"/>
          <w:szCs w:val="44"/>
        </w:rPr>
      </w:pPr>
      <w:bookmarkStart w:id="101" w:name="_Toc18704"/>
      <w:bookmarkStart w:id="102" w:name="_Toc15396613"/>
      <w:bookmarkStart w:id="103" w:name="_Toc15377225"/>
      <w:bookmarkStart w:id="104" w:name="_Toc31785"/>
      <w:r>
        <w:rPr>
          <w:rFonts w:hint="eastAsia"/>
        </w:rPr>
        <w:t>第</w:t>
      </w:r>
      <w:r>
        <w:rPr>
          <w:rFonts w:hint="eastAsia"/>
          <w:lang w:eastAsia="zh-CN"/>
        </w:rPr>
        <w:t>三</w:t>
      </w:r>
      <w:r>
        <w:rPr>
          <w:rFonts w:hint="eastAsia"/>
        </w:rPr>
        <w:t>部分</w:t>
      </w:r>
      <w:r>
        <w:rPr>
          <w:rFonts w:hint="eastAsia"/>
          <w:lang w:val="en-US" w:eastAsia="zh-CN"/>
        </w:rPr>
        <w:t xml:space="preserve">  </w:t>
      </w:r>
      <w:r>
        <w:rPr>
          <w:rFonts w:hint="eastAsia"/>
        </w:rPr>
        <w:t>名词解释</w:t>
      </w:r>
      <w:bookmarkEnd w:id="101"/>
      <w:bookmarkEnd w:id="102"/>
      <w:bookmarkEnd w:id="103"/>
      <w:bookmarkEnd w:id="104"/>
      <w:bookmarkStart w:id="105" w:name="_Toc15377226"/>
    </w:p>
    <w:p>
      <w:pPr>
        <w:pStyle w:val="29"/>
        <w:numPr>
          <w:ilvl w:val="0"/>
          <w:numId w:val="2"/>
        </w:numP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财政拨款收入：指单位从同级财政部门取得的财政预算资金。</w:t>
      </w:r>
    </w:p>
    <w:p>
      <w:pPr>
        <w:numPr>
          <w:ilvl w:val="0"/>
          <w:numId w:val="2"/>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教育支出（类）教育管理事务（款）其他教育管理事务支出（项）：指</w:t>
      </w:r>
      <w:r>
        <w:rPr>
          <w:rFonts w:hint="eastAsia" w:ascii="仿宋_GB2312" w:eastAsia="仿宋_GB2312"/>
          <w:color w:val="auto"/>
          <w:sz w:val="32"/>
          <w:szCs w:val="32"/>
          <w:highlight w:val="none"/>
          <w:lang w:eastAsia="zh-CN"/>
        </w:rPr>
        <w:t>其他用于教育管理事务方面的支出</w:t>
      </w:r>
      <w:r>
        <w:rPr>
          <w:rFonts w:hint="eastAsia" w:ascii="仿宋_GB2312" w:eastAsia="仿宋_GB2312"/>
          <w:color w:val="auto"/>
          <w:sz w:val="32"/>
          <w:szCs w:val="32"/>
          <w:highlight w:val="none"/>
        </w:rPr>
        <w:t>。</w:t>
      </w:r>
    </w:p>
    <w:p>
      <w:pPr>
        <w:numPr>
          <w:ilvl w:val="0"/>
          <w:numId w:val="2"/>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教育（类）</w:t>
      </w:r>
      <w:r>
        <w:rPr>
          <w:rFonts w:hint="eastAsia" w:ascii="仿宋_GB2312" w:eastAsia="仿宋_GB2312"/>
          <w:color w:val="auto"/>
          <w:sz w:val="32"/>
          <w:szCs w:val="32"/>
          <w:highlight w:val="none"/>
          <w:lang w:val="en-US" w:eastAsia="zh-CN"/>
        </w:rPr>
        <w:t>普通教育</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初中教育</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eastAsia="zh-CN"/>
        </w:rPr>
        <w:t>指各部门举办的初中教育支出。</w:t>
      </w:r>
    </w:p>
    <w:p>
      <w:pPr>
        <w:numPr>
          <w:ilvl w:val="0"/>
          <w:numId w:val="2"/>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教育（类）</w:t>
      </w:r>
      <w:r>
        <w:rPr>
          <w:rFonts w:hint="eastAsia" w:ascii="仿宋_GB2312" w:eastAsia="仿宋_GB2312"/>
          <w:color w:val="auto"/>
          <w:sz w:val="32"/>
          <w:szCs w:val="32"/>
          <w:highlight w:val="none"/>
          <w:lang w:val="en-US" w:eastAsia="zh-CN"/>
        </w:rPr>
        <w:t>进修及培训</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教师进修</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eastAsia="zh-CN"/>
        </w:rPr>
        <w:t>：指教师进修、师资培训支出。</w:t>
      </w:r>
    </w:p>
    <w:p>
      <w:pPr>
        <w:numPr>
          <w:ilvl w:val="0"/>
          <w:numId w:val="2"/>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社会保障和就业支出（类）人力资源和社会保障管理事务（款）引进人才费用（项）：指</w:t>
      </w:r>
      <w:r>
        <w:rPr>
          <w:rFonts w:hint="eastAsia" w:ascii="仿宋_GB2312" w:eastAsia="仿宋_GB2312"/>
          <w:color w:val="auto"/>
          <w:sz w:val="32"/>
          <w:szCs w:val="32"/>
          <w:highlight w:val="none"/>
          <w:lang w:eastAsia="zh-CN"/>
        </w:rPr>
        <w:t>用于引进外国专家补助、引智成果推广等方面的支出</w:t>
      </w:r>
      <w:r>
        <w:rPr>
          <w:rFonts w:hint="eastAsia" w:ascii="仿宋_GB2312" w:eastAsia="仿宋_GB2312"/>
          <w:color w:val="auto"/>
          <w:sz w:val="32"/>
          <w:szCs w:val="32"/>
          <w:highlight w:val="none"/>
        </w:rPr>
        <w:t>。</w:t>
      </w:r>
    </w:p>
    <w:p>
      <w:pPr>
        <w:numPr>
          <w:ilvl w:val="0"/>
          <w:numId w:val="2"/>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社会保障和就业支出（类）行政事业单位养老支出（款）机关事业单位基本养老保险缴费支出（项）：指用于实施养老保险制度由单位缴纳的基本养老保险费支出。</w:t>
      </w:r>
    </w:p>
    <w:p>
      <w:pPr>
        <w:numPr>
          <w:ilvl w:val="0"/>
          <w:numId w:val="2"/>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社会保障和就业（类）</w:t>
      </w:r>
      <w:r>
        <w:rPr>
          <w:rFonts w:hint="eastAsia" w:ascii="仿宋_GB2312" w:eastAsia="仿宋_GB2312"/>
          <w:color w:val="auto"/>
          <w:sz w:val="32"/>
          <w:szCs w:val="32"/>
          <w:highlight w:val="none"/>
          <w:lang w:val="en-US" w:eastAsia="zh-CN"/>
        </w:rPr>
        <w:t>其他社会保障和就业支出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其他社会保障和就业支出</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val="en-US" w:eastAsia="zh-CN"/>
        </w:rPr>
        <w:t xml:space="preserve"> 指其他用于社会保障和就业方面的支出。</w:t>
      </w:r>
    </w:p>
    <w:p>
      <w:pPr>
        <w:numPr>
          <w:ilvl w:val="0"/>
          <w:numId w:val="2"/>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卫生健康支出（类）行政事业单位医疗（款）事业单位医疗（项）：指用于事业单位由单位缴纳的基本医疗保险缴费。</w:t>
      </w:r>
    </w:p>
    <w:p>
      <w:pPr>
        <w:numPr>
          <w:ilvl w:val="0"/>
          <w:numId w:val="2"/>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住房保障支出（类）住房改革支出（款）住房公积金（项）：指</w:t>
      </w:r>
      <w:r>
        <w:rPr>
          <w:rFonts w:hint="eastAsia" w:ascii="仿宋_GB2312" w:eastAsia="仿宋_GB2312"/>
          <w:color w:val="auto"/>
          <w:sz w:val="32"/>
          <w:szCs w:val="32"/>
          <w:highlight w:val="none"/>
          <w:lang w:eastAsia="zh-CN"/>
        </w:rPr>
        <w:t>行政事业单位按人力资源和社会保障部、财政部规定的基本工资和津贴补贴以及规定比例为职工缴纳的住房公积金</w:t>
      </w:r>
      <w:r>
        <w:rPr>
          <w:rFonts w:hint="eastAsia" w:ascii="仿宋_GB2312" w:eastAsia="仿宋_GB2312"/>
          <w:color w:val="auto"/>
          <w:sz w:val="32"/>
          <w:szCs w:val="32"/>
          <w:highlight w:val="none"/>
        </w:rPr>
        <w:t>。</w:t>
      </w:r>
    </w:p>
    <w:p>
      <w:pPr>
        <w:numPr>
          <w:ilvl w:val="0"/>
          <w:numId w:val="2"/>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2"/>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9"/>
        <w:numPr>
          <w:ilvl w:val="0"/>
          <w:numId w:val="2"/>
        </w:numPr>
        <w:spacing w:line="560" w:lineRule="exact"/>
        <w:ind w:left="0" w:leftChars="0" w:firstLine="400" w:firstLineChars="0"/>
        <w:jc w:val="left"/>
        <w:rPr>
          <w:rFonts w:hint="eastAsia" w:ascii="Times New Roman" w:hAnsi="Times New Roman" w:eastAsia="黑体" w:cs="黑体"/>
          <w:color w:val="FF0000"/>
          <w:sz w:val="32"/>
          <w:szCs w:val="32"/>
          <w:highlight w:val="none"/>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rPr>
          <w:rFonts w:hint="eastAsia" w:ascii="Times New Roman" w:hAnsi="Times New Roman" w:eastAsia="仿宋_GB2312" w:cs="仿宋_GB2312"/>
          <w:color w:val="auto"/>
          <w:kern w:val="2"/>
          <w:sz w:val="32"/>
          <w:szCs w:val="32"/>
          <w:highlight w:val="none"/>
          <w:lang w:val="en-US" w:eastAsia="zh-CN" w:bidi="ar-SA"/>
        </w:rPr>
      </w:pPr>
      <w:bookmarkStart w:id="106" w:name="_Toc15396614"/>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jc w:val="center"/>
        <w:rPr>
          <w:rStyle w:val="19"/>
          <w:rFonts w:hint="eastAsia"/>
        </w:rP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p>
    <w:p>
      <w:pPr>
        <w:jc w:val="center"/>
        <w:rPr>
          <w:rFonts w:hint="eastAsia" w:ascii="Times New Roman" w:hAnsi="Times New Roman" w:eastAsia="黑体" w:cs="黑体"/>
          <w:color w:val="FF0000"/>
          <w:sz w:val="32"/>
          <w:szCs w:val="32"/>
          <w:highlight w:val="none"/>
        </w:rPr>
      </w:pPr>
      <w:r>
        <w:rPr>
          <w:rStyle w:val="19"/>
          <w:rFonts w:hint="eastAsia"/>
        </w:rPr>
        <w:t>第四部分</w:t>
      </w:r>
      <w:r>
        <w:rPr>
          <w:rStyle w:val="19"/>
          <w:rFonts w:hint="eastAsia"/>
          <w:lang w:val="en-US" w:eastAsia="zh-CN"/>
        </w:rPr>
        <w:t xml:space="preserve"> </w:t>
      </w:r>
      <w:r>
        <w:rPr>
          <w:rStyle w:val="19"/>
          <w:rFonts w:hint="eastAsia"/>
        </w:rPr>
        <w:t xml:space="preserve"> 附件</w:t>
      </w:r>
      <w:bookmarkEnd w:id="106"/>
    </w:p>
    <w:tbl>
      <w:tblPr>
        <w:tblStyle w:val="15"/>
        <w:tblpPr w:leftFromText="180" w:rightFromText="180" w:vertAnchor="text" w:horzAnchor="page" w:tblpXSpec="center" w:tblpY="795"/>
        <w:tblOverlap w:val="never"/>
        <w:tblW w:w="1438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272"/>
        <w:gridCol w:w="1129"/>
        <w:gridCol w:w="1502"/>
        <w:gridCol w:w="396"/>
        <w:gridCol w:w="1105"/>
        <w:gridCol w:w="396"/>
        <w:gridCol w:w="835"/>
        <w:gridCol w:w="497"/>
        <w:gridCol w:w="236"/>
        <w:gridCol w:w="250"/>
        <w:gridCol w:w="1566"/>
        <w:gridCol w:w="2574"/>
        <w:gridCol w:w="486"/>
        <w:gridCol w:w="15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904" w:hRule="atLeast"/>
          <w:jc w:val="center"/>
        </w:trPr>
        <w:tc>
          <w:tcPr>
            <w:tcW w:w="97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107" w:name="_Toc15396618"/>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4626" w:type="dxa"/>
          <w:trHeight w:val="286" w:hRule="atLeast"/>
          <w:jc w:val="center"/>
        </w:trPr>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91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51080021T000000063294-市级专项资金教师培训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512" w:hRule="atLeast"/>
          <w:jc w:val="center"/>
        </w:trPr>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3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4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确保完成培训，取得良好培训效果，推动教师队伍素质提升。</w:t>
            </w:r>
          </w:p>
        </w:tc>
        <w:tc>
          <w:tcPr>
            <w:tcW w:w="33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完成9个市级教师培训项目，培训教师4000余人次。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114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91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深入实施教育提质工程，打造区域教育高质量发展新高地，在充分调研培训需求基础上共设置市级教师培训项目9个，年内分别赴绵阳师范学院、成都师范学院、苏州大学、成都航空职业技术学院等省内外优质名校取经问道，培训教师4000余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4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1.69</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101.69</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99.76</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98.11%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9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1.69</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101.69</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99.76</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98.11%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40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6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培训人次</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4000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合格率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上年度未实施项目，本年完成</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提升教师素质</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是</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提升教师素质</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参训教师满意度</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经费使用</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1016904</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997600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286" w:hRule="atLeast"/>
          <w:jc w:val="center"/>
        </w:trPr>
        <w:tc>
          <w:tcPr>
            <w:tcW w:w="721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94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1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评总分99分，达成预期目标。一是2024年组织实施学科“种子”教师培训，紧紧围绕基础教育改革，聚焦广元市基础教育“种子”教师教育教学能力全面提升，起好学科带头人，带动广元市基础教育教师队伍整体成长；二是组织实施名师培训（含“蜀道英才计划”“教育领军人才”），对广元名师实施专业能力、管理能力、科研能力提升高级研修培训，进一步提升名师教学教育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1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1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286" w:hRule="atLeast"/>
          <w:jc w:val="center"/>
        </w:trPr>
        <w:tc>
          <w:tcPr>
            <w:tcW w:w="48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8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286" w:hRule="atLeast"/>
          <w:jc w:val="center"/>
        </w:trPr>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3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9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904" w:hRule="atLeast"/>
          <w:jc w:val="center"/>
        </w:trPr>
        <w:tc>
          <w:tcPr>
            <w:tcW w:w="97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4626" w:type="dxa"/>
          <w:trHeight w:val="286" w:hRule="atLeast"/>
          <w:jc w:val="center"/>
        </w:trPr>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91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51080022T000006150047-中小学幼儿园教师国家级培训计划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512" w:hRule="atLeast"/>
          <w:jc w:val="center"/>
        </w:trPr>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3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4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3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22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按照年度培训计划，培训中小学幼儿园骨干教师校长；支持地方提升教师培训专业化水平，建立高水平教师培训团队。</w:t>
            </w:r>
          </w:p>
        </w:tc>
        <w:tc>
          <w:tcPr>
            <w:tcW w:w="33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1.培训中小学幼儿园骨干教师校园长，有效提升了参培学员的专业化水平和教育教学能力，促进了地方县区级教师发展机构建设和培训团队成长，提高了教师培训的针对性、实效性。</w:t>
            </w:r>
            <w:r>
              <w:rPr>
                <w:rFonts w:hint="eastAsia" w:ascii="黑体" w:hAnsi="黑体" w:eastAsia="黑体" w:cs="黑体"/>
                <w:i w:val="0"/>
                <w:iCs w:val="0"/>
                <w:color w:val="000000"/>
                <w:kern w:val="0"/>
                <w:sz w:val="18"/>
                <w:szCs w:val="18"/>
                <w:u w:val="none"/>
                <w:lang w:val="en-US" w:eastAsia="zh-CN" w:bidi="ar"/>
              </w:rPr>
              <w:br w:type="textWrapping"/>
            </w:r>
            <w:r>
              <w:rPr>
                <w:rFonts w:hint="eastAsia" w:ascii="黑体" w:hAnsi="黑体" w:eastAsia="黑体" w:cs="黑体"/>
                <w:i w:val="0"/>
                <w:iCs w:val="0"/>
                <w:color w:val="000000"/>
                <w:kern w:val="0"/>
                <w:sz w:val="18"/>
                <w:szCs w:val="18"/>
                <w:u w:val="none"/>
                <w:lang w:val="en-US" w:eastAsia="zh-CN" w:bidi="ar"/>
              </w:rPr>
              <w:t>2.提升了名师工作室成员教育情怀、教学技巧和办学治校水平，促进其在校园文化建设、管理创新、课程改革等方面的经验交流与分享，共同推动教育事业的进步与发展；提升卓越校长工作室成员的专业素养和管理能力，深入推进校长队伍的专业化、职业化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142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91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1.按照《四川省教育厅 四川省财政厅关于做好2024年教师培训市（州）统筹实施项目工作的通知》要求，2024年我市统筹实施中小学幼儿园教师培训市（州）统筹实施项目14个，计划培训教师663人次，培训经费389万元。市教育局通过遴选或招标方式确定了各项目承训机构，组织专家团队通过方案评估、过程视导等方式督促指导各项目高效完成。</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在成都农业科技职业学校、宜宾职业技术学院开展名师工作室成员双师成长专题培训2次32人次，学员专业技能得到提高，教学研究能力得到提升，教学水平得到飞跃。2024年成员学校本科上线人数占全省农林牧渔类专业70%，专科上线率99%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4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399.00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334.00</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83.71%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按照政府采购要求，培训经费超过30万的项目要通过政府采购程序确定承训机构，我市2024年市统筹项目有2项是通过政府采购产生机构。因采购招标流程复杂，且有严格的时间规定，故没有在2024年年底拨付经费。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9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399.00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334.00</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83.71%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40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6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16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202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培训人数</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623</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因超过30万的两个项目走政府采购手续，流程时间较长，2024年12月底才完成招标，故项目只能在2025年春季实施。目前，一个项目已于3月底实施完成，剩余一个项目正在有序实施过程中，预计将于4月27日实施结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各类培训结业率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培训内容符合要求度</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培训计划执行率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67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参与教师教育教学能力</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参培学员的专业化水平和教育教学能力进一步提高</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参培学员的专业化水平和教育教学能力进一步提高</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90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地方组织实施教师培训能力</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地方教师培训专业化水平进一步提高，促进教师培训团队成长。</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地方教师培训专业化水平进一步提高，促进教师培训团队成长。</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参培学员满意度</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培训总成本</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526</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399</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286" w:hRule="atLeast"/>
          <w:jc w:val="center"/>
        </w:trPr>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8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23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1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自评总分为98，取得了如下成效：</w:t>
            </w:r>
            <w:r>
              <w:rPr>
                <w:rFonts w:hint="eastAsia" w:ascii="微软雅黑" w:hAnsi="微软雅黑" w:eastAsia="微软雅黑" w:cs="微软雅黑"/>
                <w:i w:val="0"/>
                <w:iCs w:val="0"/>
                <w:color w:val="000000"/>
                <w:kern w:val="0"/>
                <w:sz w:val="16"/>
                <w:szCs w:val="16"/>
                <w:u w:val="none"/>
                <w:lang w:val="en-US" w:eastAsia="zh-CN" w:bidi="ar"/>
              </w:rPr>
              <w:br w:type="textWrapping"/>
            </w:r>
            <w:r>
              <w:rPr>
                <w:rFonts w:hint="eastAsia" w:ascii="微软雅黑" w:hAnsi="微软雅黑" w:eastAsia="微软雅黑" w:cs="微软雅黑"/>
                <w:i w:val="0"/>
                <w:iCs w:val="0"/>
                <w:color w:val="000000"/>
                <w:kern w:val="0"/>
                <w:sz w:val="16"/>
                <w:szCs w:val="16"/>
                <w:u w:val="none"/>
                <w:lang w:val="en-US" w:eastAsia="zh-CN" w:bidi="ar"/>
              </w:rPr>
              <w:t>1.提升了教师专业能力。通过市级统一发放培训满意度匿名测评问卷，对已实施完成项目进行满意度测评，目前，后台数据反馈，学员满意度高达 96%。培训提升了参培教师的职业认同感和幸福感，增强了教师的责任感和使命感，有效提升了参培学员的专业化水平和教育教学能力。</w:t>
            </w:r>
            <w:r>
              <w:rPr>
                <w:rFonts w:hint="eastAsia" w:ascii="微软雅黑" w:hAnsi="微软雅黑" w:eastAsia="微软雅黑" w:cs="微软雅黑"/>
                <w:i w:val="0"/>
                <w:iCs w:val="0"/>
                <w:color w:val="000000"/>
                <w:kern w:val="0"/>
                <w:sz w:val="16"/>
                <w:szCs w:val="16"/>
                <w:u w:val="none"/>
                <w:lang w:val="en-US" w:eastAsia="zh-CN" w:bidi="ar"/>
              </w:rPr>
              <w:br w:type="textWrapping"/>
            </w:r>
            <w:r>
              <w:rPr>
                <w:rFonts w:hint="eastAsia" w:ascii="微软雅黑" w:hAnsi="微软雅黑" w:eastAsia="微软雅黑" w:cs="微软雅黑"/>
                <w:i w:val="0"/>
                <w:iCs w:val="0"/>
                <w:color w:val="000000"/>
                <w:kern w:val="0"/>
                <w:sz w:val="16"/>
                <w:szCs w:val="16"/>
                <w:u w:val="none"/>
                <w:lang w:val="en-US" w:eastAsia="zh-CN" w:bidi="ar"/>
              </w:rPr>
              <w:t>2.建强了教师培训体系。以申报承办国培市（州）统筹项目为契机，我市县区级教师发展机构得到锻炼，本土培训团队专业水平提升，正逐步构建起开放、协同、联动的“市、县、校”三级一体教师培训体系。</w:t>
            </w:r>
            <w:r>
              <w:rPr>
                <w:rFonts w:hint="eastAsia" w:ascii="微软雅黑" w:hAnsi="微软雅黑" w:eastAsia="微软雅黑" w:cs="微软雅黑"/>
                <w:i w:val="0"/>
                <w:iCs w:val="0"/>
                <w:color w:val="000000"/>
                <w:kern w:val="0"/>
                <w:sz w:val="16"/>
                <w:szCs w:val="16"/>
                <w:u w:val="none"/>
                <w:lang w:val="en-US" w:eastAsia="zh-CN" w:bidi="ar"/>
              </w:rPr>
              <w:br w:type="textWrapping"/>
            </w:r>
            <w:r>
              <w:rPr>
                <w:rFonts w:hint="eastAsia" w:ascii="微软雅黑" w:hAnsi="微软雅黑" w:eastAsia="微软雅黑" w:cs="微软雅黑"/>
                <w:i w:val="0"/>
                <w:iCs w:val="0"/>
                <w:color w:val="000000"/>
                <w:kern w:val="0"/>
                <w:sz w:val="16"/>
                <w:szCs w:val="16"/>
                <w:u w:val="none"/>
                <w:lang w:val="en-US" w:eastAsia="zh-CN" w:bidi="ar"/>
              </w:rPr>
              <w:t>3.生成了培训经验成果。在项目实施过程中，我市生成了一大批优质资源，积极探索培训模式创新，构建了特色培训模式，经验成果产出丰富。</w:t>
            </w:r>
            <w:r>
              <w:rPr>
                <w:rFonts w:hint="eastAsia" w:ascii="微软雅黑" w:hAnsi="微软雅黑" w:eastAsia="微软雅黑" w:cs="微软雅黑"/>
                <w:i w:val="0"/>
                <w:iCs w:val="0"/>
                <w:color w:val="000000"/>
                <w:kern w:val="0"/>
                <w:sz w:val="16"/>
                <w:szCs w:val="16"/>
                <w:u w:val="none"/>
                <w:lang w:val="en-US" w:eastAsia="zh-CN" w:bidi="ar"/>
              </w:rPr>
              <w:br w:type="textWrapping"/>
            </w:r>
            <w:r>
              <w:rPr>
                <w:rFonts w:hint="eastAsia" w:ascii="微软雅黑" w:hAnsi="微软雅黑" w:eastAsia="微软雅黑" w:cs="微软雅黑"/>
                <w:i w:val="0"/>
                <w:iCs w:val="0"/>
                <w:color w:val="000000"/>
                <w:kern w:val="0"/>
                <w:sz w:val="16"/>
                <w:szCs w:val="16"/>
                <w:u w:val="none"/>
                <w:lang w:val="en-US" w:eastAsia="zh-CN" w:bidi="ar"/>
              </w:rPr>
              <w:t>4.完成微课制作65个，课堂实录53个，ppt课件251个，精品课程1门，教材1部。完成专项培训2次，提升了学员教育情怀和教学技巧，提升了成员学校专业建设和办学水平。获国家级奖1个，省级奖7项。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74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1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部分项目进度缓慢。按照政府采购要求，培训经费超过30万的项目要通过政府采购程序确定承训机构，我市2024年有2项是通过政府采购产生机构。因采购招标流程复杂，且有严格的时间规定，2024年12月底才完成招标，因此这2个项目只能在2025年春季实施。目前，一个项目已于3月底实施完成，剩余一个项目正在有序实施过程中，预计将于4月27日实施结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1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加快项目实施进度。进一步督促指导承训机构尽快按时完成剩余项目实施，做好项目过程视导、成效评估等工作，确保项目高质量完成。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4626" w:type="dxa"/>
          <w:trHeight w:val="286" w:hRule="atLeast"/>
          <w:jc w:val="center"/>
        </w:trPr>
        <w:tc>
          <w:tcPr>
            <w:tcW w:w="48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8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3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23" w:type="dxa"/>
            <w:gridSpan w:val="5"/>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bl>
    <w:tbl>
      <w:tblPr>
        <w:tblStyle w:val="15"/>
        <w:tblW w:w="99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5"/>
        <w:gridCol w:w="1270"/>
        <w:gridCol w:w="1137"/>
        <w:gridCol w:w="1529"/>
        <w:gridCol w:w="423"/>
        <w:gridCol w:w="1082"/>
        <w:gridCol w:w="424"/>
        <w:gridCol w:w="904"/>
        <w:gridCol w:w="519"/>
        <w:gridCol w:w="519"/>
        <w:gridCol w:w="15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0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9.56</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9.56</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9.56</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9.56</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3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w:t>
            </w:r>
            <w:bookmarkStart w:id="175" w:name="_GoBack"/>
            <w:r>
              <w:rPr>
                <w:rFonts w:ascii="宋体" w:hAnsi="宋体" w:eastAsia="宋体" w:cs="宋体"/>
                <w:i w:val="0"/>
                <w:iCs w:val="0"/>
                <w:color w:val="000000"/>
                <w:kern w:val="0"/>
                <w:sz w:val="18"/>
                <w:szCs w:val="18"/>
                <w:u w:val="none"/>
                <w:lang w:val="en-US" w:eastAsia="zh-CN" w:bidi="ar"/>
              </w:rPr>
              <w:t>R</w:t>
            </w:r>
            <w:bookmarkEnd w:id="175"/>
            <w:r>
              <w:rPr>
                <w:rFonts w:ascii="宋体" w:hAnsi="宋体" w:eastAsia="宋体" w:cs="宋体"/>
                <w:i w:val="0"/>
                <w:iCs w:val="0"/>
                <w:color w:val="000000"/>
                <w:kern w:val="0"/>
                <w:sz w:val="18"/>
                <w:szCs w:val="18"/>
                <w:u w:val="none"/>
                <w:lang w:val="en-US" w:eastAsia="zh-CN" w:bidi="ar"/>
              </w:rPr>
              <w:t>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0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11.45</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11.45</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6.40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11.45</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11.45</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3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51080023T000008618947-高层次人才安家补助和工作补助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0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严格执行相关政策，保障引进人才的安家补助和工作补助。</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严格执行相关政策，保障引进人才的安家补助和工作补助。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严格执行相关政策，保障引进人才的安家补助和工作补助。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2022年引进人才</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项目完成及时性</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本年完成</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本年完成</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引进人才的安家补助和工作补助</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有效提升引进人才立足岗位干实事。</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有效提升引进人才立足岗位干实事。</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引进人才的安家补助和工作补助</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提升引进人才归属感和使命感</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提升引进人才归属感和使命感</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人才满意度</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引进人才的工作补助</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元/人*月</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500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引进人才的安家补助</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80000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3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p>
            <w:pPr>
              <w:rPr>
                <w:rFonts w:hint="eastAsia" w:ascii="宋体" w:hAnsi="宋体" w:eastAsia="宋体" w:cs="宋体"/>
                <w:i w:val="0"/>
                <w:iCs w:val="0"/>
                <w:color w:val="000000"/>
                <w:sz w:val="18"/>
                <w:szCs w:val="18"/>
                <w:u w:val="none"/>
              </w:rPr>
            </w:pPr>
          </w:p>
        </w:tc>
        <w:tc>
          <w:tcPr>
            <w:tcW w:w="15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51080023T000008944527-省级教师培训计划资金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0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用于第三批中职卓越校长工作室建设与成员培养，提升工作室成员教育情怀、教学技能与办学治校水平。</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用于第三批中职卓越校长工作室建设与成员培养，提升工作室成员教育情怀、教学技能与办学治校水平。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于第三批中职卓越校长工作室建设与成员培养，提升工作室成员教育情怀、教学技能与办学治校水平。共开展专题活动3场，深化教育情怀；组织入校交流1次，推广典型经验。工作室负责人获省级教学能力比赛二等奖，成员斩获一等奖，示范引领效应显著，助推区域中职教育提质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培养工作室成员</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6</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工作室成员教育情怀、教学技能与办学治校水平提升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提升工作室成员教育热情、职业满足感与专业发展内驱力</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工作室成员满意度</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98</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项目总成本</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4</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3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0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29.46</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29.46</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29.50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3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0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57.64</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59.36</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59.36</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57.64</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59.36</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59.36</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3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0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26.36</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26.36</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26.36</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26.36</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26.36</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26.36</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3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0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10.08</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10.08</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10.08</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10.08</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10.08</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10.08</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3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p>
            <w:pPr>
              <w:rPr>
                <w:rFonts w:hint="eastAsia" w:ascii="宋体" w:hAnsi="宋体" w:eastAsia="宋体" w:cs="宋体"/>
                <w:i w:val="0"/>
                <w:iCs w:val="0"/>
                <w:color w:val="000000"/>
                <w:sz w:val="18"/>
                <w:szCs w:val="18"/>
                <w:u w:val="none"/>
              </w:rPr>
            </w:pPr>
          </w:p>
        </w:tc>
        <w:tc>
          <w:tcPr>
            <w:tcW w:w="15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51080024T000011265688-职业院校教师素质提高计划奖补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0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1.全面推进特色高水平高职学校和专业建设</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2.逐步推进中等职业教育名校名专业名实训基地建设</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3.不断提高职业院校教师素质</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1.按照计划组织实施职业教育教师培训项目，有效提升了参培学员的专业化水平和教育教学能力。</w:t>
            </w:r>
            <w:r>
              <w:rPr>
                <w:rFonts w:hint="eastAsia" w:ascii="黑体" w:hAnsi="黑体" w:eastAsia="黑体" w:cs="黑体"/>
                <w:i w:val="0"/>
                <w:iCs w:val="0"/>
                <w:color w:val="000000"/>
                <w:kern w:val="0"/>
                <w:sz w:val="18"/>
                <w:szCs w:val="18"/>
                <w:u w:val="none"/>
                <w:lang w:val="en-US" w:eastAsia="zh-CN" w:bidi="ar"/>
              </w:rPr>
              <w:br w:type="textWrapping"/>
            </w:r>
            <w:r>
              <w:rPr>
                <w:rFonts w:hint="eastAsia" w:ascii="黑体" w:hAnsi="黑体" w:eastAsia="黑体" w:cs="黑体"/>
                <w:i w:val="0"/>
                <w:iCs w:val="0"/>
                <w:color w:val="000000"/>
                <w:kern w:val="0"/>
                <w:sz w:val="18"/>
                <w:szCs w:val="18"/>
                <w:u w:val="none"/>
                <w:lang w:val="en-US" w:eastAsia="zh-CN" w:bidi="ar"/>
              </w:rPr>
              <w:t>2.支持职业院校设立一批产业导师特聘岗，深化产教融合、校企合作，促进高素质“双师型”教师队伍建设。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0"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1.按照《四川省教育厅 四川省财政厅关于做好2023年教师培训市（州）统筹实施项目工作的通知》项目设置要求，我市根据各职业学校实际需求，自主规划设置了2023年我市职业院校教师培训市（州）统筹实施项目--产业导师特聘项目，计划支持我市10所中高职院校特聘产业导师18人，培训经费18万元。市教育局组织专家团队通过方案评估、过程视导、成效评估等方式督促指导各学校完成产业导师特聘项目。</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2.按照《四川省教育厅 四川省财政厅关于做好2024年教师培训市（州）统筹实施项目工作的通知》项目设置要求，结合我市实际需求，自主规划设置了2024年我市职业院校教师培训市（州）统筹实施项目5个，计划培训教师158人次，培训经费44万元。市教育局通过遴选或招标确定了各项目承训机构，组织专家团队通过方案评估、过程视导等方式督促指导各项目高效完成。</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3.按照《四川省教育厅关于做好2023年教师培训遴选项目实施工作的通知》要求，四川省2023年职教“产业导师特聘”项目分配广元5个名额，支持苍溪职中和广元职高特聘产业导师，完成相关工作。</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4.2024年9月，由广元市教师发展中心组织召开了第三批省级卓越校长工作室建设启动会，指导卓越校长工作室建设与后续工作开展，制定了《广元市教师发展中心关于做好2024年国家、省级教师培训广元市统筹实施项目第三期卓越校长工作室建设专项培训的通知》，就第三批省级卓越校长工作室建设做出详细指示与要求，各工作室积极迅速开展了工作室建设、成员摸底调研、优质名校交流研学、外聘专家讲学等活动，活动取得较大进展，提升工作室成员教育情怀、教学技巧和办学治校水平得到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73.00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卓越校长奖补</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省级项目产业导师特聘</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5</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市州统筹项目产业导师特聘</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18</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教师教育情怀加强，专业能力、科研能力、育人能力、结果产出得到提升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参培学员的专业化素养和教育教学能力进一步提升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项目完成及时性</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按任务书时间完成</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按任务书时间完成</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职业教育学校平均就业率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职业院校产教融合、校企合作进一步深化，促进了“双师型”教师队伍建设。</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学校和老师满意度</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项目总成本</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189</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73</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3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0"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自评总分为100，取得了如下成效：</w:t>
            </w:r>
            <w:r>
              <w:rPr>
                <w:rFonts w:hint="eastAsia" w:ascii="微软雅黑" w:hAnsi="微软雅黑" w:eastAsia="微软雅黑" w:cs="微软雅黑"/>
                <w:i w:val="0"/>
                <w:iCs w:val="0"/>
                <w:color w:val="000000"/>
                <w:kern w:val="0"/>
                <w:sz w:val="16"/>
                <w:szCs w:val="16"/>
                <w:u w:val="none"/>
                <w:lang w:val="en-US" w:eastAsia="zh-CN" w:bidi="ar"/>
              </w:rPr>
              <w:br w:type="textWrapping"/>
            </w:r>
            <w:r>
              <w:rPr>
                <w:rFonts w:hint="eastAsia" w:ascii="微软雅黑" w:hAnsi="微软雅黑" w:eastAsia="微软雅黑" w:cs="微软雅黑"/>
                <w:i w:val="0"/>
                <w:iCs w:val="0"/>
                <w:color w:val="000000"/>
                <w:kern w:val="0"/>
                <w:sz w:val="16"/>
                <w:szCs w:val="16"/>
                <w:u w:val="none"/>
                <w:lang w:val="en-US" w:eastAsia="zh-CN" w:bidi="ar"/>
              </w:rPr>
              <w:t>1.促进了教师专业能力提升。培训提升了参培教师的职业认同感和幸福感，增强了教师的责任感和使命感，有效提升了参培学员的专业化水平和教育教学能力。</w:t>
            </w:r>
            <w:r>
              <w:rPr>
                <w:rFonts w:hint="eastAsia" w:ascii="微软雅黑" w:hAnsi="微软雅黑" w:eastAsia="微软雅黑" w:cs="微软雅黑"/>
                <w:i w:val="0"/>
                <w:iCs w:val="0"/>
                <w:color w:val="000000"/>
                <w:kern w:val="0"/>
                <w:sz w:val="16"/>
                <w:szCs w:val="16"/>
                <w:u w:val="none"/>
                <w:lang w:val="en-US" w:eastAsia="zh-CN" w:bidi="ar"/>
              </w:rPr>
              <w:br w:type="textWrapping"/>
            </w:r>
            <w:r>
              <w:rPr>
                <w:rFonts w:hint="eastAsia" w:ascii="微软雅黑" w:hAnsi="微软雅黑" w:eastAsia="微软雅黑" w:cs="微软雅黑"/>
                <w:i w:val="0"/>
                <w:iCs w:val="0"/>
                <w:color w:val="000000"/>
                <w:kern w:val="0"/>
                <w:sz w:val="16"/>
                <w:szCs w:val="16"/>
                <w:u w:val="none"/>
                <w:lang w:val="en-US" w:eastAsia="zh-CN" w:bidi="ar"/>
              </w:rPr>
              <w:t>2.培养了一支培训专业队伍。以申报承办市（州）统筹项目为契机，锻炼了职业院校教师培训管理者能力提升，培养了一批专业师训队伍。</w:t>
            </w:r>
            <w:r>
              <w:rPr>
                <w:rFonts w:hint="eastAsia" w:ascii="微软雅黑" w:hAnsi="微软雅黑" w:eastAsia="微软雅黑" w:cs="微软雅黑"/>
                <w:i w:val="0"/>
                <w:iCs w:val="0"/>
                <w:color w:val="000000"/>
                <w:kern w:val="0"/>
                <w:sz w:val="16"/>
                <w:szCs w:val="16"/>
                <w:u w:val="none"/>
                <w:lang w:val="en-US" w:eastAsia="zh-CN" w:bidi="ar"/>
              </w:rPr>
              <w:br w:type="textWrapping"/>
            </w:r>
            <w:r>
              <w:rPr>
                <w:rFonts w:hint="eastAsia" w:ascii="微软雅黑" w:hAnsi="微软雅黑" w:eastAsia="微软雅黑" w:cs="微软雅黑"/>
                <w:i w:val="0"/>
                <w:iCs w:val="0"/>
                <w:color w:val="000000"/>
                <w:kern w:val="0"/>
                <w:sz w:val="16"/>
                <w:szCs w:val="16"/>
                <w:u w:val="none"/>
                <w:lang w:val="en-US" w:eastAsia="zh-CN" w:bidi="ar"/>
              </w:rPr>
              <w:t>3.生成了一批优质资源。在项目实施过程中，我市生成了一大批优质资源，积极探索培训模式创新，构建了特色培训模式，培训成果产出丰富。</w:t>
            </w:r>
            <w:r>
              <w:rPr>
                <w:rFonts w:hint="eastAsia" w:ascii="微软雅黑" w:hAnsi="微软雅黑" w:eastAsia="微软雅黑" w:cs="微软雅黑"/>
                <w:i w:val="0"/>
                <w:iCs w:val="0"/>
                <w:color w:val="000000"/>
                <w:kern w:val="0"/>
                <w:sz w:val="16"/>
                <w:szCs w:val="16"/>
                <w:u w:val="none"/>
                <w:lang w:val="en-US" w:eastAsia="zh-CN" w:bidi="ar"/>
              </w:rPr>
              <w:br w:type="textWrapping"/>
            </w:r>
            <w:r>
              <w:rPr>
                <w:rFonts w:hint="eastAsia" w:ascii="微软雅黑" w:hAnsi="微软雅黑" w:eastAsia="微软雅黑" w:cs="微软雅黑"/>
                <w:i w:val="0"/>
                <w:iCs w:val="0"/>
                <w:color w:val="000000"/>
                <w:kern w:val="0"/>
                <w:sz w:val="16"/>
                <w:szCs w:val="16"/>
                <w:u w:val="none"/>
                <w:lang w:val="en-US" w:eastAsia="zh-CN" w:bidi="ar"/>
              </w:rPr>
              <w:t>4.进一步深化产教融合。支持职业院校设立一批产业导师特聘岗，聘请企业人才到学校工作，深化产教融合、校企合作，促进了地方“双师型”教师队伍建设。</w:t>
            </w:r>
            <w:r>
              <w:rPr>
                <w:rFonts w:hint="eastAsia" w:ascii="微软雅黑" w:hAnsi="微软雅黑" w:eastAsia="微软雅黑" w:cs="微软雅黑"/>
                <w:i w:val="0"/>
                <w:iCs w:val="0"/>
                <w:color w:val="000000"/>
                <w:kern w:val="0"/>
                <w:sz w:val="16"/>
                <w:szCs w:val="16"/>
                <w:u w:val="none"/>
                <w:lang w:val="en-US" w:eastAsia="zh-CN" w:bidi="ar"/>
              </w:rPr>
              <w:br w:type="textWrapping"/>
            </w:r>
            <w:r>
              <w:rPr>
                <w:rFonts w:hint="eastAsia" w:ascii="微软雅黑" w:hAnsi="微软雅黑" w:eastAsia="微软雅黑" w:cs="微软雅黑"/>
                <w:i w:val="0"/>
                <w:iCs w:val="0"/>
                <w:color w:val="000000"/>
                <w:kern w:val="0"/>
                <w:sz w:val="16"/>
                <w:szCs w:val="16"/>
                <w:u w:val="none"/>
                <w:lang w:val="en-US" w:eastAsia="zh-CN" w:bidi="ar"/>
              </w:rPr>
              <w:t>5.提升了第三批卓越校长工作室成员教育情怀、教学技巧和办学治校水平。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0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1.73</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3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3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2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2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0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1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51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90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0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1.97</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1.97</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1.97</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1.97</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1.97</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1.97</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3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预算执行情况自评得分10分，绩效指标自评得分90分，预算自评总分100分，较好的实现了绩效目标。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3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49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both"/>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pStyle w:val="3"/>
        <w:bidi w:val="0"/>
        <w:rPr>
          <w:rFonts w:hint="eastAsia" w:ascii="Times New Roman" w:hAnsi="Times New Roman" w:eastAsia="仿宋_GB2312" w:cs="仿宋_GB2312"/>
          <w:color w:val="auto"/>
          <w:sz w:val="32"/>
          <w:szCs w:val="32"/>
          <w:highlight w:val="none"/>
        </w:rPr>
      </w:pPr>
      <w:bookmarkStart w:id="108" w:name="_Toc5684"/>
      <w:bookmarkStart w:id="109" w:name="_Toc12602"/>
      <w:r>
        <w:rPr>
          <w:rFonts w:hint="eastAsia"/>
        </w:rPr>
        <w:t>第五部分 附表</w:t>
      </w:r>
      <w:bookmarkEnd w:id="105"/>
      <w:bookmarkEnd w:id="107"/>
      <w:bookmarkEnd w:id="108"/>
      <w:bookmarkEnd w:id="109"/>
      <w:bookmarkStart w:id="110" w:name="_Toc15396619"/>
    </w:p>
    <w:bookmarkEnd w:id="110"/>
    <w:p>
      <w:pPr>
        <w:pStyle w:val="4"/>
        <w:rPr>
          <w:rFonts w:ascii="仿宋" w:hAnsi="仿宋" w:eastAsia="仿宋"/>
        </w:rPr>
      </w:pPr>
      <w:bookmarkStart w:id="111" w:name="_Toc4394"/>
      <w:bookmarkStart w:id="112" w:name="_Toc13594"/>
      <w:bookmarkStart w:id="113" w:name="_Toc20451"/>
      <w:bookmarkStart w:id="114" w:name="_Toc14799"/>
      <w:r>
        <w:rPr>
          <w:rFonts w:hint="eastAsia" w:ascii="仿宋" w:hAnsi="仿宋" w:eastAsia="仿宋"/>
          <w:b w:val="0"/>
        </w:rPr>
        <w:t>一、收</w:t>
      </w:r>
      <w:r>
        <w:rPr>
          <w:rStyle w:val="20"/>
          <w:rFonts w:hint="eastAsia" w:ascii="仿宋" w:hAnsi="仿宋" w:eastAsia="仿宋"/>
          <w:b w:val="0"/>
          <w:bCs w:val="0"/>
        </w:rPr>
        <w:t>入支出决算总表</w:t>
      </w:r>
      <w:bookmarkEnd w:id="111"/>
      <w:bookmarkEnd w:id="112"/>
      <w:bookmarkEnd w:id="113"/>
      <w:bookmarkEnd w:id="114"/>
    </w:p>
    <w:p>
      <w:pPr>
        <w:pStyle w:val="4"/>
        <w:rPr>
          <w:rFonts w:ascii="仿宋" w:hAnsi="仿宋" w:eastAsia="仿宋"/>
        </w:rPr>
      </w:pPr>
      <w:bookmarkStart w:id="115" w:name="_Toc7225"/>
      <w:bookmarkStart w:id="116" w:name="_Toc15396620"/>
      <w:bookmarkStart w:id="117" w:name="_Toc24256"/>
      <w:bookmarkStart w:id="118" w:name="_Toc16999"/>
      <w:bookmarkStart w:id="119" w:name="_Toc4565"/>
      <w:r>
        <w:rPr>
          <w:rFonts w:hint="eastAsia" w:ascii="仿宋" w:hAnsi="仿宋" w:eastAsia="仿宋"/>
          <w:b w:val="0"/>
        </w:rPr>
        <w:t>二、收</w:t>
      </w:r>
      <w:r>
        <w:rPr>
          <w:rStyle w:val="20"/>
          <w:rFonts w:hint="eastAsia" w:ascii="仿宋" w:hAnsi="仿宋" w:eastAsia="仿宋"/>
          <w:b w:val="0"/>
          <w:bCs w:val="0"/>
        </w:rPr>
        <w:t>入决算表</w:t>
      </w:r>
      <w:bookmarkEnd w:id="115"/>
      <w:bookmarkEnd w:id="116"/>
      <w:bookmarkEnd w:id="117"/>
      <w:bookmarkEnd w:id="118"/>
      <w:bookmarkEnd w:id="119"/>
    </w:p>
    <w:p>
      <w:pPr>
        <w:pStyle w:val="4"/>
        <w:rPr>
          <w:rFonts w:ascii="仿宋" w:hAnsi="仿宋" w:eastAsia="仿宋"/>
        </w:rPr>
      </w:pPr>
      <w:bookmarkStart w:id="120" w:name="_Toc4152"/>
      <w:bookmarkStart w:id="121" w:name="_Toc17499"/>
      <w:bookmarkStart w:id="122" w:name="_Toc6150"/>
      <w:bookmarkStart w:id="123" w:name="_Toc21871"/>
      <w:bookmarkStart w:id="124" w:name="_Toc15396621"/>
      <w:r>
        <w:rPr>
          <w:rStyle w:val="20"/>
          <w:rFonts w:hint="eastAsia" w:ascii="仿宋" w:hAnsi="仿宋" w:eastAsia="仿宋"/>
          <w:b w:val="0"/>
          <w:bCs w:val="0"/>
        </w:rPr>
        <w:t>三、</w:t>
      </w:r>
      <w:r>
        <w:rPr>
          <w:rFonts w:hint="eastAsia" w:ascii="仿宋" w:hAnsi="仿宋" w:eastAsia="仿宋"/>
          <w:b w:val="0"/>
        </w:rPr>
        <w:t>支</w:t>
      </w:r>
      <w:r>
        <w:rPr>
          <w:rStyle w:val="20"/>
          <w:rFonts w:hint="eastAsia" w:ascii="仿宋" w:hAnsi="仿宋" w:eastAsia="仿宋"/>
          <w:b w:val="0"/>
          <w:bCs w:val="0"/>
        </w:rPr>
        <w:t>出决算表</w:t>
      </w:r>
      <w:bookmarkEnd w:id="120"/>
      <w:bookmarkEnd w:id="121"/>
      <w:bookmarkEnd w:id="122"/>
      <w:bookmarkEnd w:id="123"/>
      <w:bookmarkEnd w:id="124"/>
    </w:p>
    <w:p>
      <w:pPr>
        <w:pStyle w:val="4"/>
        <w:rPr>
          <w:rFonts w:ascii="仿宋" w:hAnsi="仿宋" w:eastAsia="仿宋"/>
          <w:b w:val="0"/>
        </w:rPr>
      </w:pPr>
      <w:bookmarkStart w:id="125" w:name="_Toc17437"/>
      <w:bookmarkStart w:id="126" w:name="_Toc21478"/>
      <w:bookmarkStart w:id="127" w:name="_Toc11026"/>
      <w:bookmarkStart w:id="128" w:name="_Toc31315"/>
      <w:bookmarkStart w:id="129" w:name="_Toc15396622"/>
      <w:r>
        <w:rPr>
          <w:rStyle w:val="20"/>
          <w:rFonts w:hint="eastAsia" w:ascii="仿宋" w:hAnsi="仿宋" w:eastAsia="仿宋"/>
          <w:b w:val="0"/>
          <w:bCs w:val="0"/>
        </w:rPr>
        <w:t>四、</w:t>
      </w:r>
      <w:r>
        <w:rPr>
          <w:rFonts w:hint="eastAsia" w:ascii="仿宋" w:hAnsi="仿宋" w:eastAsia="仿宋"/>
          <w:b w:val="0"/>
        </w:rPr>
        <w:t>财</w:t>
      </w:r>
      <w:r>
        <w:rPr>
          <w:rStyle w:val="20"/>
          <w:rFonts w:hint="eastAsia" w:ascii="仿宋" w:hAnsi="仿宋" w:eastAsia="仿宋"/>
          <w:b w:val="0"/>
          <w:bCs w:val="0"/>
        </w:rPr>
        <w:t>政拨款收入支出决算总表</w:t>
      </w:r>
      <w:bookmarkEnd w:id="125"/>
      <w:bookmarkEnd w:id="126"/>
      <w:bookmarkEnd w:id="127"/>
      <w:bookmarkEnd w:id="128"/>
      <w:bookmarkEnd w:id="129"/>
    </w:p>
    <w:p>
      <w:pPr>
        <w:pStyle w:val="4"/>
        <w:rPr>
          <w:rStyle w:val="20"/>
          <w:rFonts w:ascii="仿宋" w:hAnsi="仿宋" w:eastAsia="仿宋"/>
          <w:b w:val="0"/>
          <w:bCs w:val="0"/>
        </w:rPr>
      </w:pPr>
      <w:bookmarkStart w:id="130" w:name="_Toc19090"/>
      <w:bookmarkStart w:id="131" w:name="_Toc32388"/>
      <w:bookmarkStart w:id="132" w:name="_Toc15396623"/>
      <w:bookmarkStart w:id="133" w:name="_Toc22202"/>
      <w:bookmarkStart w:id="134" w:name="_Toc16223"/>
      <w:r>
        <w:rPr>
          <w:rStyle w:val="20"/>
          <w:rFonts w:hint="eastAsia" w:ascii="仿宋" w:hAnsi="仿宋" w:eastAsia="仿宋"/>
          <w:b w:val="0"/>
          <w:bCs w:val="0"/>
        </w:rPr>
        <w:t>五、</w:t>
      </w:r>
      <w:r>
        <w:rPr>
          <w:rFonts w:hint="eastAsia" w:ascii="仿宋" w:hAnsi="仿宋" w:eastAsia="仿宋"/>
          <w:b w:val="0"/>
        </w:rPr>
        <w:t>财</w:t>
      </w:r>
      <w:r>
        <w:rPr>
          <w:rStyle w:val="20"/>
          <w:rFonts w:hint="eastAsia" w:ascii="仿宋" w:hAnsi="仿宋" w:eastAsia="仿宋"/>
          <w:b w:val="0"/>
          <w:bCs w:val="0"/>
        </w:rPr>
        <w:t>政拨款支出决算明细表</w:t>
      </w:r>
      <w:bookmarkEnd w:id="130"/>
      <w:bookmarkEnd w:id="131"/>
      <w:bookmarkEnd w:id="132"/>
      <w:bookmarkEnd w:id="133"/>
      <w:bookmarkEnd w:id="134"/>
      <w:bookmarkStart w:id="135" w:name="_Toc15396624"/>
    </w:p>
    <w:p>
      <w:pPr>
        <w:pStyle w:val="4"/>
        <w:rPr>
          <w:rFonts w:ascii="仿宋" w:hAnsi="仿宋" w:eastAsia="仿宋"/>
        </w:rPr>
      </w:pPr>
      <w:bookmarkStart w:id="136" w:name="_Toc23833"/>
      <w:bookmarkStart w:id="137" w:name="_Toc27215"/>
      <w:bookmarkStart w:id="138" w:name="_Toc9741"/>
      <w:bookmarkStart w:id="139" w:name="_Toc8756"/>
      <w:r>
        <w:rPr>
          <w:rStyle w:val="20"/>
          <w:rFonts w:hint="eastAsia" w:ascii="仿宋" w:hAnsi="仿宋" w:eastAsia="仿宋"/>
          <w:b w:val="0"/>
          <w:bCs w:val="0"/>
        </w:rPr>
        <w:t>六、</w:t>
      </w:r>
      <w:r>
        <w:rPr>
          <w:rFonts w:hint="eastAsia" w:ascii="仿宋" w:hAnsi="仿宋" w:eastAsia="仿宋"/>
          <w:b w:val="0"/>
        </w:rPr>
        <w:t>一</w:t>
      </w:r>
      <w:r>
        <w:rPr>
          <w:rStyle w:val="20"/>
          <w:rFonts w:hint="eastAsia" w:ascii="仿宋" w:hAnsi="仿宋" w:eastAsia="仿宋"/>
          <w:b w:val="0"/>
          <w:bCs w:val="0"/>
        </w:rPr>
        <w:t>般公共预算财政拨款支出决算表</w:t>
      </w:r>
      <w:bookmarkEnd w:id="135"/>
      <w:bookmarkEnd w:id="136"/>
      <w:bookmarkEnd w:id="137"/>
      <w:bookmarkEnd w:id="138"/>
      <w:bookmarkEnd w:id="139"/>
    </w:p>
    <w:p>
      <w:pPr>
        <w:pStyle w:val="4"/>
        <w:rPr>
          <w:rFonts w:ascii="仿宋" w:hAnsi="仿宋" w:eastAsia="仿宋"/>
        </w:rPr>
      </w:pPr>
      <w:bookmarkStart w:id="140" w:name="_Toc15396625"/>
      <w:bookmarkStart w:id="141" w:name="_Toc9729"/>
      <w:bookmarkStart w:id="142" w:name="_Toc6186"/>
      <w:bookmarkStart w:id="143" w:name="_Toc23845"/>
      <w:bookmarkStart w:id="144" w:name="_Toc11524"/>
      <w:r>
        <w:rPr>
          <w:rStyle w:val="20"/>
          <w:rFonts w:hint="eastAsia" w:ascii="仿宋" w:hAnsi="仿宋" w:eastAsia="仿宋"/>
          <w:b w:val="0"/>
          <w:bCs w:val="0"/>
        </w:rPr>
        <w:t>七、</w:t>
      </w:r>
      <w:r>
        <w:rPr>
          <w:rFonts w:hint="eastAsia" w:ascii="仿宋" w:hAnsi="仿宋" w:eastAsia="仿宋"/>
          <w:b w:val="0"/>
        </w:rPr>
        <w:t>一</w:t>
      </w:r>
      <w:r>
        <w:rPr>
          <w:rStyle w:val="20"/>
          <w:rFonts w:hint="eastAsia" w:ascii="仿宋" w:hAnsi="仿宋" w:eastAsia="仿宋"/>
          <w:b w:val="0"/>
          <w:bCs w:val="0"/>
        </w:rPr>
        <w:t>般公共预算财政拨款支出决算明细表</w:t>
      </w:r>
      <w:bookmarkEnd w:id="140"/>
      <w:bookmarkEnd w:id="141"/>
      <w:bookmarkEnd w:id="142"/>
      <w:bookmarkEnd w:id="143"/>
      <w:bookmarkEnd w:id="144"/>
    </w:p>
    <w:p>
      <w:pPr>
        <w:pStyle w:val="4"/>
        <w:rPr>
          <w:rFonts w:ascii="仿宋" w:hAnsi="仿宋" w:eastAsia="仿宋"/>
        </w:rPr>
      </w:pPr>
      <w:bookmarkStart w:id="145" w:name="_Toc22385"/>
      <w:bookmarkStart w:id="146" w:name="_Toc19496"/>
      <w:bookmarkStart w:id="147" w:name="_Toc15396626"/>
      <w:bookmarkStart w:id="148" w:name="_Toc13782"/>
      <w:bookmarkStart w:id="149" w:name="_Toc17431"/>
      <w:r>
        <w:rPr>
          <w:rStyle w:val="20"/>
          <w:rFonts w:hint="eastAsia" w:ascii="仿宋" w:hAnsi="仿宋" w:eastAsia="仿宋"/>
          <w:b w:val="0"/>
          <w:bCs w:val="0"/>
        </w:rPr>
        <w:t>八、</w:t>
      </w:r>
      <w:r>
        <w:rPr>
          <w:rFonts w:hint="eastAsia" w:ascii="仿宋" w:hAnsi="仿宋" w:eastAsia="仿宋"/>
          <w:b w:val="0"/>
        </w:rPr>
        <w:t>一</w:t>
      </w:r>
      <w:r>
        <w:rPr>
          <w:rStyle w:val="20"/>
          <w:rFonts w:hint="eastAsia" w:ascii="仿宋" w:hAnsi="仿宋" w:eastAsia="仿宋"/>
          <w:b w:val="0"/>
          <w:bCs w:val="0"/>
        </w:rPr>
        <w:t>般公共预算财政拨款基本支出决算表</w:t>
      </w:r>
      <w:bookmarkEnd w:id="145"/>
      <w:bookmarkEnd w:id="146"/>
      <w:bookmarkEnd w:id="147"/>
      <w:bookmarkEnd w:id="148"/>
      <w:bookmarkEnd w:id="149"/>
    </w:p>
    <w:p>
      <w:pPr>
        <w:pStyle w:val="4"/>
        <w:rPr>
          <w:rFonts w:ascii="仿宋" w:hAnsi="仿宋" w:eastAsia="仿宋"/>
        </w:rPr>
      </w:pPr>
      <w:bookmarkStart w:id="150" w:name="_Toc13767"/>
      <w:bookmarkStart w:id="151" w:name="_Toc15396627"/>
      <w:bookmarkStart w:id="152" w:name="_Toc14423"/>
      <w:bookmarkStart w:id="153" w:name="_Toc16107"/>
      <w:bookmarkStart w:id="154" w:name="_Toc23245"/>
      <w:r>
        <w:rPr>
          <w:rStyle w:val="20"/>
          <w:rFonts w:hint="eastAsia" w:ascii="仿宋" w:hAnsi="仿宋" w:eastAsia="仿宋"/>
          <w:b w:val="0"/>
          <w:bCs w:val="0"/>
        </w:rPr>
        <w:t>九、</w:t>
      </w:r>
      <w:r>
        <w:rPr>
          <w:rFonts w:hint="eastAsia" w:ascii="仿宋" w:hAnsi="仿宋" w:eastAsia="仿宋"/>
          <w:b w:val="0"/>
        </w:rPr>
        <w:t>一</w:t>
      </w:r>
      <w:r>
        <w:rPr>
          <w:rStyle w:val="20"/>
          <w:rFonts w:hint="eastAsia" w:ascii="仿宋" w:hAnsi="仿宋" w:eastAsia="仿宋"/>
          <w:b w:val="0"/>
          <w:bCs w:val="0"/>
        </w:rPr>
        <w:t>般公共预算财政拨款项目支出决算表</w:t>
      </w:r>
      <w:bookmarkEnd w:id="150"/>
      <w:bookmarkEnd w:id="151"/>
      <w:bookmarkEnd w:id="152"/>
      <w:bookmarkEnd w:id="153"/>
      <w:bookmarkEnd w:id="154"/>
    </w:p>
    <w:p>
      <w:pPr>
        <w:pStyle w:val="4"/>
        <w:rPr>
          <w:rFonts w:ascii="仿宋" w:hAnsi="仿宋" w:eastAsia="仿宋"/>
        </w:rPr>
      </w:pPr>
      <w:bookmarkStart w:id="155" w:name="_Toc15396628"/>
      <w:bookmarkStart w:id="156" w:name="_Toc27138"/>
      <w:bookmarkStart w:id="157" w:name="_Toc1860"/>
      <w:bookmarkStart w:id="158" w:name="_Toc766"/>
      <w:bookmarkStart w:id="159" w:name="_Toc24692"/>
      <w:r>
        <w:rPr>
          <w:rStyle w:val="20"/>
          <w:rFonts w:hint="eastAsia" w:ascii="仿宋" w:hAnsi="仿宋" w:eastAsia="仿宋"/>
          <w:b w:val="0"/>
          <w:bCs w:val="0"/>
        </w:rPr>
        <w:t>十、</w:t>
      </w:r>
      <w:bookmarkEnd w:id="155"/>
      <w:r>
        <w:rPr>
          <w:rFonts w:hint="eastAsia" w:ascii="仿宋" w:hAnsi="仿宋" w:eastAsia="仿宋"/>
          <w:b w:val="0"/>
        </w:rPr>
        <w:t>政</w:t>
      </w:r>
      <w:r>
        <w:rPr>
          <w:rStyle w:val="20"/>
          <w:rFonts w:hint="eastAsia" w:ascii="仿宋" w:hAnsi="仿宋" w:eastAsia="仿宋"/>
          <w:b w:val="0"/>
          <w:bCs w:val="0"/>
        </w:rPr>
        <w:t>府性基金预算财政拨款收入支出决算表</w:t>
      </w:r>
      <w:bookmarkEnd w:id="156"/>
      <w:bookmarkEnd w:id="157"/>
      <w:bookmarkEnd w:id="158"/>
      <w:bookmarkEnd w:id="159"/>
    </w:p>
    <w:p>
      <w:pPr>
        <w:pStyle w:val="4"/>
        <w:rPr>
          <w:rFonts w:ascii="仿宋" w:hAnsi="仿宋" w:eastAsia="仿宋"/>
        </w:rPr>
      </w:pPr>
      <w:bookmarkStart w:id="160" w:name="_Toc15396629"/>
      <w:bookmarkStart w:id="161" w:name="_Toc16390"/>
      <w:bookmarkStart w:id="162" w:name="_Toc26217"/>
      <w:bookmarkStart w:id="163" w:name="_Toc31485"/>
      <w:bookmarkStart w:id="164" w:name="_Toc19629"/>
      <w:r>
        <w:rPr>
          <w:rStyle w:val="20"/>
          <w:rFonts w:hint="eastAsia" w:ascii="仿宋" w:hAnsi="仿宋" w:eastAsia="仿宋"/>
          <w:b w:val="0"/>
          <w:bCs w:val="0"/>
        </w:rPr>
        <w:t>十一、</w:t>
      </w:r>
      <w:bookmarkEnd w:id="160"/>
      <w:r>
        <w:rPr>
          <w:rFonts w:hint="eastAsia" w:ascii="仿宋" w:hAnsi="仿宋" w:eastAsia="仿宋"/>
          <w:b w:val="0"/>
        </w:rPr>
        <w:t>国</w:t>
      </w:r>
      <w:r>
        <w:rPr>
          <w:rStyle w:val="20"/>
          <w:rFonts w:hint="eastAsia" w:ascii="仿宋" w:hAnsi="仿宋" w:eastAsia="仿宋"/>
          <w:b w:val="0"/>
          <w:bCs w:val="0"/>
        </w:rPr>
        <w:t>有资本经营预算财政拨款收入支出决算表</w:t>
      </w:r>
      <w:bookmarkEnd w:id="161"/>
      <w:bookmarkEnd w:id="162"/>
      <w:bookmarkEnd w:id="163"/>
      <w:bookmarkEnd w:id="164"/>
    </w:p>
    <w:p>
      <w:pPr>
        <w:pStyle w:val="4"/>
        <w:rPr>
          <w:rFonts w:ascii="仿宋" w:hAnsi="仿宋" w:eastAsia="仿宋"/>
        </w:rPr>
      </w:pPr>
      <w:bookmarkStart w:id="165" w:name="_Toc15396630"/>
      <w:bookmarkStart w:id="166" w:name="_Toc19644"/>
      <w:bookmarkStart w:id="167" w:name="_Toc5336"/>
      <w:bookmarkStart w:id="168" w:name="_Toc30212"/>
      <w:bookmarkStart w:id="169" w:name="_Toc24523"/>
      <w:r>
        <w:rPr>
          <w:rStyle w:val="20"/>
          <w:rFonts w:hint="eastAsia" w:ascii="仿宋" w:hAnsi="仿宋" w:eastAsia="仿宋"/>
          <w:b w:val="0"/>
          <w:bCs w:val="0"/>
        </w:rPr>
        <w:t>十二、</w:t>
      </w:r>
      <w:bookmarkEnd w:id="165"/>
      <w:r>
        <w:rPr>
          <w:rStyle w:val="20"/>
          <w:rFonts w:hint="eastAsia" w:ascii="仿宋" w:hAnsi="仿宋" w:eastAsia="仿宋"/>
          <w:b w:val="0"/>
          <w:bCs w:val="0"/>
        </w:rPr>
        <w:t>国有资本经营预算财政拨款支出决算表</w:t>
      </w:r>
      <w:bookmarkEnd w:id="166"/>
      <w:bookmarkEnd w:id="167"/>
      <w:bookmarkEnd w:id="168"/>
      <w:bookmarkEnd w:id="169"/>
    </w:p>
    <w:p>
      <w:pPr>
        <w:pStyle w:val="4"/>
        <w:rPr>
          <w:rFonts w:eastAsia="仿宋"/>
        </w:rPr>
      </w:pPr>
      <w:bookmarkStart w:id="170" w:name="_Toc15396631"/>
      <w:bookmarkStart w:id="171" w:name="_Toc15211"/>
      <w:bookmarkStart w:id="172" w:name="_Toc16053"/>
      <w:bookmarkStart w:id="173" w:name="_Toc14944"/>
      <w:bookmarkStart w:id="174" w:name="_Toc9796"/>
      <w:r>
        <w:rPr>
          <w:rStyle w:val="20"/>
          <w:rFonts w:hint="eastAsia" w:ascii="仿宋" w:hAnsi="仿宋" w:eastAsia="仿宋"/>
          <w:b w:val="0"/>
          <w:bCs w:val="0"/>
        </w:rPr>
        <w:t>十三、</w:t>
      </w:r>
      <w:bookmarkEnd w:id="170"/>
      <w:r>
        <w:rPr>
          <w:rStyle w:val="20"/>
          <w:rFonts w:hint="eastAsia" w:ascii="仿宋" w:hAnsi="仿宋" w:eastAsia="仿宋"/>
          <w:b w:val="0"/>
          <w:bCs w:val="0"/>
        </w:rPr>
        <w:t>财政拨款“三公”经费支出决算表</w:t>
      </w:r>
      <w:bookmarkEnd w:id="171"/>
      <w:bookmarkEnd w:id="172"/>
      <w:bookmarkEnd w:id="173"/>
      <w:bookmarkEnd w:id="174"/>
    </w:p>
    <w:p>
      <w:pPr>
        <w:rPr>
          <w:rFonts w:hint="eastAsia" w:ascii="Times New Roman" w:hAnsi="Times New Roman"/>
          <w:lang w:eastAsia="zh-CN"/>
        </w:rPr>
      </w:pPr>
    </w:p>
    <w:sectPr>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BEOMHAIAACkEAAAOAAAAZHJz&#10;L2Uyb0RvYy54bWytU82O0zAQviPxDpbvNGkRu1X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UwRDjBwCAAApBAAADgAAAAAAAAABACAAAAA1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pPr>
      <w:pStyle w:val="10"/>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iMuAO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DiMuAOGwIAACkEAAAOAAAAAAAAAAEAIAAAADU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63CB96"/>
    <w:multiLevelType w:val="singleLevel"/>
    <w:tmpl w:val="CE63CB96"/>
    <w:lvl w:ilvl="0" w:tentative="0">
      <w:start w:val="1"/>
      <w:numFmt w:val="decimal"/>
      <w:suff w:val="nothing"/>
      <w:lvlText w:val="%1．"/>
      <w:lvlJc w:val="left"/>
      <w:pPr>
        <w:ind w:left="0" w:firstLine="400"/>
      </w:pPr>
      <w:rPr>
        <w:rFonts w:hint="default"/>
        <w:color w:val="auto"/>
        <w:sz w:val="32"/>
        <w:szCs w:val="32"/>
      </w:rPr>
    </w:lvl>
  </w:abstractNum>
  <w:abstractNum w:abstractNumId="1">
    <w:nsid w:val="D2F13714"/>
    <w:multiLevelType w:val="singleLevel"/>
    <w:tmpl w:val="D2F1371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5390F35"/>
    <w:rsid w:val="061E35DE"/>
    <w:rsid w:val="066E0107"/>
    <w:rsid w:val="06EC66E0"/>
    <w:rsid w:val="07996F6E"/>
    <w:rsid w:val="07DFD8BA"/>
    <w:rsid w:val="09867E8F"/>
    <w:rsid w:val="0A2032A3"/>
    <w:rsid w:val="0CA8290A"/>
    <w:rsid w:val="0D35B1ED"/>
    <w:rsid w:val="0E254B6B"/>
    <w:rsid w:val="0F98263C"/>
    <w:rsid w:val="101860EC"/>
    <w:rsid w:val="101F47CC"/>
    <w:rsid w:val="10C055FF"/>
    <w:rsid w:val="11694EBD"/>
    <w:rsid w:val="11772AA4"/>
    <w:rsid w:val="118107EC"/>
    <w:rsid w:val="12411FD6"/>
    <w:rsid w:val="12E24EE2"/>
    <w:rsid w:val="13D50BC4"/>
    <w:rsid w:val="14B17F78"/>
    <w:rsid w:val="153644BF"/>
    <w:rsid w:val="156758B0"/>
    <w:rsid w:val="165E0673"/>
    <w:rsid w:val="16B831D5"/>
    <w:rsid w:val="16BB723D"/>
    <w:rsid w:val="17082FC9"/>
    <w:rsid w:val="17E50567"/>
    <w:rsid w:val="186504BB"/>
    <w:rsid w:val="19A445FC"/>
    <w:rsid w:val="1B0C1661"/>
    <w:rsid w:val="1BE8440E"/>
    <w:rsid w:val="1D155CEE"/>
    <w:rsid w:val="1D1638FE"/>
    <w:rsid w:val="1D96199F"/>
    <w:rsid w:val="1E312DEB"/>
    <w:rsid w:val="1E740ACF"/>
    <w:rsid w:val="1EDD1B37"/>
    <w:rsid w:val="1FF35744"/>
    <w:rsid w:val="1FF6BC77"/>
    <w:rsid w:val="2186353C"/>
    <w:rsid w:val="21E14AEE"/>
    <w:rsid w:val="23860B96"/>
    <w:rsid w:val="240371BF"/>
    <w:rsid w:val="243B7DB5"/>
    <w:rsid w:val="244F3473"/>
    <w:rsid w:val="24C97D99"/>
    <w:rsid w:val="25A718F0"/>
    <w:rsid w:val="25BB59F6"/>
    <w:rsid w:val="260F557C"/>
    <w:rsid w:val="26970054"/>
    <w:rsid w:val="281408E2"/>
    <w:rsid w:val="29FD04D3"/>
    <w:rsid w:val="2BFF7BC6"/>
    <w:rsid w:val="2C8A61B5"/>
    <w:rsid w:val="2DF04E50"/>
    <w:rsid w:val="2E586DFA"/>
    <w:rsid w:val="2F040D46"/>
    <w:rsid w:val="2F4E4244"/>
    <w:rsid w:val="2F6B035B"/>
    <w:rsid w:val="2FAE5751"/>
    <w:rsid w:val="2FB1A395"/>
    <w:rsid w:val="2FD9A7D8"/>
    <w:rsid w:val="2FDBF714"/>
    <w:rsid w:val="300A2B36"/>
    <w:rsid w:val="30AB6865"/>
    <w:rsid w:val="319F7F4E"/>
    <w:rsid w:val="32BD1EF1"/>
    <w:rsid w:val="3304709D"/>
    <w:rsid w:val="33A773CB"/>
    <w:rsid w:val="33BF51FF"/>
    <w:rsid w:val="33EA3E24"/>
    <w:rsid w:val="349D6851"/>
    <w:rsid w:val="36AA5135"/>
    <w:rsid w:val="36AB0437"/>
    <w:rsid w:val="36BE0DA7"/>
    <w:rsid w:val="370A3104"/>
    <w:rsid w:val="376B6AA6"/>
    <w:rsid w:val="376D39B2"/>
    <w:rsid w:val="37E16F03"/>
    <w:rsid w:val="37F53A3B"/>
    <w:rsid w:val="389B6C89"/>
    <w:rsid w:val="38D469F0"/>
    <w:rsid w:val="39627CCD"/>
    <w:rsid w:val="397BAF1F"/>
    <w:rsid w:val="3AB79AF3"/>
    <w:rsid w:val="3AE834C0"/>
    <w:rsid w:val="3B7EF35A"/>
    <w:rsid w:val="3B9FDB6C"/>
    <w:rsid w:val="3BF5BC2F"/>
    <w:rsid w:val="3CEBA265"/>
    <w:rsid w:val="3D4D50B6"/>
    <w:rsid w:val="3D98207C"/>
    <w:rsid w:val="3DA84F8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E5B1F"/>
    <w:rsid w:val="4B4F25DA"/>
    <w:rsid w:val="4BE068DB"/>
    <w:rsid w:val="4C776AF7"/>
    <w:rsid w:val="4D577224"/>
    <w:rsid w:val="4DBF1CEB"/>
    <w:rsid w:val="4DF0007C"/>
    <w:rsid w:val="4EAB630A"/>
    <w:rsid w:val="4ECE2238"/>
    <w:rsid w:val="4F833267"/>
    <w:rsid w:val="4FE9BD67"/>
    <w:rsid w:val="4FFB052F"/>
    <w:rsid w:val="513733A0"/>
    <w:rsid w:val="537E6D0A"/>
    <w:rsid w:val="53F74C96"/>
    <w:rsid w:val="55170BA8"/>
    <w:rsid w:val="553218C9"/>
    <w:rsid w:val="567E1AA5"/>
    <w:rsid w:val="56E47B74"/>
    <w:rsid w:val="57175D52"/>
    <w:rsid w:val="57BD3DD4"/>
    <w:rsid w:val="588D3F31"/>
    <w:rsid w:val="5A650958"/>
    <w:rsid w:val="5AF92295"/>
    <w:rsid w:val="5B250254"/>
    <w:rsid w:val="5BDD79E6"/>
    <w:rsid w:val="5BF561CA"/>
    <w:rsid w:val="5BFF5DFC"/>
    <w:rsid w:val="5CC30EB6"/>
    <w:rsid w:val="5CD71FC4"/>
    <w:rsid w:val="5D1F11B5"/>
    <w:rsid w:val="5D695134"/>
    <w:rsid w:val="5DAE1B18"/>
    <w:rsid w:val="5DE7D9E5"/>
    <w:rsid w:val="5ECEC941"/>
    <w:rsid w:val="5EF446BC"/>
    <w:rsid w:val="5FB61A99"/>
    <w:rsid w:val="5FBF9FF3"/>
    <w:rsid w:val="5FCD4E2C"/>
    <w:rsid w:val="5FEF394A"/>
    <w:rsid w:val="5FF67715"/>
    <w:rsid w:val="62BF3928"/>
    <w:rsid w:val="63B3701E"/>
    <w:rsid w:val="647F5392"/>
    <w:rsid w:val="652E5694"/>
    <w:rsid w:val="65E66580"/>
    <w:rsid w:val="664B1D71"/>
    <w:rsid w:val="664B4E8E"/>
    <w:rsid w:val="67277B67"/>
    <w:rsid w:val="67AA3209"/>
    <w:rsid w:val="6854164E"/>
    <w:rsid w:val="68D75A1D"/>
    <w:rsid w:val="698D0931"/>
    <w:rsid w:val="6A7FE5F3"/>
    <w:rsid w:val="6B053271"/>
    <w:rsid w:val="6BDD78B3"/>
    <w:rsid w:val="6C4A05C8"/>
    <w:rsid w:val="6C8742B8"/>
    <w:rsid w:val="6CDB3E2C"/>
    <w:rsid w:val="6CE578C4"/>
    <w:rsid w:val="6D0E2ECE"/>
    <w:rsid w:val="6D101FD4"/>
    <w:rsid w:val="6D2A2A5B"/>
    <w:rsid w:val="6DBF5E93"/>
    <w:rsid w:val="6DFF077E"/>
    <w:rsid w:val="6E2B0DE4"/>
    <w:rsid w:val="6E714EF0"/>
    <w:rsid w:val="6E7E3605"/>
    <w:rsid w:val="6E7FDCC7"/>
    <w:rsid w:val="6ED6A62E"/>
    <w:rsid w:val="6EE00B15"/>
    <w:rsid w:val="6EFB5AC0"/>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3F3CA4"/>
    <w:rsid w:val="75DEEEC2"/>
    <w:rsid w:val="75E32345"/>
    <w:rsid w:val="769A787A"/>
    <w:rsid w:val="76E3355F"/>
    <w:rsid w:val="76FF5125"/>
    <w:rsid w:val="776F6FFA"/>
    <w:rsid w:val="778769C8"/>
    <w:rsid w:val="77A75DCA"/>
    <w:rsid w:val="77DC22F5"/>
    <w:rsid w:val="783E271A"/>
    <w:rsid w:val="78616DE9"/>
    <w:rsid w:val="78E875D7"/>
    <w:rsid w:val="79086DAD"/>
    <w:rsid w:val="795C1C15"/>
    <w:rsid w:val="79D7FD79"/>
    <w:rsid w:val="79EE5BA4"/>
    <w:rsid w:val="7A894339"/>
    <w:rsid w:val="7AD284E8"/>
    <w:rsid w:val="7AFF7572"/>
    <w:rsid w:val="7B6C7DFB"/>
    <w:rsid w:val="7BBFBED0"/>
    <w:rsid w:val="7BC3E394"/>
    <w:rsid w:val="7C1F3737"/>
    <w:rsid w:val="7CBFC87B"/>
    <w:rsid w:val="7CFE0F48"/>
    <w:rsid w:val="7D272ABC"/>
    <w:rsid w:val="7D79306F"/>
    <w:rsid w:val="7D7EC23E"/>
    <w:rsid w:val="7D9677FD"/>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jc w:val="center"/>
      <w:outlineLvl w:val="0"/>
    </w:pPr>
    <w:rPr>
      <w:rFonts w:ascii="Times New Roman" w:hAnsi="Times New Roman"/>
      <w:b/>
      <w:bCs/>
      <w:kern w:val="44"/>
      <w:sz w:val="44"/>
      <w:szCs w:val="44"/>
    </w:rPr>
  </w:style>
  <w:style w:type="paragraph" w:styleId="4">
    <w:name w:val="heading 2"/>
    <w:basedOn w:val="1"/>
    <w:next w:val="1"/>
    <w:link w:val="20"/>
    <w:unhideWhenUsed/>
    <w:qFormat/>
    <w:uiPriority w:val="9"/>
    <w:pPr>
      <w:keepNext/>
      <w:keepLines/>
      <w:spacing w:before="260" w:after="260" w:line="416" w:lineRule="auto"/>
      <w:jc w:val="left"/>
      <w:outlineLvl w:val="1"/>
    </w:pPr>
    <w:rPr>
      <w:rFonts w:asciiTheme="majorAscii" w:hAnsiTheme="majorAsci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8"/>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eastAsia="宋体"/>
      <w:b/>
      <w:bCs/>
      <w:kern w:val="44"/>
      <w:sz w:val="44"/>
      <w:szCs w:val="44"/>
    </w:rPr>
  </w:style>
  <w:style w:type="character" w:customStyle="1" w:styleId="20">
    <w:name w:val="标题 2 Char"/>
    <w:basedOn w:val="16"/>
    <w:link w:val="4"/>
    <w:qFormat/>
    <w:uiPriority w:val="9"/>
    <w:rPr>
      <w:rFonts w:asciiTheme="majorAscii" w:hAnsiTheme="majorAsci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paragraph" w:customStyle="1" w:styleId="2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3">
    <w:name w:val="Header Char"/>
    <w:basedOn w:val="16"/>
    <w:semiHidden/>
    <w:qFormat/>
    <w:uiPriority w:val="99"/>
    <w:rPr>
      <w:rFonts w:ascii="Times New Roman" w:hAnsi="Times New Roman"/>
      <w:sz w:val="18"/>
      <w:szCs w:val="18"/>
    </w:rPr>
  </w:style>
  <w:style w:type="character" w:customStyle="1" w:styleId="24">
    <w:name w:val="页眉 Char"/>
    <w:link w:val="11"/>
    <w:semiHidden/>
    <w:qFormat/>
    <w:locked/>
    <w:uiPriority w:val="99"/>
    <w:rPr>
      <w:sz w:val="18"/>
    </w:rPr>
  </w:style>
  <w:style w:type="character" w:customStyle="1" w:styleId="25">
    <w:name w:val="Footer Char"/>
    <w:basedOn w:val="16"/>
    <w:semiHidden/>
    <w:qFormat/>
    <w:uiPriority w:val="99"/>
    <w:rPr>
      <w:rFonts w:ascii="Times New Roman" w:hAnsi="Times New Roman"/>
      <w:sz w:val="18"/>
      <w:szCs w:val="18"/>
    </w:rPr>
  </w:style>
  <w:style w:type="character" w:customStyle="1" w:styleId="26">
    <w:name w:val="页脚 Char"/>
    <w:link w:val="10"/>
    <w:qFormat/>
    <w:locked/>
    <w:uiPriority w:val="99"/>
    <w:rPr>
      <w:sz w:val="18"/>
    </w:rPr>
  </w:style>
  <w:style w:type="character" w:customStyle="1" w:styleId="27">
    <w:name w:val="Body Text Char"/>
    <w:basedOn w:val="16"/>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6"/>
    <w:link w:val="9"/>
    <w:semiHidden/>
    <w:qFormat/>
    <w:uiPriority w:val="99"/>
    <w:rPr>
      <w:rFonts w:ascii="Times New Roman" w:hAnsi="Times New Roman"/>
      <w:kern w:val="2"/>
      <w:sz w:val="18"/>
      <w:szCs w:val="18"/>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5">
    <w:name w:val="WPSOffice手动目录 1"/>
    <w:qFormat/>
    <w:uiPriority w:val="0"/>
    <w:pPr>
      <w:ind w:leftChars="0"/>
    </w:pPr>
    <w:rPr>
      <w:rFonts w:ascii="Times New Roman" w:hAnsi="Times New Roman" w:eastAsia="宋体" w:cs="Times New Roman"/>
      <w:sz w:val="20"/>
      <w:szCs w:val="20"/>
    </w:rPr>
  </w:style>
  <w:style w:type="paragraph" w:customStyle="1" w:styleId="3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G:\&#25945;&#24072;&#21457;&#23637;&#20013;&#24515;\1.&#36130;&#21153;\1.&#39044;&#20915;&#31639;\2024\&#20915;&#31639;&#20844;&#24320;\&#22270;&#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G:\&#25945;&#24072;&#21457;&#23637;&#20013;&#24515;\1.&#36130;&#21153;\1.&#39044;&#20915;&#31639;\2024\&#20915;&#31639;&#20844;&#24320;\&#22270;&#3492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G:\&#25945;&#24072;&#21457;&#23637;&#20013;&#24515;\1.&#36130;&#21153;\1.&#39044;&#20915;&#31639;\2024\&#20915;&#31639;&#20844;&#24320;\&#22270;&#34920;.xlsx" TargetMode="External"/></Relationships>
</file>

<file path=word/charts/_rels/chart4.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G:\&#25945;&#24072;&#21457;&#23637;&#20013;&#24515;\1.&#36130;&#21153;\1.&#39044;&#20915;&#31639;\2024\&#20915;&#31639;&#20844;&#24320;\&#22270;&#3492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G:\&#25945;&#24072;&#21457;&#23637;&#20013;&#24515;\1.&#36130;&#21153;\1.&#39044;&#20915;&#31639;\2024\&#20915;&#31639;&#20844;&#24320;\&#22270;&#34920;.xlsx" TargetMode="External"/></Relationships>
</file>

<file path=word/charts/_rels/chart6.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2.xml"/><Relationship Id="rId1" Type="http://schemas.openxmlformats.org/officeDocument/2006/relationships/oleObject" Target="file:///G:\&#25945;&#24072;&#21457;&#23637;&#20013;&#24515;\1.&#36130;&#21153;\1.&#39044;&#20915;&#31639;\2024\&#20915;&#31639;&#20844;&#24320;\&#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966666666666667"/>
          <c:y val="0.0534926897191924"/>
          <c:w val="0.875096418732782"/>
          <c:h val="0.801044325829659"/>
        </c:manualLayout>
      </c:layout>
      <c:barChart>
        <c:barDir val="col"/>
        <c:grouping val="clustered"/>
        <c:varyColors val="false"/>
        <c:ser>
          <c:idx val="0"/>
          <c:order val="0"/>
          <c:tx>
            <c:strRef>
              <c:f>'[图表.xlsx]1'!$J$2:$J$3</c:f>
              <c:strCache>
                <c:ptCount val="1"/>
                <c:pt idx="0">
                  <c:v>2023 2024</c:v>
                </c:pt>
              </c:strCache>
            </c:strRef>
          </c:tx>
          <c:spPr>
            <a:solidFill>
              <a:schemeClr val="accent1"/>
            </a:solidFill>
            <a:ln>
              <a:noFill/>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numRef>
              <c:f>'[图表.xlsx]1'!$J$2:$J$3</c:f>
              <c:numCache>
                <c:formatCode>General</c:formatCode>
                <c:ptCount val="2"/>
                <c:pt idx="0">
                  <c:v>2023</c:v>
                </c:pt>
                <c:pt idx="1">
                  <c:v>2024</c:v>
                </c:pt>
              </c:numCache>
            </c:numRef>
          </c:cat>
          <c:val>
            <c:numRef>
              <c:f>'[图表.xlsx]1'!$K$2:$K$3</c:f>
              <c:numCache>
                <c:formatCode>General</c:formatCode>
                <c:ptCount val="2"/>
                <c:pt idx="0">
                  <c:v>260.75</c:v>
                </c:pt>
                <c:pt idx="1">
                  <c:v>665.87</c:v>
                </c:pt>
              </c:numCache>
            </c:numRef>
          </c:val>
        </c:ser>
        <c:dLbls>
          <c:showLegendKey val="false"/>
          <c:showVal val="true"/>
          <c:showCatName val="false"/>
          <c:showSerName val="false"/>
          <c:showPercent val="false"/>
          <c:showBubbleSize val="false"/>
        </c:dLbls>
        <c:gapWidth val="219"/>
        <c:overlap val="-27"/>
        <c:axId val="774290119"/>
        <c:axId val="518099446"/>
      </c:barChart>
      <c:catAx>
        <c:axId val="774290119"/>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518099446"/>
        <c:crosses val="autoZero"/>
        <c:auto val="true"/>
        <c:lblAlgn val="ctr"/>
        <c:lblOffset val="100"/>
        <c:noMultiLvlLbl val="false"/>
      </c:catAx>
      <c:valAx>
        <c:axId val="51809944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774290119"/>
        <c:crosses val="autoZero"/>
        <c:crossBetween val="between"/>
        <c:majorUnit val="100"/>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200"/>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895833333333333"/>
          <c:y val="0.138634259259259"/>
          <c:w val="0.826222222222222"/>
          <c:h val="0.675277777777778"/>
        </c:manualLayout>
      </c:layout>
      <c:pieChart>
        <c:varyColors val="true"/>
        <c:ser>
          <c:idx val="0"/>
          <c:order val="0"/>
          <c:spPr>
            <a:scene3d>
              <a:camera prst="orthographicFront"/>
              <a:lightRig rig="threePt" dir="t"/>
            </a:scene3d>
            <a:sp3d contourW="25400"/>
          </c:spPr>
          <c:explosion val="0"/>
          <c:dPt>
            <c:idx val="0"/>
            <c:bubble3D val="false"/>
            <c:spPr>
              <a:solidFill>
                <a:schemeClr val="accent1"/>
              </a:solidFill>
              <a:ln w="25400">
                <a:solidFill>
                  <a:schemeClr val="lt1"/>
                </a:solidFill>
              </a:ln>
              <a:effectLst/>
              <a:scene3d>
                <a:camera prst="orthographicFront"/>
                <a:lightRig rig="threePt" dir="t"/>
              </a:scene3d>
              <a:sp3d contourW="25400"/>
            </c:spPr>
          </c:dPt>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'[图表.xlsx]2'!$A$1</c:f>
              <c:strCache>
                <c:ptCount val="1"/>
                <c:pt idx="0">
                  <c:v>一般公共预算财政拨款收入</c:v>
                </c:pt>
              </c:strCache>
            </c:strRef>
          </c:cat>
          <c:val>
            <c:numRef>
              <c:f>'[图表.xlsx]2'!$B$1</c:f>
              <c:numCache>
                <c:formatCode>General</c:formatCode>
                <c:ptCount val="1"/>
                <c:pt idx="0">
                  <c:v>665.87</c:v>
                </c:pt>
              </c:numCache>
            </c:numRef>
          </c:val>
        </c:ser>
        <c:ser>
          <c:idx val="1"/>
          <c:order val="1"/>
          <c:spPr/>
          <c:explosion val="0"/>
          <c:dPt>
            <c:idx val="0"/>
            <c:bubble3D val="false"/>
            <c:spPr>
              <a:solidFill>
                <a:schemeClr val="accent1"/>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'[图表.xlsx]2'!$A$1</c:f>
              <c:strCache>
                <c:ptCount val="1"/>
                <c:pt idx="0">
                  <c:v>一般公共预算财政拨款收入</c:v>
                </c:pt>
              </c:strCache>
            </c:strRef>
          </c:cat>
          <c:val>
            <c:numRef>
              <c:f>'[图表.xlsx]2'!$C$1</c:f>
              <c:numCache>
                <c:formatCode>0.00%</c:formatCode>
                <c:ptCount val="1"/>
                <c:pt idx="0">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cene3d>
              <a:camera prst="orthographicFront"/>
              <a:lightRig rig="threePt" dir="t"/>
            </a:scene3d>
            <a:sp3d contourW="25400"/>
          </c:spPr>
          <c:explosion val="0"/>
          <c:dPt>
            <c:idx val="0"/>
            <c:bubble3D val="false"/>
            <c:spPr>
              <a:solidFill>
                <a:schemeClr val="accent1"/>
              </a:solidFill>
              <a:ln w="25400">
                <a:solidFill>
                  <a:schemeClr val="lt1"/>
                </a:solidFill>
              </a:ln>
              <a:effectLst/>
              <a:scene3d>
                <a:camera prst="orthographicFront"/>
                <a:lightRig rig="threePt" dir="t"/>
              </a:scene3d>
              <a:sp3d contourW="25400"/>
            </c:spPr>
          </c:dPt>
          <c:dPt>
            <c:idx val="1"/>
            <c:bubble3D val="false"/>
            <c:spPr>
              <a:solidFill>
                <a:schemeClr val="accent2"/>
              </a:solidFill>
              <a:ln w="25400">
                <a:solidFill>
                  <a:schemeClr val="lt1"/>
                </a:solidFill>
              </a:ln>
              <a:effectLst/>
              <a:scene3d>
                <a:camera prst="orthographicFront"/>
                <a:lightRig rig="threePt" dir="t"/>
              </a:scene3d>
              <a:sp3d contourW="25400"/>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'[图表.xlsx]3'!$A$1:$A$2</c:f>
              <c:strCache>
                <c:ptCount val="2"/>
                <c:pt idx="0">
                  <c:v>基本支出</c:v>
                </c:pt>
                <c:pt idx="1">
                  <c:v>项目支出</c:v>
                </c:pt>
              </c:strCache>
            </c:strRef>
          </c:cat>
          <c:val>
            <c:numRef>
              <c:f>'[图表.xlsx]3'!$B$1:$B$2</c:f>
              <c:numCache>
                <c:formatCode>General</c:formatCode>
                <c:ptCount val="2"/>
                <c:pt idx="0">
                  <c:v>150</c:v>
                </c:pt>
                <c:pt idx="1">
                  <c:v>515.86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manualLayout>
          <c:layoutTarget val="inner"/>
          <c:xMode val="edge"/>
          <c:yMode val="edge"/>
          <c:x val="0.114416666666667"/>
          <c:y val="0.0568287037037037"/>
          <c:w val="0.857111111111111"/>
          <c:h val="0.801550925925926"/>
        </c:manualLayout>
      </c:layout>
      <c:barChart>
        <c:barDir val="col"/>
        <c:grouping val="clustered"/>
        <c:varyColors val="false"/>
        <c:ser>
          <c:idx val="0"/>
          <c:order val="0"/>
          <c:tx>
            <c:strRef>
              <c:f>'[图表.xlsx]4'!$J$2:$J$3</c:f>
              <c:strCache>
                <c:ptCount val="1"/>
                <c:pt idx="0">
                  <c:v>260.75 665.87</c:v>
                </c:pt>
              </c:strCache>
            </c:strRef>
          </c:tx>
          <c:spPr>
            <a:solidFill>
              <a:srgbClr val="5B9BD5"/>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ysClr val="windowText" lastClr="000000">
                        <a:lumMod val="75000"/>
                        <a:lumOff val="25000"/>
                      </a:sys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ysClr val="windowText" lastClr="000000">
                          <a:lumMod val="35000"/>
                          <a:lumOff val="65000"/>
                        </a:sysClr>
                      </a:solidFill>
                      <a:round/>
                    </a:ln>
                    <a:effectLst/>
                  </c:spPr>
                </c15:leaderLines>
              </c:ext>
            </c:extLst>
          </c:dLbls>
          <c:trendline>
            <c:spPr>
              <a:ln w="19050" cap="rnd">
                <a:solidFill>
                  <a:srgbClr val="5B9BD5"/>
                </a:solidFill>
                <a:prstDash val="sysDot"/>
              </a:ln>
              <a:effectLst/>
            </c:spPr>
            <c:trendlineType val="linear"/>
            <c:dispRSqr val="false"/>
            <c:dispEq val="false"/>
          </c:trendline>
          <c:cat>
            <c:numRef>
              <c:f>'[图表.xlsx]4'!$I$2:$I$3</c:f>
              <c:numCache>
                <c:formatCode>General</c:formatCode>
                <c:ptCount val="2"/>
                <c:pt idx="0">
                  <c:v>2023</c:v>
                </c:pt>
                <c:pt idx="1">
                  <c:v>2024</c:v>
                </c:pt>
              </c:numCache>
            </c:numRef>
          </c:cat>
          <c:val>
            <c:numRef>
              <c:f>'[图表.xlsx]4'!$J$2:$J$3</c:f>
              <c:numCache>
                <c:formatCode>General</c:formatCode>
                <c:ptCount val="2"/>
                <c:pt idx="0">
                  <c:v>260.75</c:v>
                </c:pt>
                <c:pt idx="1">
                  <c:v>665.87</c:v>
                </c:pt>
              </c:numCache>
            </c:numRef>
          </c:val>
        </c:ser>
        <c:dLbls>
          <c:showLegendKey val="false"/>
          <c:showVal val="true"/>
          <c:showCatName val="false"/>
          <c:showSerName val="false"/>
          <c:showPercent val="false"/>
          <c:showBubbleSize val="false"/>
        </c:dLbls>
        <c:gapWidth val="219"/>
        <c:overlap val="-27"/>
        <c:axId val="604086169"/>
        <c:axId val="221097670"/>
      </c:barChart>
      <c:catAx>
        <c:axId val="604086169"/>
        <c:scaling>
          <c:orientation val="minMax"/>
        </c:scaling>
        <c:delete val="false"/>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true"/>
          <a:lstStyle/>
          <a:p>
            <a:pPr>
              <a:defRPr lang="zh-CN" sz="1200" b="0" i="0" u="none" strike="noStrike" kern="1200" baseline="0">
                <a:solidFill>
                  <a:sysClr val="windowText" lastClr="000000">
                    <a:lumMod val="65000"/>
                    <a:lumOff val="35000"/>
                  </a:sysClr>
                </a:solidFill>
                <a:latin typeface="+mn-lt"/>
                <a:ea typeface="+mn-ea"/>
                <a:cs typeface="+mn-cs"/>
              </a:defRPr>
            </a:pPr>
          </a:p>
        </c:txPr>
        <c:crossAx val="221097670"/>
        <c:crosses val="autoZero"/>
        <c:auto val="true"/>
        <c:lblAlgn val="ctr"/>
        <c:lblOffset val="100"/>
        <c:noMultiLvlLbl val="false"/>
      </c:catAx>
      <c:valAx>
        <c:axId val="221097670"/>
        <c:scaling>
          <c:orientation val="minMax"/>
        </c:scaling>
        <c:delete val="false"/>
        <c:axPos val="l"/>
        <c:majorGridlines>
          <c:spPr>
            <a:ln w="9525" cap="flat" cmpd="sng" algn="ctr">
              <a:solidFill>
                <a:sysClr val="windowText" lastClr="000000">
                  <a:lumMod val="15000"/>
                  <a:lumOff val="85000"/>
                </a:sys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1200" b="0" i="0" u="none" strike="noStrike" kern="1200" baseline="0">
                <a:solidFill>
                  <a:sysClr val="windowText" lastClr="000000">
                    <a:lumMod val="65000"/>
                    <a:lumOff val="35000"/>
                  </a:sysClr>
                </a:solidFill>
                <a:latin typeface="+mn-lt"/>
                <a:ea typeface="+mn-ea"/>
                <a:cs typeface="+mn-cs"/>
              </a:defRPr>
            </a:pPr>
          </a:p>
        </c:txPr>
        <c:crossAx val="604086169"/>
        <c:crosses val="autoZero"/>
        <c:crossBetween val="between"/>
        <c:majorUnit val="100"/>
      </c:valAx>
      <c:spPr>
        <a:noFill/>
        <a:ln>
          <a:noFill/>
        </a:ln>
        <a:effectLst/>
      </c:spPr>
    </c:plotArea>
    <c:plotVisOnly val="true"/>
    <c:dispBlanksAs val="gap"/>
    <c:showDLblsOverMax val="false"/>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1200"/>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14416666666667"/>
          <c:y val="0.0568287037037037"/>
          <c:w val="0.857111111111111"/>
          <c:h val="0.801550925925926"/>
        </c:manualLayout>
      </c:layout>
      <c:barChart>
        <c:barDir val="col"/>
        <c:grouping val="clustered"/>
        <c:varyColors val="false"/>
        <c:ser>
          <c:idx val="0"/>
          <c:order val="0"/>
          <c:tx>
            <c:strRef>
              <c:f>'[图表.xlsx]4'!$J$2:$J$3</c:f>
              <c:strCache>
                <c:ptCount val="1"/>
                <c:pt idx="0">
                  <c:v>260.75 665.87</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numRef>
              <c:f>'[图表.xlsx]4'!$I$2:$I$3</c:f>
              <c:numCache>
                <c:formatCode>General</c:formatCode>
                <c:ptCount val="2"/>
                <c:pt idx="0">
                  <c:v>2023</c:v>
                </c:pt>
                <c:pt idx="1">
                  <c:v>2024</c:v>
                </c:pt>
              </c:numCache>
            </c:numRef>
          </c:cat>
          <c:val>
            <c:numRef>
              <c:f>'[图表.xlsx]4'!$J$2:$J$3</c:f>
              <c:numCache>
                <c:formatCode>General</c:formatCode>
                <c:ptCount val="2"/>
                <c:pt idx="0">
                  <c:v>260.75</c:v>
                </c:pt>
                <c:pt idx="1">
                  <c:v>665.87</c:v>
                </c:pt>
              </c:numCache>
            </c:numRef>
          </c:val>
        </c:ser>
        <c:dLbls>
          <c:showLegendKey val="false"/>
          <c:showVal val="true"/>
          <c:showCatName val="false"/>
          <c:showSerName val="false"/>
          <c:showPercent val="false"/>
          <c:showBubbleSize val="false"/>
        </c:dLbls>
        <c:gapWidth val="219"/>
        <c:overlap val="-27"/>
        <c:axId val="604086169"/>
        <c:axId val="221097670"/>
      </c:barChart>
      <c:catAx>
        <c:axId val="604086169"/>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221097670"/>
        <c:crosses val="autoZero"/>
        <c:auto val="true"/>
        <c:lblAlgn val="ctr"/>
        <c:lblOffset val="100"/>
        <c:noMultiLvlLbl val="false"/>
      </c:catAx>
      <c:valAx>
        <c:axId val="22109767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crossAx val="604086169"/>
        <c:crosses val="autoZero"/>
        <c:crossBetween val="between"/>
        <c:majorUnit val="100"/>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200"/>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manualLayout>
          <c:layoutTarget val="inner"/>
          <c:xMode val="edge"/>
          <c:yMode val="edge"/>
          <c:x val="0.0754241156184819"/>
          <c:y val="0.082914211812042"/>
          <c:w val="0.799127906976744"/>
          <c:h val="0.720362120994396"/>
        </c:manualLayout>
      </c:layout>
      <c:pieChart>
        <c:varyColors val="true"/>
        <c:ser>
          <c:idx val="0"/>
          <c:order val="0"/>
          <c:spPr/>
          <c:explosion val="0"/>
          <c:dPt>
            <c:idx val="0"/>
            <c:bubble3D val="false"/>
            <c:spPr>
              <a:solidFill>
                <a:srgbClr val="5B9BD5"/>
              </a:solidFill>
              <a:ln w="25400">
                <a:solidFill>
                  <a:sysClr val="window" lastClr="FFFFFF"/>
                </a:solidFill>
              </a:ln>
              <a:effectLst/>
            </c:spPr>
          </c:dPt>
          <c:dPt>
            <c:idx val="1"/>
            <c:bubble3D val="false"/>
            <c:spPr>
              <a:solidFill>
                <a:srgbClr val="ED7D31"/>
              </a:solidFill>
              <a:ln w="25400">
                <a:solidFill>
                  <a:sysClr val="window" lastClr="FFFFFF"/>
                </a:solidFill>
              </a:ln>
              <a:effectLst/>
            </c:spPr>
          </c:dPt>
          <c:dPt>
            <c:idx val="2"/>
            <c:bubble3D val="false"/>
            <c:spPr>
              <a:solidFill>
                <a:srgbClr val="A5A5A5"/>
              </a:solidFill>
              <a:ln w="25400">
                <a:solidFill>
                  <a:sysClr val="window" lastClr="FFFFFF"/>
                </a:solidFill>
              </a:ln>
              <a:effectLst/>
            </c:spPr>
          </c:dPt>
          <c:dPt>
            <c:idx val="3"/>
            <c:bubble3D val="false"/>
            <c:spPr>
              <a:solidFill>
                <a:srgbClr val="FFC000"/>
              </a:solidFill>
              <a:ln w="25400">
                <a:solidFill>
                  <a:sysClr val="window" lastClr="FFFFFF"/>
                </a:solidFill>
              </a:ln>
              <a:effectLst/>
            </c:spPr>
          </c:dPt>
          <c:dLbls>
            <c:dLbl>
              <c:idx val="1"/>
              <c:layout>
                <c:manualLayout>
                  <c:x val="0"/>
                  <c:y val="0.064805583250249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419369268619996"/>
                  <c:y val="0.062313060817547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ysClr val="windowText" lastClr="000000">
                        <a:lumMod val="75000"/>
                        <a:lumOff val="25000"/>
                      </a:sys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ysClr val="windowText" lastClr="000000">
                          <a:lumMod val="35000"/>
                          <a:lumOff val="65000"/>
                        </a:sysClr>
                      </a:solidFill>
                      <a:round/>
                    </a:ln>
                    <a:effectLst/>
                  </c:spPr>
                </c15:leaderLines>
              </c:ext>
            </c:extLst>
          </c:dLbls>
          <c:cat>
            <c:strRef>
              <c:f>'[图表.xlsx]6'!$K$1:$K$4</c:f>
              <c:strCache>
                <c:ptCount val="4"/>
                <c:pt idx="0">
                  <c:v>教育支出</c:v>
                </c:pt>
                <c:pt idx="1">
                  <c:v>社会保障和就业支出</c:v>
                </c:pt>
                <c:pt idx="2">
                  <c:v>卫生健康支出</c:v>
                </c:pt>
                <c:pt idx="3">
                  <c:v>住房保障支出</c:v>
                </c:pt>
              </c:strCache>
            </c:strRef>
          </c:cat>
          <c:val>
            <c:numRef>
              <c:f>'[图表.xlsx]6'!$L$1:$L$4</c:f>
              <c:numCache>
                <c:formatCode>General</c:formatCode>
                <c:ptCount val="4"/>
                <c:pt idx="0">
                  <c:v>631.16</c:v>
                </c:pt>
                <c:pt idx="1">
                  <c:v>18.9</c:v>
                </c:pt>
                <c:pt idx="2">
                  <c:v>4.63</c:v>
                </c:pt>
                <c:pt idx="3">
                  <c:v>11.18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1200" b="0" i="0" u="none" strike="noStrike" kern="1200" baseline="0">
              <a:solidFill>
                <a:sysClr val="windowText" lastClr="000000">
                  <a:lumMod val="65000"/>
                  <a:lumOff val="35000"/>
                </a:sysClr>
              </a:solidFill>
              <a:latin typeface="+mn-lt"/>
              <a:ea typeface="+mn-ea"/>
              <a:cs typeface="+mn-cs"/>
            </a:defRPr>
          </a:pPr>
        </a:p>
      </c:txPr>
    </c:legend>
    <c:plotVisOnly val="true"/>
    <c:dispBlanksAs val="gap"/>
    <c:showDLblsOverMax val="false"/>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31</Pages>
  <Words>6180</Words>
  <Characters>6831</Characters>
  <Lines>61</Lines>
  <Paragraphs>17</Paragraphs>
  <TotalTime>16</TotalTime>
  <ScaleCrop>false</ScaleCrop>
  <LinksUpToDate>false</LinksUpToDate>
  <CharactersWithSpaces>6900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2020-08-09T17:49:00Z</dcterms:created>
  <dc:creator>曹颖</dc:creator>
  <cp:lastModifiedBy> </cp:lastModifiedBy>
  <cp:lastPrinted>2025-08-07T01:34:00Z</cp:lastPrinted>
  <dcterms:modified xsi:type="dcterms:W3CDTF">2025-10-09T16:58:04Z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325C06E880B34FA18C2B49627C13AE9B</vt:lpwstr>
  </property>
  <property fmtid="{D5CDD505-2E9C-101B-9397-08002B2CF9AE}" pid="4" name="KSOTemplateDocerSaveRecord">
    <vt:lpwstr>eyJoZGlkIjoiYTc2ZGZiNzZiNDVlOGViOWVmM2JhOTY0NGJkNjUyYzgiLCJ1c2VySWQiOiIyMjA2OTAwNTAifQ==</vt:lpwstr>
  </property>
</Properties>
</file>