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93"/>
        <w:rPr>
          <w:rFonts w:ascii="Times New Roman" w:eastAsia="方正小标宋简体"/>
          <w:kern w:val="2"/>
          <w:sz w:val="72"/>
          <w:szCs w:val="72"/>
        </w:rPr>
      </w:pPr>
      <w:bookmarkStart w:id="0" w:name="_Toc15377193"/>
      <w:bookmarkStart w:id="1" w:name="_Toc15396597"/>
      <w:bookmarkStart w:id="2" w:name="_Toc15306267"/>
      <w:bookmarkStart w:id="3" w:name="_Toc15396475"/>
      <w:bookmarkStart w:id="4" w:name="_Toc15378441"/>
      <w:bookmarkStart w:id="5" w:name="_Toc15377425"/>
    </w:p>
    <w:p>
      <w:pPr>
        <w:pStyle w:val="2"/>
        <w:spacing w:before="93"/>
        <w:rPr>
          <w:rFonts w:ascii="Times New Roman" w:eastAsia="方正小标宋简体"/>
          <w:kern w:val="2"/>
          <w:sz w:val="72"/>
          <w:szCs w:val="72"/>
        </w:rPr>
      </w:pPr>
    </w:p>
    <w:p>
      <w:pPr>
        <w:pStyle w:val="2"/>
        <w:spacing w:before="93"/>
        <w:rPr>
          <w:rFonts w:ascii="Times New Roman" w:eastAsia="方正小标宋简体"/>
          <w:kern w:val="2"/>
          <w:sz w:val="72"/>
          <w:szCs w:val="72"/>
        </w:rPr>
      </w:pPr>
    </w:p>
    <w:p>
      <w:pPr>
        <w:pStyle w:val="2"/>
        <w:spacing w:before="93"/>
        <w:jc w:val="center"/>
        <w:rPr>
          <w:rFonts w:ascii="Times New Roman" w:eastAsia="方正小标宋简体"/>
          <w:kern w:val="2"/>
          <w:sz w:val="44"/>
          <w:szCs w:val="44"/>
        </w:rPr>
      </w:pPr>
      <w:r>
        <w:rPr>
          <w:rFonts w:hint="eastAsia" w:ascii="Times New Roman" w:eastAsia="方正小标宋简体"/>
          <w:kern w:val="2"/>
          <w:sz w:val="44"/>
          <w:szCs w:val="44"/>
        </w:rPr>
        <w:t>2024年度广元外国语学校单位决算</w:t>
      </w:r>
    </w:p>
    <w:p>
      <w:pPr>
        <w:spacing w:line="600" w:lineRule="exact"/>
        <w:jc w:val="center"/>
        <w:outlineLvl w:val="0"/>
        <w:rPr>
          <w:rFonts w:eastAsia="方正小标宋简体"/>
          <w:sz w:val="72"/>
          <w:szCs w:val="72"/>
        </w:rPr>
      </w:pPr>
    </w:p>
    <w:p>
      <w:pPr>
        <w:pStyle w:val="20"/>
        <w:rPr>
          <w:rFonts w:ascii="Times New Roman" w:hAnsi="Times New Roman"/>
        </w:rPr>
        <w:sectPr>
          <w:headerReference r:id="rId3" w:type="default"/>
          <w:footerReference r:id="rId4" w:type="default"/>
          <w:footerReference r:id="rId5" w:type="even"/>
          <w:pgSz w:w="11906" w:h="16838"/>
          <w:pgMar w:top="1440" w:right="1800" w:bottom="1440" w:left="1800" w:header="851" w:footer="992" w:gutter="0"/>
          <w:pgNumType w:start="1"/>
          <w:cols w:space="425" w:num="1"/>
          <w:titlePg/>
          <w:docGrid w:type="lines" w:linePitch="312" w:charSpace="0"/>
        </w:sectPr>
      </w:pPr>
    </w:p>
    <w:bookmarkEnd w:id="0"/>
    <w:bookmarkEnd w:id="1"/>
    <w:bookmarkEnd w:id="2"/>
    <w:bookmarkEnd w:id="3"/>
    <w:bookmarkEnd w:id="4"/>
    <w:bookmarkEnd w:id="5"/>
    <w:p>
      <w:pPr>
        <w:widowControl/>
        <w:jc w:val="center"/>
        <w:rPr>
          <w:rFonts w:eastAsia="黑体" w:cstheme="minorBidi"/>
          <w:sz w:val="28"/>
          <w:szCs w:val="28"/>
        </w:rPr>
      </w:pPr>
      <w:r>
        <w:rPr>
          <w:rFonts w:hint="eastAsia" w:eastAsia="黑体"/>
          <w:sz w:val="48"/>
          <w:szCs w:val="48"/>
        </w:rPr>
        <w:t>目　</w:t>
      </w:r>
      <w:r>
        <w:rPr>
          <w:rFonts w:eastAsia="黑体"/>
          <w:sz w:val="48"/>
          <w:szCs w:val="48"/>
        </w:rPr>
        <w:t>　</w:t>
      </w:r>
      <w:r>
        <w:rPr>
          <w:rFonts w:hint="eastAsia" w:eastAsia="黑体"/>
          <w:sz w:val="48"/>
          <w:szCs w:val="48"/>
        </w:rPr>
        <w:t>录</w:t>
      </w:r>
    </w:p>
    <w:p>
      <w:pPr>
        <w:pStyle w:val="12"/>
        <w:rPr>
          <w:rFonts w:ascii="Times New Roman" w:hAnsi="Times New Roman" w:eastAsia="仿宋_GB2312" w:cs="仿宋_GB2312"/>
          <w:sz w:val="32"/>
          <w:szCs w:val="32"/>
        </w:rPr>
      </w:pPr>
      <w:r>
        <w:rPr>
          <w:rFonts w:hint="eastAsia" w:ascii="Times New Roman" w:hAnsi="Times New Roman" w:eastAsia="仿宋_GB2312" w:cs="仿宋_GB2312"/>
          <w:sz w:val="32"/>
          <w:szCs w:val="32"/>
        </w:rPr>
        <w:t>公开时间：202</w:t>
      </w:r>
      <w:r>
        <w:rPr>
          <w:rFonts w:hint="eastAsia" w:ascii="Times New Roman" w:hAnsi="Times New Roman" w:eastAsia="仿宋_GB2312" w:cs="仿宋_GB2312"/>
          <w:sz w:val="32"/>
          <w:szCs w:val="32"/>
          <w:lang w:val="en-US" w:eastAsia="zh-CN"/>
        </w:rPr>
        <w:t>5</w:t>
      </w:r>
      <w:bookmarkStart w:id="104" w:name="_GoBack"/>
      <w:bookmarkEnd w:id="104"/>
      <w:r>
        <w:rPr>
          <w:rFonts w:hint="eastAsia" w:ascii="Times New Roman" w:hAnsi="Times New Roman" w:eastAsia="仿宋_GB2312" w:cs="仿宋_GB2312"/>
          <w:sz w:val="32"/>
          <w:szCs w:val="32"/>
        </w:rPr>
        <w:t>年</w:t>
      </w:r>
      <w:r>
        <w:rPr>
          <w:rFonts w:ascii="Times New Roman" w:hAnsi="Times New Roman" w:eastAsia="仿宋_GB2312" w:cs="仿宋_GB2312"/>
          <w:sz w:val="32"/>
          <w:szCs w:val="32"/>
        </w:rPr>
        <w:t>10</w:t>
      </w:r>
      <w:r>
        <w:rPr>
          <w:rFonts w:hint="eastAsia" w:ascii="Times New Roman" w:hAnsi="Times New Roman" w:eastAsia="仿宋_GB2312" w:cs="仿宋_GB2312"/>
          <w:sz w:val="32"/>
          <w:szCs w:val="32"/>
        </w:rPr>
        <w:t>月</w:t>
      </w:r>
      <w:r>
        <w:rPr>
          <w:rFonts w:ascii="Times New Roman" w:hAnsi="Times New Roman" w:eastAsia="仿宋_GB2312" w:cs="仿宋_GB2312"/>
          <w:sz w:val="32"/>
          <w:szCs w:val="32"/>
        </w:rPr>
        <w:t>1</w:t>
      </w:r>
      <w:r>
        <w:rPr>
          <w:rFonts w:hint="eastAsia" w:ascii="Times New Roman" w:hAnsi="Times New Roman" w:eastAsia="仿宋_GB2312" w:cs="仿宋_GB2312"/>
          <w:sz w:val="32"/>
          <w:szCs w:val="32"/>
          <w:lang w:val="en-US" w:eastAsia="zh-CN"/>
        </w:rPr>
        <w:t>4</w:t>
      </w:r>
      <w:r>
        <w:rPr>
          <w:rFonts w:hint="eastAsia" w:ascii="Times New Roman" w:hAnsi="Times New Roman" w:eastAsia="仿宋_GB2312" w:cs="仿宋_GB2312"/>
          <w:sz w:val="32"/>
          <w:szCs w:val="32"/>
        </w:rPr>
        <w:t>日</w:t>
      </w:r>
    </w:p>
    <w:sdt>
      <w:sdtPr>
        <w:rPr>
          <w:rFonts w:ascii="宋体" w:hAnsi="宋体" w:eastAsia="宋体" w:cs="Times New Roman"/>
          <w:kern w:val="2"/>
          <w:sz w:val="21"/>
          <w:szCs w:val="24"/>
          <w:lang w:val="en-US" w:eastAsia="zh-CN" w:bidi="ar-SA"/>
        </w:rPr>
        <w:id w:val="147459977"/>
        <w15:color w:val="DBDBDB"/>
        <w:docPartObj>
          <w:docPartGallery w:val="Table of Contents"/>
          <w:docPartUnique/>
        </w:docPartObj>
      </w:sdtPr>
      <w:sdtEndPr>
        <w:rPr>
          <w:rFonts w:ascii="宋体" w:hAnsi="宋体" w:eastAsia="宋体" w:cs="Times New Roman"/>
          <w:kern w:val="2"/>
          <w:sz w:val="21"/>
          <w:szCs w:val="24"/>
          <w:lang w:val="en-US" w:eastAsia="zh-CN" w:bidi="ar-SA"/>
        </w:rPr>
      </w:sdtEndPr>
      <w:sdtContent>
        <w:p>
          <w:pPr>
            <w:spacing w:before="0" w:beforeLines="0" w:after="0" w:afterLines="0" w:line="240" w:lineRule="auto"/>
            <w:ind w:left="0" w:leftChars="0" w:right="0" w:rightChars="0" w:firstLine="0" w:firstLineChars="0"/>
            <w:jc w:val="center"/>
          </w:pPr>
          <w:bookmarkStart w:id="6" w:name="_Toc15396599"/>
          <w:bookmarkStart w:id="7" w:name="_Toc15377196"/>
        </w:p>
        <w:p>
          <w:pPr>
            <w:pStyle w:val="12"/>
            <w:tabs>
              <w:tab w:val="right" w:leader="dot" w:pos="8306"/>
              <w:tab w:val="clear" w:pos="8296"/>
            </w:tabs>
          </w:pPr>
          <w:r>
            <w:fldChar w:fldCharType="begin"/>
          </w:r>
          <w:r>
            <w:instrText xml:space="preserve">TOC \o "1-2" \h \u </w:instrText>
          </w:r>
          <w:r>
            <w:fldChar w:fldCharType="separate"/>
          </w:r>
          <w:r>
            <w:fldChar w:fldCharType="begin"/>
          </w:r>
          <w:r>
            <w:instrText xml:space="preserve"> HYPERLINK \l _Toc32120 </w:instrText>
          </w:r>
          <w:r>
            <w:fldChar w:fldCharType="separate"/>
          </w:r>
          <w:r>
            <w:rPr>
              <w:rFonts w:hint="eastAsia" w:eastAsia="方正小标宋简体" w:cs="方正小标宋简体"/>
            </w:rPr>
            <w:t xml:space="preserve">第一部分  </w:t>
          </w:r>
          <w:r>
            <w:rPr>
              <w:rFonts w:hint="eastAsia" w:eastAsia="方正小标宋简体" w:cs="方正小标宋简体"/>
              <w:lang w:val="en-US" w:eastAsia="zh-CN"/>
            </w:rPr>
            <w:t>单位</w:t>
          </w:r>
          <w:r>
            <w:rPr>
              <w:rFonts w:hint="eastAsia" w:eastAsia="方正小标宋简体" w:cs="方正小标宋简体"/>
              <w:bCs w:val="0"/>
            </w:rPr>
            <w:t>概况</w:t>
          </w:r>
          <w:r>
            <w:tab/>
          </w:r>
          <w:r>
            <w:fldChar w:fldCharType="begin"/>
          </w:r>
          <w:r>
            <w:instrText xml:space="preserve"> PAGEREF _Toc32120 \h </w:instrText>
          </w:r>
          <w:r>
            <w:fldChar w:fldCharType="separate"/>
          </w:r>
          <w:r>
            <w:t>1</w:t>
          </w:r>
          <w:r>
            <w:fldChar w:fldCharType="end"/>
          </w:r>
          <w:r>
            <w:fldChar w:fldCharType="end"/>
          </w:r>
        </w:p>
        <w:p>
          <w:pPr>
            <w:pStyle w:val="14"/>
            <w:tabs>
              <w:tab w:val="right" w:leader="dot" w:pos="8306"/>
              <w:tab w:val="clear" w:pos="8296"/>
            </w:tabs>
          </w:pPr>
          <w:r>
            <w:fldChar w:fldCharType="begin"/>
          </w:r>
          <w:r>
            <w:instrText xml:space="preserve"> HYPERLINK \l _Toc25145 </w:instrText>
          </w:r>
          <w:r>
            <w:fldChar w:fldCharType="separate"/>
          </w:r>
          <w:r>
            <w:rPr>
              <w:rFonts w:hint="default" w:ascii="Times New Roman" w:hAnsi="Times New Roman" w:eastAsia="黑体"/>
            </w:rPr>
            <w:t xml:space="preserve">一、 </w:t>
          </w:r>
          <w:r>
            <w:rPr>
              <w:rFonts w:hint="eastAsia" w:ascii="Times New Roman" w:hAnsi="Times New Roman" w:eastAsia="黑体"/>
              <w:lang w:val="en-US" w:eastAsia="zh-CN"/>
            </w:rPr>
            <w:t>主要</w:t>
          </w:r>
          <w:r>
            <w:rPr>
              <w:rFonts w:hint="eastAsia" w:ascii="Times New Roman" w:hAnsi="Times New Roman" w:eastAsia="黑体"/>
            </w:rPr>
            <w:t>职责</w:t>
          </w:r>
          <w:r>
            <w:tab/>
          </w:r>
          <w:r>
            <w:fldChar w:fldCharType="begin"/>
          </w:r>
          <w:r>
            <w:instrText xml:space="preserve"> PAGEREF _Toc25145 \h </w:instrText>
          </w:r>
          <w:r>
            <w:fldChar w:fldCharType="separate"/>
          </w:r>
          <w:r>
            <w:t>1</w:t>
          </w:r>
          <w:r>
            <w:fldChar w:fldCharType="end"/>
          </w:r>
          <w:r>
            <w:fldChar w:fldCharType="end"/>
          </w:r>
        </w:p>
        <w:p>
          <w:pPr>
            <w:pStyle w:val="14"/>
            <w:tabs>
              <w:tab w:val="right" w:leader="dot" w:pos="8306"/>
              <w:tab w:val="clear" w:pos="8296"/>
            </w:tabs>
          </w:pPr>
          <w:r>
            <w:fldChar w:fldCharType="begin"/>
          </w:r>
          <w:r>
            <w:instrText xml:space="preserve"> HYPERLINK \l _Toc23336 </w:instrText>
          </w:r>
          <w:r>
            <w:fldChar w:fldCharType="separate"/>
          </w:r>
          <w:r>
            <w:rPr>
              <w:rFonts w:hint="eastAsia" w:ascii="Times New Roman" w:hAnsi="Times New Roman" w:eastAsia="黑体"/>
            </w:rPr>
            <w:t>二、机</w:t>
          </w:r>
          <w:r>
            <w:rPr>
              <w:rFonts w:hint="eastAsia" w:ascii="Times New Roman" w:hAnsi="Times New Roman" w:eastAsia="黑体"/>
              <w:bCs w:val="0"/>
            </w:rPr>
            <w:t>构设置</w:t>
          </w:r>
          <w:r>
            <w:tab/>
          </w:r>
          <w:r>
            <w:fldChar w:fldCharType="begin"/>
          </w:r>
          <w:r>
            <w:instrText xml:space="preserve"> PAGEREF _Toc23336 \h </w:instrText>
          </w:r>
          <w:r>
            <w:fldChar w:fldCharType="separate"/>
          </w:r>
          <w:r>
            <w:t>1</w:t>
          </w:r>
          <w:r>
            <w:fldChar w:fldCharType="end"/>
          </w:r>
          <w:r>
            <w:fldChar w:fldCharType="end"/>
          </w:r>
        </w:p>
        <w:p>
          <w:pPr>
            <w:pStyle w:val="12"/>
            <w:tabs>
              <w:tab w:val="right" w:leader="dot" w:pos="8306"/>
              <w:tab w:val="clear" w:pos="8296"/>
            </w:tabs>
          </w:pPr>
          <w:r>
            <w:fldChar w:fldCharType="begin"/>
          </w:r>
          <w:r>
            <w:instrText xml:space="preserve"> HYPERLINK \l _Toc23094 </w:instrText>
          </w:r>
          <w:r>
            <w:fldChar w:fldCharType="separate"/>
          </w:r>
          <w:r>
            <w:rPr>
              <w:rFonts w:hint="eastAsia" w:eastAsia="方正小标宋简体" w:cs="方正小标宋简体"/>
            </w:rPr>
            <w:t>第二部分  2024年度</w:t>
          </w:r>
          <w:r>
            <w:rPr>
              <w:rFonts w:hint="eastAsia" w:eastAsia="方正小标宋简体" w:cs="方正小标宋简体"/>
              <w:lang w:val="en-US" w:eastAsia="zh-CN"/>
            </w:rPr>
            <w:t>单位</w:t>
          </w:r>
          <w:r>
            <w:rPr>
              <w:rFonts w:hint="eastAsia" w:eastAsia="方正小标宋简体" w:cs="方正小标宋简体"/>
            </w:rPr>
            <w:t>决算情况说明</w:t>
          </w:r>
          <w:r>
            <w:tab/>
          </w:r>
          <w:r>
            <w:fldChar w:fldCharType="begin"/>
          </w:r>
          <w:r>
            <w:instrText xml:space="preserve"> PAGEREF _Toc23094 \h </w:instrText>
          </w:r>
          <w:r>
            <w:fldChar w:fldCharType="separate"/>
          </w:r>
          <w:r>
            <w:t>2</w:t>
          </w:r>
          <w:r>
            <w:fldChar w:fldCharType="end"/>
          </w:r>
          <w:r>
            <w:fldChar w:fldCharType="end"/>
          </w:r>
        </w:p>
        <w:p>
          <w:pPr>
            <w:pStyle w:val="14"/>
            <w:tabs>
              <w:tab w:val="right" w:leader="dot" w:pos="8306"/>
              <w:tab w:val="clear" w:pos="8296"/>
            </w:tabs>
          </w:pPr>
          <w:r>
            <w:fldChar w:fldCharType="begin"/>
          </w:r>
          <w:r>
            <w:instrText xml:space="preserve"> HYPERLINK \l _Toc16679 </w:instrText>
          </w:r>
          <w:r>
            <w:fldChar w:fldCharType="separate"/>
          </w:r>
          <w:r>
            <w:rPr>
              <w:rFonts w:hint="eastAsia" w:eastAsia="黑体"/>
              <w:szCs w:val="32"/>
            </w:rPr>
            <w:t>一、收</w:t>
          </w:r>
          <w:r>
            <w:rPr>
              <w:rFonts w:hint="eastAsia" w:ascii="Times New Roman" w:hAnsi="Times New Roman" w:eastAsia="黑体"/>
            </w:rPr>
            <w:t>入支出决算总体情况说明</w:t>
          </w:r>
          <w:r>
            <w:tab/>
          </w:r>
          <w:r>
            <w:fldChar w:fldCharType="begin"/>
          </w:r>
          <w:r>
            <w:instrText xml:space="preserve"> PAGEREF _Toc16679 \h </w:instrText>
          </w:r>
          <w:r>
            <w:fldChar w:fldCharType="separate"/>
          </w:r>
          <w:r>
            <w:t>2</w:t>
          </w:r>
          <w:r>
            <w:fldChar w:fldCharType="end"/>
          </w:r>
          <w:r>
            <w:fldChar w:fldCharType="end"/>
          </w:r>
        </w:p>
        <w:p>
          <w:pPr>
            <w:pStyle w:val="14"/>
            <w:tabs>
              <w:tab w:val="right" w:leader="dot" w:pos="8306"/>
              <w:tab w:val="clear" w:pos="8296"/>
            </w:tabs>
          </w:pPr>
          <w:r>
            <w:fldChar w:fldCharType="begin"/>
          </w:r>
          <w:r>
            <w:instrText xml:space="preserve"> HYPERLINK \l _Toc28878 </w:instrText>
          </w:r>
          <w:r>
            <w:fldChar w:fldCharType="separate"/>
          </w:r>
          <w:r>
            <w:rPr>
              <w:rFonts w:hint="eastAsia" w:eastAsia="黑体"/>
              <w:szCs w:val="32"/>
            </w:rPr>
            <w:t>二、收入决算情况说明</w:t>
          </w:r>
          <w:r>
            <w:tab/>
          </w:r>
          <w:r>
            <w:fldChar w:fldCharType="begin"/>
          </w:r>
          <w:r>
            <w:instrText xml:space="preserve"> PAGEREF _Toc28878 \h </w:instrText>
          </w:r>
          <w:r>
            <w:fldChar w:fldCharType="separate"/>
          </w:r>
          <w:r>
            <w:t>2</w:t>
          </w:r>
          <w:r>
            <w:fldChar w:fldCharType="end"/>
          </w:r>
          <w:r>
            <w:fldChar w:fldCharType="end"/>
          </w:r>
        </w:p>
        <w:p>
          <w:pPr>
            <w:pStyle w:val="14"/>
            <w:tabs>
              <w:tab w:val="right" w:leader="dot" w:pos="8306"/>
              <w:tab w:val="clear" w:pos="8296"/>
            </w:tabs>
          </w:pPr>
          <w:r>
            <w:fldChar w:fldCharType="begin"/>
          </w:r>
          <w:r>
            <w:instrText xml:space="preserve"> HYPERLINK \l _Toc15695 </w:instrText>
          </w:r>
          <w:r>
            <w:fldChar w:fldCharType="separate"/>
          </w:r>
          <w:r>
            <w:rPr>
              <w:rFonts w:hint="eastAsia" w:eastAsia="黑体"/>
              <w:szCs w:val="32"/>
            </w:rPr>
            <w:t>三、支</w:t>
          </w:r>
          <w:r>
            <w:rPr>
              <w:rFonts w:hint="eastAsia" w:ascii="Times New Roman" w:hAnsi="Times New Roman" w:eastAsia="黑体"/>
            </w:rPr>
            <w:t>出决算情况说明</w:t>
          </w:r>
          <w:r>
            <w:tab/>
          </w:r>
          <w:r>
            <w:fldChar w:fldCharType="begin"/>
          </w:r>
          <w:r>
            <w:instrText xml:space="preserve"> PAGEREF _Toc15695 \h </w:instrText>
          </w:r>
          <w:r>
            <w:fldChar w:fldCharType="separate"/>
          </w:r>
          <w:r>
            <w:t>3</w:t>
          </w:r>
          <w:r>
            <w:fldChar w:fldCharType="end"/>
          </w:r>
          <w:r>
            <w:fldChar w:fldCharType="end"/>
          </w:r>
        </w:p>
        <w:p>
          <w:pPr>
            <w:pStyle w:val="14"/>
            <w:tabs>
              <w:tab w:val="right" w:leader="dot" w:pos="8306"/>
              <w:tab w:val="clear" w:pos="8296"/>
            </w:tabs>
          </w:pPr>
          <w:r>
            <w:fldChar w:fldCharType="begin"/>
          </w:r>
          <w:r>
            <w:instrText xml:space="preserve"> HYPERLINK \l _Toc8625 </w:instrText>
          </w:r>
          <w:r>
            <w:fldChar w:fldCharType="separate"/>
          </w:r>
          <w:r>
            <w:rPr>
              <w:rFonts w:hint="eastAsia" w:eastAsia="黑体"/>
              <w:szCs w:val="32"/>
            </w:rPr>
            <w:t>四、财</w:t>
          </w:r>
          <w:r>
            <w:rPr>
              <w:rFonts w:hint="eastAsia" w:ascii="Times New Roman" w:hAnsi="Times New Roman" w:eastAsia="黑体"/>
            </w:rPr>
            <w:t>政拨款收入支出决算总体情况说明</w:t>
          </w:r>
          <w:r>
            <w:tab/>
          </w:r>
          <w:r>
            <w:fldChar w:fldCharType="begin"/>
          </w:r>
          <w:r>
            <w:instrText xml:space="preserve"> PAGEREF _Toc8625 \h </w:instrText>
          </w:r>
          <w:r>
            <w:fldChar w:fldCharType="separate"/>
          </w:r>
          <w:r>
            <w:t>3</w:t>
          </w:r>
          <w:r>
            <w:fldChar w:fldCharType="end"/>
          </w:r>
          <w:r>
            <w:fldChar w:fldCharType="end"/>
          </w:r>
        </w:p>
        <w:p>
          <w:pPr>
            <w:pStyle w:val="14"/>
            <w:tabs>
              <w:tab w:val="right" w:leader="dot" w:pos="8306"/>
              <w:tab w:val="clear" w:pos="8296"/>
            </w:tabs>
          </w:pPr>
          <w:r>
            <w:fldChar w:fldCharType="begin"/>
          </w:r>
          <w:r>
            <w:instrText xml:space="preserve"> HYPERLINK \l _Toc29744 </w:instrText>
          </w:r>
          <w:r>
            <w:fldChar w:fldCharType="separate"/>
          </w:r>
          <w:r>
            <w:rPr>
              <w:rFonts w:hint="eastAsia" w:eastAsia="黑体"/>
              <w:szCs w:val="32"/>
            </w:rPr>
            <w:t>五、一</w:t>
          </w:r>
          <w:r>
            <w:rPr>
              <w:rFonts w:hint="eastAsia" w:ascii="Times New Roman" w:hAnsi="Times New Roman" w:eastAsia="黑体"/>
            </w:rPr>
            <w:t>般公共预算财政拨款支出决算情况说明</w:t>
          </w:r>
          <w:r>
            <w:tab/>
          </w:r>
          <w:r>
            <w:fldChar w:fldCharType="begin"/>
          </w:r>
          <w:r>
            <w:instrText xml:space="preserve"> PAGEREF _Toc29744 \h </w:instrText>
          </w:r>
          <w:r>
            <w:fldChar w:fldCharType="separate"/>
          </w:r>
          <w:r>
            <w:t>4</w:t>
          </w:r>
          <w:r>
            <w:fldChar w:fldCharType="end"/>
          </w:r>
          <w:r>
            <w:fldChar w:fldCharType="end"/>
          </w:r>
        </w:p>
        <w:p>
          <w:pPr>
            <w:pStyle w:val="14"/>
            <w:tabs>
              <w:tab w:val="right" w:leader="dot" w:pos="8306"/>
              <w:tab w:val="clear" w:pos="8296"/>
            </w:tabs>
          </w:pPr>
          <w:r>
            <w:fldChar w:fldCharType="begin"/>
          </w:r>
          <w:r>
            <w:instrText xml:space="preserve"> HYPERLINK \l _Toc16077 </w:instrText>
          </w:r>
          <w:r>
            <w:fldChar w:fldCharType="separate"/>
          </w:r>
          <w:r>
            <w:rPr>
              <w:rFonts w:hint="eastAsia" w:eastAsia="黑体"/>
              <w:szCs w:val="32"/>
            </w:rPr>
            <w:t>六、一</w:t>
          </w:r>
          <w:r>
            <w:rPr>
              <w:rFonts w:hint="eastAsia" w:ascii="Times New Roman" w:hAnsi="Times New Roman" w:eastAsia="黑体"/>
            </w:rPr>
            <w:t>般公共预算财政拨款基本支出决算情况说明</w:t>
          </w:r>
          <w:r>
            <w:tab/>
          </w:r>
          <w:r>
            <w:fldChar w:fldCharType="begin"/>
          </w:r>
          <w:r>
            <w:instrText xml:space="preserve"> PAGEREF _Toc16077 \h </w:instrText>
          </w:r>
          <w:r>
            <w:fldChar w:fldCharType="separate"/>
          </w:r>
          <w:r>
            <w:t>6</w:t>
          </w:r>
          <w:r>
            <w:fldChar w:fldCharType="end"/>
          </w:r>
          <w:r>
            <w:fldChar w:fldCharType="end"/>
          </w:r>
        </w:p>
        <w:p>
          <w:pPr>
            <w:pStyle w:val="14"/>
            <w:tabs>
              <w:tab w:val="right" w:leader="dot" w:pos="8306"/>
              <w:tab w:val="clear" w:pos="8296"/>
            </w:tabs>
          </w:pPr>
          <w:r>
            <w:fldChar w:fldCharType="begin"/>
          </w:r>
          <w:r>
            <w:instrText xml:space="preserve"> HYPERLINK \l _Toc19464 </w:instrText>
          </w:r>
          <w:r>
            <w:fldChar w:fldCharType="separate"/>
          </w:r>
          <w:r>
            <w:rPr>
              <w:rFonts w:hint="eastAsia" w:eastAsia="黑体"/>
              <w:szCs w:val="32"/>
            </w:rPr>
            <w:t>七、</w:t>
          </w:r>
          <w:r>
            <w:rPr>
              <w:rFonts w:hint="eastAsia" w:ascii="Times New Roman" w:hAnsi="Times New Roman" w:eastAsia="黑体"/>
            </w:rPr>
            <w:t>财政拨款“三公”经费支出决算情况说明</w:t>
          </w:r>
          <w:r>
            <w:tab/>
          </w:r>
          <w:r>
            <w:fldChar w:fldCharType="begin"/>
          </w:r>
          <w:r>
            <w:instrText xml:space="preserve"> PAGEREF _Toc19464 \h </w:instrText>
          </w:r>
          <w:r>
            <w:fldChar w:fldCharType="separate"/>
          </w:r>
          <w:r>
            <w:t>7</w:t>
          </w:r>
          <w:r>
            <w:fldChar w:fldCharType="end"/>
          </w:r>
          <w:r>
            <w:fldChar w:fldCharType="end"/>
          </w:r>
        </w:p>
        <w:p>
          <w:pPr>
            <w:pStyle w:val="14"/>
            <w:tabs>
              <w:tab w:val="right" w:leader="dot" w:pos="8306"/>
              <w:tab w:val="clear" w:pos="8296"/>
            </w:tabs>
          </w:pPr>
          <w:r>
            <w:fldChar w:fldCharType="begin"/>
          </w:r>
          <w:r>
            <w:instrText xml:space="preserve"> HYPERLINK \l _Toc22866 </w:instrText>
          </w:r>
          <w:r>
            <w:fldChar w:fldCharType="separate"/>
          </w:r>
          <w:r>
            <w:rPr>
              <w:rFonts w:hint="eastAsia" w:eastAsia="黑体"/>
              <w:szCs w:val="32"/>
            </w:rPr>
            <w:t>八、</w:t>
          </w:r>
          <w:r>
            <w:rPr>
              <w:rFonts w:hint="eastAsia" w:ascii="Times New Roman" w:hAnsi="Times New Roman" w:eastAsia="黑体"/>
            </w:rPr>
            <w:t>政府性基金预算支出决算情况说明</w:t>
          </w:r>
          <w:r>
            <w:tab/>
          </w:r>
          <w:r>
            <w:fldChar w:fldCharType="begin"/>
          </w:r>
          <w:r>
            <w:instrText xml:space="preserve"> PAGEREF _Toc22866 \h </w:instrText>
          </w:r>
          <w:r>
            <w:fldChar w:fldCharType="separate"/>
          </w:r>
          <w:r>
            <w:t>8</w:t>
          </w:r>
          <w:r>
            <w:fldChar w:fldCharType="end"/>
          </w:r>
          <w:r>
            <w:fldChar w:fldCharType="end"/>
          </w:r>
        </w:p>
        <w:p>
          <w:pPr>
            <w:pStyle w:val="14"/>
            <w:tabs>
              <w:tab w:val="right" w:leader="dot" w:pos="8306"/>
              <w:tab w:val="clear" w:pos="8296"/>
            </w:tabs>
          </w:pPr>
          <w:r>
            <w:fldChar w:fldCharType="begin"/>
          </w:r>
          <w:r>
            <w:instrText xml:space="preserve"> HYPERLINK \l _Toc24049 </w:instrText>
          </w:r>
          <w:r>
            <w:fldChar w:fldCharType="separate"/>
          </w:r>
          <w:r>
            <w:rPr>
              <w:rFonts w:hint="eastAsia" w:ascii="Times New Roman" w:hAnsi="Times New Roman" w:eastAsia="黑体"/>
            </w:rPr>
            <w:t>九、国有资本经营预算支出决算情况说明</w:t>
          </w:r>
          <w:r>
            <w:tab/>
          </w:r>
          <w:r>
            <w:fldChar w:fldCharType="begin"/>
          </w:r>
          <w:r>
            <w:instrText xml:space="preserve"> PAGEREF _Toc24049 \h </w:instrText>
          </w:r>
          <w:r>
            <w:fldChar w:fldCharType="separate"/>
          </w:r>
          <w:r>
            <w:t>8</w:t>
          </w:r>
          <w:r>
            <w:fldChar w:fldCharType="end"/>
          </w:r>
          <w:r>
            <w:fldChar w:fldCharType="end"/>
          </w:r>
        </w:p>
        <w:p>
          <w:pPr>
            <w:pStyle w:val="14"/>
            <w:tabs>
              <w:tab w:val="right" w:leader="dot" w:pos="8306"/>
              <w:tab w:val="clear" w:pos="8296"/>
            </w:tabs>
          </w:pPr>
          <w:r>
            <w:fldChar w:fldCharType="begin"/>
          </w:r>
          <w:r>
            <w:instrText xml:space="preserve"> HYPERLINK \l _Toc10322 </w:instrText>
          </w:r>
          <w:r>
            <w:fldChar w:fldCharType="separate"/>
          </w:r>
          <w:r>
            <w:rPr>
              <w:rFonts w:hint="eastAsia" w:ascii="Times New Roman" w:hAnsi="Times New Roman" w:eastAsia="黑体"/>
            </w:rPr>
            <w:t>十、其他重要事项的情况说明</w:t>
          </w:r>
          <w:r>
            <w:tab/>
          </w:r>
          <w:r>
            <w:fldChar w:fldCharType="begin"/>
          </w:r>
          <w:r>
            <w:instrText xml:space="preserve"> PAGEREF _Toc10322 \h </w:instrText>
          </w:r>
          <w:r>
            <w:fldChar w:fldCharType="separate"/>
          </w:r>
          <w:r>
            <w:t>8</w:t>
          </w:r>
          <w:r>
            <w:fldChar w:fldCharType="end"/>
          </w:r>
          <w:r>
            <w:fldChar w:fldCharType="end"/>
          </w:r>
        </w:p>
        <w:p>
          <w:pPr>
            <w:pStyle w:val="12"/>
            <w:tabs>
              <w:tab w:val="right" w:leader="dot" w:pos="8306"/>
              <w:tab w:val="clear" w:pos="8296"/>
            </w:tabs>
          </w:pPr>
          <w:r>
            <w:fldChar w:fldCharType="begin"/>
          </w:r>
          <w:r>
            <w:instrText xml:space="preserve"> HYPERLINK \l _Toc26471 </w:instrText>
          </w:r>
          <w:r>
            <w:fldChar w:fldCharType="separate"/>
          </w:r>
          <w:r>
            <w:rPr>
              <w:rFonts w:hint="eastAsia" w:eastAsia="黑体"/>
              <w:szCs w:val="44"/>
            </w:rPr>
            <w:t>第三部分  名词解释</w:t>
          </w:r>
          <w:r>
            <w:tab/>
          </w:r>
          <w:r>
            <w:fldChar w:fldCharType="begin"/>
          </w:r>
          <w:r>
            <w:instrText xml:space="preserve"> PAGEREF _Toc26471 \h </w:instrText>
          </w:r>
          <w:r>
            <w:fldChar w:fldCharType="separate"/>
          </w:r>
          <w:r>
            <w:t>10</w:t>
          </w:r>
          <w:r>
            <w:fldChar w:fldCharType="end"/>
          </w:r>
          <w:r>
            <w:fldChar w:fldCharType="end"/>
          </w:r>
        </w:p>
        <w:p>
          <w:pPr>
            <w:pStyle w:val="12"/>
            <w:tabs>
              <w:tab w:val="right" w:leader="dot" w:pos="8306"/>
              <w:tab w:val="clear" w:pos="8296"/>
            </w:tabs>
          </w:pPr>
          <w:r>
            <w:fldChar w:fldCharType="begin"/>
          </w:r>
          <w:r>
            <w:instrText xml:space="preserve"> HYPERLINK \l _Toc3518 </w:instrText>
          </w:r>
          <w:r>
            <w:fldChar w:fldCharType="separate"/>
          </w:r>
          <w:r>
            <w:rPr>
              <w:rFonts w:hint="eastAsia" w:eastAsia="黑体" w:cs="Times New Roman"/>
              <w:szCs w:val="44"/>
            </w:rPr>
            <w:t>第四部分  附件</w:t>
          </w:r>
          <w:r>
            <w:tab/>
          </w:r>
          <w:r>
            <w:fldChar w:fldCharType="begin"/>
          </w:r>
          <w:r>
            <w:instrText xml:space="preserve"> PAGEREF _Toc3518 \h </w:instrText>
          </w:r>
          <w:r>
            <w:fldChar w:fldCharType="separate"/>
          </w:r>
          <w:r>
            <w:t>12</w:t>
          </w:r>
          <w:r>
            <w:fldChar w:fldCharType="end"/>
          </w:r>
          <w:r>
            <w:fldChar w:fldCharType="end"/>
          </w:r>
        </w:p>
        <w:p>
          <w:pPr>
            <w:pStyle w:val="12"/>
            <w:tabs>
              <w:tab w:val="right" w:leader="dot" w:pos="8306"/>
              <w:tab w:val="clear" w:pos="8296"/>
            </w:tabs>
          </w:pPr>
          <w:r>
            <w:fldChar w:fldCharType="begin"/>
          </w:r>
          <w:r>
            <w:instrText xml:space="preserve"> HYPERLINK \l _Toc7137 </w:instrText>
          </w:r>
          <w:r>
            <w:fldChar w:fldCharType="separate"/>
          </w:r>
          <w:r>
            <w:rPr>
              <w:rFonts w:hint="eastAsia" w:eastAsia="黑体"/>
              <w:szCs w:val="44"/>
            </w:rPr>
            <w:t>第</w:t>
          </w:r>
          <w:r>
            <w:rPr>
              <w:rFonts w:hint="eastAsia" w:eastAsia="黑体"/>
              <w:bCs/>
            </w:rPr>
            <w:t>五部分 附表</w:t>
          </w:r>
          <w:r>
            <w:tab/>
          </w:r>
          <w:r>
            <w:fldChar w:fldCharType="begin"/>
          </w:r>
          <w:r>
            <w:instrText xml:space="preserve"> PAGEREF _Toc7137 \h </w:instrText>
          </w:r>
          <w:r>
            <w:fldChar w:fldCharType="separate"/>
          </w:r>
          <w:r>
            <w:t>13</w:t>
          </w:r>
          <w:r>
            <w:fldChar w:fldCharType="end"/>
          </w:r>
          <w:r>
            <w:fldChar w:fldCharType="end"/>
          </w:r>
        </w:p>
        <w:p>
          <w:pPr>
            <w:pStyle w:val="14"/>
            <w:tabs>
              <w:tab w:val="right" w:leader="dot" w:pos="8306"/>
              <w:tab w:val="clear" w:pos="8296"/>
            </w:tabs>
          </w:pPr>
          <w:r>
            <w:fldChar w:fldCharType="begin"/>
          </w:r>
          <w:r>
            <w:instrText xml:space="preserve"> HYPERLINK \l _Toc8898 </w:instrText>
          </w:r>
          <w:r>
            <w:fldChar w:fldCharType="separate"/>
          </w:r>
          <w:r>
            <w:rPr>
              <w:rFonts w:hint="eastAsia"/>
              <w:bCs w:val="0"/>
            </w:rPr>
            <w:t>一、收入支出决算总表</w:t>
          </w:r>
          <w:r>
            <w:tab/>
          </w:r>
          <w:r>
            <w:fldChar w:fldCharType="begin"/>
          </w:r>
          <w:r>
            <w:instrText xml:space="preserve"> PAGEREF _Toc8898 \h </w:instrText>
          </w:r>
          <w:r>
            <w:fldChar w:fldCharType="separate"/>
          </w:r>
          <w:r>
            <w:t>13</w:t>
          </w:r>
          <w:r>
            <w:fldChar w:fldCharType="end"/>
          </w:r>
          <w:r>
            <w:fldChar w:fldCharType="end"/>
          </w:r>
        </w:p>
        <w:p>
          <w:pPr>
            <w:pStyle w:val="14"/>
            <w:tabs>
              <w:tab w:val="right" w:leader="dot" w:pos="8306"/>
              <w:tab w:val="clear" w:pos="8296"/>
            </w:tabs>
          </w:pPr>
          <w:r>
            <w:fldChar w:fldCharType="begin"/>
          </w:r>
          <w:r>
            <w:instrText xml:space="preserve"> HYPERLINK \l _Toc10034 </w:instrText>
          </w:r>
          <w:r>
            <w:fldChar w:fldCharType="separate"/>
          </w:r>
          <w:r>
            <w:rPr>
              <w:rFonts w:hint="eastAsia"/>
              <w:bCs w:val="0"/>
            </w:rPr>
            <w:t>二、收入决算表</w:t>
          </w:r>
          <w:r>
            <w:tab/>
          </w:r>
          <w:r>
            <w:fldChar w:fldCharType="begin"/>
          </w:r>
          <w:r>
            <w:instrText xml:space="preserve"> PAGEREF _Toc10034 \h </w:instrText>
          </w:r>
          <w:r>
            <w:fldChar w:fldCharType="separate"/>
          </w:r>
          <w:r>
            <w:t>13</w:t>
          </w:r>
          <w:r>
            <w:fldChar w:fldCharType="end"/>
          </w:r>
          <w:r>
            <w:fldChar w:fldCharType="end"/>
          </w:r>
        </w:p>
        <w:p>
          <w:pPr>
            <w:pStyle w:val="14"/>
            <w:tabs>
              <w:tab w:val="right" w:leader="dot" w:pos="8306"/>
              <w:tab w:val="clear" w:pos="8296"/>
            </w:tabs>
          </w:pPr>
          <w:r>
            <w:fldChar w:fldCharType="begin"/>
          </w:r>
          <w:r>
            <w:instrText xml:space="preserve"> HYPERLINK \l _Toc27224 </w:instrText>
          </w:r>
          <w:r>
            <w:fldChar w:fldCharType="separate"/>
          </w:r>
          <w:r>
            <w:rPr>
              <w:rFonts w:hint="eastAsia"/>
              <w:bCs w:val="0"/>
            </w:rPr>
            <w:t>三、支出决算表</w:t>
          </w:r>
          <w:r>
            <w:tab/>
          </w:r>
          <w:r>
            <w:fldChar w:fldCharType="begin"/>
          </w:r>
          <w:r>
            <w:instrText xml:space="preserve"> PAGEREF _Toc27224 \h </w:instrText>
          </w:r>
          <w:r>
            <w:fldChar w:fldCharType="separate"/>
          </w:r>
          <w:r>
            <w:t>13</w:t>
          </w:r>
          <w:r>
            <w:fldChar w:fldCharType="end"/>
          </w:r>
          <w:r>
            <w:fldChar w:fldCharType="end"/>
          </w:r>
        </w:p>
        <w:p>
          <w:pPr>
            <w:pStyle w:val="14"/>
            <w:tabs>
              <w:tab w:val="right" w:leader="dot" w:pos="8306"/>
              <w:tab w:val="clear" w:pos="8296"/>
            </w:tabs>
          </w:pPr>
          <w:r>
            <w:fldChar w:fldCharType="begin"/>
          </w:r>
          <w:r>
            <w:instrText xml:space="preserve"> HYPERLINK \l _Toc7284 </w:instrText>
          </w:r>
          <w:r>
            <w:fldChar w:fldCharType="separate"/>
          </w:r>
          <w:r>
            <w:rPr>
              <w:rFonts w:hint="eastAsia"/>
              <w:bCs w:val="0"/>
            </w:rPr>
            <w:t>四、财政拨款收入支出决算总表</w:t>
          </w:r>
          <w:r>
            <w:tab/>
          </w:r>
          <w:r>
            <w:fldChar w:fldCharType="begin"/>
          </w:r>
          <w:r>
            <w:instrText xml:space="preserve"> PAGEREF _Toc7284 \h </w:instrText>
          </w:r>
          <w:r>
            <w:fldChar w:fldCharType="separate"/>
          </w:r>
          <w:r>
            <w:t>13</w:t>
          </w:r>
          <w:r>
            <w:fldChar w:fldCharType="end"/>
          </w:r>
          <w:r>
            <w:fldChar w:fldCharType="end"/>
          </w:r>
        </w:p>
        <w:p>
          <w:pPr>
            <w:pStyle w:val="14"/>
            <w:tabs>
              <w:tab w:val="right" w:leader="dot" w:pos="8306"/>
              <w:tab w:val="clear" w:pos="8296"/>
            </w:tabs>
          </w:pPr>
          <w:r>
            <w:fldChar w:fldCharType="begin"/>
          </w:r>
          <w:r>
            <w:instrText xml:space="preserve"> HYPERLINK \l _Toc3242 </w:instrText>
          </w:r>
          <w:r>
            <w:fldChar w:fldCharType="separate"/>
          </w:r>
          <w:r>
            <w:rPr>
              <w:rFonts w:hint="eastAsia"/>
              <w:bCs w:val="0"/>
            </w:rPr>
            <w:t>五、财政拨款支出决算明细表</w:t>
          </w:r>
          <w:r>
            <w:tab/>
          </w:r>
          <w:r>
            <w:fldChar w:fldCharType="begin"/>
          </w:r>
          <w:r>
            <w:instrText xml:space="preserve"> PAGEREF _Toc3242 \h </w:instrText>
          </w:r>
          <w:r>
            <w:fldChar w:fldCharType="separate"/>
          </w:r>
          <w:r>
            <w:t>13</w:t>
          </w:r>
          <w:r>
            <w:fldChar w:fldCharType="end"/>
          </w:r>
          <w:r>
            <w:fldChar w:fldCharType="end"/>
          </w:r>
        </w:p>
        <w:p>
          <w:pPr>
            <w:pStyle w:val="14"/>
            <w:tabs>
              <w:tab w:val="right" w:leader="dot" w:pos="8306"/>
              <w:tab w:val="clear" w:pos="8296"/>
            </w:tabs>
          </w:pPr>
          <w:r>
            <w:fldChar w:fldCharType="begin"/>
          </w:r>
          <w:r>
            <w:instrText xml:space="preserve"> HYPERLINK \l _Toc31960 </w:instrText>
          </w:r>
          <w:r>
            <w:fldChar w:fldCharType="separate"/>
          </w:r>
          <w:r>
            <w:rPr>
              <w:rFonts w:hint="eastAsia"/>
              <w:bCs w:val="0"/>
            </w:rPr>
            <w:t>六、一般公共预算财政拨款支出决算表</w:t>
          </w:r>
          <w:r>
            <w:tab/>
          </w:r>
          <w:r>
            <w:fldChar w:fldCharType="begin"/>
          </w:r>
          <w:r>
            <w:instrText xml:space="preserve"> PAGEREF _Toc31960 \h </w:instrText>
          </w:r>
          <w:r>
            <w:fldChar w:fldCharType="separate"/>
          </w:r>
          <w:r>
            <w:t>13</w:t>
          </w:r>
          <w:r>
            <w:fldChar w:fldCharType="end"/>
          </w:r>
          <w:r>
            <w:fldChar w:fldCharType="end"/>
          </w:r>
        </w:p>
        <w:p>
          <w:pPr>
            <w:pStyle w:val="14"/>
            <w:tabs>
              <w:tab w:val="right" w:leader="dot" w:pos="8306"/>
              <w:tab w:val="clear" w:pos="8296"/>
            </w:tabs>
          </w:pPr>
          <w:r>
            <w:fldChar w:fldCharType="begin"/>
          </w:r>
          <w:r>
            <w:instrText xml:space="preserve"> HYPERLINK \l _Toc11403 </w:instrText>
          </w:r>
          <w:r>
            <w:fldChar w:fldCharType="separate"/>
          </w:r>
          <w:r>
            <w:rPr>
              <w:rFonts w:hint="eastAsia"/>
              <w:bCs w:val="0"/>
            </w:rPr>
            <w:t>七、一般公共预算财政拨款支出决算明细表</w:t>
          </w:r>
          <w:r>
            <w:tab/>
          </w:r>
          <w:r>
            <w:fldChar w:fldCharType="begin"/>
          </w:r>
          <w:r>
            <w:instrText xml:space="preserve"> PAGEREF _Toc11403 \h </w:instrText>
          </w:r>
          <w:r>
            <w:fldChar w:fldCharType="separate"/>
          </w:r>
          <w:r>
            <w:t>13</w:t>
          </w:r>
          <w:r>
            <w:fldChar w:fldCharType="end"/>
          </w:r>
          <w:r>
            <w:fldChar w:fldCharType="end"/>
          </w:r>
        </w:p>
        <w:p>
          <w:pPr>
            <w:pStyle w:val="14"/>
            <w:tabs>
              <w:tab w:val="right" w:leader="dot" w:pos="8306"/>
              <w:tab w:val="clear" w:pos="8296"/>
            </w:tabs>
          </w:pPr>
          <w:r>
            <w:fldChar w:fldCharType="begin"/>
          </w:r>
          <w:r>
            <w:instrText xml:space="preserve"> HYPERLINK \l _Toc5291 </w:instrText>
          </w:r>
          <w:r>
            <w:fldChar w:fldCharType="separate"/>
          </w:r>
          <w:r>
            <w:rPr>
              <w:rFonts w:hint="eastAsia"/>
              <w:bCs w:val="0"/>
            </w:rPr>
            <w:t>八、一般公共预算财政拨款基本支出决算表</w:t>
          </w:r>
          <w:r>
            <w:tab/>
          </w:r>
          <w:r>
            <w:fldChar w:fldCharType="begin"/>
          </w:r>
          <w:r>
            <w:instrText xml:space="preserve"> PAGEREF _Toc5291 \h </w:instrText>
          </w:r>
          <w:r>
            <w:fldChar w:fldCharType="separate"/>
          </w:r>
          <w:r>
            <w:t>13</w:t>
          </w:r>
          <w:r>
            <w:fldChar w:fldCharType="end"/>
          </w:r>
          <w:r>
            <w:fldChar w:fldCharType="end"/>
          </w:r>
        </w:p>
        <w:p>
          <w:pPr>
            <w:pStyle w:val="14"/>
            <w:tabs>
              <w:tab w:val="right" w:leader="dot" w:pos="8306"/>
              <w:tab w:val="clear" w:pos="8296"/>
            </w:tabs>
          </w:pPr>
          <w:r>
            <w:fldChar w:fldCharType="begin"/>
          </w:r>
          <w:r>
            <w:instrText xml:space="preserve"> HYPERLINK \l _Toc20180 </w:instrText>
          </w:r>
          <w:r>
            <w:fldChar w:fldCharType="separate"/>
          </w:r>
          <w:r>
            <w:rPr>
              <w:rFonts w:hint="eastAsia"/>
              <w:bCs w:val="0"/>
            </w:rPr>
            <w:t>九、一般公共预算财政拨款项目支出决算表</w:t>
          </w:r>
          <w:r>
            <w:tab/>
          </w:r>
          <w:r>
            <w:fldChar w:fldCharType="begin"/>
          </w:r>
          <w:r>
            <w:instrText xml:space="preserve"> PAGEREF _Toc20180 \h </w:instrText>
          </w:r>
          <w:r>
            <w:fldChar w:fldCharType="separate"/>
          </w:r>
          <w:r>
            <w:t>13</w:t>
          </w:r>
          <w:r>
            <w:fldChar w:fldCharType="end"/>
          </w:r>
          <w:r>
            <w:fldChar w:fldCharType="end"/>
          </w:r>
        </w:p>
        <w:p>
          <w:pPr>
            <w:pStyle w:val="14"/>
            <w:tabs>
              <w:tab w:val="right" w:leader="dot" w:pos="8306"/>
              <w:tab w:val="clear" w:pos="8296"/>
            </w:tabs>
          </w:pPr>
          <w:r>
            <w:fldChar w:fldCharType="begin"/>
          </w:r>
          <w:r>
            <w:instrText xml:space="preserve"> HYPERLINK \l _Toc51 </w:instrText>
          </w:r>
          <w:r>
            <w:fldChar w:fldCharType="separate"/>
          </w:r>
          <w:r>
            <w:rPr>
              <w:rFonts w:hint="eastAsia"/>
              <w:bCs w:val="0"/>
            </w:rPr>
            <w:t>十、政府性基金预算财政拨款收入支出决算表</w:t>
          </w:r>
          <w:r>
            <w:tab/>
          </w:r>
          <w:r>
            <w:fldChar w:fldCharType="begin"/>
          </w:r>
          <w:r>
            <w:instrText xml:space="preserve"> PAGEREF _Toc51 \h </w:instrText>
          </w:r>
          <w:r>
            <w:fldChar w:fldCharType="separate"/>
          </w:r>
          <w:r>
            <w:t>13</w:t>
          </w:r>
          <w:r>
            <w:fldChar w:fldCharType="end"/>
          </w:r>
          <w:r>
            <w:fldChar w:fldCharType="end"/>
          </w:r>
        </w:p>
        <w:p>
          <w:pPr>
            <w:pStyle w:val="14"/>
            <w:tabs>
              <w:tab w:val="right" w:leader="dot" w:pos="8306"/>
              <w:tab w:val="clear" w:pos="8296"/>
            </w:tabs>
          </w:pPr>
          <w:r>
            <w:fldChar w:fldCharType="begin"/>
          </w:r>
          <w:r>
            <w:instrText xml:space="preserve"> HYPERLINK \l _Toc26164 </w:instrText>
          </w:r>
          <w:r>
            <w:fldChar w:fldCharType="separate"/>
          </w:r>
          <w:r>
            <w:rPr>
              <w:rFonts w:hint="eastAsia"/>
              <w:bCs w:val="0"/>
            </w:rPr>
            <w:t>十一、国有资本经营预算财政拨款收入支出决算表</w:t>
          </w:r>
          <w:r>
            <w:tab/>
          </w:r>
          <w:r>
            <w:fldChar w:fldCharType="begin"/>
          </w:r>
          <w:r>
            <w:instrText xml:space="preserve"> PAGEREF _Toc26164 \h </w:instrText>
          </w:r>
          <w:r>
            <w:fldChar w:fldCharType="separate"/>
          </w:r>
          <w:r>
            <w:t>13</w:t>
          </w:r>
          <w:r>
            <w:fldChar w:fldCharType="end"/>
          </w:r>
          <w:r>
            <w:fldChar w:fldCharType="end"/>
          </w:r>
        </w:p>
        <w:p>
          <w:pPr>
            <w:pStyle w:val="14"/>
            <w:tabs>
              <w:tab w:val="right" w:leader="dot" w:pos="8306"/>
              <w:tab w:val="clear" w:pos="8296"/>
            </w:tabs>
          </w:pPr>
          <w:r>
            <w:fldChar w:fldCharType="begin"/>
          </w:r>
          <w:r>
            <w:instrText xml:space="preserve"> HYPERLINK \l _Toc14529 </w:instrText>
          </w:r>
          <w:r>
            <w:fldChar w:fldCharType="separate"/>
          </w:r>
          <w:r>
            <w:rPr>
              <w:rFonts w:hint="eastAsia"/>
              <w:bCs w:val="0"/>
            </w:rPr>
            <w:t>十二、国有资本经营预算财政拨款支出决算表</w:t>
          </w:r>
          <w:r>
            <w:tab/>
          </w:r>
          <w:r>
            <w:fldChar w:fldCharType="begin"/>
          </w:r>
          <w:r>
            <w:instrText xml:space="preserve"> PAGEREF _Toc14529 \h </w:instrText>
          </w:r>
          <w:r>
            <w:fldChar w:fldCharType="separate"/>
          </w:r>
          <w:r>
            <w:t>13</w:t>
          </w:r>
          <w:r>
            <w:fldChar w:fldCharType="end"/>
          </w:r>
          <w:r>
            <w:fldChar w:fldCharType="end"/>
          </w:r>
        </w:p>
        <w:p>
          <w:pPr>
            <w:pStyle w:val="14"/>
            <w:tabs>
              <w:tab w:val="right" w:leader="dot" w:pos="8306"/>
              <w:tab w:val="clear" w:pos="8296"/>
            </w:tabs>
          </w:pPr>
          <w:r>
            <w:fldChar w:fldCharType="begin"/>
          </w:r>
          <w:r>
            <w:instrText xml:space="preserve"> HYPERLINK \l _Toc6809 </w:instrText>
          </w:r>
          <w:r>
            <w:fldChar w:fldCharType="separate"/>
          </w:r>
          <w:r>
            <w:rPr>
              <w:rFonts w:hint="eastAsia"/>
              <w:bCs w:val="0"/>
            </w:rPr>
            <w:t>十三、财政拨款“三公”经费支出决算表</w:t>
          </w:r>
          <w:r>
            <w:tab/>
          </w:r>
          <w:r>
            <w:fldChar w:fldCharType="begin"/>
          </w:r>
          <w:r>
            <w:instrText xml:space="preserve"> PAGEREF _Toc6809 \h </w:instrText>
          </w:r>
          <w:r>
            <w:fldChar w:fldCharType="separate"/>
          </w:r>
          <w:r>
            <w:t>13</w:t>
          </w:r>
          <w:r>
            <w:fldChar w:fldCharType="end"/>
          </w:r>
          <w:r>
            <w:fldChar w:fldCharType="end"/>
          </w:r>
        </w:p>
        <w:p>
          <w:r>
            <w:fldChar w:fldCharType="end"/>
          </w:r>
        </w:p>
      </w:sdtContent>
    </w:sdt>
    <w:p/>
    <w:p>
      <w:pPr>
        <w:widowControl/>
        <w:spacing w:line="560" w:lineRule="exact"/>
        <w:jc w:val="left"/>
        <w:rPr>
          <w:rFonts w:eastAsia="方正小标宋简体" w:cs="方正小标宋简体"/>
          <w:b w:val="0"/>
        </w:rPr>
        <w:sectPr>
          <w:footerReference r:id="rId7" w:type="first"/>
          <w:footerReference r:id="rId6" w:type="default"/>
          <w:pgSz w:w="11906" w:h="16838"/>
          <w:pgMar w:top="1440" w:right="1800" w:bottom="1440" w:left="1800" w:header="851" w:footer="992" w:gutter="0"/>
          <w:pgNumType w:start="1"/>
          <w:cols w:space="425" w:num="1"/>
          <w:titlePg/>
          <w:docGrid w:type="lines" w:linePitch="312" w:charSpace="0"/>
        </w:sectPr>
      </w:pPr>
      <w:r>
        <w:rPr>
          <w:rFonts w:hint="eastAsia" w:eastAsia="仿宋_GB2312" w:cs="仿宋_GB2312"/>
          <w:b/>
          <w:sz w:val="32"/>
          <w:szCs w:val="32"/>
        </w:rPr>
        <w:br w:type="page"/>
      </w:r>
    </w:p>
    <w:p>
      <w:pPr>
        <w:pStyle w:val="3"/>
        <w:jc w:val="center"/>
        <w:rPr>
          <w:rStyle w:val="29"/>
          <w:rFonts w:eastAsia="方正小标宋简体" w:cs="方正小标宋简体"/>
          <w:b/>
          <w:bCs w:val="0"/>
        </w:rPr>
      </w:pPr>
      <w:bookmarkStart w:id="8" w:name="_Toc32120"/>
      <w:r>
        <w:rPr>
          <w:rFonts w:hint="eastAsia" w:eastAsia="方正小标宋简体" w:cs="方正小标宋简体"/>
          <w:b w:val="0"/>
        </w:rPr>
        <w:t xml:space="preserve">第一部分  </w:t>
      </w:r>
      <w:r>
        <w:rPr>
          <w:rFonts w:hint="eastAsia" w:eastAsia="方正小标宋简体" w:cs="方正小标宋简体"/>
          <w:b w:val="0"/>
          <w:lang w:val="en-US" w:eastAsia="zh-CN"/>
        </w:rPr>
        <w:t>单位</w:t>
      </w:r>
      <w:r>
        <w:rPr>
          <w:rStyle w:val="29"/>
          <w:rFonts w:hint="eastAsia" w:eastAsia="方正小标宋简体" w:cs="方正小标宋简体"/>
          <w:b w:val="0"/>
          <w:bCs w:val="0"/>
        </w:rPr>
        <w:t>概况</w:t>
      </w:r>
      <w:bookmarkEnd w:id="6"/>
      <w:bookmarkEnd w:id="7"/>
      <w:bookmarkEnd w:id="8"/>
    </w:p>
    <w:p>
      <w:pPr>
        <w:widowControl/>
        <w:jc w:val="left"/>
        <w:rPr>
          <w:rFonts w:eastAsia="黑体"/>
          <w:sz w:val="32"/>
          <w:szCs w:val="32"/>
        </w:rPr>
      </w:pPr>
    </w:p>
    <w:p>
      <w:pPr>
        <w:pStyle w:val="4"/>
        <w:numPr>
          <w:ilvl w:val="0"/>
          <w:numId w:val="1"/>
        </w:numPr>
        <w:rPr>
          <w:rFonts w:ascii="Times New Roman" w:hAnsi="Times New Roman" w:eastAsia="黑体"/>
          <w:b w:val="0"/>
        </w:rPr>
      </w:pPr>
      <w:bookmarkStart w:id="9" w:name="_Toc25145"/>
      <w:r>
        <w:rPr>
          <w:rFonts w:hint="eastAsia" w:ascii="Times New Roman" w:hAnsi="Times New Roman" w:eastAsia="黑体"/>
          <w:b w:val="0"/>
          <w:lang w:val="en-US" w:eastAsia="zh-CN"/>
        </w:rPr>
        <w:t>主要</w:t>
      </w:r>
      <w:r>
        <w:rPr>
          <w:rFonts w:hint="eastAsia" w:ascii="Times New Roman" w:hAnsi="Times New Roman" w:eastAsia="黑体"/>
          <w:b w:val="0"/>
        </w:rPr>
        <w:t>职责</w:t>
      </w:r>
      <w:bookmarkEnd w:id="9"/>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实施小学、初中义务教育以及高中教育，促进基础教育发展。</w:t>
      </w:r>
    </w:p>
    <w:p>
      <w:pPr>
        <w:pStyle w:val="4"/>
        <w:rPr>
          <w:rStyle w:val="30"/>
          <w:rFonts w:ascii="Times New Roman" w:hAnsi="Times New Roman"/>
          <w:b w:val="0"/>
          <w:bCs w:val="0"/>
        </w:rPr>
      </w:pPr>
      <w:bookmarkStart w:id="10" w:name="_Toc15377200"/>
      <w:bookmarkStart w:id="11" w:name="_Toc15396601"/>
      <w:bookmarkStart w:id="12" w:name="_Toc23336"/>
      <w:r>
        <w:rPr>
          <w:rFonts w:hint="eastAsia" w:ascii="Times New Roman" w:hAnsi="Times New Roman" w:eastAsia="黑体"/>
          <w:b w:val="0"/>
        </w:rPr>
        <w:t>二、机</w:t>
      </w:r>
      <w:r>
        <w:rPr>
          <w:rStyle w:val="30"/>
          <w:rFonts w:hint="eastAsia" w:ascii="Times New Roman" w:hAnsi="Times New Roman" w:eastAsia="黑体"/>
          <w:b w:val="0"/>
          <w:bCs w:val="0"/>
        </w:rPr>
        <w:t>构设置</w:t>
      </w:r>
      <w:bookmarkEnd w:id="10"/>
      <w:bookmarkEnd w:id="11"/>
      <w:bookmarkEnd w:id="12"/>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我单位为广元市教育局</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下属二级预算单位，本单位下属机构0个，设有内设机构0个。</w:t>
      </w:r>
    </w:p>
    <w:p>
      <w:pPr>
        <w:widowControl/>
        <w:jc w:val="left"/>
        <w:rPr>
          <w:rFonts w:eastAsia="仿宋"/>
          <w:kern w:val="0"/>
          <w:sz w:val="32"/>
          <w:szCs w:val="32"/>
        </w:rPr>
      </w:pPr>
      <w:r>
        <w:rPr>
          <w:rFonts w:eastAsia="仿宋"/>
          <w:sz w:val="32"/>
          <w:szCs w:val="32"/>
        </w:rPr>
        <w:br w:type="page"/>
      </w:r>
    </w:p>
    <w:p>
      <w:pPr>
        <w:pStyle w:val="3"/>
        <w:jc w:val="center"/>
        <w:rPr>
          <w:rFonts w:eastAsia="方正小标宋简体" w:cs="方正小标宋简体"/>
          <w:b w:val="0"/>
        </w:rPr>
      </w:pPr>
      <w:bookmarkStart w:id="13" w:name="_Toc15377204"/>
      <w:bookmarkStart w:id="14" w:name="_Toc15396602"/>
      <w:bookmarkStart w:id="15" w:name="_Toc23094"/>
      <w:r>
        <w:rPr>
          <w:rFonts w:hint="eastAsia" w:eastAsia="方正小标宋简体" w:cs="方正小标宋简体"/>
          <w:b w:val="0"/>
        </w:rPr>
        <w:t>第二部分  2024年度</w:t>
      </w:r>
      <w:r>
        <w:rPr>
          <w:rFonts w:hint="eastAsia" w:eastAsia="方正小标宋简体" w:cs="方正小标宋简体"/>
          <w:b w:val="0"/>
          <w:lang w:val="en-US" w:eastAsia="zh-CN"/>
        </w:rPr>
        <w:t>单位</w:t>
      </w:r>
      <w:r>
        <w:rPr>
          <w:rFonts w:hint="eastAsia" w:eastAsia="方正小标宋简体" w:cs="方正小标宋简体"/>
          <w:b w:val="0"/>
        </w:rPr>
        <w:t>决算情况说明</w:t>
      </w:r>
      <w:bookmarkEnd w:id="13"/>
      <w:bookmarkEnd w:id="14"/>
      <w:bookmarkEnd w:id="15"/>
    </w:p>
    <w:p/>
    <w:p>
      <w:pPr>
        <w:pStyle w:val="28"/>
        <w:spacing w:line="600" w:lineRule="exact"/>
        <w:ind w:firstLine="640"/>
        <w:outlineLvl w:val="1"/>
        <w:rPr>
          <w:rStyle w:val="30"/>
          <w:rFonts w:ascii="Times New Roman" w:hAnsi="Times New Roman" w:eastAsia="黑体"/>
          <w:b w:val="0"/>
        </w:rPr>
      </w:pPr>
      <w:bookmarkStart w:id="16" w:name="_Toc15396603"/>
      <w:bookmarkStart w:id="17" w:name="_Toc16679"/>
      <w:bookmarkStart w:id="18" w:name="_Toc15377205"/>
      <w:r>
        <w:rPr>
          <w:rFonts w:hint="eastAsia" w:eastAsia="黑体"/>
          <w:sz w:val="32"/>
          <w:szCs w:val="32"/>
        </w:rPr>
        <w:t>一、收</w:t>
      </w:r>
      <w:r>
        <w:rPr>
          <w:rStyle w:val="30"/>
          <w:rFonts w:hint="eastAsia" w:ascii="Times New Roman" w:hAnsi="Times New Roman" w:eastAsia="黑体"/>
          <w:b w:val="0"/>
        </w:rPr>
        <w:t>入支出决算总体情况说明</w:t>
      </w:r>
      <w:bookmarkEnd w:id="16"/>
      <w:bookmarkEnd w:id="17"/>
      <w:bookmarkEnd w:id="18"/>
    </w:p>
    <w:p>
      <w:pPr>
        <w:pStyle w:val="28"/>
        <w:spacing w:line="600" w:lineRule="exact"/>
        <w:ind w:firstLine="640"/>
        <w:outlineLvl w:val="1"/>
        <w:rPr>
          <w:rFonts w:eastAsia="仿宋_GB2312" w:cs="仿宋_GB2312"/>
          <w:sz w:val="32"/>
          <w:szCs w:val="32"/>
        </w:rPr>
      </w:pPr>
      <w:bookmarkStart w:id="19" w:name="_Toc15096"/>
      <w:r>
        <w:rPr>
          <w:rFonts w:hint="eastAsia" w:eastAsia="仿宋_GB2312" w:cs="仿宋_GB2312"/>
          <w:sz w:val="32"/>
          <w:szCs w:val="32"/>
        </w:rPr>
        <w:t>2024年度收入、支出总计均为</w:t>
      </w:r>
      <w:r>
        <w:rPr>
          <w:rFonts w:hint="eastAsia" w:ascii="仿宋_GB2312" w:hAnsi="仿宋_GB2312" w:eastAsia="仿宋_GB2312" w:cs="仿宋_GB2312"/>
          <w:sz w:val="32"/>
          <w:szCs w:val="32"/>
        </w:rPr>
        <w:t>1266.15</w:t>
      </w:r>
      <w:r>
        <w:rPr>
          <w:rFonts w:hint="eastAsia" w:eastAsia="仿宋_GB2312" w:cs="仿宋_GB2312"/>
          <w:sz w:val="32"/>
          <w:szCs w:val="32"/>
        </w:rPr>
        <w:t>万元。与2023年度相比，收入、支出总计各减少</w:t>
      </w:r>
      <w:r>
        <w:rPr>
          <w:rFonts w:eastAsia="仿宋_GB2312" w:cs="仿宋_GB2312"/>
          <w:sz w:val="32"/>
          <w:szCs w:val="32"/>
        </w:rPr>
        <w:t>229.47</w:t>
      </w:r>
      <w:r>
        <w:rPr>
          <w:rFonts w:hint="eastAsia" w:eastAsia="仿宋_GB2312" w:cs="仿宋_GB2312"/>
          <w:sz w:val="32"/>
          <w:szCs w:val="32"/>
        </w:rPr>
        <w:t>万元，下降</w:t>
      </w:r>
      <w:r>
        <w:rPr>
          <w:rFonts w:eastAsia="仿宋_GB2312" w:cs="仿宋_GB2312"/>
          <w:sz w:val="32"/>
          <w:szCs w:val="32"/>
        </w:rPr>
        <w:t>15.34</w:t>
      </w:r>
      <w:r>
        <w:rPr>
          <w:rFonts w:hint="eastAsia" w:eastAsia="仿宋_GB2312" w:cs="仿宋_GB2312"/>
          <w:sz w:val="32"/>
          <w:szCs w:val="32"/>
        </w:rPr>
        <w:t>%。主要变动原因是：1</w:t>
      </w:r>
      <w:r>
        <w:rPr>
          <w:rFonts w:eastAsia="仿宋_GB2312" w:cs="仿宋_GB2312"/>
          <w:sz w:val="32"/>
          <w:szCs w:val="32"/>
        </w:rPr>
        <w:t>.</w:t>
      </w:r>
      <w:r>
        <w:rPr>
          <w:rFonts w:hint="eastAsia" w:eastAsia="仿宋_GB2312" w:cs="仿宋_GB2312"/>
          <w:sz w:val="32"/>
          <w:szCs w:val="32"/>
        </w:rPr>
        <w:t>公用经费下降了5</w:t>
      </w:r>
      <w:r>
        <w:rPr>
          <w:rFonts w:eastAsia="仿宋_GB2312" w:cs="仿宋_GB2312"/>
          <w:sz w:val="32"/>
          <w:szCs w:val="32"/>
        </w:rPr>
        <w:t>6.49</w:t>
      </w:r>
      <w:r>
        <w:rPr>
          <w:rFonts w:hint="eastAsia" w:eastAsia="仿宋_GB2312" w:cs="仿宋_GB2312"/>
          <w:sz w:val="32"/>
          <w:szCs w:val="32"/>
        </w:rPr>
        <w:t>万元，其中主要是生均经费拨款下降（学生人数减少）；2</w:t>
      </w:r>
      <w:r>
        <w:rPr>
          <w:rFonts w:eastAsia="仿宋_GB2312" w:cs="仿宋_GB2312"/>
          <w:sz w:val="32"/>
          <w:szCs w:val="32"/>
        </w:rPr>
        <w:t>.</w:t>
      </w:r>
      <w:r>
        <w:rPr>
          <w:rFonts w:hint="eastAsia" w:eastAsia="仿宋_GB2312" w:cs="仿宋_GB2312"/>
          <w:sz w:val="32"/>
          <w:szCs w:val="32"/>
        </w:rPr>
        <w:t>项目支出中的政府购买学位资金下降2</w:t>
      </w:r>
      <w:r>
        <w:rPr>
          <w:rFonts w:eastAsia="仿宋_GB2312" w:cs="仿宋_GB2312"/>
          <w:sz w:val="32"/>
          <w:szCs w:val="32"/>
        </w:rPr>
        <w:t>02.23</w:t>
      </w:r>
      <w:r>
        <w:rPr>
          <w:rFonts w:hint="eastAsia" w:eastAsia="仿宋_GB2312" w:cs="仿宋_GB2312"/>
          <w:sz w:val="32"/>
          <w:szCs w:val="32"/>
        </w:rPr>
        <w:t>万元。</w:t>
      </w:r>
      <w:bookmarkEnd w:id="19"/>
      <w:bookmarkStart w:id="20" w:name="_Toc15377206"/>
      <w:bookmarkStart w:id="21" w:name="_Toc15396604"/>
    </w:p>
    <w:p>
      <w:pPr>
        <w:spacing w:line="600" w:lineRule="exact"/>
        <w:ind w:firstLine="420" w:firstLineChars="200"/>
        <w:rPr>
          <w:rFonts w:eastAsia="仿宋_GB2312" w:cs="仿宋_GB2312"/>
          <w:sz w:val="32"/>
          <w:szCs w:val="32"/>
        </w:rPr>
      </w:pPr>
      <w:r>
        <w:drawing>
          <wp:anchor distT="0" distB="0" distL="114300" distR="114300" simplePos="0" relativeHeight="251659264" behindDoc="0" locked="0" layoutInCell="1" allowOverlap="1">
            <wp:simplePos x="0" y="0"/>
            <wp:positionH relativeFrom="column">
              <wp:posOffset>171450</wp:posOffset>
            </wp:positionH>
            <wp:positionV relativeFrom="paragraph">
              <wp:posOffset>241300</wp:posOffset>
            </wp:positionV>
            <wp:extent cx="4838700" cy="2426970"/>
            <wp:effectExtent l="0" t="0" r="0" b="0"/>
            <wp:wrapTopAndBottom/>
            <wp:docPr id="1" name="图片 1"/>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true"/>
                    </pic:cNvPicPr>
                  </pic:nvPicPr>
                  <pic:blipFill>
                    <a:blip r:embed="rId10"/>
                    <a:srcRect t="11834"/>
                    <a:stretch>
                      <a:fillRect/>
                    </a:stretch>
                  </pic:blipFill>
                  <pic:spPr>
                    <a:xfrm>
                      <a:off x="0" y="0"/>
                      <a:ext cx="4838700" cy="2426970"/>
                    </a:xfrm>
                    <a:prstGeom prst="rect">
                      <a:avLst/>
                    </a:prstGeom>
                    <a:noFill/>
                    <a:ln>
                      <a:noFill/>
                    </a:ln>
                  </pic:spPr>
                </pic:pic>
              </a:graphicData>
            </a:graphic>
          </wp:anchor>
        </w:drawing>
      </w:r>
      <w:r>
        <w:rPr>
          <w:rFonts w:hint="eastAsia" w:ascii="仿宋_GB2312" w:hAnsi="仿宋_GB2312" w:eastAsia="仿宋_GB2312" w:cs="仿宋_GB2312"/>
          <w:sz w:val="32"/>
          <w:szCs w:val="32"/>
        </w:rPr>
        <w:t>（图1：收、支决算总计变动情况图）（柱状图）</w:t>
      </w:r>
    </w:p>
    <w:p>
      <w:pPr>
        <w:pStyle w:val="28"/>
        <w:spacing w:line="600" w:lineRule="exact"/>
        <w:ind w:firstLine="640"/>
        <w:outlineLvl w:val="1"/>
        <w:rPr>
          <w:rFonts w:eastAsia="黑体"/>
          <w:sz w:val="32"/>
          <w:szCs w:val="32"/>
        </w:rPr>
      </w:pPr>
      <w:bookmarkStart w:id="22" w:name="_Toc28878"/>
      <w:r>
        <w:rPr>
          <w:rFonts w:hint="eastAsia" w:eastAsia="黑体"/>
          <w:sz w:val="32"/>
          <w:szCs w:val="32"/>
        </w:rPr>
        <w:t>二、收入决算情况说明</w:t>
      </w:r>
      <w:bookmarkEnd w:id="20"/>
      <w:bookmarkEnd w:id="21"/>
      <w:bookmarkEnd w:id="22"/>
    </w:p>
    <w:p>
      <w:pPr>
        <w:pStyle w:val="28"/>
        <w:spacing w:line="600" w:lineRule="exact"/>
        <w:ind w:firstLine="640"/>
        <w:jc w:val="left"/>
        <w:outlineLvl w:val="1"/>
        <w:rPr>
          <w:rFonts w:ascii="仿宋_GB2312" w:hAnsi="仿宋_GB2312" w:eastAsia="仿宋_GB2312" w:cs="仿宋_GB2312"/>
          <w:sz w:val="32"/>
          <w:szCs w:val="32"/>
        </w:rPr>
      </w:pPr>
      <w:bookmarkStart w:id="23" w:name="_Toc6110"/>
      <w:r>
        <w:rPr>
          <w:rFonts w:hint="eastAsia" w:ascii="仿宋_GB2312" w:hAnsi="仿宋_GB2312" w:eastAsia="仿宋_GB2312" w:cs="仿宋_GB2312"/>
          <w:sz w:val="32"/>
          <w:szCs w:val="32"/>
        </w:rPr>
        <w:t>2024年度本年收入合计1266.15万元，其中：一般公共预算财政拨款收入1266.15万元，占100%。</w:t>
      </w:r>
      <w:bookmarkEnd w:id="23"/>
    </w:p>
    <w:p>
      <w:pPr>
        <w:pStyle w:val="28"/>
        <w:spacing w:line="600" w:lineRule="exact"/>
        <w:ind w:firstLine="640"/>
        <w:jc w:val="left"/>
        <w:outlineLvl w:val="1"/>
        <w:rPr>
          <w:rFonts w:ascii="仿宋_GB2312" w:hAnsi="仿宋_GB2312" w:eastAsia="仿宋_GB2312" w:cs="仿宋_GB2312"/>
          <w:sz w:val="32"/>
          <w:szCs w:val="32"/>
        </w:rPr>
      </w:pPr>
    </w:p>
    <w:p>
      <w:pPr>
        <w:pStyle w:val="28"/>
        <w:spacing w:line="600" w:lineRule="exact"/>
        <w:ind w:firstLine="640"/>
        <w:jc w:val="left"/>
        <w:outlineLvl w:val="1"/>
        <w:rPr>
          <w:rFonts w:ascii="仿宋_GB2312" w:hAnsi="仿宋_GB2312" w:eastAsia="仿宋_GB2312" w:cs="仿宋_GB2312"/>
          <w:sz w:val="32"/>
          <w:szCs w:val="32"/>
        </w:rPr>
      </w:pPr>
    </w:p>
    <w:p>
      <w:pPr>
        <w:pStyle w:val="28"/>
        <w:spacing w:line="600" w:lineRule="exact"/>
        <w:ind w:firstLine="0" w:firstLineChars="0"/>
        <w:jc w:val="left"/>
        <w:outlineLvl w:val="1"/>
        <w:rPr>
          <w:rFonts w:ascii="仿宋_GB2312" w:hAnsi="仿宋_GB2312" w:eastAsia="仿宋_GB2312" w:cs="仿宋_GB2312"/>
          <w:sz w:val="32"/>
          <w:szCs w:val="32"/>
        </w:rPr>
      </w:pPr>
    </w:p>
    <w:p>
      <w:pPr>
        <w:pStyle w:val="28"/>
        <w:spacing w:line="600" w:lineRule="exact"/>
        <w:jc w:val="left"/>
        <w:outlineLvl w:val="1"/>
        <w:rPr>
          <w:rFonts w:eastAsia="黑体"/>
          <w:sz w:val="32"/>
          <w:szCs w:val="32"/>
        </w:rPr>
      </w:pPr>
      <w:bookmarkStart w:id="24" w:name="_Toc29096"/>
      <w:r>
        <w:drawing>
          <wp:anchor distT="0" distB="0" distL="114300" distR="114300" simplePos="0" relativeHeight="251660288" behindDoc="0" locked="0" layoutInCell="1" allowOverlap="1">
            <wp:simplePos x="0" y="0"/>
            <wp:positionH relativeFrom="column">
              <wp:posOffset>661035</wp:posOffset>
            </wp:positionH>
            <wp:positionV relativeFrom="paragraph">
              <wp:posOffset>90170</wp:posOffset>
            </wp:positionV>
            <wp:extent cx="4531360" cy="2239010"/>
            <wp:effectExtent l="4445" t="4445" r="17145" b="23495"/>
            <wp:wrapTopAndBottom/>
            <wp:docPr id="2" name="图表 1" descr="7b0a202020202263686172745265734964223a20223230343736383838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bookmarkStart w:id="25" w:name="_Toc15377207"/>
      <w:bookmarkStart w:id="26" w:name="_Toc15396605"/>
      <w:r>
        <w:rPr>
          <w:rFonts w:hint="eastAsia"/>
        </w:rPr>
        <w:t xml:space="preserve">   -</w:t>
      </w:r>
      <w:r>
        <w:rPr>
          <w:rFonts w:hint="eastAsia" w:eastAsia="仿宋_GB2312" w:cs="仿宋_GB2312"/>
          <w:sz w:val="32"/>
          <w:szCs w:val="32"/>
        </w:rPr>
        <w:t>（图2：收入决算结构图）（饼状图）</w:t>
      </w:r>
      <w:bookmarkEnd w:id="24"/>
    </w:p>
    <w:p>
      <w:pPr>
        <w:pStyle w:val="28"/>
        <w:spacing w:line="600" w:lineRule="exact"/>
        <w:ind w:firstLine="640"/>
        <w:outlineLvl w:val="1"/>
        <w:rPr>
          <w:rStyle w:val="30"/>
          <w:rFonts w:ascii="Times New Roman" w:hAnsi="Times New Roman" w:eastAsia="黑体"/>
          <w:b w:val="0"/>
        </w:rPr>
      </w:pPr>
      <w:bookmarkStart w:id="27" w:name="_Toc15695"/>
      <w:r>
        <w:rPr>
          <w:rFonts w:hint="eastAsia" w:eastAsia="黑体"/>
          <w:sz w:val="32"/>
          <w:szCs w:val="32"/>
        </w:rPr>
        <w:t>三、支</w:t>
      </w:r>
      <w:r>
        <w:rPr>
          <w:rStyle w:val="30"/>
          <w:rFonts w:hint="eastAsia" w:ascii="Times New Roman" w:hAnsi="Times New Roman" w:eastAsia="黑体"/>
          <w:b w:val="0"/>
        </w:rPr>
        <w:t>出决算情况说明</w:t>
      </w:r>
      <w:bookmarkEnd w:id="25"/>
      <w:bookmarkEnd w:id="26"/>
      <w:bookmarkEnd w:id="27"/>
    </w:p>
    <w:p>
      <w:pPr>
        <w:pStyle w:val="28"/>
        <w:spacing w:line="600" w:lineRule="exact"/>
        <w:ind w:firstLine="640"/>
        <w:jc w:val="left"/>
        <w:outlineLvl w:val="1"/>
        <w:rPr>
          <w:rFonts w:ascii="仿宋_GB2312" w:hAnsi="仿宋_GB2312" w:eastAsia="仿宋_GB2312" w:cs="仿宋_GB2312"/>
          <w:sz w:val="32"/>
          <w:szCs w:val="32"/>
        </w:rPr>
      </w:pPr>
      <w:bookmarkStart w:id="28" w:name="_Toc15735"/>
      <w:r>
        <w:rPr>
          <w:rFonts w:hint="eastAsia" w:ascii="仿宋_GB2312" w:hAnsi="仿宋_GB2312" w:eastAsia="仿宋_GB2312" w:cs="仿宋_GB2312"/>
          <w:sz w:val="32"/>
          <w:szCs w:val="32"/>
        </w:rPr>
        <w:t>2024年度本年支出合计1266.15万元，其中：基本支出1122.56万元，占88.65%；项目支出143.59万元，占11.34%。</w:t>
      </w:r>
      <w:bookmarkEnd w:id="28"/>
    </w:p>
    <w:p>
      <w:pPr>
        <w:pStyle w:val="28"/>
        <w:spacing w:line="600" w:lineRule="exact"/>
        <w:ind w:firstLine="840" w:firstLineChars="400"/>
        <w:jc w:val="left"/>
        <w:outlineLvl w:val="1"/>
        <w:rPr>
          <w:rFonts w:eastAsia="仿宋_GB2312" w:cs="仿宋_GB2312"/>
          <w:sz w:val="32"/>
          <w:szCs w:val="32"/>
        </w:rPr>
      </w:pPr>
      <w:bookmarkStart w:id="29" w:name="_Toc2324"/>
      <w:r>
        <w:drawing>
          <wp:anchor distT="0" distB="0" distL="114300" distR="114300" simplePos="0" relativeHeight="251661312" behindDoc="0" locked="0" layoutInCell="1" allowOverlap="1">
            <wp:simplePos x="0" y="0"/>
            <wp:positionH relativeFrom="column">
              <wp:posOffset>699770</wp:posOffset>
            </wp:positionH>
            <wp:positionV relativeFrom="paragraph">
              <wp:posOffset>41910</wp:posOffset>
            </wp:positionV>
            <wp:extent cx="4483100" cy="2314575"/>
            <wp:effectExtent l="5080" t="5080" r="7620" b="4445"/>
            <wp:wrapTopAndBottom/>
            <wp:docPr id="6"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hint="eastAsia" w:eastAsia="仿宋_GB2312" w:cs="仿宋_GB2312"/>
          <w:sz w:val="32"/>
          <w:szCs w:val="32"/>
        </w:rPr>
        <w:t>（图3：支出决算结构图）（饼状图）</w:t>
      </w:r>
      <w:bookmarkEnd w:id="29"/>
    </w:p>
    <w:p>
      <w:pPr>
        <w:spacing w:line="600" w:lineRule="exact"/>
        <w:ind w:firstLine="640" w:firstLineChars="200"/>
        <w:outlineLvl w:val="1"/>
        <w:rPr>
          <w:rStyle w:val="30"/>
          <w:rFonts w:ascii="Times New Roman" w:hAnsi="Times New Roman" w:eastAsia="黑体"/>
          <w:b w:val="0"/>
        </w:rPr>
      </w:pPr>
      <w:bookmarkStart w:id="30" w:name="_Toc15396606"/>
      <w:bookmarkStart w:id="31" w:name="_Toc8625"/>
      <w:bookmarkStart w:id="32" w:name="_Toc15377208"/>
      <w:r>
        <w:rPr>
          <w:rFonts w:hint="eastAsia" w:eastAsia="黑体"/>
          <w:sz w:val="32"/>
          <w:szCs w:val="32"/>
        </w:rPr>
        <w:t>四、财</w:t>
      </w:r>
      <w:r>
        <w:rPr>
          <w:rStyle w:val="30"/>
          <w:rFonts w:hint="eastAsia" w:ascii="Times New Roman" w:hAnsi="Times New Roman" w:eastAsia="黑体"/>
          <w:b w:val="0"/>
        </w:rPr>
        <w:t>政拨款收入支出决算总体情况说明</w:t>
      </w:r>
      <w:bookmarkEnd w:id="30"/>
      <w:bookmarkEnd w:id="31"/>
      <w:bookmarkEnd w:id="32"/>
    </w:p>
    <w:p>
      <w:pPr>
        <w:pStyle w:val="28"/>
        <w:spacing w:line="600" w:lineRule="exact"/>
        <w:ind w:firstLine="640"/>
        <w:outlineLvl w:val="1"/>
        <w:rPr>
          <w:rFonts w:eastAsia="仿宋_GB2312" w:cs="仿宋_GB2312"/>
          <w:sz w:val="32"/>
          <w:szCs w:val="32"/>
        </w:rPr>
      </w:pPr>
      <w:bookmarkStart w:id="33" w:name="_Toc1648"/>
      <w:r>
        <w:rPr>
          <w:rFonts w:hint="eastAsia" w:eastAsia="仿宋_GB2312" w:cs="仿宋_GB2312"/>
          <w:sz w:val="32"/>
          <w:szCs w:val="32"/>
        </w:rPr>
        <w:t>2024年度财政拨款收入、支出总计均为</w:t>
      </w:r>
      <w:r>
        <w:rPr>
          <w:rFonts w:hint="eastAsia" w:ascii="仿宋_GB2312" w:hAnsi="仿宋_GB2312" w:eastAsia="仿宋_GB2312" w:cs="仿宋_GB2312"/>
          <w:sz w:val="32"/>
          <w:szCs w:val="32"/>
        </w:rPr>
        <w:t>1266.15</w:t>
      </w:r>
      <w:r>
        <w:rPr>
          <w:rFonts w:hint="eastAsia" w:eastAsia="仿宋_GB2312" w:cs="仿宋_GB2312"/>
          <w:sz w:val="32"/>
          <w:szCs w:val="32"/>
        </w:rPr>
        <w:t>万元。与2023年度相比，财政拨款收入总计、支出总计各减少</w:t>
      </w:r>
      <w:r>
        <w:rPr>
          <w:rFonts w:eastAsia="仿宋_GB2312" w:cs="仿宋_GB2312"/>
          <w:sz w:val="32"/>
          <w:szCs w:val="32"/>
        </w:rPr>
        <w:t>229.47</w:t>
      </w:r>
      <w:r>
        <w:rPr>
          <w:rFonts w:hint="eastAsia" w:eastAsia="仿宋_GB2312" w:cs="仿宋_GB2312"/>
          <w:sz w:val="32"/>
          <w:szCs w:val="32"/>
        </w:rPr>
        <w:t>万元，下降</w:t>
      </w:r>
      <w:r>
        <w:rPr>
          <w:rFonts w:eastAsia="仿宋_GB2312" w:cs="仿宋_GB2312"/>
          <w:sz w:val="32"/>
          <w:szCs w:val="32"/>
        </w:rPr>
        <w:t>15.34</w:t>
      </w:r>
      <w:r>
        <w:rPr>
          <w:rFonts w:hint="eastAsia" w:eastAsia="仿宋_GB2312" w:cs="仿宋_GB2312"/>
          <w:sz w:val="32"/>
          <w:szCs w:val="32"/>
        </w:rPr>
        <w:t>%。主要变动原因是：1</w:t>
      </w:r>
      <w:r>
        <w:rPr>
          <w:rFonts w:eastAsia="仿宋_GB2312" w:cs="仿宋_GB2312"/>
          <w:sz w:val="32"/>
          <w:szCs w:val="32"/>
        </w:rPr>
        <w:t>.</w:t>
      </w:r>
      <w:r>
        <w:rPr>
          <w:rFonts w:hint="eastAsia" w:eastAsia="仿宋_GB2312" w:cs="仿宋_GB2312"/>
          <w:sz w:val="32"/>
          <w:szCs w:val="32"/>
        </w:rPr>
        <w:t>公用经费下降了5</w:t>
      </w:r>
      <w:r>
        <w:rPr>
          <w:rFonts w:eastAsia="仿宋_GB2312" w:cs="仿宋_GB2312"/>
          <w:sz w:val="32"/>
          <w:szCs w:val="32"/>
        </w:rPr>
        <w:t>6.49</w:t>
      </w:r>
      <w:r>
        <w:rPr>
          <w:rFonts w:hint="eastAsia" w:eastAsia="仿宋_GB2312" w:cs="仿宋_GB2312"/>
          <w:sz w:val="32"/>
          <w:szCs w:val="32"/>
        </w:rPr>
        <w:t>万元，其中主要是生均经费拨款下降（学生人数减少）；2</w:t>
      </w:r>
      <w:r>
        <w:rPr>
          <w:rFonts w:eastAsia="仿宋_GB2312" w:cs="仿宋_GB2312"/>
          <w:sz w:val="32"/>
          <w:szCs w:val="32"/>
        </w:rPr>
        <w:t>.</w:t>
      </w:r>
      <w:r>
        <w:rPr>
          <w:rFonts w:hint="eastAsia" w:eastAsia="仿宋_GB2312" w:cs="仿宋_GB2312"/>
          <w:sz w:val="32"/>
          <w:szCs w:val="32"/>
        </w:rPr>
        <w:t>项目支出中的政府购买学位资金下降2</w:t>
      </w:r>
      <w:r>
        <w:rPr>
          <w:rFonts w:eastAsia="仿宋_GB2312" w:cs="仿宋_GB2312"/>
          <w:sz w:val="32"/>
          <w:szCs w:val="32"/>
        </w:rPr>
        <w:t>02.23</w:t>
      </w:r>
      <w:r>
        <w:rPr>
          <w:rFonts w:hint="eastAsia" w:eastAsia="仿宋_GB2312" w:cs="仿宋_GB2312"/>
          <w:sz w:val="32"/>
          <w:szCs w:val="32"/>
        </w:rPr>
        <w:t>万元。</w:t>
      </w:r>
      <w:bookmarkEnd w:id="33"/>
    </w:p>
    <w:p>
      <w:pPr>
        <w:pStyle w:val="28"/>
        <w:spacing w:line="600" w:lineRule="exact"/>
        <w:ind w:firstLine="0" w:firstLineChars="0"/>
        <w:outlineLvl w:val="1"/>
        <w:rPr>
          <w:rFonts w:eastAsia="仿宋_GB2312" w:cs="仿宋_GB2312"/>
          <w:sz w:val="32"/>
          <w:szCs w:val="32"/>
        </w:rPr>
      </w:pPr>
      <w:bookmarkStart w:id="34" w:name="_Toc10657"/>
      <w:r>
        <w:drawing>
          <wp:anchor distT="0" distB="0" distL="114300" distR="114300" simplePos="0" relativeHeight="251662336" behindDoc="0" locked="0" layoutInCell="1" allowOverlap="1">
            <wp:simplePos x="0" y="0"/>
            <wp:positionH relativeFrom="column">
              <wp:posOffset>680085</wp:posOffset>
            </wp:positionH>
            <wp:positionV relativeFrom="paragraph">
              <wp:posOffset>99695</wp:posOffset>
            </wp:positionV>
            <wp:extent cx="4359910" cy="2476500"/>
            <wp:effectExtent l="4445" t="4445" r="17145" b="14605"/>
            <wp:wrapTopAndBottom/>
            <wp:docPr id="3"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Pr>
          <w:rFonts w:hint="eastAsia"/>
        </w:rPr>
        <w:t xml:space="preserve">   </w:t>
      </w:r>
      <w:r>
        <w:rPr>
          <w:rFonts w:hint="eastAsia" w:eastAsia="仿宋_GB2312" w:cs="仿宋_GB2312"/>
          <w:sz w:val="32"/>
          <w:szCs w:val="32"/>
        </w:rPr>
        <w:t>（图4：财政拨款收、支决算总计变动情况）（柱状图）</w:t>
      </w:r>
      <w:bookmarkEnd w:id="34"/>
    </w:p>
    <w:p>
      <w:pPr>
        <w:spacing w:line="600" w:lineRule="exact"/>
        <w:ind w:firstLine="960" w:firstLineChars="300"/>
        <w:outlineLvl w:val="1"/>
        <w:rPr>
          <w:rStyle w:val="30"/>
          <w:rFonts w:ascii="Times New Roman" w:hAnsi="Times New Roman" w:eastAsia="黑体"/>
          <w:b w:val="0"/>
        </w:rPr>
      </w:pPr>
      <w:bookmarkStart w:id="35" w:name="_Toc29744"/>
      <w:bookmarkStart w:id="36" w:name="_Toc15377209"/>
      <w:bookmarkStart w:id="37" w:name="_Toc15396607"/>
      <w:r>
        <w:rPr>
          <w:rFonts w:hint="eastAsia" w:eastAsia="黑体"/>
          <w:sz w:val="32"/>
          <w:szCs w:val="32"/>
        </w:rPr>
        <w:t>五、</w:t>
      </w:r>
      <w:r>
        <w:rPr>
          <w:rFonts w:hint="eastAsia" w:eastAsia="黑体"/>
          <w:b/>
          <w:sz w:val="32"/>
          <w:szCs w:val="32"/>
        </w:rPr>
        <w:t>一</w:t>
      </w:r>
      <w:r>
        <w:rPr>
          <w:rStyle w:val="30"/>
          <w:rFonts w:hint="eastAsia" w:ascii="Times New Roman" w:hAnsi="Times New Roman" w:eastAsia="黑体"/>
          <w:b w:val="0"/>
        </w:rPr>
        <w:t>般公共预算财政拨款支出决算情况说明</w:t>
      </w:r>
      <w:bookmarkEnd w:id="35"/>
      <w:bookmarkEnd w:id="36"/>
      <w:bookmarkEnd w:id="37"/>
    </w:p>
    <w:p>
      <w:pPr>
        <w:spacing w:line="600" w:lineRule="exact"/>
        <w:ind w:firstLine="642" w:firstLineChars="200"/>
        <w:outlineLvl w:val="2"/>
        <w:rPr>
          <w:rFonts w:eastAsia="楷体_GB2312" w:cs="楷体_GB2312"/>
          <w:b/>
          <w:sz w:val="32"/>
          <w:szCs w:val="32"/>
        </w:rPr>
      </w:pPr>
      <w:bookmarkStart w:id="38" w:name="_Toc15377210"/>
      <w:r>
        <w:rPr>
          <w:rFonts w:hint="eastAsia" w:eastAsia="楷体_GB2312" w:cs="楷体_GB2312"/>
          <w:b/>
          <w:sz w:val="32"/>
          <w:szCs w:val="32"/>
        </w:rPr>
        <w:t>（一）一般公共预算财政拨款支出决算总体情况</w:t>
      </w:r>
      <w:bookmarkEnd w:id="38"/>
    </w:p>
    <w:p>
      <w:pPr>
        <w:spacing w:line="600" w:lineRule="exact"/>
        <w:ind w:firstLine="640"/>
        <w:rPr>
          <w:rFonts w:eastAsia="仿宋_GB2312" w:cs="仿宋_GB2312"/>
          <w:sz w:val="32"/>
          <w:szCs w:val="32"/>
        </w:rPr>
      </w:pPr>
      <w:r>
        <w:drawing>
          <wp:anchor distT="0" distB="0" distL="114300" distR="114300" simplePos="0" relativeHeight="251663360" behindDoc="0" locked="0" layoutInCell="1" allowOverlap="1">
            <wp:simplePos x="0" y="0"/>
            <wp:positionH relativeFrom="column">
              <wp:posOffset>313055</wp:posOffset>
            </wp:positionH>
            <wp:positionV relativeFrom="paragraph">
              <wp:posOffset>2372360</wp:posOffset>
            </wp:positionV>
            <wp:extent cx="4592955" cy="1903095"/>
            <wp:effectExtent l="0" t="0" r="17145" b="1905"/>
            <wp:wrapTopAndBottom/>
            <wp:docPr id="4"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r>
        <w:rPr>
          <w:rFonts w:hint="eastAsia" w:ascii="仿宋_GB2312" w:hAnsi="仿宋_GB2312" w:eastAsia="仿宋_GB2312" w:cs="仿宋_GB2312"/>
          <w:sz w:val="32"/>
          <w:szCs w:val="32"/>
        </w:rPr>
        <w:t>2024年度一般公共预算财政拨款支出1266.15万元，占本年支出合计的100%。与2023年度相比，一般公共预算财政拨款支出</w:t>
      </w:r>
      <w:r>
        <w:rPr>
          <w:rFonts w:hint="eastAsia" w:eastAsia="仿宋_GB2312" w:cs="仿宋_GB2312"/>
          <w:sz w:val="32"/>
          <w:szCs w:val="32"/>
        </w:rPr>
        <w:t>减少</w:t>
      </w:r>
      <w:r>
        <w:rPr>
          <w:rFonts w:eastAsia="仿宋_GB2312" w:cs="仿宋_GB2312"/>
          <w:sz w:val="32"/>
          <w:szCs w:val="32"/>
        </w:rPr>
        <w:t>229.47</w:t>
      </w:r>
      <w:r>
        <w:rPr>
          <w:rFonts w:hint="eastAsia" w:eastAsia="仿宋_GB2312" w:cs="仿宋_GB2312"/>
          <w:sz w:val="32"/>
          <w:szCs w:val="32"/>
        </w:rPr>
        <w:t>万元，下降</w:t>
      </w:r>
      <w:r>
        <w:rPr>
          <w:rFonts w:eastAsia="仿宋_GB2312" w:cs="仿宋_GB2312"/>
          <w:sz w:val="32"/>
          <w:szCs w:val="32"/>
        </w:rPr>
        <w:t>15.34</w:t>
      </w:r>
      <w:r>
        <w:rPr>
          <w:rFonts w:hint="eastAsia" w:eastAsia="仿宋_GB2312" w:cs="仿宋_GB2312"/>
          <w:sz w:val="32"/>
          <w:szCs w:val="32"/>
        </w:rPr>
        <w:t>%。主要变动原因是：1</w:t>
      </w:r>
      <w:r>
        <w:rPr>
          <w:rFonts w:eastAsia="仿宋_GB2312" w:cs="仿宋_GB2312"/>
          <w:sz w:val="32"/>
          <w:szCs w:val="32"/>
        </w:rPr>
        <w:t>.</w:t>
      </w:r>
      <w:r>
        <w:rPr>
          <w:rFonts w:hint="eastAsia" w:eastAsia="仿宋_GB2312" w:cs="仿宋_GB2312"/>
          <w:sz w:val="32"/>
          <w:szCs w:val="32"/>
        </w:rPr>
        <w:t>公用经费下降了5</w:t>
      </w:r>
      <w:r>
        <w:rPr>
          <w:rFonts w:eastAsia="仿宋_GB2312" w:cs="仿宋_GB2312"/>
          <w:sz w:val="32"/>
          <w:szCs w:val="32"/>
        </w:rPr>
        <w:t>6.49</w:t>
      </w:r>
      <w:r>
        <w:rPr>
          <w:rFonts w:hint="eastAsia" w:eastAsia="仿宋_GB2312" w:cs="仿宋_GB2312"/>
          <w:sz w:val="32"/>
          <w:szCs w:val="32"/>
        </w:rPr>
        <w:t>万元，其中主要是生均经费拨款下降（学生人数减少）；2</w:t>
      </w:r>
      <w:r>
        <w:rPr>
          <w:rFonts w:eastAsia="仿宋_GB2312" w:cs="仿宋_GB2312"/>
          <w:sz w:val="32"/>
          <w:szCs w:val="32"/>
        </w:rPr>
        <w:t>.</w:t>
      </w:r>
      <w:r>
        <w:rPr>
          <w:rFonts w:hint="eastAsia" w:eastAsia="仿宋_GB2312" w:cs="仿宋_GB2312"/>
          <w:sz w:val="32"/>
          <w:szCs w:val="32"/>
        </w:rPr>
        <w:t>项目支出中的政府购买学位资金下降2</w:t>
      </w:r>
      <w:r>
        <w:rPr>
          <w:rFonts w:eastAsia="仿宋_GB2312" w:cs="仿宋_GB2312"/>
          <w:sz w:val="32"/>
          <w:szCs w:val="32"/>
        </w:rPr>
        <w:t>02.23</w:t>
      </w:r>
      <w:r>
        <w:rPr>
          <w:rFonts w:hint="eastAsia" w:eastAsia="仿宋_GB2312" w:cs="仿宋_GB2312"/>
          <w:sz w:val="32"/>
          <w:szCs w:val="32"/>
        </w:rPr>
        <w:t>万元。</w:t>
      </w:r>
    </w:p>
    <w:p>
      <w:pPr>
        <w:spacing w:line="600" w:lineRule="exact"/>
        <w:rPr>
          <w:rFonts w:eastAsia="仿宋_GB2312" w:cs="仿宋_GB2312"/>
          <w:sz w:val="32"/>
          <w:szCs w:val="32"/>
        </w:rPr>
      </w:pPr>
      <w:r>
        <w:rPr>
          <w:rFonts w:hint="eastAsia" w:eastAsia="仿宋_GB2312" w:cs="仿宋_GB2312"/>
          <w:sz w:val="32"/>
          <w:szCs w:val="32"/>
        </w:rPr>
        <w:t>（图5：一般公共预算财政拨款支出决算变动情况）（柱状图）</w:t>
      </w:r>
    </w:p>
    <w:p>
      <w:pPr>
        <w:spacing w:line="600" w:lineRule="exact"/>
        <w:ind w:firstLine="642" w:firstLineChars="200"/>
        <w:outlineLvl w:val="2"/>
        <w:rPr>
          <w:rFonts w:eastAsia="楷体_GB2312" w:cs="楷体_GB2312"/>
          <w:b/>
          <w:sz w:val="32"/>
          <w:szCs w:val="32"/>
        </w:rPr>
      </w:pPr>
      <w:bookmarkStart w:id="39" w:name="_Toc15377211"/>
      <w:r>
        <w:rPr>
          <w:rFonts w:hint="eastAsia" w:eastAsia="楷体_GB2312" w:cs="楷体_GB2312"/>
          <w:b/>
          <w:sz w:val="32"/>
          <w:szCs w:val="32"/>
        </w:rPr>
        <w:t>（二）一般公共预算财政拨款支出决算结构情况</w:t>
      </w:r>
      <w:bookmarkEnd w:id="39"/>
    </w:p>
    <w:p>
      <w:pPr>
        <w:spacing w:line="600" w:lineRule="exact"/>
        <w:ind w:firstLine="640"/>
        <w:rPr>
          <w:rFonts w:eastAsia="仿宋_GB2312" w:cs="仿宋_GB2312"/>
          <w:sz w:val="32"/>
          <w:szCs w:val="32"/>
        </w:rPr>
      </w:pPr>
      <w:r>
        <w:rPr>
          <w:rFonts w:hint="eastAsia" w:eastAsia="仿宋_GB2312" w:cs="仿宋_GB2312"/>
          <w:sz w:val="32"/>
          <w:szCs w:val="32"/>
        </w:rPr>
        <w:t>2024年度一般公共预算财政拨款支出</w:t>
      </w:r>
      <w:r>
        <w:rPr>
          <w:rFonts w:hint="eastAsia" w:ascii="仿宋_GB2312" w:hAnsi="仿宋_GB2312" w:eastAsia="仿宋_GB2312" w:cs="仿宋_GB2312"/>
          <w:sz w:val="32"/>
          <w:szCs w:val="32"/>
        </w:rPr>
        <w:t>1266.15万元</w:t>
      </w:r>
      <w:r>
        <w:rPr>
          <w:rFonts w:hint="eastAsia" w:eastAsia="仿宋_GB2312" w:cs="仿宋_GB2312"/>
          <w:sz w:val="32"/>
          <w:szCs w:val="32"/>
        </w:rPr>
        <w:t>，主要用于以下方面：教育支出（类）1080.01万元，占85.3%；社会保障和就业支出（类）119.59万元，占9.45%；卫生健康支出（类）21.46万元，占1.69%；住房保障支出（类）45.1万元，占3.56%。</w:t>
      </w:r>
    </w:p>
    <w:p>
      <w:pPr>
        <w:pStyle w:val="2"/>
        <w:spacing w:before="93"/>
      </w:pPr>
      <w:r>
        <w:drawing>
          <wp:inline distT="0" distB="0" distL="114300" distR="114300">
            <wp:extent cx="5139690" cy="2667000"/>
            <wp:effectExtent l="4445" t="4445" r="18415" b="14605"/>
            <wp:docPr id="5"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pPr>
        <w:spacing w:line="600" w:lineRule="exact"/>
        <w:ind w:firstLine="640"/>
        <w:rPr>
          <w:rFonts w:eastAsia="仿宋_GB2312" w:cs="仿宋_GB2312"/>
          <w:sz w:val="32"/>
          <w:szCs w:val="32"/>
        </w:rPr>
      </w:pPr>
      <w:r>
        <w:rPr>
          <w:rFonts w:hint="eastAsia" w:eastAsia="仿宋_GB2312" w:cs="仿宋_GB2312"/>
          <w:sz w:val="32"/>
          <w:szCs w:val="32"/>
        </w:rPr>
        <w:t>（图6：一般公共预算财政拨款支出决算结构）（饼状图）</w:t>
      </w:r>
    </w:p>
    <w:p>
      <w:pPr>
        <w:spacing w:line="600" w:lineRule="exact"/>
        <w:ind w:firstLine="642" w:firstLineChars="200"/>
        <w:outlineLvl w:val="2"/>
        <w:rPr>
          <w:rFonts w:eastAsia="楷体_GB2312" w:cs="楷体_GB2312"/>
          <w:b/>
          <w:sz w:val="32"/>
          <w:szCs w:val="32"/>
        </w:rPr>
      </w:pPr>
      <w:bookmarkStart w:id="40" w:name="_Toc15377212"/>
      <w:r>
        <w:rPr>
          <w:rFonts w:hint="eastAsia" w:eastAsia="楷体_GB2312" w:cs="楷体_GB2312"/>
          <w:b/>
          <w:sz w:val="32"/>
          <w:szCs w:val="32"/>
        </w:rPr>
        <w:t>（三）一般公共预算财政拨款支出决算具体情况</w:t>
      </w:r>
      <w:bookmarkEnd w:id="40"/>
    </w:p>
    <w:p>
      <w:pPr>
        <w:spacing w:line="600" w:lineRule="exact"/>
        <w:ind w:firstLine="640" w:firstLineChars="200"/>
        <w:rPr>
          <w:rFonts w:eastAsia="仿宋_GB2312" w:cs="仿宋_GB2312"/>
          <w:sz w:val="32"/>
          <w:szCs w:val="32"/>
        </w:rPr>
      </w:pPr>
      <w:bookmarkStart w:id="41" w:name="_Toc15377213"/>
      <w:bookmarkStart w:id="42" w:name="_Toc15378460"/>
      <w:bookmarkStart w:id="43" w:name="_Toc15377444"/>
      <w:r>
        <w:rPr>
          <w:rFonts w:hint="eastAsia" w:eastAsia="仿宋_GB2312" w:cs="仿宋_GB2312"/>
          <w:sz w:val="32"/>
          <w:szCs w:val="32"/>
        </w:rPr>
        <w:t>2024年度一般公共预算财政拨款支出决算数为</w:t>
      </w:r>
      <w:r>
        <w:rPr>
          <w:rFonts w:hint="eastAsia" w:ascii="仿宋_GB2312" w:hAnsi="仿宋_GB2312" w:eastAsia="仿宋_GB2312" w:cs="仿宋_GB2312"/>
          <w:sz w:val="32"/>
          <w:szCs w:val="32"/>
        </w:rPr>
        <w:t>1266.15，</w:t>
      </w:r>
      <w:r>
        <w:rPr>
          <w:rFonts w:hint="eastAsia" w:eastAsia="仿宋_GB2312" w:cs="仿宋_GB2312"/>
          <w:sz w:val="32"/>
          <w:szCs w:val="32"/>
        </w:rPr>
        <w:t>完成预算100%。其中：</w:t>
      </w:r>
      <w:bookmarkEnd w:id="41"/>
      <w:bookmarkEnd w:id="42"/>
      <w:bookmarkEnd w:id="43"/>
    </w:p>
    <w:p>
      <w:pPr>
        <w:spacing w:line="600" w:lineRule="exact"/>
        <w:ind w:firstLine="642" w:firstLineChars="200"/>
        <w:rPr>
          <w:rStyle w:val="17"/>
          <w:rFonts w:ascii="仿宋_GB2312" w:hAnsi="仿宋_GB2312" w:eastAsia="仿宋_GB2312" w:cs="仿宋_GB2312"/>
          <w:b w:val="0"/>
          <w:bCs/>
          <w:sz w:val="32"/>
          <w:szCs w:val="32"/>
        </w:rPr>
      </w:pPr>
      <w:r>
        <w:rPr>
          <w:rStyle w:val="17"/>
          <w:rFonts w:hint="eastAsia" w:ascii="仿宋_GB2312" w:hAnsi="仿宋_GB2312" w:eastAsia="仿宋_GB2312" w:cs="仿宋_GB2312"/>
          <w:bCs/>
          <w:sz w:val="32"/>
          <w:szCs w:val="32"/>
        </w:rPr>
        <w:t>1.教育支出（类）普通教育（款）小学教育（项）</w:t>
      </w:r>
      <w:r>
        <w:rPr>
          <w:rStyle w:val="17"/>
          <w:rFonts w:hint="eastAsia" w:ascii="仿宋_GB2312" w:hAnsi="仿宋_GB2312" w:eastAsia="仿宋_GB2312" w:cs="仿宋_GB2312"/>
          <w:bCs/>
          <w:sz w:val="32"/>
          <w:szCs w:val="32"/>
          <w:lang w:eastAsia="zh-CN"/>
        </w:rPr>
        <w:t>：</w:t>
      </w:r>
      <w:r>
        <w:rPr>
          <w:rStyle w:val="17"/>
          <w:rFonts w:hint="eastAsia" w:ascii="仿宋_GB2312" w:hAnsi="仿宋_GB2312" w:eastAsia="仿宋_GB2312" w:cs="仿宋_GB2312"/>
          <w:b w:val="0"/>
          <w:bCs/>
          <w:sz w:val="32"/>
          <w:szCs w:val="32"/>
        </w:rPr>
        <w:t xml:space="preserve"> 支出决算为328.41万元，完成预算100%，决算数等于预算数。</w:t>
      </w:r>
    </w:p>
    <w:p>
      <w:pPr>
        <w:spacing w:line="600" w:lineRule="exact"/>
        <w:ind w:firstLine="642" w:firstLineChars="200"/>
        <w:rPr>
          <w:rStyle w:val="17"/>
          <w:rFonts w:ascii="仿宋_GB2312" w:hAnsi="仿宋_GB2312" w:eastAsia="仿宋_GB2312" w:cs="仿宋_GB2312"/>
          <w:b w:val="0"/>
          <w:bCs/>
          <w:sz w:val="32"/>
          <w:szCs w:val="32"/>
        </w:rPr>
      </w:pPr>
      <w:r>
        <w:rPr>
          <w:rStyle w:val="17"/>
          <w:rFonts w:hint="eastAsia" w:ascii="仿宋_GB2312" w:hAnsi="仿宋_GB2312" w:eastAsia="仿宋_GB2312" w:cs="仿宋_GB2312"/>
          <w:bCs/>
          <w:sz w:val="32"/>
          <w:szCs w:val="32"/>
        </w:rPr>
        <w:t>2.教育支出（类）普通教育（款）初中教育（项）</w:t>
      </w:r>
      <w:r>
        <w:rPr>
          <w:rStyle w:val="17"/>
          <w:rFonts w:hint="eastAsia" w:ascii="仿宋_GB2312" w:hAnsi="仿宋_GB2312" w:eastAsia="仿宋_GB2312" w:cs="仿宋_GB2312"/>
          <w:bCs/>
          <w:sz w:val="32"/>
          <w:szCs w:val="32"/>
          <w:lang w:eastAsia="zh-CN"/>
        </w:rPr>
        <w:t>：</w:t>
      </w:r>
      <w:r>
        <w:rPr>
          <w:rStyle w:val="17"/>
          <w:rFonts w:hint="eastAsia" w:ascii="仿宋_GB2312" w:hAnsi="仿宋_GB2312" w:eastAsia="仿宋_GB2312" w:cs="仿宋_GB2312"/>
          <w:b w:val="0"/>
          <w:bCs/>
          <w:sz w:val="32"/>
          <w:szCs w:val="32"/>
        </w:rPr>
        <w:t xml:space="preserve"> 支出决算为342.32万元，完成预算100%，决算数等于预算数。</w:t>
      </w:r>
    </w:p>
    <w:p>
      <w:pPr>
        <w:spacing w:line="600" w:lineRule="exact"/>
        <w:ind w:firstLine="642" w:firstLineChars="200"/>
        <w:rPr>
          <w:rStyle w:val="17"/>
          <w:rFonts w:ascii="仿宋_GB2312" w:hAnsi="仿宋_GB2312" w:eastAsia="仿宋_GB2312" w:cs="仿宋_GB2312"/>
          <w:b w:val="0"/>
          <w:bCs/>
          <w:sz w:val="32"/>
          <w:szCs w:val="32"/>
        </w:rPr>
      </w:pPr>
      <w:r>
        <w:rPr>
          <w:rStyle w:val="17"/>
          <w:rFonts w:hint="eastAsia" w:ascii="仿宋_GB2312" w:hAnsi="仿宋_GB2312" w:eastAsia="仿宋_GB2312" w:cs="仿宋_GB2312"/>
          <w:bCs/>
          <w:sz w:val="32"/>
          <w:szCs w:val="32"/>
        </w:rPr>
        <w:t>3.教育支出（类）普通教育（款）高中教育（项）</w:t>
      </w:r>
      <w:r>
        <w:rPr>
          <w:rStyle w:val="17"/>
          <w:rFonts w:hint="eastAsia" w:ascii="仿宋_GB2312" w:hAnsi="仿宋_GB2312" w:eastAsia="仿宋_GB2312" w:cs="仿宋_GB2312"/>
          <w:bCs/>
          <w:sz w:val="32"/>
          <w:szCs w:val="32"/>
          <w:lang w:eastAsia="zh-CN"/>
        </w:rPr>
        <w:t>：</w:t>
      </w:r>
      <w:r>
        <w:rPr>
          <w:rStyle w:val="17"/>
          <w:rFonts w:hint="eastAsia" w:ascii="仿宋_GB2312" w:hAnsi="仿宋_GB2312" w:eastAsia="仿宋_GB2312" w:cs="仿宋_GB2312"/>
          <w:b w:val="0"/>
          <w:bCs/>
          <w:sz w:val="32"/>
          <w:szCs w:val="32"/>
        </w:rPr>
        <w:t xml:space="preserve"> 支出决算为409.28万元，完成预算100%，决算数等于预算数。</w:t>
      </w:r>
    </w:p>
    <w:p>
      <w:pPr>
        <w:spacing w:line="600" w:lineRule="exact"/>
        <w:ind w:firstLine="629" w:firstLineChars="196"/>
        <w:rPr>
          <w:rStyle w:val="17"/>
          <w:rFonts w:ascii="仿宋_GB2312" w:hAnsi="仿宋_GB2312" w:eastAsia="仿宋_GB2312" w:cs="仿宋_GB2312"/>
          <w:b w:val="0"/>
          <w:bCs/>
          <w:sz w:val="32"/>
          <w:szCs w:val="32"/>
        </w:rPr>
      </w:pPr>
      <w:r>
        <w:rPr>
          <w:rStyle w:val="17"/>
          <w:rFonts w:hint="eastAsia" w:ascii="仿宋_GB2312" w:hAnsi="仿宋_GB2312" w:eastAsia="仿宋_GB2312" w:cs="仿宋_GB2312"/>
          <w:bCs/>
          <w:sz w:val="32"/>
          <w:szCs w:val="32"/>
        </w:rPr>
        <w:t>4.社会保障和就业（类）</w:t>
      </w:r>
      <w:r>
        <w:rPr>
          <w:rStyle w:val="17"/>
          <w:rFonts w:hint="eastAsia" w:ascii="仿宋" w:hAnsi="仿宋" w:eastAsia="仿宋"/>
          <w:bCs/>
          <w:sz w:val="32"/>
          <w:szCs w:val="32"/>
        </w:rPr>
        <w:t>行政事业单位养老支出</w:t>
      </w:r>
      <w:r>
        <w:rPr>
          <w:rStyle w:val="17"/>
          <w:rFonts w:hint="eastAsia" w:ascii="仿宋_GB2312" w:hAnsi="仿宋_GB2312" w:eastAsia="仿宋_GB2312" w:cs="仿宋_GB2312"/>
          <w:bCs/>
          <w:sz w:val="32"/>
          <w:szCs w:val="32"/>
        </w:rPr>
        <w:t>（款）事业单位离退休（项）</w:t>
      </w:r>
      <w:r>
        <w:rPr>
          <w:rStyle w:val="17"/>
          <w:rFonts w:hint="eastAsia" w:ascii="仿宋_GB2312" w:hAnsi="仿宋_GB2312" w:eastAsia="仿宋_GB2312" w:cs="仿宋_GB2312"/>
          <w:bCs/>
          <w:sz w:val="32"/>
          <w:szCs w:val="32"/>
          <w:lang w:eastAsia="zh-CN"/>
        </w:rPr>
        <w:t>：</w:t>
      </w:r>
      <w:r>
        <w:rPr>
          <w:rStyle w:val="17"/>
          <w:rFonts w:hint="eastAsia" w:ascii="仿宋_GB2312" w:hAnsi="仿宋_GB2312" w:eastAsia="仿宋_GB2312" w:cs="仿宋_GB2312"/>
          <w:b w:val="0"/>
          <w:bCs/>
          <w:sz w:val="32"/>
          <w:szCs w:val="32"/>
        </w:rPr>
        <w:t xml:space="preserve"> 支出决算为21.74万元，完成预算100%，决算数等于预算数。</w:t>
      </w:r>
    </w:p>
    <w:p>
      <w:pPr>
        <w:spacing w:line="600" w:lineRule="exact"/>
        <w:ind w:firstLine="629" w:firstLineChars="196"/>
        <w:rPr>
          <w:rFonts w:ascii="仿宋_GB2312" w:hAnsi="仿宋_GB2312" w:eastAsia="仿宋_GB2312" w:cs="仿宋_GB2312"/>
          <w:b/>
          <w:sz w:val="32"/>
          <w:szCs w:val="32"/>
        </w:rPr>
      </w:pPr>
      <w:r>
        <w:rPr>
          <w:rStyle w:val="17"/>
          <w:rFonts w:hint="eastAsia" w:ascii="仿宋_GB2312" w:hAnsi="仿宋_GB2312" w:eastAsia="仿宋_GB2312" w:cs="仿宋_GB2312"/>
          <w:bCs/>
          <w:sz w:val="32"/>
          <w:szCs w:val="32"/>
        </w:rPr>
        <w:t>5.社会保障和就业（类）</w:t>
      </w:r>
      <w:r>
        <w:rPr>
          <w:rStyle w:val="17"/>
          <w:rFonts w:hint="eastAsia" w:ascii="仿宋" w:hAnsi="仿宋" w:eastAsia="仿宋"/>
          <w:bCs/>
          <w:sz w:val="32"/>
          <w:szCs w:val="32"/>
        </w:rPr>
        <w:t>行政事业单位养老支出</w:t>
      </w:r>
      <w:r>
        <w:rPr>
          <w:rStyle w:val="17"/>
          <w:rFonts w:hint="eastAsia" w:ascii="仿宋_GB2312" w:hAnsi="仿宋_GB2312" w:eastAsia="仿宋_GB2312" w:cs="仿宋_GB2312"/>
          <w:bCs/>
          <w:sz w:val="32"/>
          <w:szCs w:val="32"/>
        </w:rPr>
        <w:t>（款）机关事业单位基本养老保险缴费支出（项）</w:t>
      </w:r>
      <w:r>
        <w:rPr>
          <w:rStyle w:val="17"/>
          <w:rFonts w:hint="eastAsia" w:ascii="仿宋_GB2312" w:hAnsi="仿宋_GB2312" w:eastAsia="仿宋_GB2312" w:cs="仿宋_GB2312"/>
          <w:bCs/>
          <w:sz w:val="32"/>
          <w:szCs w:val="32"/>
          <w:lang w:eastAsia="zh-CN"/>
        </w:rPr>
        <w:t>：</w:t>
      </w:r>
      <w:r>
        <w:rPr>
          <w:rStyle w:val="17"/>
          <w:rFonts w:hint="eastAsia" w:ascii="仿宋_GB2312" w:hAnsi="仿宋_GB2312" w:eastAsia="仿宋_GB2312" w:cs="仿宋_GB2312"/>
          <w:b w:val="0"/>
          <w:bCs/>
          <w:sz w:val="32"/>
          <w:szCs w:val="32"/>
        </w:rPr>
        <w:t xml:space="preserve"> 支出决算为59.77万元，完成预算100%，决算数等于预算数。</w:t>
      </w:r>
    </w:p>
    <w:p>
      <w:pPr>
        <w:spacing w:line="600" w:lineRule="exact"/>
        <w:ind w:firstLine="629" w:firstLineChars="196"/>
        <w:rPr>
          <w:rFonts w:ascii="仿宋_GB2312" w:hAnsi="仿宋_GB2312" w:eastAsia="仿宋_GB2312" w:cs="仿宋_GB2312"/>
          <w:b/>
          <w:sz w:val="32"/>
          <w:szCs w:val="32"/>
        </w:rPr>
      </w:pPr>
      <w:r>
        <w:rPr>
          <w:rStyle w:val="17"/>
          <w:rFonts w:hint="eastAsia" w:ascii="仿宋_GB2312" w:hAnsi="仿宋_GB2312" w:eastAsia="仿宋_GB2312" w:cs="仿宋_GB2312"/>
          <w:bCs/>
          <w:sz w:val="32"/>
          <w:szCs w:val="32"/>
        </w:rPr>
        <w:t>6.社会保障和就业（类）</w:t>
      </w:r>
      <w:r>
        <w:rPr>
          <w:rStyle w:val="17"/>
          <w:rFonts w:hint="eastAsia" w:ascii="仿宋" w:hAnsi="仿宋" w:eastAsia="仿宋"/>
          <w:bCs/>
          <w:sz w:val="32"/>
          <w:szCs w:val="32"/>
        </w:rPr>
        <w:t>行政事业单位养老支出</w:t>
      </w:r>
      <w:r>
        <w:rPr>
          <w:rStyle w:val="17"/>
          <w:rFonts w:hint="eastAsia" w:ascii="仿宋_GB2312" w:hAnsi="仿宋_GB2312" w:eastAsia="仿宋_GB2312" w:cs="仿宋_GB2312"/>
          <w:bCs/>
          <w:sz w:val="32"/>
          <w:szCs w:val="32"/>
        </w:rPr>
        <w:t>（款）机关事业单位职业年金缴费支出（项）</w:t>
      </w:r>
      <w:r>
        <w:rPr>
          <w:rStyle w:val="17"/>
          <w:rFonts w:hint="eastAsia" w:ascii="仿宋_GB2312" w:hAnsi="仿宋_GB2312" w:eastAsia="仿宋_GB2312" w:cs="仿宋_GB2312"/>
          <w:bCs/>
          <w:sz w:val="32"/>
          <w:szCs w:val="32"/>
          <w:lang w:eastAsia="zh-CN"/>
        </w:rPr>
        <w:t>：</w:t>
      </w:r>
      <w:r>
        <w:rPr>
          <w:rStyle w:val="17"/>
          <w:rFonts w:hint="eastAsia" w:ascii="仿宋_GB2312" w:hAnsi="仿宋_GB2312" w:eastAsia="仿宋_GB2312" w:cs="仿宋_GB2312"/>
          <w:b w:val="0"/>
          <w:bCs/>
          <w:sz w:val="32"/>
          <w:szCs w:val="32"/>
        </w:rPr>
        <w:t xml:space="preserve"> 支出决算为35.91万元，完成预算100%，决算数等于预算数。</w:t>
      </w:r>
    </w:p>
    <w:p>
      <w:pPr>
        <w:spacing w:line="600" w:lineRule="exact"/>
        <w:ind w:firstLine="629" w:firstLineChars="196"/>
        <w:rPr>
          <w:rFonts w:ascii="仿宋_GB2312" w:hAnsi="仿宋_GB2312" w:eastAsia="仿宋_GB2312" w:cs="仿宋_GB2312"/>
          <w:b/>
          <w:sz w:val="32"/>
          <w:szCs w:val="32"/>
        </w:rPr>
      </w:pPr>
      <w:r>
        <w:rPr>
          <w:rStyle w:val="17"/>
          <w:rFonts w:hint="eastAsia" w:ascii="仿宋_GB2312" w:hAnsi="仿宋_GB2312" w:eastAsia="仿宋_GB2312" w:cs="仿宋_GB2312"/>
          <w:bCs/>
          <w:sz w:val="32"/>
          <w:szCs w:val="32"/>
        </w:rPr>
        <w:t>7.社会保障和就业（类）</w:t>
      </w:r>
      <w:r>
        <w:rPr>
          <w:rStyle w:val="17"/>
          <w:rFonts w:hint="eastAsia" w:ascii="仿宋" w:hAnsi="仿宋" w:eastAsia="仿宋"/>
          <w:bCs/>
          <w:sz w:val="32"/>
          <w:szCs w:val="32"/>
        </w:rPr>
        <w:t>其他社会保障和就业支出</w:t>
      </w:r>
      <w:r>
        <w:rPr>
          <w:rStyle w:val="17"/>
          <w:rFonts w:hint="eastAsia" w:ascii="仿宋_GB2312" w:hAnsi="仿宋_GB2312" w:eastAsia="仿宋_GB2312" w:cs="仿宋_GB2312"/>
          <w:bCs/>
          <w:sz w:val="32"/>
          <w:szCs w:val="32"/>
        </w:rPr>
        <w:t>（款）</w:t>
      </w:r>
      <w:r>
        <w:rPr>
          <w:rStyle w:val="17"/>
          <w:rFonts w:hint="eastAsia" w:ascii="仿宋" w:hAnsi="仿宋" w:eastAsia="仿宋"/>
          <w:bCs/>
          <w:sz w:val="32"/>
          <w:szCs w:val="32"/>
        </w:rPr>
        <w:t>其他社会保障和就业支出</w:t>
      </w:r>
      <w:r>
        <w:rPr>
          <w:rStyle w:val="17"/>
          <w:rFonts w:hint="eastAsia" w:ascii="仿宋_GB2312" w:hAnsi="仿宋_GB2312" w:eastAsia="仿宋_GB2312" w:cs="仿宋_GB2312"/>
          <w:bCs/>
          <w:sz w:val="32"/>
          <w:szCs w:val="32"/>
        </w:rPr>
        <w:t>（项）</w:t>
      </w:r>
      <w:r>
        <w:rPr>
          <w:rStyle w:val="17"/>
          <w:rFonts w:hint="eastAsia" w:ascii="仿宋_GB2312" w:hAnsi="仿宋_GB2312" w:eastAsia="仿宋_GB2312" w:cs="仿宋_GB2312"/>
          <w:bCs/>
          <w:sz w:val="32"/>
          <w:szCs w:val="32"/>
          <w:lang w:eastAsia="zh-CN"/>
        </w:rPr>
        <w:t>：</w:t>
      </w:r>
      <w:r>
        <w:rPr>
          <w:rStyle w:val="17"/>
          <w:rFonts w:hint="eastAsia" w:ascii="仿宋_GB2312" w:hAnsi="仿宋_GB2312" w:eastAsia="仿宋_GB2312" w:cs="仿宋_GB2312"/>
          <w:b w:val="0"/>
          <w:bCs/>
          <w:sz w:val="32"/>
          <w:szCs w:val="32"/>
        </w:rPr>
        <w:t xml:space="preserve"> 支出决算为2.17万元，完成预算100%，决算数等于预算数。</w:t>
      </w:r>
    </w:p>
    <w:p>
      <w:pPr>
        <w:spacing w:line="600" w:lineRule="exact"/>
        <w:ind w:firstLine="642" w:firstLineChars="200"/>
        <w:rPr>
          <w:rStyle w:val="17"/>
          <w:rFonts w:ascii="仿宋_GB2312" w:hAnsi="仿宋_GB2312" w:eastAsia="仿宋_GB2312" w:cs="仿宋_GB2312"/>
          <w:b w:val="0"/>
          <w:bCs/>
          <w:sz w:val="32"/>
          <w:szCs w:val="32"/>
        </w:rPr>
      </w:pPr>
      <w:r>
        <w:rPr>
          <w:rStyle w:val="17"/>
          <w:rFonts w:hint="eastAsia" w:ascii="仿宋_GB2312" w:hAnsi="仿宋_GB2312" w:eastAsia="仿宋_GB2312" w:cs="仿宋_GB2312"/>
          <w:bCs/>
          <w:sz w:val="32"/>
          <w:szCs w:val="32"/>
        </w:rPr>
        <w:t>8.</w:t>
      </w:r>
      <w:r>
        <w:rPr>
          <w:rFonts w:hint="eastAsia" w:ascii="仿宋_GB2312" w:hAnsi="仿宋_GB2312" w:eastAsia="仿宋_GB2312" w:cs="仿宋_GB2312"/>
          <w:b/>
          <w:bCs/>
          <w:sz w:val="32"/>
          <w:szCs w:val="32"/>
        </w:rPr>
        <w:t>卫生健康支出</w:t>
      </w:r>
      <w:r>
        <w:rPr>
          <w:rStyle w:val="17"/>
          <w:rFonts w:hint="eastAsia" w:ascii="仿宋_GB2312" w:hAnsi="仿宋_GB2312" w:eastAsia="仿宋_GB2312" w:cs="仿宋_GB2312"/>
          <w:bCs/>
          <w:sz w:val="32"/>
          <w:szCs w:val="32"/>
        </w:rPr>
        <w:t>（类）行政事业单位医疗（款）事业单位医疗（项）</w:t>
      </w:r>
      <w:r>
        <w:rPr>
          <w:rStyle w:val="17"/>
          <w:rFonts w:hint="eastAsia" w:ascii="仿宋_GB2312" w:hAnsi="仿宋_GB2312" w:eastAsia="仿宋_GB2312" w:cs="仿宋_GB2312"/>
          <w:bCs/>
          <w:sz w:val="32"/>
          <w:szCs w:val="32"/>
          <w:lang w:eastAsia="zh-CN"/>
        </w:rPr>
        <w:t>：</w:t>
      </w:r>
      <w:r>
        <w:rPr>
          <w:rStyle w:val="17"/>
          <w:rFonts w:hint="eastAsia" w:ascii="仿宋_GB2312" w:hAnsi="仿宋_GB2312" w:eastAsia="仿宋_GB2312" w:cs="仿宋_GB2312"/>
          <w:b w:val="0"/>
          <w:bCs/>
          <w:sz w:val="32"/>
          <w:szCs w:val="32"/>
        </w:rPr>
        <w:t>支出决算为21.46万元，完成预算100%，决算数等于预算数。</w:t>
      </w:r>
    </w:p>
    <w:p>
      <w:pPr>
        <w:spacing w:line="600" w:lineRule="exact"/>
        <w:ind w:firstLine="642" w:firstLineChars="200"/>
        <w:rPr>
          <w:rFonts w:eastAsia="仿宋_GB2312" w:cs="仿宋_GB2312"/>
          <w:sz w:val="32"/>
          <w:szCs w:val="32"/>
        </w:rPr>
      </w:pPr>
      <w:r>
        <w:rPr>
          <w:rStyle w:val="17"/>
          <w:rFonts w:hint="eastAsia" w:ascii="仿宋_GB2312" w:hAnsi="仿宋_GB2312" w:eastAsia="仿宋_GB2312" w:cs="仿宋_GB2312"/>
          <w:bCs/>
          <w:sz w:val="32"/>
          <w:szCs w:val="32"/>
        </w:rPr>
        <w:t>9.</w:t>
      </w:r>
      <w:r>
        <w:rPr>
          <w:rFonts w:hint="eastAsia" w:ascii="仿宋_GB2312" w:hAnsi="仿宋_GB2312" w:eastAsia="仿宋_GB2312" w:cs="仿宋_GB2312"/>
          <w:b/>
          <w:bCs/>
          <w:sz w:val="32"/>
          <w:szCs w:val="32"/>
        </w:rPr>
        <w:t>住房保障支出</w:t>
      </w:r>
      <w:r>
        <w:rPr>
          <w:rStyle w:val="17"/>
          <w:rFonts w:hint="eastAsia" w:ascii="仿宋_GB2312" w:hAnsi="仿宋_GB2312" w:eastAsia="仿宋_GB2312" w:cs="仿宋_GB2312"/>
          <w:bCs/>
          <w:sz w:val="32"/>
          <w:szCs w:val="32"/>
        </w:rPr>
        <w:t>（类）住房改革支出（款）住房公积金（项）</w:t>
      </w:r>
      <w:r>
        <w:rPr>
          <w:rStyle w:val="17"/>
          <w:rFonts w:hint="eastAsia" w:ascii="仿宋_GB2312" w:hAnsi="仿宋_GB2312" w:eastAsia="仿宋_GB2312" w:cs="仿宋_GB2312"/>
          <w:bCs/>
          <w:sz w:val="32"/>
          <w:szCs w:val="32"/>
          <w:lang w:eastAsia="zh-CN"/>
        </w:rPr>
        <w:t>：</w:t>
      </w:r>
      <w:r>
        <w:rPr>
          <w:rStyle w:val="17"/>
          <w:rFonts w:hint="eastAsia" w:ascii="仿宋_GB2312" w:hAnsi="仿宋_GB2312" w:eastAsia="仿宋_GB2312" w:cs="仿宋_GB2312"/>
          <w:b w:val="0"/>
          <w:bCs/>
          <w:sz w:val="32"/>
          <w:szCs w:val="32"/>
        </w:rPr>
        <w:t>支出决算为45.1万元，完成预算100%，决算数等于预算数。</w:t>
      </w:r>
    </w:p>
    <w:p>
      <w:pPr>
        <w:tabs>
          <w:tab w:val="right" w:pos="8306"/>
        </w:tabs>
        <w:spacing w:line="600" w:lineRule="exact"/>
        <w:ind w:firstLine="640"/>
        <w:outlineLvl w:val="1"/>
        <w:rPr>
          <w:rStyle w:val="30"/>
          <w:rFonts w:ascii="Times New Roman" w:hAnsi="Times New Roman"/>
        </w:rPr>
      </w:pPr>
      <w:bookmarkStart w:id="44" w:name="_Toc15396608"/>
      <w:bookmarkStart w:id="45" w:name="_Toc15377214"/>
      <w:bookmarkStart w:id="46" w:name="_Toc16077"/>
      <w:r>
        <w:rPr>
          <w:rFonts w:hint="eastAsia" w:eastAsia="黑体"/>
          <w:sz w:val="32"/>
          <w:szCs w:val="32"/>
        </w:rPr>
        <w:t>六</w:t>
      </w:r>
      <w:r>
        <w:rPr>
          <w:rFonts w:hint="eastAsia" w:eastAsia="黑体"/>
          <w:b/>
          <w:sz w:val="32"/>
          <w:szCs w:val="32"/>
        </w:rPr>
        <w:t>、一</w:t>
      </w:r>
      <w:r>
        <w:rPr>
          <w:rStyle w:val="30"/>
          <w:rFonts w:hint="eastAsia" w:ascii="Times New Roman" w:hAnsi="Times New Roman" w:eastAsia="黑体"/>
          <w:b w:val="0"/>
        </w:rPr>
        <w:t>般公共预算财政拨款基本支出决算情况说明</w:t>
      </w:r>
      <w:bookmarkEnd w:id="44"/>
      <w:bookmarkEnd w:id="45"/>
      <w:bookmarkEnd w:id="46"/>
      <w:r>
        <w:rPr>
          <w:rStyle w:val="30"/>
          <w:rFonts w:ascii="Times New Roman" w:hAnsi="Times New Roman" w:eastAsia="黑体"/>
          <w:b w:val="0"/>
        </w:rPr>
        <w:tab/>
      </w:r>
    </w:p>
    <w:p>
      <w:pPr>
        <w:spacing w:line="600" w:lineRule="exact"/>
        <w:ind w:firstLine="640"/>
        <w:rPr>
          <w:rFonts w:eastAsia="仿宋_GB2312" w:cs="仿宋_GB2312"/>
          <w:sz w:val="32"/>
          <w:szCs w:val="32"/>
        </w:rPr>
      </w:pPr>
      <w:r>
        <w:rPr>
          <w:rFonts w:hint="eastAsia" w:eastAsia="仿宋_GB2312" w:cs="仿宋_GB2312"/>
          <w:sz w:val="32"/>
          <w:szCs w:val="32"/>
        </w:rPr>
        <w:t>2024年度一般公共预算财政拨款基本支出</w:t>
      </w:r>
      <w:r>
        <w:rPr>
          <w:rFonts w:hint="eastAsia" w:ascii="仿宋_GB2312" w:hAnsi="仿宋_GB2312" w:eastAsia="仿宋_GB2312" w:cs="仿宋_GB2312"/>
          <w:sz w:val="32"/>
          <w:szCs w:val="32"/>
        </w:rPr>
        <w:t>1122.56万</w:t>
      </w:r>
      <w:r>
        <w:rPr>
          <w:rFonts w:hint="eastAsia" w:eastAsia="仿宋_GB2312" w:cs="仿宋_GB2312"/>
          <w:sz w:val="32"/>
          <w:szCs w:val="32"/>
        </w:rPr>
        <w:t>元，其中：</w:t>
      </w:r>
    </w:p>
    <w:p>
      <w:pPr>
        <w:spacing w:line="600" w:lineRule="exact"/>
        <w:ind w:firstLine="640"/>
        <w:rPr>
          <w:rFonts w:eastAsia="仿宋_GB2312" w:cs="仿宋_GB2312"/>
          <w:sz w:val="32"/>
          <w:szCs w:val="32"/>
        </w:rPr>
      </w:pPr>
      <w:r>
        <w:rPr>
          <w:rFonts w:hint="eastAsia" w:eastAsia="仿宋_GB2312" w:cs="仿宋_GB2312"/>
          <w:sz w:val="32"/>
          <w:szCs w:val="32"/>
        </w:rPr>
        <w:t>人员经费</w:t>
      </w:r>
      <w:r>
        <w:rPr>
          <w:rFonts w:hint="eastAsia" w:ascii="仿宋_GB2312" w:hAnsi="仿宋_GB2312" w:eastAsia="仿宋_GB2312" w:cs="仿宋_GB2312"/>
          <w:sz w:val="32"/>
          <w:szCs w:val="32"/>
        </w:rPr>
        <w:t>579.21万</w:t>
      </w:r>
      <w:r>
        <w:rPr>
          <w:rFonts w:hint="eastAsia" w:eastAsia="仿宋_GB2312" w:cs="仿宋_GB2312"/>
          <w:sz w:val="32"/>
          <w:szCs w:val="32"/>
        </w:rPr>
        <w:t>元，主要包括：基本工资、津贴补贴、绩效工资、机关事业单位基本养老保险缴费、职业年金缴费、职工基本医疗保险缴费</w:t>
      </w:r>
      <w:r>
        <w:rPr>
          <w:rFonts w:hint="eastAsia" w:eastAsia="仿宋_GB2312" w:cs="仿宋_GB2312"/>
          <w:sz w:val="32"/>
          <w:szCs w:val="32"/>
          <w:lang w:eastAsia="zh-CN"/>
        </w:rPr>
        <w:t>、</w:t>
      </w:r>
      <w:r>
        <w:rPr>
          <w:rFonts w:hint="eastAsia" w:eastAsia="仿宋_GB2312" w:cs="仿宋_GB2312"/>
          <w:sz w:val="32"/>
          <w:szCs w:val="32"/>
        </w:rPr>
        <w:t>其他社会保障缴费、住房公积金、其他工资福利支出、生活补助、助学金、其他对个人和家庭的补助支出。</w:t>
      </w:r>
      <w:r>
        <w:rPr>
          <w:rFonts w:hint="eastAsia" w:eastAsia="仿宋_GB2312" w:cs="仿宋_GB2312"/>
          <w:sz w:val="32"/>
          <w:szCs w:val="32"/>
        </w:rPr>
        <w:br w:type="textWrapping"/>
      </w:r>
      <w:r>
        <w:rPr>
          <w:rFonts w:hint="eastAsia" w:eastAsia="仿宋_GB2312" w:cs="仿宋_GB2312"/>
          <w:sz w:val="32"/>
          <w:szCs w:val="32"/>
        </w:rPr>
        <w:t>　　公用经费</w:t>
      </w:r>
      <w:r>
        <w:rPr>
          <w:rFonts w:hint="eastAsia" w:ascii="仿宋_GB2312" w:hAnsi="仿宋_GB2312" w:eastAsia="仿宋_GB2312" w:cs="仿宋_GB2312"/>
          <w:sz w:val="32"/>
          <w:szCs w:val="32"/>
        </w:rPr>
        <w:t>543.35万</w:t>
      </w:r>
      <w:r>
        <w:rPr>
          <w:rFonts w:hint="eastAsia" w:eastAsia="仿宋_GB2312" w:cs="仿宋_GB2312"/>
          <w:sz w:val="32"/>
          <w:szCs w:val="32"/>
        </w:rPr>
        <w:t>元，主要包括：办公费、印刷费、咨询费、水费、电费、邮电费、差旅费、维修（护）费、培训费、工会经费、福利费、其他商品和服务支出。</w:t>
      </w:r>
    </w:p>
    <w:p>
      <w:pPr>
        <w:spacing w:line="600" w:lineRule="exact"/>
        <w:ind w:firstLine="640"/>
        <w:outlineLvl w:val="1"/>
        <w:rPr>
          <w:rStyle w:val="30"/>
          <w:rFonts w:ascii="Times New Roman" w:hAnsi="Times New Roman" w:eastAsia="黑体"/>
          <w:b w:val="0"/>
        </w:rPr>
      </w:pPr>
      <w:bookmarkStart w:id="47" w:name="_Toc19464"/>
      <w:bookmarkStart w:id="48" w:name="_Toc15396609"/>
      <w:bookmarkStart w:id="49" w:name="_Toc15377215"/>
      <w:r>
        <w:rPr>
          <w:rFonts w:hint="eastAsia" w:eastAsia="黑体"/>
          <w:sz w:val="32"/>
          <w:szCs w:val="32"/>
        </w:rPr>
        <w:t>七、</w:t>
      </w:r>
      <w:r>
        <w:rPr>
          <w:rStyle w:val="30"/>
          <w:rFonts w:hint="eastAsia" w:ascii="Times New Roman" w:hAnsi="Times New Roman" w:eastAsia="黑体"/>
          <w:b w:val="0"/>
        </w:rPr>
        <w:t>财政拨款</w:t>
      </w:r>
      <w:r>
        <w:rPr>
          <w:rStyle w:val="30"/>
          <w:rFonts w:hint="eastAsia" w:ascii="Times New Roman" w:hAnsi="Times New Roman" w:eastAsia="黑体"/>
        </w:rPr>
        <w:t>“</w:t>
      </w:r>
      <w:r>
        <w:rPr>
          <w:rStyle w:val="30"/>
          <w:rFonts w:hint="eastAsia" w:ascii="Times New Roman" w:hAnsi="Times New Roman" w:eastAsia="黑体"/>
          <w:b w:val="0"/>
        </w:rPr>
        <w:t>三公”经费支出决算情况说明</w:t>
      </w:r>
      <w:bookmarkEnd w:id="47"/>
      <w:bookmarkEnd w:id="48"/>
      <w:bookmarkEnd w:id="49"/>
    </w:p>
    <w:p>
      <w:pPr>
        <w:spacing w:line="600" w:lineRule="exact"/>
        <w:ind w:firstLine="642" w:firstLineChars="200"/>
        <w:outlineLvl w:val="2"/>
        <w:rPr>
          <w:rFonts w:eastAsia="楷体_GB2312" w:cs="楷体_GB2312"/>
          <w:b/>
          <w:sz w:val="32"/>
          <w:szCs w:val="32"/>
        </w:rPr>
      </w:pPr>
      <w:bookmarkStart w:id="50" w:name="_Toc15377216"/>
      <w:r>
        <w:rPr>
          <w:rFonts w:hint="eastAsia" w:eastAsia="楷体_GB2312" w:cs="楷体_GB2312"/>
          <w:b/>
          <w:sz w:val="32"/>
          <w:szCs w:val="32"/>
        </w:rPr>
        <w:t>（一）“三公”经费财政拨款支出决算总体情况说明</w:t>
      </w:r>
      <w:bookmarkEnd w:id="50"/>
    </w:p>
    <w:p>
      <w:pPr>
        <w:spacing w:line="600" w:lineRule="exact"/>
        <w:ind w:firstLine="640"/>
        <w:rPr>
          <w:rFonts w:ascii="仿宋_GB2312" w:hAnsi="仿宋_GB2312" w:eastAsia="仿宋_GB2312" w:cs="仿宋_GB2312"/>
          <w:sz w:val="32"/>
          <w:szCs w:val="32"/>
        </w:rPr>
      </w:pPr>
      <w:r>
        <w:rPr>
          <w:rFonts w:hint="eastAsia" w:eastAsia="仿宋_GB2312" w:cs="仿宋_GB2312"/>
          <w:sz w:val="32"/>
          <w:szCs w:val="32"/>
        </w:rPr>
        <w:t>2024年度“三公”经费财政拨款支出决算为</w:t>
      </w:r>
      <w:r>
        <w:rPr>
          <w:rFonts w:hint="eastAsia" w:ascii="仿宋_GB2312" w:hAnsi="仿宋_GB2312" w:eastAsia="仿宋_GB2312" w:cs="仿宋_GB2312"/>
          <w:sz w:val="32"/>
          <w:szCs w:val="32"/>
        </w:rPr>
        <w:t>0万元，年初未安排预算，较2023年无变化。</w:t>
      </w:r>
    </w:p>
    <w:p>
      <w:pPr>
        <w:spacing w:line="600" w:lineRule="exact"/>
        <w:ind w:firstLine="642" w:firstLineChars="200"/>
        <w:outlineLvl w:val="2"/>
        <w:rPr>
          <w:rFonts w:eastAsia="楷体_GB2312" w:cs="楷体_GB2312"/>
          <w:b/>
          <w:sz w:val="32"/>
          <w:szCs w:val="32"/>
        </w:rPr>
      </w:pPr>
      <w:bookmarkStart w:id="51" w:name="_Toc15377217"/>
      <w:r>
        <w:rPr>
          <w:rFonts w:hint="eastAsia" w:eastAsia="楷体_GB2312" w:cs="楷体_GB2312"/>
          <w:b/>
          <w:sz w:val="32"/>
          <w:szCs w:val="32"/>
        </w:rPr>
        <w:t>（二）“三公”经费财政拨款支出决算具体情况说明</w:t>
      </w:r>
      <w:bookmarkEnd w:id="51"/>
    </w:p>
    <w:p>
      <w:pPr>
        <w:spacing w:line="600" w:lineRule="exact"/>
        <w:ind w:firstLine="640"/>
        <w:rPr>
          <w:rFonts w:eastAsia="仿宋_GB2312" w:cs="仿宋_GB2312"/>
          <w:sz w:val="32"/>
          <w:szCs w:val="32"/>
        </w:rPr>
      </w:pPr>
      <w:r>
        <w:rPr>
          <w:rFonts w:hint="eastAsia" w:ascii="仿宋_GB2312" w:hAnsi="仿宋_GB2312" w:eastAsia="仿宋_GB2312" w:cs="仿宋_GB2312"/>
          <w:sz w:val="32"/>
          <w:szCs w:val="32"/>
        </w:rPr>
        <w:t>2024年度“三公”经费财政拨款支出决算中，因公出国（境）费支出决算0万元，占0%；公务用车购置及运行维护费支出决算0万元，占0%；公务接待费支出决算0万元，占0%。具体情况如下：</w:t>
      </w:r>
    </w:p>
    <w:p>
      <w:pPr>
        <w:numPr>
          <w:ilvl w:val="0"/>
          <w:numId w:val="2"/>
        </w:numPr>
        <w:spacing w:line="600" w:lineRule="exact"/>
        <w:ind w:firstLine="640"/>
        <w:rPr>
          <w:rFonts w:eastAsia="仿宋_GB2312" w:cs="仿宋_GB2312"/>
          <w:b/>
          <w:bCs/>
          <w:sz w:val="32"/>
          <w:szCs w:val="32"/>
        </w:rPr>
      </w:pPr>
      <w:r>
        <w:rPr>
          <w:rFonts w:hint="eastAsia" w:eastAsia="仿宋_GB2312" w:cs="仿宋_GB2312"/>
          <w:b/>
          <w:bCs/>
          <w:sz w:val="32"/>
          <w:szCs w:val="32"/>
        </w:rPr>
        <w:t>因公出国（境）经费支出0万元，年初未安排预算，</w:t>
      </w:r>
      <w:r>
        <w:rPr>
          <w:rFonts w:hint="eastAsia" w:eastAsia="仿宋_GB2312" w:cs="仿宋_GB2312"/>
          <w:b/>
          <w:bCs/>
          <w:sz w:val="32"/>
          <w:szCs w:val="32"/>
          <w:lang w:eastAsia="zh-CN"/>
        </w:rPr>
        <w:t>较上年无变化</w:t>
      </w:r>
      <w:r>
        <w:rPr>
          <w:rFonts w:hint="eastAsia" w:eastAsia="仿宋_GB2312" w:cs="仿宋_GB2312"/>
          <w:b/>
          <w:bCs/>
          <w:sz w:val="32"/>
          <w:szCs w:val="32"/>
        </w:rPr>
        <w:t>。</w:t>
      </w:r>
    </w:p>
    <w:p>
      <w:pPr>
        <w:numPr>
          <w:ilvl w:val="0"/>
          <w:numId w:val="0"/>
        </w:numPr>
        <w:spacing w:line="600" w:lineRule="exact"/>
        <w:ind w:firstLine="642" w:firstLineChars="200"/>
        <w:rPr>
          <w:rFonts w:eastAsia="仿宋_GB2312" w:cs="仿宋_GB2312"/>
          <w:sz w:val="32"/>
          <w:szCs w:val="32"/>
        </w:rPr>
      </w:pPr>
      <w:r>
        <w:rPr>
          <w:rFonts w:hint="eastAsia" w:eastAsia="仿宋_GB2312" w:cs="仿宋_GB2312"/>
          <w:b/>
          <w:bCs/>
          <w:sz w:val="32"/>
          <w:szCs w:val="32"/>
        </w:rPr>
        <w:t>2.公务用车购置及运行维护费支出</w:t>
      </w:r>
      <w:r>
        <w:rPr>
          <w:rFonts w:hint="eastAsia" w:ascii="仿宋_GB2312" w:hAnsi="仿宋_GB2312" w:eastAsia="仿宋_GB2312" w:cs="仿宋_GB2312"/>
          <w:b/>
          <w:bCs/>
          <w:sz w:val="32"/>
          <w:szCs w:val="32"/>
        </w:rPr>
        <w:t>0万</w:t>
      </w:r>
      <w:r>
        <w:rPr>
          <w:rFonts w:hint="eastAsia" w:eastAsia="仿宋_GB2312" w:cs="仿宋_GB2312"/>
          <w:b/>
          <w:bCs/>
          <w:sz w:val="32"/>
          <w:szCs w:val="32"/>
        </w:rPr>
        <w:t>元，年初未安排预算，</w:t>
      </w:r>
      <w:r>
        <w:rPr>
          <w:rFonts w:hint="eastAsia" w:eastAsia="仿宋_GB2312" w:cs="仿宋_GB2312"/>
          <w:b/>
          <w:bCs/>
          <w:sz w:val="32"/>
          <w:szCs w:val="32"/>
          <w:lang w:eastAsia="zh-CN"/>
        </w:rPr>
        <w:t>较上年无变化</w:t>
      </w:r>
      <w:r>
        <w:rPr>
          <w:rFonts w:hint="eastAsia" w:eastAsia="仿宋_GB2312" w:cs="仿宋_GB2312"/>
          <w:b/>
          <w:bCs/>
          <w:sz w:val="32"/>
          <w:szCs w:val="32"/>
        </w:rPr>
        <w:t>。</w:t>
      </w:r>
    </w:p>
    <w:p>
      <w:pPr>
        <w:spacing w:line="600" w:lineRule="exact"/>
        <w:ind w:firstLine="640" w:firstLineChars="200"/>
        <w:rPr>
          <w:rFonts w:ascii="仿宋_GB2312" w:hAnsi="仿宋_GB2312" w:eastAsia="仿宋_GB2312" w:cs="仿宋_GB2312"/>
          <w:sz w:val="32"/>
          <w:szCs w:val="32"/>
        </w:rPr>
      </w:pPr>
      <w:r>
        <w:rPr>
          <w:rFonts w:hint="eastAsia" w:eastAsia="仿宋_GB2312" w:cs="仿宋_GB2312"/>
          <w:sz w:val="32"/>
          <w:szCs w:val="32"/>
        </w:rPr>
        <w:t>其中：公务用车购置支</w:t>
      </w:r>
      <w:r>
        <w:rPr>
          <w:rFonts w:hint="eastAsia" w:ascii="仿宋_GB2312" w:hAnsi="仿宋_GB2312" w:eastAsia="仿宋_GB2312" w:cs="仿宋_GB2312"/>
          <w:sz w:val="32"/>
          <w:szCs w:val="32"/>
        </w:rPr>
        <w:t>出0</w:t>
      </w:r>
      <w:r>
        <w:rPr>
          <w:rFonts w:hint="eastAsia" w:eastAsia="仿宋_GB2312" w:cs="仿宋_GB2312"/>
          <w:sz w:val="32"/>
          <w:szCs w:val="32"/>
        </w:rPr>
        <w:t>万元。全年按规定更新购置公务用车0辆，</w:t>
      </w:r>
      <w:r>
        <w:rPr>
          <w:rFonts w:hint="eastAsia" w:ascii="仿宋_GB2312" w:hAnsi="仿宋_GB2312" w:eastAsia="仿宋_GB2312" w:cs="仿宋_GB2312"/>
          <w:sz w:val="32"/>
          <w:szCs w:val="32"/>
        </w:rPr>
        <w:t>截至2024年12月31日，单位共有公务用车0辆。</w:t>
      </w:r>
    </w:p>
    <w:p>
      <w:pPr>
        <w:spacing w:line="600" w:lineRule="exact"/>
        <w:ind w:firstLine="640"/>
        <w:rPr>
          <w:rFonts w:eastAsia="仿宋_GB2312" w:cs="仿宋_GB2312"/>
          <w:sz w:val="32"/>
          <w:szCs w:val="32"/>
        </w:rPr>
      </w:pPr>
      <w:r>
        <w:rPr>
          <w:rFonts w:hint="eastAsia" w:eastAsia="仿宋_GB2312" w:cs="仿宋_GB2312"/>
          <w:sz w:val="32"/>
          <w:szCs w:val="32"/>
        </w:rPr>
        <w:t>公务用车运行维护费支</w:t>
      </w:r>
      <w:r>
        <w:rPr>
          <w:rFonts w:hint="eastAsia" w:ascii="仿宋_GB2312" w:hAnsi="仿宋_GB2312" w:eastAsia="仿宋_GB2312" w:cs="仿宋_GB2312"/>
          <w:sz w:val="32"/>
          <w:szCs w:val="32"/>
        </w:rPr>
        <w:t>出0</w:t>
      </w:r>
      <w:r>
        <w:rPr>
          <w:rFonts w:hint="eastAsia" w:eastAsia="仿宋_GB2312" w:cs="仿宋_GB2312"/>
          <w:sz w:val="32"/>
          <w:szCs w:val="32"/>
        </w:rPr>
        <w:t>万元。年初未安排预算。</w:t>
      </w:r>
    </w:p>
    <w:p>
      <w:pPr>
        <w:spacing w:line="600" w:lineRule="exact"/>
        <w:ind w:firstLine="640"/>
        <w:rPr>
          <w:rFonts w:eastAsia="仿宋_GB2312" w:cs="仿宋_GB2312"/>
          <w:sz w:val="32"/>
          <w:szCs w:val="32"/>
        </w:rPr>
      </w:pPr>
      <w:r>
        <w:rPr>
          <w:rFonts w:hint="eastAsia" w:eastAsia="仿宋_GB2312" w:cs="仿宋_GB2312"/>
          <w:b/>
          <w:bCs/>
          <w:sz w:val="32"/>
          <w:szCs w:val="32"/>
        </w:rPr>
        <w:t>3.公务接待费支出</w:t>
      </w:r>
      <w:r>
        <w:rPr>
          <w:rFonts w:hint="eastAsia" w:ascii="仿宋_GB2312" w:hAnsi="仿宋_GB2312" w:eastAsia="仿宋_GB2312" w:cs="仿宋_GB2312"/>
          <w:b/>
          <w:bCs/>
          <w:sz w:val="32"/>
          <w:szCs w:val="32"/>
        </w:rPr>
        <w:t>0万</w:t>
      </w:r>
      <w:r>
        <w:rPr>
          <w:rFonts w:hint="eastAsia" w:eastAsia="仿宋_GB2312" w:cs="仿宋_GB2312"/>
          <w:b/>
          <w:bCs/>
          <w:sz w:val="32"/>
          <w:szCs w:val="32"/>
        </w:rPr>
        <w:t>元，年初未安排预算，</w:t>
      </w:r>
      <w:r>
        <w:rPr>
          <w:rFonts w:hint="eastAsia" w:eastAsia="仿宋_GB2312" w:cs="仿宋_GB2312"/>
          <w:b/>
          <w:bCs/>
          <w:sz w:val="32"/>
          <w:szCs w:val="32"/>
          <w:lang w:eastAsia="zh-CN"/>
        </w:rPr>
        <w:t>较上年无变化</w:t>
      </w:r>
      <w:r>
        <w:rPr>
          <w:rFonts w:hint="eastAsia" w:eastAsia="仿宋_GB2312" w:cs="仿宋_GB2312"/>
          <w:b/>
          <w:bCs/>
          <w:sz w:val="32"/>
          <w:szCs w:val="32"/>
        </w:rPr>
        <w:t>。</w:t>
      </w:r>
    </w:p>
    <w:p>
      <w:pPr>
        <w:spacing w:line="600" w:lineRule="exact"/>
        <w:ind w:firstLine="640"/>
        <w:outlineLvl w:val="1"/>
        <w:rPr>
          <w:rStyle w:val="30"/>
          <w:rFonts w:ascii="Times New Roman" w:hAnsi="Times New Roman" w:eastAsia="黑体"/>
        </w:rPr>
      </w:pPr>
      <w:bookmarkStart w:id="52" w:name="_Toc15377218"/>
      <w:bookmarkStart w:id="53" w:name="_Toc22866"/>
      <w:bookmarkStart w:id="54" w:name="_Toc15396610"/>
      <w:r>
        <w:rPr>
          <w:rFonts w:hint="eastAsia" w:eastAsia="黑体"/>
          <w:sz w:val="32"/>
          <w:szCs w:val="32"/>
        </w:rPr>
        <w:t>八、</w:t>
      </w:r>
      <w:r>
        <w:rPr>
          <w:rStyle w:val="30"/>
          <w:rFonts w:hint="eastAsia" w:ascii="Times New Roman" w:hAnsi="Times New Roman" w:eastAsia="黑体"/>
          <w:b w:val="0"/>
        </w:rPr>
        <w:t>政府性基金预算支出决算情况说明</w:t>
      </w:r>
      <w:bookmarkEnd w:id="52"/>
      <w:bookmarkEnd w:id="53"/>
      <w:bookmarkEnd w:id="54"/>
    </w:p>
    <w:p>
      <w:pPr>
        <w:spacing w:line="600" w:lineRule="exact"/>
        <w:ind w:firstLine="640"/>
        <w:rPr>
          <w:rFonts w:eastAsia="仿宋_GB2312" w:cs="仿宋_GB2312"/>
          <w:b/>
          <w:bCs/>
          <w:sz w:val="32"/>
          <w:szCs w:val="32"/>
        </w:rPr>
      </w:pPr>
      <w:r>
        <w:rPr>
          <w:rFonts w:hint="eastAsia" w:ascii="仿宋_GB2312" w:hAnsi="仿宋_GB2312" w:eastAsia="仿宋_GB2312" w:cs="仿宋_GB2312"/>
          <w:sz w:val="32"/>
          <w:szCs w:val="32"/>
        </w:rPr>
        <w:t>2024年度政府性基金预算财政拨款支出0万元，占本年支出合计的0%</w:t>
      </w:r>
      <w:r>
        <w:rPr>
          <w:rFonts w:hint="eastAsia" w:eastAsia="仿宋_GB2312" w:cs="仿宋_GB2312"/>
          <w:sz w:val="32"/>
          <w:szCs w:val="32"/>
        </w:rPr>
        <w:t>。与2023年度相比无变化。</w:t>
      </w:r>
    </w:p>
    <w:p>
      <w:pPr>
        <w:spacing w:line="600" w:lineRule="exact"/>
        <w:ind w:firstLine="640"/>
        <w:rPr>
          <w:rFonts w:eastAsia="仿宋_GB2312" w:cs="仿宋_GB2312"/>
          <w:sz w:val="32"/>
          <w:szCs w:val="32"/>
        </w:rPr>
      </w:pPr>
    </w:p>
    <w:p>
      <w:pPr>
        <w:spacing w:line="600" w:lineRule="exact"/>
        <w:ind w:left="630"/>
        <w:outlineLvl w:val="1"/>
        <w:rPr>
          <w:rStyle w:val="30"/>
          <w:rFonts w:ascii="Times New Roman" w:hAnsi="Times New Roman" w:eastAsia="黑体"/>
          <w:b w:val="0"/>
        </w:rPr>
      </w:pPr>
      <w:bookmarkStart w:id="55" w:name="_Toc24049"/>
      <w:bookmarkStart w:id="56" w:name="_Toc15396611"/>
      <w:bookmarkStart w:id="57" w:name="_Toc15377219"/>
      <w:r>
        <w:rPr>
          <w:rStyle w:val="30"/>
          <w:rFonts w:hint="eastAsia" w:ascii="Times New Roman" w:hAnsi="Times New Roman" w:eastAsia="黑体"/>
          <w:b w:val="0"/>
        </w:rPr>
        <w:t>九、国有资本经营预算支出决算情况说明</w:t>
      </w:r>
      <w:bookmarkEnd w:id="55"/>
      <w:bookmarkEnd w:id="56"/>
      <w:bookmarkEnd w:id="57"/>
    </w:p>
    <w:p>
      <w:pPr>
        <w:spacing w:line="600" w:lineRule="exact"/>
        <w:ind w:firstLine="640"/>
        <w:rPr>
          <w:rFonts w:eastAsia="仿宋_GB2312" w:cs="仿宋_GB2312"/>
          <w:sz w:val="32"/>
          <w:szCs w:val="32"/>
        </w:rPr>
      </w:pPr>
      <w:r>
        <w:rPr>
          <w:rFonts w:hint="eastAsia" w:eastAsia="仿宋_GB2312" w:cs="仿宋_GB2312"/>
          <w:sz w:val="32"/>
          <w:szCs w:val="32"/>
        </w:rPr>
        <w:t>2024年度国有资本经营预算财政拨款支出</w:t>
      </w:r>
      <w:r>
        <w:rPr>
          <w:rFonts w:hint="eastAsia" w:ascii="仿宋_GB2312" w:hAnsi="仿宋_GB2312" w:eastAsia="仿宋_GB2312" w:cs="仿宋_GB2312"/>
          <w:sz w:val="32"/>
          <w:szCs w:val="32"/>
        </w:rPr>
        <w:t>0万元，占本年支出合计的0%</w:t>
      </w:r>
      <w:r>
        <w:rPr>
          <w:rFonts w:hint="eastAsia" w:eastAsia="仿宋_GB2312" w:cs="仿宋_GB2312"/>
          <w:sz w:val="32"/>
          <w:szCs w:val="32"/>
        </w:rPr>
        <w:t>。与2023年度相比无变化。</w:t>
      </w:r>
    </w:p>
    <w:p>
      <w:pPr>
        <w:spacing w:line="600" w:lineRule="exact"/>
        <w:ind w:firstLine="640"/>
        <w:rPr>
          <w:rFonts w:eastAsia="仿宋_GB2312" w:cs="仿宋_GB2312"/>
          <w:sz w:val="32"/>
          <w:szCs w:val="32"/>
        </w:rPr>
      </w:pPr>
    </w:p>
    <w:p>
      <w:pPr>
        <w:spacing w:line="600" w:lineRule="exact"/>
        <w:ind w:left="630"/>
        <w:outlineLvl w:val="1"/>
        <w:rPr>
          <w:rStyle w:val="30"/>
          <w:rFonts w:ascii="Times New Roman" w:hAnsi="Times New Roman" w:eastAsia="黑体"/>
          <w:b w:val="0"/>
        </w:rPr>
      </w:pPr>
      <w:bookmarkStart w:id="58" w:name="_Toc15377221"/>
      <w:bookmarkStart w:id="59" w:name="_Toc10322"/>
      <w:bookmarkStart w:id="60" w:name="_Toc15396612"/>
      <w:r>
        <w:rPr>
          <w:rStyle w:val="30"/>
          <w:rFonts w:hint="eastAsia" w:ascii="Times New Roman" w:hAnsi="Times New Roman" w:eastAsia="黑体"/>
          <w:b w:val="0"/>
        </w:rPr>
        <w:t>十、其他重要事项的情况说明</w:t>
      </w:r>
      <w:bookmarkEnd w:id="58"/>
      <w:bookmarkEnd w:id="59"/>
      <w:bookmarkEnd w:id="60"/>
    </w:p>
    <w:p>
      <w:pPr>
        <w:spacing w:line="600" w:lineRule="exact"/>
        <w:ind w:firstLine="642" w:firstLineChars="200"/>
        <w:outlineLvl w:val="2"/>
        <w:rPr>
          <w:rFonts w:eastAsia="楷体_GB2312" w:cs="楷体_GB2312"/>
          <w:b/>
          <w:sz w:val="32"/>
          <w:szCs w:val="32"/>
        </w:rPr>
      </w:pPr>
      <w:bookmarkStart w:id="61" w:name="_Toc15377222"/>
      <w:r>
        <w:rPr>
          <w:rFonts w:hint="eastAsia" w:eastAsia="楷体_GB2312" w:cs="楷体_GB2312"/>
          <w:b/>
          <w:sz w:val="32"/>
          <w:szCs w:val="32"/>
        </w:rPr>
        <w:t>（一）机关运行经费支出情况</w:t>
      </w:r>
      <w:bookmarkEnd w:id="61"/>
    </w:p>
    <w:p>
      <w:pPr>
        <w:spacing w:line="600" w:lineRule="exact"/>
        <w:ind w:firstLine="640"/>
        <w:rPr>
          <w:rFonts w:eastAsia="仿宋_GB2312" w:cs="仿宋_GB2312"/>
          <w:sz w:val="32"/>
          <w:szCs w:val="32"/>
        </w:rPr>
      </w:pPr>
      <w:r>
        <w:rPr>
          <w:rFonts w:hint="eastAsia" w:eastAsia="仿宋_GB2312" w:cs="仿宋_GB2312"/>
          <w:sz w:val="32"/>
          <w:szCs w:val="32"/>
        </w:rPr>
        <w:t>2024年度</w:t>
      </w:r>
      <w:r>
        <w:rPr>
          <w:rFonts w:hint="eastAsia" w:ascii="仿宋_GB2312" w:hAnsi="仿宋_GB2312" w:eastAsia="仿宋_GB2312" w:cs="仿宋_GB2312"/>
          <w:sz w:val="32"/>
          <w:szCs w:val="32"/>
        </w:rPr>
        <w:t>，四川省广元外国语学校机关运行经费支出0万</w:t>
      </w:r>
      <w:r>
        <w:rPr>
          <w:rFonts w:hint="eastAsia" w:eastAsia="仿宋_GB2312" w:cs="仿宋_GB2312"/>
          <w:sz w:val="32"/>
          <w:szCs w:val="32"/>
        </w:rPr>
        <w:t>元，与2023年度相比无变化。</w:t>
      </w:r>
    </w:p>
    <w:p>
      <w:pPr>
        <w:spacing w:line="600" w:lineRule="exact"/>
        <w:ind w:firstLine="642" w:firstLineChars="200"/>
        <w:outlineLvl w:val="2"/>
        <w:rPr>
          <w:rFonts w:eastAsia="楷体_GB2312" w:cs="楷体_GB2312"/>
          <w:b/>
          <w:sz w:val="32"/>
          <w:szCs w:val="32"/>
        </w:rPr>
      </w:pPr>
      <w:bookmarkStart w:id="62" w:name="_Toc15377223"/>
      <w:r>
        <w:rPr>
          <w:rFonts w:hint="eastAsia" w:eastAsia="楷体_GB2312" w:cs="楷体_GB2312"/>
          <w:b/>
          <w:sz w:val="32"/>
          <w:szCs w:val="32"/>
        </w:rPr>
        <w:t>（二）政府采购支出情况</w:t>
      </w:r>
      <w:bookmarkEnd w:id="62"/>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2024年度，四川省广元外国语学校政府采购支出总额0万元</w:t>
      </w:r>
      <w:r>
        <w:rPr>
          <w:rFonts w:hint="eastAsia" w:eastAsia="仿宋_GB2312" w:cs="仿宋_GB2312"/>
          <w:sz w:val="32"/>
          <w:szCs w:val="32"/>
        </w:rPr>
        <w:t>。</w:t>
      </w:r>
    </w:p>
    <w:p>
      <w:pPr>
        <w:spacing w:line="600" w:lineRule="exact"/>
        <w:ind w:firstLine="640"/>
        <w:rPr>
          <w:rFonts w:eastAsia="仿宋_GB2312" w:cs="仿宋_GB2312"/>
          <w:sz w:val="32"/>
          <w:szCs w:val="32"/>
        </w:rPr>
      </w:pPr>
    </w:p>
    <w:p>
      <w:pPr>
        <w:spacing w:line="600" w:lineRule="exact"/>
        <w:ind w:firstLine="642" w:firstLineChars="200"/>
        <w:outlineLvl w:val="2"/>
        <w:rPr>
          <w:rFonts w:eastAsia="楷体_GB2312" w:cs="楷体_GB2312"/>
          <w:b/>
          <w:sz w:val="32"/>
          <w:szCs w:val="32"/>
        </w:rPr>
      </w:pPr>
      <w:bookmarkStart w:id="63" w:name="_Toc15377224"/>
      <w:r>
        <w:rPr>
          <w:rFonts w:hint="eastAsia" w:eastAsia="楷体_GB2312" w:cs="楷体_GB2312"/>
          <w:b/>
          <w:sz w:val="32"/>
          <w:szCs w:val="32"/>
        </w:rPr>
        <w:t>（三）国有资产占有使用情况</w:t>
      </w:r>
      <w:bookmarkEnd w:id="63"/>
    </w:p>
    <w:p>
      <w:pPr>
        <w:spacing w:line="600" w:lineRule="exact"/>
        <w:ind w:firstLine="640"/>
        <w:rPr>
          <w:rFonts w:eastAsia="仿宋_GB2312" w:cs="仿宋_GB2312"/>
          <w:sz w:val="32"/>
          <w:szCs w:val="32"/>
        </w:rPr>
      </w:pPr>
      <w:r>
        <w:rPr>
          <w:rFonts w:hint="eastAsia" w:ascii="仿宋_GB2312" w:hAnsi="仿宋_GB2312" w:eastAsia="仿宋_GB2312" w:cs="仿宋_GB2312"/>
          <w:sz w:val="32"/>
          <w:szCs w:val="32"/>
        </w:rPr>
        <w:t>截至2024年12月31日，四川省广元外国语学校共有车辆0辆，单价100万元（含）以上设备（不含车辆）0台（套）</w:t>
      </w:r>
      <w:r>
        <w:rPr>
          <w:rFonts w:hint="eastAsia" w:eastAsia="仿宋_GB2312" w:cs="仿宋_GB2312"/>
          <w:sz w:val="32"/>
          <w:szCs w:val="32"/>
        </w:rPr>
        <w:t>。</w:t>
      </w:r>
    </w:p>
    <w:p>
      <w:pPr>
        <w:spacing w:line="600" w:lineRule="exact"/>
        <w:ind w:firstLine="640"/>
        <w:rPr>
          <w:rFonts w:eastAsia="仿宋_GB2312" w:cs="仿宋_GB2312"/>
          <w:sz w:val="32"/>
          <w:szCs w:val="32"/>
        </w:rPr>
      </w:pPr>
    </w:p>
    <w:p>
      <w:pPr>
        <w:spacing w:line="600" w:lineRule="exact"/>
        <w:ind w:firstLine="642" w:firstLineChars="200"/>
        <w:outlineLvl w:val="2"/>
        <w:rPr>
          <w:rFonts w:eastAsia="楷体_GB2312" w:cs="楷体_GB2312"/>
          <w:b/>
          <w:sz w:val="32"/>
          <w:szCs w:val="32"/>
        </w:rPr>
      </w:pPr>
      <w:r>
        <w:rPr>
          <w:rFonts w:hint="eastAsia" w:eastAsia="楷体_GB2312" w:cs="楷体_GB2312"/>
          <w:b/>
          <w:sz w:val="32"/>
          <w:szCs w:val="32"/>
        </w:rPr>
        <w:t>（四）预算绩效管理情况</w:t>
      </w:r>
    </w:p>
    <w:p>
      <w:pPr>
        <w:spacing w:line="600" w:lineRule="exact"/>
        <w:ind w:firstLine="640"/>
        <w:rPr>
          <w:rFonts w:eastAsia="仿宋_GB2312" w:cs="仿宋_GB2312"/>
          <w:sz w:val="32"/>
          <w:szCs w:val="32"/>
        </w:rPr>
      </w:pPr>
      <w:r>
        <w:rPr>
          <w:rFonts w:hint="eastAsia" w:eastAsia="仿宋_GB2312" w:cs="仿宋_GB2312"/>
          <w:sz w:val="32"/>
          <w:szCs w:val="32"/>
        </w:rPr>
        <w:t>根据预算绩效管理要求，本单位在2024年度预算编制阶段，组织对人员经费、公用经费、学生资助补助经费、广元市名师经费、</w:t>
      </w:r>
      <w:r>
        <w:rPr>
          <w:rFonts w:hint="eastAsia" w:ascii="仿宋_GB2312" w:eastAsia="仿宋_GB2312"/>
          <w:sz w:val="32"/>
          <w:szCs w:val="32"/>
        </w:rPr>
        <w:t>政府购买民办学校义务教育阶段学位、四川省第四届立德树人优秀实践创新案例现场会</w:t>
      </w:r>
      <w:r>
        <w:rPr>
          <w:rFonts w:hint="eastAsia" w:eastAsia="仿宋_GB2312" w:cs="仿宋_GB2312"/>
          <w:sz w:val="32"/>
          <w:szCs w:val="32"/>
        </w:rPr>
        <w:t>等6个项目开展了预算事前绩效评估，对6个项目编制了绩效目标，预算执行过程中，选取6个项目开展绩效监控。</w:t>
      </w:r>
    </w:p>
    <w:p>
      <w:pPr>
        <w:pStyle w:val="7"/>
        <w:ind w:left="0" w:leftChars="0" w:firstLine="640"/>
        <w:rPr>
          <w:rFonts w:hAnsi="仿宋_GB2312" w:eastAsia="仿宋_GB2312" w:cs="仿宋_GB2312"/>
          <w:kern w:val="0"/>
          <w:sz w:val="32"/>
          <w:lang w:val="zh-CN"/>
        </w:rPr>
      </w:pPr>
      <w:r>
        <w:rPr>
          <w:rFonts w:hint="eastAsia" w:eastAsia="仿宋_GB2312" w:cs="仿宋_GB2312"/>
          <w:sz w:val="32"/>
        </w:rPr>
        <w:t>组织对2024年度一般公共预算全面开展绩效自评，形成本单位部门整体（含部门预算项目）绩效自评报告，其中包含</w:t>
      </w:r>
      <w:r>
        <w:rPr>
          <w:rFonts w:hint="eastAsia" w:hAnsi="仿宋_GB2312" w:eastAsia="仿宋_GB2312" w:cs="仿宋_GB2312"/>
          <w:kern w:val="0"/>
          <w:sz w:val="32"/>
        </w:rPr>
        <w:t>常年项目绩效分析，</w:t>
      </w:r>
      <w:r>
        <w:rPr>
          <w:rFonts w:hint="eastAsia" w:hAnsi="仿宋_GB2312" w:eastAsia="仿宋_GB2312" w:cs="仿宋_GB2312"/>
          <w:kern w:val="0"/>
          <w:sz w:val="32"/>
          <w:lang w:val="zh-CN"/>
        </w:rPr>
        <w:t>该类项目总数</w:t>
      </w:r>
      <w:r>
        <w:rPr>
          <w:rFonts w:hAnsi="仿宋_GB2312" w:eastAsia="仿宋_GB2312" w:cs="仿宋_GB2312"/>
          <w:kern w:val="0"/>
          <w:sz w:val="32"/>
        </w:rPr>
        <w:t>3</w:t>
      </w:r>
      <w:r>
        <w:rPr>
          <w:rFonts w:hint="eastAsia" w:hAnsi="仿宋_GB2312" w:eastAsia="仿宋_GB2312" w:cs="仿宋_GB2312"/>
          <w:kern w:val="0"/>
          <w:sz w:val="32"/>
          <w:lang w:val="zh-CN"/>
        </w:rPr>
        <w:t>个，涉及预算总金额</w:t>
      </w:r>
      <w:r>
        <w:rPr>
          <w:rFonts w:hAnsi="仿宋_GB2312" w:eastAsia="仿宋_GB2312" w:cs="仿宋_GB2312"/>
          <w:kern w:val="0"/>
          <w:sz w:val="32"/>
        </w:rPr>
        <w:t>1122.56</w:t>
      </w:r>
      <w:r>
        <w:rPr>
          <w:rFonts w:hint="eastAsia" w:hAnsi="仿宋_GB2312" w:eastAsia="仿宋_GB2312" w:cs="仿宋_GB2312"/>
          <w:kern w:val="0"/>
          <w:sz w:val="32"/>
          <w:lang w:val="zh-CN"/>
        </w:rPr>
        <w:t>万元。</w:t>
      </w:r>
      <w:r>
        <w:rPr>
          <w:rFonts w:hint="eastAsia" w:hAnsi="仿宋_GB2312" w:eastAsia="仿宋_GB2312" w:cs="仿宋_GB2312"/>
          <w:kern w:val="0"/>
          <w:sz w:val="32"/>
        </w:rPr>
        <w:t>阶段（含一次性）项目绩效分析，</w:t>
      </w:r>
      <w:r>
        <w:rPr>
          <w:rFonts w:hint="eastAsia" w:hAnsi="仿宋_GB2312" w:eastAsia="仿宋_GB2312" w:cs="仿宋_GB2312"/>
          <w:kern w:val="0"/>
          <w:sz w:val="32"/>
          <w:lang w:val="zh-CN"/>
        </w:rPr>
        <w:t>该类项目总数</w:t>
      </w:r>
      <w:r>
        <w:rPr>
          <w:rFonts w:hAnsi="仿宋_GB2312" w:eastAsia="仿宋_GB2312" w:cs="仿宋_GB2312"/>
          <w:kern w:val="0"/>
          <w:sz w:val="32"/>
        </w:rPr>
        <w:t>3</w:t>
      </w:r>
      <w:r>
        <w:rPr>
          <w:rFonts w:hint="eastAsia" w:hAnsi="仿宋_GB2312" w:eastAsia="仿宋_GB2312" w:cs="仿宋_GB2312"/>
          <w:kern w:val="0"/>
          <w:sz w:val="32"/>
          <w:lang w:val="zh-CN"/>
        </w:rPr>
        <w:t>个，涉及预算总金额</w:t>
      </w:r>
      <w:r>
        <w:rPr>
          <w:rFonts w:hAnsi="仿宋_GB2312" w:eastAsia="仿宋_GB2312" w:cs="仿宋_GB2312"/>
          <w:kern w:val="0"/>
          <w:sz w:val="32"/>
        </w:rPr>
        <w:t>143.59</w:t>
      </w:r>
      <w:r>
        <w:rPr>
          <w:rFonts w:hint="eastAsia" w:hAnsi="仿宋_GB2312" w:eastAsia="仿宋_GB2312" w:cs="仿宋_GB2312"/>
          <w:kern w:val="0"/>
          <w:sz w:val="32"/>
          <w:lang w:val="zh-CN"/>
        </w:rPr>
        <w:t>万元。202</w:t>
      </w:r>
      <w:r>
        <w:rPr>
          <w:rFonts w:hAnsi="仿宋_GB2312" w:eastAsia="仿宋_GB2312" w:cs="仿宋_GB2312"/>
          <w:kern w:val="0"/>
          <w:sz w:val="32"/>
          <w:lang w:val="zh-CN"/>
        </w:rPr>
        <w:t>4</w:t>
      </w:r>
      <w:r>
        <w:rPr>
          <w:rFonts w:hint="eastAsia" w:hAnsi="仿宋_GB2312" w:eastAsia="仿宋_GB2312" w:cs="仿宋_GB2312"/>
          <w:kern w:val="0"/>
          <w:sz w:val="32"/>
          <w:lang w:val="zh-CN"/>
        </w:rPr>
        <w:t>年度总体支出情况良好，从质量指标、数量指标、时效指标、成本指标、社会效益指标及社会满意度指标，均达到95%以上，自评得分</w:t>
      </w:r>
      <w:r>
        <w:rPr>
          <w:rFonts w:hAnsi="仿宋_GB2312" w:eastAsia="仿宋_GB2312" w:cs="仿宋_GB2312"/>
          <w:kern w:val="0"/>
          <w:sz w:val="32"/>
          <w:lang w:val="zh-CN"/>
        </w:rPr>
        <w:t>97.35</w:t>
      </w:r>
      <w:r>
        <w:rPr>
          <w:rFonts w:hint="eastAsia" w:hAnsi="仿宋_GB2312" w:eastAsia="仿宋_GB2312" w:cs="仿宋_GB2312"/>
          <w:kern w:val="0"/>
          <w:sz w:val="32"/>
          <w:lang w:val="zh-CN"/>
        </w:rPr>
        <w:t>分。</w:t>
      </w:r>
      <w:r>
        <w:rPr>
          <w:rFonts w:hint="eastAsia" w:eastAsia="仿宋_GB2312" w:cs="仿宋_GB2312"/>
          <w:sz w:val="32"/>
        </w:rPr>
        <w:t>绩效自评报告详见附件。</w:t>
      </w:r>
    </w:p>
    <w:p>
      <w:pPr>
        <w:spacing w:line="600" w:lineRule="exact"/>
        <w:rPr>
          <w:rFonts w:eastAsia="仿宋_GB2312" w:cs="仿宋_GB2312"/>
          <w:sz w:val="32"/>
          <w:szCs w:val="32"/>
        </w:rPr>
      </w:pPr>
    </w:p>
    <w:p>
      <w:pPr>
        <w:spacing w:line="600" w:lineRule="exact"/>
        <w:jc w:val="center"/>
        <w:outlineLvl w:val="0"/>
        <w:rPr>
          <w:rFonts w:eastAsia="黑体"/>
          <w:sz w:val="44"/>
          <w:szCs w:val="44"/>
        </w:rPr>
      </w:pPr>
      <w:bookmarkStart w:id="64" w:name="_Toc15377225"/>
      <w:bookmarkStart w:id="65" w:name="_Toc15396613"/>
    </w:p>
    <w:p>
      <w:pPr>
        <w:spacing w:line="600" w:lineRule="exact"/>
        <w:jc w:val="center"/>
        <w:outlineLvl w:val="0"/>
        <w:rPr>
          <w:rFonts w:eastAsia="黑体"/>
          <w:sz w:val="44"/>
          <w:szCs w:val="44"/>
        </w:rPr>
      </w:pPr>
    </w:p>
    <w:p>
      <w:pPr>
        <w:spacing w:line="600" w:lineRule="exact"/>
        <w:jc w:val="center"/>
        <w:outlineLvl w:val="0"/>
        <w:rPr>
          <w:rFonts w:eastAsia="黑体"/>
          <w:sz w:val="44"/>
          <w:szCs w:val="44"/>
        </w:rPr>
      </w:pPr>
    </w:p>
    <w:p>
      <w:pPr>
        <w:spacing w:line="600" w:lineRule="exact"/>
        <w:jc w:val="center"/>
        <w:outlineLvl w:val="0"/>
        <w:rPr>
          <w:rFonts w:eastAsia="黑体"/>
          <w:sz w:val="44"/>
          <w:szCs w:val="44"/>
        </w:rPr>
      </w:pPr>
    </w:p>
    <w:p>
      <w:pPr>
        <w:spacing w:line="600" w:lineRule="exact"/>
        <w:jc w:val="center"/>
        <w:outlineLvl w:val="0"/>
        <w:rPr>
          <w:rFonts w:eastAsia="黑体"/>
          <w:sz w:val="44"/>
          <w:szCs w:val="44"/>
        </w:rPr>
      </w:pPr>
    </w:p>
    <w:p>
      <w:pPr>
        <w:spacing w:line="600" w:lineRule="exact"/>
        <w:jc w:val="center"/>
        <w:outlineLvl w:val="0"/>
        <w:rPr>
          <w:rFonts w:eastAsia="黑体"/>
          <w:sz w:val="44"/>
          <w:szCs w:val="44"/>
        </w:rPr>
      </w:pPr>
      <w:bookmarkStart w:id="66" w:name="_Toc26471"/>
      <w:r>
        <w:rPr>
          <w:rFonts w:hint="eastAsia" w:eastAsia="黑体"/>
          <w:sz w:val="44"/>
          <w:szCs w:val="44"/>
        </w:rPr>
        <w:t>第三部分  名词解释</w:t>
      </w:r>
      <w:bookmarkEnd w:id="64"/>
      <w:bookmarkEnd w:id="65"/>
      <w:bookmarkEnd w:id="66"/>
    </w:p>
    <w:p>
      <w:pPr>
        <w:spacing w:line="600" w:lineRule="exact"/>
        <w:jc w:val="left"/>
        <w:rPr>
          <w:b/>
          <w:sz w:val="44"/>
          <w:szCs w:val="44"/>
        </w:rPr>
      </w:pPr>
    </w:p>
    <w:p>
      <w:pPr>
        <w:numPr>
          <w:ilvl w:val="0"/>
          <w:numId w:val="3"/>
        </w:numPr>
        <w:spacing w:line="600" w:lineRule="exact"/>
        <w:ind w:left="0" w:leftChars="0" w:firstLine="640" w:firstLineChars="200"/>
        <w:rPr>
          <w:rFonts w:eastAsia="仿宋_GB2312" w:cs="仿宋_GB2312"/>
          <w:sz w:val="32"/>
          <w:szCs w:val="32"/>
        </w:rPr>
      </w:pPr>
      <w:r>
        <w:rPr>
          <w:rFonts w:hint="eastAsia" w:eastAsia="仿宋_GB2312" w:cs="仿宋_GB2312"/>
          <w:sz w:val="32"/>
          <w:szCs w:val="32"/>
        </w:rPr>
        <w:t>财政拨款收入：指单位从同级财政部门取得的财政预算资金。</w:t>
      </w:r>
    </w:p>
    <w:p>
      <w:pPr>
        <w:numPr>
          <w:ilvl w:val="0"/>
          <w:numId w:val="3"/>
        </w:numPr>
        <w:ind w:left="0" w:leftChars="0" w:firstLine="640" w:firstLineChars="200"/>
        <w:rPr>
          <w:rFonts w:ascii="仿宋_GB2312" w:eastAsia="仿宋_GB2312"/>
          <w:sz w:val="32"/>
          <w:szCs w:val="32"/>
        </w:rPr>
      </w:pPr>
      <w:r>
        <w:rPr>
          <w:rFonts w:hint="eastAsia" w:ascii="仿宋_GB2312" w:eastAsia="仿宋_GB2312" w:cs="仿宋"/>
          <w:kern w:val="0"/>
          <w:sz w:val="32"/>
          <w:szCs w:val="32"/>
        </w:rPr>
        <w:t>教育支出（类）普通教育（款）小学教育（项）：指用于小学教育管理事务支出</w:t>
      </w:r>
      <w:r>
        <w:rPr>
          <w:rFonts w:hint="eastAsia" w:ascii="仿宋_GB2312" w:eastAsia="仿宋_GB2312"/>
          <w:sz w:val="32"/>
          <w:szCs w:val="32"/>
        </w:rPr>
        <w:t>。</w:t>
      </w:r>
    </w:p>
    <w:p>
      <w:pPr>
        <w:pStyle w:val="2"/>
        <w:numPr>
          <w:ilvl w:val="0"/>
          <w:numId w:val="3"/>
        </w:numPr>
        <w:spacing w:before="93"/>
        <w:ind w:left="0" w:leftChars="0" w:firstLine="640" w:firstLineChars="200"/>
        <w:rPr>
          <w:rFonts w:cs="仿宋"/>
          <w:sz w:val="32"/>
          <w:szCs w:val="32"/>
        </w:rPr>
      </w:pPr>
      <w:r>
        <w:rPr>
          <w:rFonts w:hint="eastAsia" w:cs="仿宋"/>
          <w:sz w:val="32"/>
          <w:szCs w:val="32"/>
        </w:rPr>
        <w:t>教育支出（类）普通教育（款）初中教育（项）：指用于初中教育管理事务支出。</w:t>
      </w:r>
    </w:p>
    <w:p>
      <w:pPr>
        <w:pStyle w:val="2"/>
        <w:numPr>
          <w:ilvl w:val="0"/>
          <w:numId w:val="3"/>
        </w:numPr>
        <w:spacing w:before="93"/>
        <w:ind w:left="0" w:leftChars="0" w:firstLine="640" w:firstLineChars="200"/>
        <w:rPr>
          <w:rFonts w:cs="仿宋"/>
          <w:sz w:val="32"/>
          <w:szCs w:val="32"/>
        </w:rPr>
      </w:pPr>
      <w:r>
        <w:rPr>
          <w:rFonts w:hint="eastAsia" w:cs="仿宋"/>
          <w:sz w:val="32"/>
          <w:szCs w:val="32"/>
        </w:rPr>
        <w:t>教育支出（类）普通教育（款）高中教育（项）：指用于高中教育管理事务支出。</w:t>
      </w:r>
    </w:p>
    <w:p>
      <w:pPr>
        <w:pStyle w:val="2"/>
        <w:numPr>
          <w:ilvl w:val="0"/>
          <w:numId w:val="3"/>
        </w:numPr>
        <w:spacing w:before="93"/>
        <w:ind w:left="0" w:leftChars="0" w:firstLine="640" w:firstLineChars="200"/>
        <w:rPr>
          <w:rFonts w:cs="仿宋"/>
          <w:sz w:val="32"/>
          <w:szCs w:val="32"/>
        </w:rPr>
      </w:pPr>
      <w:bookmarkStart w:id="67" w:name="_Toc22209"/>
      <w:r>
        <w:rPr>
          <w:rFonts w:hint="eastAsia" w:cs="仿宋"/>
          <w:sz w:val="32"/>
          <w:szCs w:val="32"/>
        </w:rPr>
        <w:t>社会保障和就业支出（类）行政事业单位养老支出（款）事业单位离退休（项）：指用于事业单位离退休方面的支出。</w:t>
      </w:r>
      <w:bookmarkEnd w:id="67"/>
    </w:p>
    <w:p>
      <w:pPr>
        <w:pStyle w:val="2"/>
        <w:numPr>
          <w:ilvl w:val="0"/>
          <w:numId w:val="3"/>
        </w:numPr>
        <w:spacing w:before="93"/>
        <w:ind w:left="0" w:leftChars="0" w:firstLine="640" w:firstLineChars="200"/>
        <w:rPr>
          <w:rFonts w:cs="仿宋"/>
          <w:sz w:val="32"/>
          <w:szCs w:val="32"/>
        </w:rPr>
      </w:pPr>
      <w:r>
        <w:rPr>
          <w:rFonts w:hint="eastAsia" w:cs="仿宋"/>
          <w:sz w:val="32"/>
          <w:szCs w:val="32"/>
        </w:rPr>
        <w:t>社会保障和就业支出（类）行政事业单位养老支出（款）机关事业单位基本养老保险缴费支出（项）</w:t>
      </w:r>
      <w:r>
        <w:rPr>
          <w:rFonts w:hint="eastAsia" w:cs="仿宋"/>
          <w:sz w:val="32"/>
          <w:szCs w:val="32"/>
          <w:lang w:eastAsia="zh-CN"/>
        </w:rPr>
        <w:t>：</w:t>
      </w:r>
      <w:r>
        <w:rPr>
          <w:rFonts w:hint="eastAsia" w:cs="仿宋"/>
          <w:sz w:val="32"/>
          <w:szCs w:val="32"/>
        </w:rPr>
        <w:t>指用于实施养老保险制度由单位缴纳的基本养老保险费支出。</w:t>
      </w:r>
    </w:p>
    <w:p>
      <w:pPr>
        <w:pStyle w:val="2"/>
        <w:numPr>
          <w:ilvl w:val="0"/>
          <w:numId w:val="3"/>
        </w:numPr>
        <w:spacing w:before="93"/>
        <w:ind w:left="0" w:leftChars="0" w:firstLine="640" w:firstLineChars="200"/>
        <w:rPr>
          <w:rFonts w:hint="eastAsia" w:cs="仿宋"/>
          <w:sz w:val="32"/>
          <w:szCs w:val="32"/>
        </w:rPr>
      </w:pPr>
      <w:r>
        <w:rPr>
          <w:rFonts w:hint="eastAsia" w:cs="仿宋"/>
          <w:sz w:val="32"/>
          <w:szCs w:val="32"/>
        </w:rPr>
        <w:t>社会保障和就业支出（类）行政事业单位养老支出（款）机关事业单位职业年金缴费支出（项）</w:t>
      </w:r>
      <w:r>
        <w:rPr>
          <w:rFonts w:hint="eastAsia" w:cs="仿宋"/>
          <w:sz w:val="32"/>
          <w:szCs w:val="32"/>
          <w:lang w:eastAsia="zh-CN"/>
        </w:rPr>
        <w:t>：</w:t>
      </w:r>
      <w:r>
        <w:rPr>
          <w:rFonts w:hint="eastAsia" w:cs="仿宋"/>
          <w:sz w:val="32"/>
          <w:szCs w:val="32"/>
        </w:rPr>
        <w:t>指用于单位退休中人职业年金支出。</w:t>
      </w:r>
    </w:p>
    <w:p>
      <w:pPr>
        <w:pStyle w:val="2"/>
        <w:numPr>
          <w:ilvl w:val="0"/>
          <w:numId w:val="3"/>
        </w:numPr>
        <w:spacing w:before="93"/>
        <w:ind w:left="0" w:leftChars="0" w:firstLine="640" w:firstLineChars="200"/>
        <w:rPr>
          <w:rFonts w:cs="仿宋"/>
          <w:sz w:val="32"/>
          <w:szCs w:val="32"/>
        </w:rPr>
      </w:pPr>
      <w:r>
        <w:rPr>
          <w:rFonts w:hint="eastAsia" w:cs="仿宋"/>
          <w:sz w:val="32"/>
          <w:szCs w:val="32"/>
        </w:rPr>
        <w:t>社会保障和就业（类）其他社会保障和就业支出（款）其他社会保障和就业支出（项）</w:t>
      </w:r>
      <w:r>
        <w:rPr>
          <w:rFonts w:hint="eastAsia" w:cs="仿宋"/>
          <w:sz w:val="32"/>
          <w:szCs w:val="32"/>
          <w:lang w:eastAsia="zh-CN"/>
        </w:rPr>
        <w:t>：</w:t>
      </w:r>
      <w:r>
        <w:rPr>
          <w:rFonts w:hint="eastAsia" w:cs="仿宋"/>
          <w:sz w:val="32"/>
          <w:szCs w:val="32"/>
        </w:rPr>
        <w:t xml:space="preserve"> 指其他用于社会保障和就业支出方面的支出。</w:t>
      </w:r>
    </w:p>
    <w:p>
      <w:pPr>
        <w:numPr>
          <w:ilvl w:val="0"/>
          <w:numId w:val="3"/>
        </w:numPr>
        <w:spacing w:line="600" w:lineRule="exact"/>
        <w:ind w:left="0" w:leftChars="0" w:firstLine="640" w:firstLineChars="200"/>
        <w:outlineLvl w:val="1"/>
        <w:rPr>
          <w:rFonts w:ascii="仿宋_GB2312" w:eastAsia="仿宋_GB2312" w:cs="仿宋"/>
          <w:kern w:val="0"/>
          <w:sz w:val="32"/>
          <w:szCs w:val="32"/>
        </w:rPr>
      </w:pPr>
      <w:bookmarkStart w:id="68" w:name="_Toc6828"/>
      <w:bookmarkStart w:id="69" w:name="_Toc13274"/>
      <w:r>
        <w:rPr>
          <w:rFonts w:hint="eastAsia" w:ascii="仿宋_GB2312" w:eastAsia="仿宋_GB2312" w:cs="仿宋"/>
          <w:kern w:val="0"/>
          <w:sz w:val="32"/>
          <w:szCs w:val="32"/>
        </w:rPr>
        <w:t>卫生健康支出（类）行政事业单位医疗（款）事业单位医疗（项）：指用于事业单位由单位缴纳的基本医疗保险缴费。</w:t>
      </w:r>
      <w:bookmarkEnd w:id="68"/>
      <w:bookmarkEnd w:id="69"/>
    </w:p>
    <w:p>
      <w:pPr>
        <w:pStyle w:val="2"/>
        <w:numPr>
          <w:ilvl w:val="0"/>
          <w:numId w:val="3"/>
        </w:numPr>
        <w:spacing w:before="93"/>
        <w:ind w:left="0" w:leftChars="0" w:firstLine="640" w:firstLineChars="200"/>
        <w:rPr>
          <w:rFonts w:cs="仿宋"/>
          <w:sz w:val="32"/>
          <w:szCs w:val="32"/>
        </w:rPr>
      </w:pPr>
      <w:r>
        <w:rPr>
          <w:rFonts w:hint="eastAsia" w:cs="仿宋"/>
          <w:sz w:val="32"/>
          <w:szCs w:val="32"/>
        </w:rPr>
        <w:t>住房保障支出（类）住房改革支出（款）住房公积金（项）：指本单位用于按规定的工资基数以及规定比例为职工缴纳的住房公积金。</w:t>
      </w:r>
    </w:p>
    <w:p>
      <w:pPr>
        <w:numPr>
          <w:ilvl w:val="0"/>
          <w:numId w:val="3"/>
        </w:numPr>
        <w:ind w:left="0" w:leftChars="0"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pStyle w:val="2"/>
        <w:numPr>
          <w:ilvl w:val="0"/>
          <w:numId w:val="3"/>
        </w:numPr>
        <w:spacing w:before="93"/>
        <w:ind w:left="0" w:leftChars="0" w:firstLine="640" w:firstLineChars="200"/>
        <w:rPr>
          <w:sz w:val="32"/>
          <w:szCs w:val="32"/>
        </w:rPr>
      </w:pPr>
      <w:r>
        <w:rPr>
          <w:rFonts w:hint="eastAsia"/>
          <w:sz w:val="32"/>
          <w:szCs w:val="32"/>
        </w:rPr>
        <w:t>项目支出：指在基本支出之外为完成特定行政任务和事业发展目标所发生的支出。</w:t>
      </w:r>
    </w:p>
    <w:p>
      <w:pPr>
        <w:pStyle w:val="2"/>
        <w:spacing w:before="93"/>
        <w:ind w:firstLine="600" w:firstLineChars="200"/>
      </w:pPr>
    </w:p>
    <w:p>
      <w:pPr>
        <w:spacing w:line="600" w:lineRule="exact"/>
        <w:jc w:val="center"/>
        <w:rPr>
          <w:rFonts w:eastAsia="黑体"/>
          <w:sz w:val="44"/>
          <w:szCs w:val="44"/>
        </w:rPr>
      </w:pPr>
      <w:bookmarkStart w:id="70" w:name="_Toc15396614"/>
      <w:bookmarkStart w:id="71" w:name="_Toc15377226"/>
    </w:p>
    <w:p>
      <w:pPr>
        <w:spacing w:line="600" w:lineRule="exact"/>
        <w:jc w:val="center"/>
        <w:rPr>
          <w:rFonts w:eastAsia="黑体"/>
          <w:sz w:val="44"/>
          <w:szCs w:val="44"/>
        </w:rPr>
      </w:pPr>
    </w:p>
    <w:p>
      <w:pPr>
        <w:spacing w:line="600" w:lineRule="exact"/>
        <w:jc w:val="center"/>
        <w:rPr>
          <w:rFonts w:eastAsia="黑体"/>
          <w:sz w:val="44"/>
          <w:szCs w:val="44"/>
        </w:rPr>
      </w:pPr>
    </w:p>
    <w:p>
      <w:pPr>
        <w:spacing w:line="600" w:lineRule="exact"/>
        <w:jc w:val="center"/>
        <w:rPr>
          <w:rFonts w:eastAsia="黑体"/>
          <w:sz w:val="44"/>
          <w:szCs w:val="44"/>
        </w:rPr>
      </w:pPr>
    </w:p>
    <w:p>
      <w:pPr>
        <w:spacing w:line="600" w:lineRule="exact"/>
        <w:jc w:val="center"/>
        <w:rPr>
          <w:rFonts w:eastAsia="黑体"/>
          <w:sz w:val="44"/>
          <w:szCs w:val="44"/>
        </w:rPr>
      </w:pPr>
    </w:p>
    <w:p>
      <w:pPr>
        <w:spacing w:line="600" w:lineRule="exact"/>
        <w:jc w:val="center"/>
        <w:rPr>
          <w:rFonts w:eastAsia="黑体"/>
          <w:sz w:val="44"/>
          <w:szCs w:val="44"/>
        </w:rPr>
      </w:pPr>
    </w:p>
    <w:p>
      <w:pPr>
        <w:spacing w:line="600" w:lineRule="exact"/>
        <w:jc w:val="center"/>
        <w:rPr>
          <w:rFonts w:eastAsia="黑体"/>
          <w:sz w:val="44"/>
          <w:szCs w:val="44"/>
        </w:rPr>
      </w:pPr>
    </w:p>
    <w:p>
      <w:pPr>
        <w:spacing w:line="600" w:lineRule="exact"/>
        <w:jc w:val="center"/>
        <w:rPr>
          <w:rFonts w:eastAsia="黑体"/>
          <w:sz w:val="44"/>
          <w:szCs w:val="44"/>
        </w:rPr>
      </w:pPr>
    </w:p>
    <w:p>
      <w:pPr>
        <w:spacing w:line="600" w:lineRule="exact"/>
        <w:jc w:val="center"/>
        <w:rPr>
          <w:rFonts w:eastAsia="黑体"/>
          <w:sz w:val="44"/>
          <w:szCs w:val="44"/>
        </w:rPr>
      </w:pPr>
    </w:p>
    <w:p>
      <w:pPr>
        <w:spacing w:line="600" w:lineRule="exact"/>
        <w:jc w:val="center"/>
        <w:rPr>
          <w:rFonts w:eastAsia="黑体"/>
          <w:sz w:val="44"/>
          <w:szCs w:val="44"/>
        </w:rPr>
      </w:pPr>
    </w:p>
    <w:p>
      <w:pPr>
        <w:spacing w:line="600" w:lineRule="exact"/>
        <w:jc w:val="center"/>
        <w:rPr>
          <w:rFonts w:eastAsia="黑体"/>
          <w:sz w:val="44"/>
          <w:szCs w:val="44"/>
        </w:rPr>
      </w:pPr>
    </w:p>
    <w:p>
      <w:pPr>
        <w:spacing w:line="600" w:lineRule="exact"/>
        <w:jc w:val="center"/>
        <w:rPr>
          <w:rFonts w:eastAsia="黑体"/>
          <w:sz w:val="44"/>
          <w:szCs w:val="44"/>
        </w:rPr>
      </w:pPr>
    </w:p>
    <w:p>
      <w:pPr>
        <w:spacing w:line="600" w:lineRule="exact"/>
        <w:jc w:val="center"/>
        <w:rPr>
          <w:rFonts w:eastAsia="黑体"/>
          <w:sz w:val="44"/>
          <w:szCs w:val="44"/>
        </w:rPr>
      </w:pPr>
    </w:p>
    <w:p>
      <w:pPr>
        <w:spacing w:line="600" w:lineRule="exact"/>
        <w:jc w:val="center"/>
        <w:rPr>
          <w:rFonts w:eastAsia="黑体"/>
          <w:sz w:val="44"/>
          <w:szCs w:val="44"/>
        </w:rPr>
      </w:pPr>
    </w:p>
    <w:p>
      <w:pPr>
        <w:pStyle w:val="3"/>
        <w:bidi w:val="0"/>
        <w:jc w:val="center"/>
      </w:pPr>
      <w:bookmarkStart w:id="72" w:name="_Toc3518"/>
      <w:r>
        <w:rPr>
          <w:rFonts w:hint="eastAsia"/>
        </w:rPr>
        <w:t>第四部分  附件</w:t>
      </w:r>
      <w:bookmarkEnd w:id="70"/>
      <w:bookmarkEnd w:id="72"/>
    </w:p>
    <w:p>
      <w:pPr>
        <w:spacing w:line="572" w:lineRule="exact"/>
        <w:jc w:val="left"/>
        <w:outlineLvl w:val="0"/>
        <w:rPr>
          <w:rFonts w:eastAsia="黑体" w:cs="黑体"/>
          <w:color w:val="FF0000"/>
          <w:sz w:val="32"/>
          <w:szCs w:val="32"/>
        </w:rPr>
      </w:pPr>
    </w:p>
    <w:p>
      <w:pPr>
        <w:spacing w:line="572" w:lineRule="exact"/>
        <w:ind w:firstLine="640" w:firstLineChars="200"/>
        <w:jc w:val="left"/>
        <w:outlineLvl w:val="0"/>
        <w:rPr>
          <w:rFonts w:eastAsia="仿宋_GB2312"/>
          <w:sz w:val="32"/>
          <w:szCs w:val="32"/>
          <w:lang w:bidi="ar"/>
        </w:rPr>
      </w:pPr>
      <w:bookmarkStart w:id="73" w:name="_Toc12947"/>
      <w:r>
        <w:rPr>
          <w:rFonts w:hint="eastAsia" w:eastAsia="仿宋_GB2312"/>
          <w:sz w:val="32"/>
          <w:szCs w:val="32"/>
          <w:lang w:bidi="ar"/>
        </w:rPr>
        <w:t>附件1：</w:t>
      </w:r>
      <w:r>
        <w:rPr>
          <w:rFonts w:eastAsia="仿宋_GB2312"/>
          <w:sz w:val="32"/>
          <w:szCs w:val="32"/>
          <w:lang w:bidi="ar"/>
        </w:rPr>
        <w:t>部门预算绩效</w:t>
      </w:r>
      <w:r>
        <w:rPr>
          <w:rFonts w:hint="eastAsia" w:eastAsia="仿宋_GB2312"/>
          <w:sz w:val="32"/>
          <w:szCs w:val="32"/>
          <w:lang w:bidi="ar"/>
        </w:rPr>
        <w:t>评价</w:t>
      </w:r>
      <w:r>
        <w:rPr>
          <w:rFonts w:eastAsia="仿宋_GB2312"/>
          <w:sz w:val="32"/>
          <w:szCs w:val="32"/>
          <w:lang w:bidi="ar"/>
        </w:rPr>
        <w:t>报告</w:t>
      </w:r>
      <w:r>
        <w:rPr>
          <w:rFonts w:hint="eastAsia" w:eastAsia="仿宋_GB2312"/>
          <w:sz w:val="32"/>
          <w:szCs w:val="32"/>
          <w:lang w:bidi="ar"/>
        </w:rPr>
        <w:t>（2024年度）</w:t>
      </w:r>
      <w:bookmarkEnd w:id="73"/>
    </w:p>
    <w:p>
      <w:pPr>
        <w:pStyle w:val="7"/>
        <w:spacing w:line="560" w:lineRule="exact"/>
        <w:ind w:left="0" w:leftChars="0" w:firstLine="640"/>
        <w:rPr>
          <w:rFonts w:ascii="Times New Roman" w:eastAsia="仿宋_GB2312"/>
          <w:sz w:val="32"/>
          <w:lang w:val="zh-CN" w:bidi="ar"/>
        </w:rPr>
      </w:pPr>
      <w:r>
        <w:rPr>
          <w:rFonts w:hint="eastAsia" w:ascii="Times New Roman" w:eastAsia="仿宋_GB2312"/>
          <w:sz w:val="32"/>
          <w:lang w:val="zh-CN" w:bidi="ar"/>
        </w:rPr>
        <w:t>附表：</w:t>
      </w:r>
      <w:r>
        <w:rPr>
          <w:rFonts w:hint="eastAsia" w:ascii="Times New Roman" w:eastAsia="仿宋_GB2312"/>
          <w:sz w:val="32"/>
          <w:lang w:bidi="ar"/>
        </w:rPr>
        <w:t>部门预算项目支出绩效自评表（2024年度）</w:t>
      </w:r>
    </w:p>
    <w:p>
      <w:pPr>
        <w:pStyle w:val="2"/>
        <w:spacing w:before="93"/>
        <w:ind w:firstLine="640" w:firstLineChars="200"/>
        <w:rPr>
          <w:rFonts w:ascii="Times New Roman"/>
          <w:kern w:val="2"/>
          <w:sz w:val="32"/>
          <w:szCs w:val="32"/>
          <w:lang w:bidi="ar"/>
        </w:rPr>
      </w:pPr>
      <w:bookmarkStart w:id="74" w:name="OLE_LINK1"/>
      <w:bookmarkStart w:id="75" w:name="OLE_LINK2"/>
      <w:r>
        <w:rPr>
          <w:rFonts w:hint="eastAsia" w:ascii="Times New Roman"/>
          <w:kern w:val="2"/>
          <w:sz w:val="32"/>
          <w:szCs w:val="32"/>
          <w:lang w:bidi="ar"/>
        </w:rPr>
        <w:t>附件2：专项预算项目绩效评价报告</w:t>
      </w:r>
      <w:r>
        <w:rPr>
          <w:rFonts w:hint="eastAsia" w:ascii="Times New Roman"/>
          <w:sz w:val="32"/>
          <w:lang w:bidi="ar"/>
        </w:rPr>
        <w:t>（2024年度）</w:t>
      </w:r>
    </w:p>
    <w:bookmarkEnd w:id="74"/>
    <w:bookmarkEnd w:id="75"/>
    <w:p>
      <w:pPr>
        <w:pStyle w:val="7"/>
        <w:spacing w:line="560" w:lineRule="exact"/>
        <w:ind w:left="0" w:leftChars="0" w:firstLine="0" w:firstLineChars="0"/>
        <w:rPr>
          <w:rFonts w:ascii="Times New Roman"/>
          <w:sz w:val="32"/>
          <w:highlight w:val="yellow"/>
          <w:lang w:val="zh-CN"/>
        </w:rPr>
      </w:pPr>
    </w:p>
    <w:p>
      <w:pPr>
        <w:pStyle w:val="2"/>
        <w:spacing w:before="93"/>
        <w:rPr>
          <w:rFonts w:ascii="Times New Roman" w:cs="宋体"/>
          <w:color w:val="FF0000"/>
          <w:sz w:val="32"/>
          <w:szCs w:val="32"/>
          <w:highlight w:val="yellow"/>
          <w:shd w:val="clear" w:color="auto" w:fill="FFFFFF"/>
          <w:lang w:val="zh-CN"/>
        </w:rPr>
      </w:pPr>
    </w:p>
    <w:p>
      <w:pPr>
        <w:rPr>
          <w:rFonts w:eastAsia="黑体" w:cs="黑体"/>
          <w:kern w:val="0"/>
          <w:sz w:val="32"/>
          <w:szCs w:val="32"/>
          <w:shd w:val="clear" w:color="auto" w:fill="FFFFFF"/>
          <w:lang w:val="zh-CN"/>
        </w:rPr>
      </w:pPr>
      <w:r>
        <w:rPr>
          <w:rFonts w:hint="eastAsia" w:eastAsia="黑体" w:cs="黑体"/>
          <w:kern w:val="0"/>
          <w:sz w:val="32"/>
          <w:szCs w:val="32"/>
          <w:shd w:val="clear" w:color="auto" w:fill="FFFFFF"/>
          <w:lang w:val="zh-CN"/>
        </w:rPr>
        <w:br w:type="page"/>
      </w:r>
    </w:p>
    <w:p>
      <w:pPr>
        <w:pStyle w:val="3"/>
        <w:bidi w:val="0"/>
        <w:jc w:val="center"/>
        <w:rPr>
          <w:rFonts w:eastAsia="仿宋_GB2312" w:cs="仿宋_GB2312"/>
          <w:sz w:val="32"/>
          <w:szCs w:val="32"/>
        </w:rPr>
      </w:pPr>
      <w:bookmarkStart w:id="76" w:name="_Toc7137"/>
      <w:bookmarkStart w:id="77" w:name="_Toc15396618"/>
      <w:r>
        <w:rPr>
          <w:rFonts w:hint="eastAsia" w:eastAsia="黑体"/>
          <w:sz w:val="44"/>
          <w:szCs w:val="44"/>
        </w:rPr>
        <w:t>第</w:t>
      </w:r>
      <w:r>
        <w:rPr>
          <w:rStyle w:val="29"/>
          <w:rFonts w:hint="eastAsia" w:eastAsia="黑体"/>
          <w:b w:val="0"/>
          <w:bCs/>
        </w:rPr>
        <w:t>五部分 附表</w:t>
      </w:r>
      <w:bookmarkEnd w:id="71"/>
      <w:bookmarkEnd w:id="76"/>
      <w:bookmarkEnd w:id="77"/>
      <w:bookmarkStart w:id="78" w:name="_Toc15396619"/>
    </w:p>
    <w:p>
      <w:pPr>
        <w:pStyle w:val="4"/>
        <w:bidi w:val="0"/>
        <w:rPr>
          <w:b w:val="0"/>
          <w:bCs w:val="0"/>
        </w:rPr>
      </w:pPr>
      <w:bookmarkStart w:id="79" w:name="_Toc8898"/>
      <w:r>
        <w:rPr>
          <w:rFonts w:hint="eastAsia"/>
          <w:b w:val="0"/>
          <w:bCs w:val="0"/>
        </w:rPr>
        <w:t>一、收入支出决算总表</w:t>
      </w:r>
      <w:bookmarkEnd w:id="78"/>
      <w:bookmarkEnd w:id="79"/>
    </w:p>
    <w:p>
      <w:pPr>
        <w:pStyle w:val="4"/>
        <w:bidi w:val="0"/>
        <w:rPr>
          <w:b w:val="0"/>
          <w:bCs w:val="0"/>
        </w:rPr>
      </w:pPr>
      <w:bookmarkStart w:id="80" w:name="_Toc15396620"/>
      <w:bookmarkStart w:id="81" w:name="_Toc10034"/>
      <w:r>
        <w:rPr>
          <w:rFonts w:hint="eastAsia"/>
          <w:b w:val="0"/>
          <w:bCs w:val="0"/>
        </w:rPr>
        <w:t>二、收入决算表</w:t>
      </w:r>
      <w:bookmarkEnd w:id="80"/>
      <w:bookmarkEnd w:id="81"/>
    </w:p>
    <w:p>
      <w:pPr>
        <w:pStyle w:val="4"/>
        <w:bidi w:val="0"/>
        <w:rPr>
          <w:b w:val="0"/>
          <w:bCs w:val="0"/>
        </w:rPr>
      </w:pPr>
      <w:bookmarkStart w:id="82" w:name="_Toc27224"/>
      <w:bookmarkStart w:id="83" w:name="_Toc15396621"/>
      <w:r>
        <w:rPr>
          <w:rFonts w:hint="eastAsia"/>
          <w:b w:val="0"/>
          <w:bCs w:val="0"/>
        </w:rPr>
        <w:t>三、支出决算表</w:t>
      </w:r>
      <w:bookmarkEnd w:id="82"/>
      <w:bookmarkEnd w:id="83"/>
    </w:p>
    <w:p>
      <w:pPr>
        <w:pStyle w:val="4"/>
        <w:bidi w:val="0"/>
        <w:rPr>
          <w:b w:val="0"/>
          <w:bCs w:val="0"/>
        </w:rPr>
      </w:pPr>
      <w:bookmarkStart w:id="84" w:name="_Toc15396622"/>
      <w:bookmarkStart w:id="85" w:name="_Toc7284"/>
      <w:r>
        <w:rPr>
          <w:rFonts w:hint="eastAsia"/>
          <w:b w:val="0"/>
          <w:bCs w:val="0"/>
        </w:rPr>
        <w:t>四、财政拨款收入支出决算总表</w:t>
      </w:r>
      <w:bookmarkEnd w:id="84"/>
      <w:bookmarkEnd w:id="85"/>
    </w:p>
    <w:p>
      <w:pPr>
        <w:pStyle w:val="4"/>
        <w:bidi w:val="0"/>
        <w:rPr>
          <w:b w:val="0"/>
          <w:bCs w:val="0"/>
        </w:rPr>
      </w:pPr>
      <w:bookmarkStart w:id="86" w:name="_Toc3242"/>
      <w:bookmarkStart w:id="87" w:name="_Toc15396623"/>
      <w:r>
        <w:rPr>
          <w:rFonts w:hint="eastAsia"/>
          <w:b w:val="0"/>
          <w:bCs w:val="0"/>
        </w:rPr>
        <w:t>五、财政拨款支出决算明细表</w:t>
      </w:r>
      <w:bookmarkEnd w:id="86"/>
      <w:bookmarkEnd w:id="87"/>
      <w:bookmarkStart w:id="88" w:name="_Toc15396624"/>
    </w:p>
    <w:p>
      <w:pPr>
        <w:pStyle w:val="4"/>
        <w:bidi w:val="0"/>
        <w:rPr>
          <w:b w:val="0"/>
          <w:bCs w:val="0"/>
        </w:rPr>
      </w:pPr>
      <w:bookmarkStart w:id="89" w:name="_Toc31960"/>
      <w:r>
        <w:rPr>
          <w:rFonts w:hint="eastAsia"/>
          <w:b w:val="0"/>
          <w:bCs w:val="0"/>
        </w:rPr>
        <w:t>六、一般公共预算财政拨款支出决算表</w:t>
      </w:r>
      <w:bookmarkEnd w:id="88"/>
      <w:bookmarkEnd w:id="89"/>
    </w:p>
    <w:p>
      <w:pPr>
        <w:pStyle w:val="4"/>
        <w:bidi w:val="0"/>
        <w:rPr>
          <w:b w:val="0"/>
          <w:bCs w:val="0"/>
        </w:rPr>
      </w:pPr>
      <w:bookmarkStart w:id="90" w:name="_Toc15396625"/>
      <w:bookmarkStart w:id="91" w:name="_Toc11403"/>
      <w:r>
        <w:rPr>
          <w:rFonts w:hint="eastAsia"/>
          <w:b w:val="0"/>
          <w:bCs w:val="0"/>
        </w:rPr>
        <w:t>七、一般公共预算财政拨款支出决算明细表</w:t>
      </w:r>
      <w:bookmarkEnd w:id="90"/>
      <w:bookmarkEnd w:id="91"/>
    </w:p>
    <w:p>
      <w:pPr>
        <w:pStyle w:val="4"/>
        <w:bidi w:val="0"/>
        <w:rPr>
          <w:b w:val="0"/>
          <w:bCs w:val="0"/>
        </w:rPr>
      </w:pPr>
      <w:bookmarkStart w:id="92" w:name="_Toc15396626"/>
      <w:bookmarkStart w:id="93" w:name="_Toc5291"/>
      <w:r>
        <w:rPr>
          <w:rFonts w:hint="eastAsia"/>
          <w:b w:val="0"/>
          <w:bCs w:val="0"/>
        </w:rPr>
        <w:t>八、一般公共预算财政拨款基本支出决算表</w:t>
      </w:r>
      <w:bookmarkEnd w:id="92"/>
      <w:bookmarkEnd w:id="93"/>
    </w:p>
    <w:p>
      <w:pPr>
        <w:pStyle w:val="4"/>
        <w:bidi w:val="0"/>
        <w:rPr>
          <w:b w:val="0"/>
          <w:bCs w:val="0"/>
        </w:rPr>
      </w:pPr>
      <w:bookmarkStart w:id="94" w:name="_Toc15396627"/>
      <w:bookmarkStart w:id="95" w:name="_Toc20180"/>
      <w:r>
        <w:rPr>
          <w:rFonts w:hint="eastAsia"/>
          <w:b w:val="0"/>
          <w:bCs w:val="0"/>
        </w:rPr>
        <w:t>九、一般公共预算财政拨款项目支出决算表</w:t>
      </w:r>
      <w:bookmarkEnd w:id="94"/>
      <w:bookmarkEnd w:id="95"/>
    </w:p>
    <w:p>
      <w:pPr>
        <w:pStyle w:val="4"/>
        <w:bidi w:val="0"/>
        <w:rPr>
          <w:b w:val="0"/>
          <w:bCs w:val="0"/>
        </w:rPr>
      </w:pPr>
      <w:bookmarkStart w:id="96" w:name="_Toc15396628"/>
      <w:bookmarkStart w:id="97" w:name="_Toc51"/>
      <w:r>
        <w:rPr>
          <w:rFonts w:hint="eastAsia"/>
          <w:b w:val="0"/>
          <w:bCs w:val="0"/>
        </w:rPr>
        <w:t>十、</w:t>
      </w:r>
      <w:bookmarkEnd w:id="96"/>
      <w:r>
        <w:rPr>
          <w:rFonts w:hint="eastAsia"/>
          <w:b w:val="0"/>
          <w:bCs w:val="0"/>
        </w:rPr>
        <w:t>政府性基金预算财政拨款收入支出决算表</w:t>
      </w:r>
      <w:bookmarkEnd w:id="97"/>
    </w:p>
    <w:p>
      <w:pPr>
        <w:pStyle w:val="4"/>
        <w:bidi w:val="0"/>
        <w:rPr>
          <w:b w:val="0"/>
          <w:bCs w:val="0"/>
        </w:rPr>
      </w:pPr>
      <w:bookmarkStart w:id="98" w:name="_Toc15396629"/>
      <w:bookmarkStart w:id="99" w:name="_Toc26164"/>
      <w:r>
        <w:rPr>
          <w:rFonts w:hint="eastAsia"/>
          <w:b w:val="0"/>
          <w:bCs w:val="0"/>
        </w:rPr>
        <w:t>十一、</w:t>
      </w:r>
      <w:bookmarkEnd w:id="98"/>
      <w:r>
        <w:rPr>
          <w:rFonts w:hint="eastAsia"/>
          <w:b w:val="0"/>
          <w:bCs w:val="0"/>
        </w:rPr>
        <w:t>国有资本经营预算财政拨款收入支出决算表</w:t>
      </w:r>
      <w:bookmarkEnd w:id="99"/>
    </w:p>
    <w:p>
      <w:pPr>
        <w:pStyle w:val="4"/>
        <w:bidi w:val="0"/>
        <w:rPr>
          <w:b w:val="0"/>
          <w:bCs w:val="0"/>
        </w:rPr>
      </w:pPr>
      <w:bookmarkStart w:id="100" w:name="_Toc15396630"/>
      <w:bookmarkStart w:id="101" w:name="_Toc14529"/>
      <w:r>
        <w:rPr>
          <w:rFonts w:hint="eastAsia"/>
          <w:b w:val="0"/>
          <w:bCs w:val="0"/>
        </w:rPr>
        <w:t>十二、</w:t>
      </w:r>
      <w:bookmarkEnd w:id="100"/>
      <w:r>
        <w:rPr>
          <w:rFonts w:hint="eastAsia"/>
          <w:b w:val="0"/>
          <w:bCs w:val="0"/>
        </w:rPr>
        <w:t>国有资本经营预算财政拨款支出决算表</w:t>
      </w:r>
      <w:bookmarkEnd w:id="101"/>
    </w:p>
    <w:p>
      <w:pPr>
        <w:pStyle w:val="4"/>
        <w:bidi w:val="0"/>
        <w:rPr>
          <w:b w:val="0"/>
          <w:bCs w:val="0"/>
        </w:rPr>
      </w:pPr>
      <w:bookmarkStart w:id="102" w:name="_Toc15396631"/>
      <w:bookmarkStart w:id="103" w:name="_Toc6809"/>
      <w:r>
        <w:rPr>
          <w:rFonts w:hint="eastAsia"/>
          <w:b w:val="0"/>
          <w:bCs w:val="0"/>
        </w:rPr>
        <w:t>十三、</w:t>
      </w:r>
      <w:bookmarkEnd w:id="102"/>
      <w:r>
        <w:rPr>
          <w:rFonts w:hint="eastAsia"/>
          <w:b w:val="0"/>
          <w:bCs w:val="0"/>
        </w:rPr>
        <w:t>财政拨款“三公”经费支出决算表</w:t>
      </w:r>
      <w:bookmarkEnd w:id="103"/>
    </w:p>
    <w:p/>
    <w:sectPr>
      <w:footerReference r:id="rId8" w:type="first"/>
      <w:pgSz w:w="11906" w:h="16838"/>
      <w:pgMar w:top="1440" w:right="1797" w:bottom="1440" w:left="1797" w:header="851" w:footer="709"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
    <w:altName w:val="华文中宋"/>
    <w:panose1 w:val="00000000000000000000"/>
    <w:charset w:val="00"/>
    <w:family w:val="roman"/>
    <w:pitch w:val="default"/>
    <w:sig w:usb0="00000000" w:usb1="00000000" w:usb2="00000000" w:usb3="00000000" w:csb0="00040001"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Lucida Sans">
    <w:panose1 w:val="020B0602030504020204"/>
    <w:charset w:val="00"/>
    <w:family w:val="auto"/>
    <w:pitch w:val="default"/>
    <w:sig w:usb0="00000000" w:usb1="00000000" w:usb2="00000000" w:usb3="00000000" w:csb0="00000000" w:csb1="00000000"/>
  </w:font>
  <w:font w:name="Comic Sans MS">
    <w:panose1 w:val="030F0702030302020204"/>
    <w:charset w:val="00"/>
    <w:family w:val="auto"/>
    <w:pitch w:val="default"/>
    <w:sig w:usb0="00000287" w:usb1="00000000" w:usb2="00000000" w:usb3="00000000" w:csb0="2000009F" w:csb1="00000000"/>
  </w:font>
  <w:font w:name="Noto Sans Syriac Eastern">
    <w:panose1 w:val="02040503050306020203"/>
    <w:charset w:val="86"/>
    <w:family w:val="auto"/>
    <w:pitch w:val="default"/>
    <w:sig w:usb0="00000000" w:usb1="00000000" w:usb2="00000080" w:usb3="00000000" w:csb0="203E0161" w:csb1="D7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p>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center" w:y="1"/>
      <w:rPr>
        <w:rStyle w:val="18"/>
      </w:rPr>
    </w:pPr>
    <w:r>
      <w:rPr>
        <w:rStyle w:val="18"/>
      </w:rPr>
      <w:fldChar w:fldCharType="begin"/>
    </w:r>
    <w:r>
      <w:rPr>
        <w:rStyle w:val="18"/>
      </w:rPr>
      <w:instrText xml:space="preserve"> PAGE </w:instrText>
    </w:r>
    <w:r>
      <w:rPr>
        <w:rStyle w:val="18"/>
      </w:rPr>
      <w:fldChar w:fldCharType="end"/>
    </w:r>
  </w:p>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center" w:y="1"/>
      <w:rPr>
        <w:rStyle w:val="18"/>
        <w:rFonts w:hint="eastAsia" w:asciiTheme="minorEastAsia" w:hAnsiTheme="minorEastAsia" w:eastAsiaTheme="minorEastAsia"/>
        <w:sz w:val="28"/>
        <w:szCs w:val="28"/>
      </w:rPr>
    </w:pPr>
    <w:r>
      <w:rPr>
        <w:rStyle w:val="18"/>
        <w:rFonts w:asciiTheme="minorEastAsia" w:hAnsiTheme="minorEastAsia" w:eastAsiaTheme="minorEastAsia"/>
        <w:sz w:val="28"/>
        <w:szCs w:val="28"/>
      </w:rPr>
      <w:t>—</w:t>
    </w:r>
    <w:r>
      <w:rPr>
        <w:rStyle w:val="18"/>
        <w:rFonts w:hint="eastAsia" w:asciiTheme="minorEastAsia" w:hAnsiTheme="minorEastAsia" w:eastAsiaTheme="minorEastAsia"/>
        <w:sz w:val="28"/>
        <w:szCs w:val="28"/>
      </w:rPr>
      <w:t>　</w:t>
    </w:r>
    <w:r>
      <w:rPr>
        <w:rStyle w:val="18"/>
        <w:rFonts w:asciiTheme="minorEastAsia" w:hAnsiTheme="minorEastAsia" w:eastAsiaTheme="minorEastAsia"/>
        <w:sz w:val="28"/>
        <w:szCs w:val="28"/>
      </w:rPr>
      <w:fldChar w:fldCharType="begin"/>
    </w:r>
    <w:r>
      <w:rPr>
        <w:rStyle w:val="18"/>
        <w:rFonts w:asciiTheme="minorEastAsia" w:hAnsiTheme="minorEastAsia" w:eastAsiaTheme="minorEastAsia"/>
        <w:sz w:val="28"/>
        <w:szCs w:val="28"/>
      </w:rPr>
      <w:instrText xml:space="preserve"> PAGE </w:instrText>
    </w:r>
    <w:r>
      <w:rPr>
        <w:rStyle w:val="18"/>
        <w:rFonts w:asciiTheme="minorEastAsia" w:hAnsiTheme="minorEastAsia" w:eastAsiaTheme="minorEastAsia"/>
        <w:sz w:val="28"/>
        <w:szCs w:val="28"/>
      </w:rPr>
      <w:fldChar w:fldCharType="separate"/>
    </w:r>
    <w:r>
      <w:rPr>
        <w:rStyle w:val="18"/>
        <w:rFonts w:asciiTheme="minorEastAsia" w:hAnsiTheme="minorEastAsia" w:eastAsiaTheme="minorEastAsia"/>
        <w:sz w:val="28"/>
        <w:szCs w:val="28"/>
      </w:rPr>
      <w:t>13</w:t>
    </w:r>
    <w:r>
      <w:rPr>
        <w:rStyle w:val="18"/>
        <w:rFonts w:asciiTheme="minorEastAsia" w:hAnsiTheme="minorEastAsia" w:eastAsiaTheme="minorEastAsia"/>
        <w:sz w:val="28"/>
        <w:szCs w:val="28"/>
      </w:rPr>
      <w:fldChar w:fldCharType="end"/>
    </w:r>
    <w:r>
      <w:rPr>
        <w:rStyle w:val="18"/>
        <w:rFonts w:hint="eastAsia" w:asciiTheme="minorEastAsia" w:hAnsiTheme="minorEastAsia" w:eastAsiaTheme="minorEastAsia"/>
        <w:sz w:val="28"/>
        <w:szCs w:val="28"/>
      </w:rPr>
      <w:t>　</w:t>
    </w:r>
    <w:r>
      <w:rPr>
        <w:rStyle w:val="18"/>
        <w:rFonts w:asciiTheme="minorEastAsia" w:hAnsiTheme="minorEastAsia" w:eastAsiaTheme="minorEastAsia"/>
        <w:sz w:val="28"/>
        <w:szCs w:val="28"/>
      </w:rPr>
      <w:t>—</w:t>
    </w:r>
  </w:p>
  <w:p>
    <w:pPr>
      <w:pStyle w:val="10"/>
      <w:jc w:val="center"/>
    </w:pPr>
  </w:p>
  <w:p>
    <w:pPr>
      <w:pStyle w:val="1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64317108"/>
      <w:docPartObj>
        <w:docPartGallery w:val="autotext"/>
      </w:docPartObj>
    </w:sdtPr>
    <w:sdtEndPr>
      <w:rPr>
        <w:rFonts w:asciiTheme="minorEastAsia" w:hAnsiTheme="minorEastAsia" w:eastAsiaTheme="minorEastAsia"/>
        <w:sz w:val="28"/>
        <w:szCs w:val="28"/>
      </w:rPr>
    </w:sdtEndPr>
    <w:sdtContent>
      <w:p>
        <w:pPr>
          <w:pStyle w:val="10"/>
          <w:jc w:val="center"/>
          <w:rPr>
            <w:rFonts w:asciiTheme="minorEastAsia" w:hAnsiTheme="minorEastAsia" w:eastAsiaTheme="minorEastAsia"/>
            <w:sz w:val="28"/>
            <w:szCs w:val="28"/>
          </w:rPr>
        </w:pPr>
        <w:r>
          <w:rPr>
            <w:rFonts w:asciiTheme="minorEastAsia" w:hAnsiTheme="minorEastAsia" w:eastAsiaTheme="minorEastAsia"/>
            <w:sz w:val="28"/>
            <w:szCs w:val="28"/>
          </w:rPr>
          <w:t>—</w:t>
        </w:r>
        <w:r>
          <w:rPr>
            <w:rFonts w:hint="eastAsia" w:asciiTheme="minorEastAsia" w:hAnsiTheme="minorEastAsia" w:eastAsiaTheme="minorEastAsia"/>
            <w:sz w:val="28"/>
            <w:szCs w:val="28"/>
          </w:rPr>
          <w:t>　</w:t>
        </w: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PAGE   \* MERGEFORMAT</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1</w:t>
        </w:r>
        <w:r>
          <w:rPr>
            <w:rFonts w:asciiTheme="minorEastAsia" w:hAnsiTheme="minorEastAsia" w:eastAsiaTheme="minorEastAsia"/>
            <w:sz w:val="28"/>
            <w:szCs w:val="28"/>
          </w:rPr>
          <w:fldChar w:fldCharType="end"/>
        </w:r>
        <w:r>
          <w:rPr>
            <w:rFonts w:hint="eastAsia" w:asciiTheme="minorEastAsia" w:hAnsiTheme="minorEastAsia" w:eastAsiaTheme="minorEastAsia"/>
            <w:sz w:val="28"/>
            <w:szCs w:val="28"/>
          </w:rPr>
          <w:t>　</w:t>
        </w:r>
        <w:r>
          <w:rPr>
            <w:rFonts w:asciiTheme="minorEastAsia" w:hAnsiTheme="minorEastAsia" w:eastAsiaTheme="minorEastAsia"/>
            <w:sz w:val="28"/>
            <w:szCs w:val="28"/>
          </w:rPr>
          <w:t>—</w:t>
        </w:r>
      </w:p>
    </w:sdtContent>
  </w:sdt>
  <w:p>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4BE4D4"/>
    <w:multiLevelType w:val="singleLevel"/>
    <w:tmpl w:val="9E4BE4D4"/>
    <w:lvl w:ilvl="0" w:tentative="0">
      <w:start w:val="1"/>
      <w:numFmt w:val="decimal"/>
      <w:lvlText w:val="%1."/>
      <w:lvlJc w:val="left"/>
      <w:pPr>
        <w:tabs>
          <w:tab w:val="left" w:pos="312"/>
        </w:tabs>
      </w:pPr>
    </w:lvl>
  </w:abstractNum>
  <w:abstractNum w:abstractNumId="1">
    <w:nsid w:val="4B68069E"/>
    <w:multiLevelType w:val="multilevel"/>
    <w:tmpl w:val="4B68069E"/>
    <w:lvl w:ilvl="0" w:tentative="0">
      <w:start w:val="1"/>
      <w:numFmt w:val="japaneseCounting"/>
      <w:lvlText w:val="%1、"/>
      <w:lvlJc w:val="left"/>
      <w:pPr>
        <w:ind w:left="630" w:hanging="63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E94B25F"/>
    <w:multiLevelType w:val="singleLevel"/>
    <w:tmpl w:val="4E94B25F"/>
    <w:lvl w:ilvl="0" w:tentative="0">
      <w:start w:val="1"/>
      <w:numFmt w:val="decimal"/>
      <w:suff w:val="nothing"/>
      <w:lvlText w:val="%1．"/>
      <w:lvlJc w:val="left"/>
      <w:pPr>
        <w:ind w:left="0" w:firstLine="397"/>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true"/>
  <w:bordersDoNotSurroundFooter w:val="true"/>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58D8"/>
    <w:rsid w:val="0014729F"/>
    <w:rsid w:val="00157BAB"/>
    <w:rsid w:val="001654D1"/>
    <w:rsid w:val="00174518"/>
    <w:rsid w:val="0018106D"/>
    <w:rsid w:val="001877A7"/>
    <w:rsid w:val="00191536"/>
    <w:rsid w:val="00191852"/>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C0336"/>
    <w:rsid w:val="002D6D05"/>
    <w:rsid w:val="002E5BDC"/>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318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44F88"/>
    <w:rsid w:val="0066343B"/>
    <w:rsid w:val="00664777"/>
    <w:rsid w:val="006748A4"/>
    <w:rsid w:val="00681A31"/>
    <w:rsid w:val="00683E73"/>
    <w:rsid w:val="006A3141"/>
    <w:rsid w:val="006A5E34"/>
    <w:rsid w:val="006B2422"/>
    <w:rsid w:val="006B2B9A"/>
    <w:rsid w:val="006C1937"/>
    <w:rsid w:val="006E67EA"/>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B50F0"/>
    <w:rsid w:val="007D1682"/>
    <w:rsid w:val="007D312A"/>
    <w:rsid w:val="007D3F19"/>
    <w:rsid w:val="007E23B0"/>
    <w:rsid w:val="007E23E5"/>
    <w:rsid w:val="007F1991"/>
    <w:rsid w:val="007F2C2F"/>
    <w:rsid w:val="007F55FC"/>
    <w:rsid w:val="007F5665"/>
    <w:rsid w:val="00800112"/>
    <w:rsid w:val="00813348"/>
    <w:rsid w:val="008211B7"/>
    <w:rsid w:val="008253BB"/>
    <w:rsid w:val="0083706E"/>
    <w:rsid w:val="008408F6"/>
    <w:rsid w:val="008423A5"/>
    <w:rsid w:val="00850625"/>
    <w:rsid w:val="00853718"/>
    <w:rsid w:val="00855221"/>
    <w:rsid w:val="00860645"/>
    <w:rsid w:val="00871F71"/>
    <w:rsid w:val="00872FD8"/>
    <w:rsid w:val="008806C4"/>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349"/>
    <w:rsid w:val="00A04EB0"/>
    <w:rsid w:val="00A13CC1"/>
    <w:rsid w:val="00A16847"/>
    <w:rsid w:val="00A237D8"/>
    <w:rsid w:val="00A268C4"/>
    <w:rsid w:val="00A307CD"/>
    <w:rsid w:val="00A31A30"/>
    <w:rsid w:val="00A331C8"/>
    <w:rsid w:val="00A33E8B"/>
    <w:rsid w:val="00A40A00"/>
    <w:rsid w:val="00A4142F"/>
    <w:rsid w:val="00A422EB"/>
    <w:rsid w:val="00A45BB7"/>
    <w:rsid w:val="00A56DF2"/>
    <w:rsid w:val="00A56E6E"/>
    <w:rsid w:val="00A573E1"/>
    <w:rsid w:val="00A67AB5"/>
    <w:rsid w:val="00A733B2"/>
    <w:rsid w:val="00A741C2"/>
    <w:rsid w:val="00A91760"/>
    <w:rsid w:val="00A93B00"/>
    <w:rsid w:val="00A93C21"/>
    <w:rsid w:val="00A96C49"/>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2FB7"/>
    <w:rsid w:val="00B77EA6"/>
    <w:rsid w:val="00B81598"/>
    <w:rsid w:val="00B841F1"/>
    <w:rsid w:val="00B944D6"/>
    <w:rsid w:val="00BB4DF0"/>
    <w:rsid w:val="00BB60A6"/>
    <w:rsid w:val="00BC289F"/>
    <w:rsid w:val="00BC2D50"/>
    <w:rsid w:val="00BC5361"/>
    <w:rsid w:val="00BC5460"/>
    <w:rsid w:val="00BC6B50"/>
    <w:rsid w:val="00BD0E25"/>
    <w:rsid w:val="00BF2BC4"/>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011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1F82"/>
    <w:rsid w:val="00E472B1"/>
    <w:rsid w:val="00E50624"/>
    <w:rsid w:val="00E54633"/>
    <w:rsid w:val="00E568DF"/>
    <w:rsid w:val="00E64269"/>
    <w:rsid w:val="00E70326"/>
    <w:rsid w:val="00E75040"/>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B3F0E"/>
    <w:rsid w:val="00FD3CC1"/>
    <w:rsid w:val="00FD4F47"/>
    <w:rsid w:val="00FE288D"/>
    <w:rsid w:val="00FF1E02"/>
    <w:rsid w:val="00FF30B4"/>
    <w:rsid w:val="012A5EC2"/>
    <w:rsid w:val="015975B8"/>
    <w:rsid w:val="02FEBE30"/>
    <w:rsid w:val="04916F1E"/>
    <w:rsid w:val="061E35DE"/>
    <w:rsid w:val="066E0107"/>
    <w:rsid w:val="07996F6E"/>
    <w:rsid w:val="07DFD8BA"/>
    <w:rsid w:val="09867E8F"/>
    <w:rsid w:val="09BB19D8"/>
    <w:rsid w:val="0A2032A3"/>
    <w:rsid w:val="0CA8290A"/>
    <w:rsid w:val="0D35B1ED"/>
    <w:rsid w:val="0D94286E"/>
    <w:rsid w:val="0E254B6B"/>
    <w:rsid w:val="0F98263C"/>
    <w:rsid w:val="101860EC"/>
    <w:rsid w:val="101F47CC"/>
    <w:rsid w:val="10C055FF"/>
    <w:rsid w:val="11694EBD"/>
    <w:rsid w:val="11772AA4"/>
    <w:rsid w:val="118107EC"/>
    <w:rsid w:val="12E24EE2"/>
    <w:rsid w:val="13D50BC4"/>
    <w:rsid w:val="14B17F78"/>
    <w:rsid w:val="159D25E0"/>
    <w:rsid w:val="165E0673"/>
    <w:rsid w:val="16B831D5"/>
    <w:rsid w:val="16BB723D"/>
    <w:rsid w:val="17AF1D29"/>
    <w:rsid w:val="17E50567"/>
    <w:rsid w:val="186504BB"/>
    <w:rsid w:val="18F51424"/>
    <w:rsid w:val="19A445FC"/>
    <w:rsid w:val="1BCF0344"/>
    <w:rsid w:val="1BE8440E"/>
    <w:rsid w:val="1D155CEE"/>
    <w:rsid w:val="1D1638FE"/>
    <w:rsid w:val="1DE52C41"/>
    <w:rsid w:val="1E312DEB"/>
    <w:rsid w:val="1E740ACF"/>
    <w:rsid w:val="1FF35744"/>
    <w:rsid w:val="1FF6BC77"/>
    <w:rsid w:val="2186353C"/>
    <w:rsid w:val="23860B96"/>
    <w:rsid w:val="23E3039C"/>
    <w:rsid w:val="240371BF"/>
    <w:rsid w:val="244F3473"/>
    <w:rsid w:val="24C97D99"/>
    <w:rsid w:val="25A718F0"/>
    <w:rsid w:val="25BB59F6"/>
    <w:rsid w:val="260F557C"/>
    <w:rsid w:val="26970054"/>
    <w:rsid w:val="281408E2"/>
    <w:rsid w:val="29FD04D3"/>
    <w:rsid w:val="2B5216A4"/>
    <w:rsid w:val="2BB218E8"/>
    <w:rsid w:val="2BFF7BC6"/>
    <w:rsid w:val="2C8A61B5"/>
    <w:rsid w:val="2DF04E50"/>
    <w:rsid w:val="2E586DFA"/>
    <w:rsid w:val="2F040D46"/>
    <w:rsid w:val="2F6B035B"/>
    <w:rsid w:val="2FAE5751"/>
    <w:rsid w:val="2FB1A395"/>
    <w:rsid w:val="2FD9A7D8"/>
    <w:rsid w:val="2FDBF714"/>
    <w:rsid w:val="30AB6865"/>
    <w:rsid w:val="319F7F4E"/>
    <w:rsid w:val="32BD1EF1"/>
    <w:rsid w:val="3304709D"/>
    <w:rsid w:val="33A773CB"/>
    <w:rsid w:val="349D6851"/>
    <w:rsid w:val="36AA5135"/>
    <w:rsid w:val="36BE0DA7"/>
    <w:rsid w:val="376B6AA6"/>
    <w:rsid w:val="376D39B2"/>
    <w:rsid w:val="37E16F03"/>
    <w:rsid w:val="37F53A3B"/>
    <w:rsid w:val="389B6C89"/>
    <w:rsid w:val="38D469F0"/>
    <w:rsid w:val="39627CCD"/>
    <w:rsid w:val="397BAF1F"/>
    <w:rsid w:val="39E15381"/>
    <w:rsid w:val="3AB79AF3"/>
    <w:rsid w:val="3AE834C0"/>
    <w:rsid w:val="3B72466B"/>
    <w:rsid w:val="3B7EF35A"/>
    <w:rsid w:val="3B9FDB6C"/>
    <w:rsid w:val="3BF5BC2F"/>
    <w:rsid w:val="3CEBA265"/>
    <w:rsid w:val="3D98207C"/>
    <w:rsid w:val="3DEE7CF3"/>
    <w:rsid w:val="3E740A63"/>
    <w:rsid w:val="3E78745D"/>
    <w:rsid w:val="3EE17838"/>
    <w:rsid w:val="3F55381A"/>
    <w:rsid w:val="3F7F7599"/>
    <w:rsid w:val="3FF4CAE0"/>
    <w:rsid w:val="3FF7B227"/>
    <w:rsid w:val="40180D21"/>
    <w:rsid w:val="42B40C4E"/>
    <w:rsid w:val="44E268DA"/>
    <w:rsid w:val="450D13D7"/>
    <w:rsid w:val="45506656"/>
    <w:rsid w:val="486A6C7A"/>
    <w:rsid w:val="49246E78"/>
    <w:rsid w:val="49F47107"/>
    <w:rsid w:val="4A1943ED"/>
    <w:rsid w:val="4A627F82"/>
    <w:rsid w:val="4B0E749A"/>
    <w:rsid w:val="4B2477C4"/>
    <w:rsid w:val="4B4F25DA"/>
    <w:rsid w:val="4BE068DB"/>
    <w:rsid w:val="4D577224"/>
    <w:rsid w:val="4D6D78CF"/>
    <w:rsid w:val="4DBF1CEB"/>
    <w:rsid w:val="4DF0007C"/>
    <w:rsid w:val="4EAB630A"/>
    <w:rsid w:val="4ECE2238"/>
    <w:rsid w:val="4F833267"/>
    <w:rsid w:val="4FE9BD67"/>
    <w:rsid w:val="4FFB052F"/>
    <w:rsid w:val="51610292"/>
    <w:rsid w:val="537E6D0A"/>
    <w:rsid w:val="53F74C96"/>
    <w:rsid w:val="55170BA8"/>
    <w:rsid w:val="553218C9"/>
    <w:rsid w:val="567E1AA5"/>
    <w:rsid w:val="56E47B74"/>
    <w:rsid w:val="57175D52"/>
    <w:rsid w:val="575D1133"/>
    <w:rsid w:val="57BD3DD4"/>
    <w:rsid w:val="5AF92295"/>
    <w:rsid w:val="5B250254"/>
    <w:rsid w:val="5BDD79E6"/>
    <w:rsid w:val="5BF561CA"/>
    <w:rsid w:val="5BFF5DFC"/>
    <w:rsid w:val="5CD71FC4"/>
    <w:rsid w:val="5D1F11B5"/>
    <w:rsid w:val="5D695134"/>
    <w:rsid w:val="5DAE1B18"/>
    <w:rsid w:val="5DE7D9E5"/>
    <w:rsid w:val="5ECEC941"/>
    <w:rsid w:val="5F7E7602"/>
    <w:rsid w:val="5FBF9FF3"/>
    <w:rsid w:val="5FCD4E2C"/>
    <w:rsid w:val="5FEF394A"/>
    <w:rsid w:val="5FF67715"/>
    <w:rsid w:val="62BF3928"/>
    <w:rsid w:val="63B3701E"/>
    <w:rsid w:val="647F5392"/>
    <w:rsid w:val="650268E5"/>
    <w:rsid w:val="65E66580"/>
    <w:rsid w:val="664B1D71"/>
    <w:rsid w:val="664B4E8E"/>
    <w:rsid w:val="67277B67"/>
    <w:rsid w:val="67AA3209"/>
    <w:rsid w:val="690779F1"/>
    <w:rsid w:val="698D0931"/>
    <w:rsid w:val="6A5639FE"/>
    <w:rsid w:val="6A7FE5F3"/>
    <w:rsid w:val="6B053271"/>
    <w:rsid w:val="6BDD78B3"/>
    <w:rsid w:val="6C4A05C8"/>
    <w:rsid w:val="6C8742B8"/>
    <w:rsid w:val="6DBF5E93"/>
    <w:rsid w:val="6DFF077E"/>
    <w:rsid w:val="6E714EF0"/>
    <w:rsid w:val="6E7E3605"/>
    <w:rsid w:val="6E7FDCC7"/>
    <w:rsid w:val="6ED6A62E"/>
    <w:rsid w:val="6EE00B15"/>
    <w:rsid w:val="6F6FB3EB"/>
    <w:rsid w:val="6F8731EA"/>
    <w:rsid w:val="6FCE6052"/>
    <w:rsid w:val="6FD57C00"/>
    <w:rsid w:val="6FEFFFD8"/>
    <w:rsid w:val="6FF5CC65"/>
    <w:rsid w:val="6FFB47EC"/>
    <w:rsid w:val="6FFF034A"/>
    <w:rsid w:val="70484440"/>
    <w:rsid w:val="712A28F1"/>
    <w:rsid w:val="715C0E4B"/>
    <w:rsid w:val="71992E7C"/>
    <w:rsid w:val="72233669"/>
    <w:rsid w:val="72734D90"/>
    <w:rsid w:val="729C5939"/>
    <w:rsid w:val="73160E6D"/>
    <w:rsid w:val="7332FE48"/>
    <w:rsid w:val="73AB61DA"/>
    <w:rsid w:val="73AD73D5"/>
    <w:rsid w:val="73B6EB34"/>
    <w:rsid w:val="73FA497D"/>
    <w:rsid w:val="744731E5"/>
    <w:rsid w:val="74BBD01D"/>
    <w:rsid w:val="74ED5379"/>
    <w:rsid w:val="75DEEEC2"/>
    <w:rsid w:val="75E32345"/>
    <w:rsid w:val="75F77C18"/>
    <w:rsid w:val="76C062D5"/>
    <w:rsid w:val="76E3355F"/>
    <w:rsid w:val="76FF5125"/>
    <w:rsid w:val="77442BCE"/>
    <w:rsid w:val="776F6FFA"/>
    <w:rsid w:val="778769C8"/>
    <w:rsid w:val="77A75DCA"/>
    <w:rsid w:val="77DC22F5"/>
    <w:rsid w:val="783E271A"/>
    <w:rsid w:val="78616DE9"/>
    <w:rsid w:val="78E875D7"/>
    <w:rsid w:val="79086DAD"/>
    <w:rsid w:val="79D7FD79"/>
    <w:rsid w:val="79EE5BA4"/>
    <w:rsid w:val="7A894339"/>
    <w:rsid w:val="7AD284E8"/>
    <w:rsid w:val="7AFF7572"/>
    <w:rsid w:val="7B6C7DFB"/>
    <w:rsid w:val="7BBFBED0"/>
    <w:rsid w:val="7BC3E394"/>
    <w:rsid w:val="7C1F3737"/>
    <w:rsid w:val="7CBFC87B"/>
    <w:rsid w:val="7CFE0F48"/>
    <w:rsid w:val="7D272ABC"/>
    <w:rsid w:val="7D7EC23E"/>
    <w:rsid w:val="7E553E43"/>
    <w:rsid w:val="7E8ADEBF"/>
    <w:rsid w:val="7EEF11D3"/>
    <w:rsid w:val="7EFE4840"/>
    <w:rsid w:val="7F0971A6"/>
    <w:rsid w:val="7F1D62E7"/>
    <w:rsid w:val="7F3F679B"/>
    <w:rsid w:val="7F4FC4EF"/>
    <w:rsid w:val="7F5E4D54"/>
    <w:rsid w:val="7F6E0135"/>
    <w:rsid w:val="7F79F205"/>
    <w:rsid w:val="7FA30C79"/>
    <w:rsid w:val="7FA79C44"/>
    <w:rsid w:val="7FAF8ABF"/>
    <w:rsid w:val="7FB7269E"/>
    <w:rsid w:val="7FC96657"/>
    <w:rsid w:val="7FDA9588"/>
    <w:rsid w:val="7FDF220F"/>
    <w:rsid w:val="7FEDC5F7"/>
    <w:rsid w:val="7FEDD9DE"/>
    <w:rsid w:val="7FF5890D"/>
    <w:rsid w:val="7FF93490"/>
    <w:rsid w:val="99FF2014"/>
    <w:rsid w:val="A6DD0D7F"/>
    <w:rsid w:val="ACFF4FBB"/>
    <w:rsid w:val="ADC6F725"/>
    <w:rsid w:val="B7CF06AB"/>
    <w:rsid w:val="B7CFA926"/>
    <w:rsid w:val="B7F8786B"/>
    <w:rsid w:val="BABB6AA1"/>
    <w:rsid w:val="BB2F4199"/>
    <w:rsid w:val="BCFFB442"/>
    <w:rsid w:val="BD079C78"/>
    <w:rsid w:val="BD733540"/>
    <w:rsid w:val="BF3735D5"/>
    <w:rsid w:val="BF7F09AC"/>
    <w:rsid w:val="BFD475C3"/>
    <w:rsid w:val="BFDE5EA6"/>
    <w:rsid w:val="CF6FC6F3"/>
    <w:rsid w:val="CFD3D3D7"/>
    <w:rsid w:val="CFDF1009"/>
    <w:rsid w:val="D7D7B16A"/>
    <w:rsid w:val="D8D6DB89"/>
    <w:rsid w:val="DB6F4CAB"/>
    <w:rsid w:val="DB777682"/>
    <w:rsid w:val="DD1FB521"/>
    <w:rsid w:val="DEFBFEAE"/>
    <w:rsid w:val="DF1F3B80"/>
    <w:rsid w:val="DF6F9789"/>
    <w:rsid w:val="DFE9BE81"/>
    <w:rsid w:val="DFFFA9E8"/>
    <w:rsid w:val="E5F4E9DC"/>
    <w:rsid w:val="E70FE695"/>
    <w:rsid w:val="EB2E368B"/>
    <w:rsid w:val="ECFED1BC"/>
    <w:rsid w:val="ED1D69BB"/>
    <w:rsid w:val="ED7FD312"/>
    <w:rsid w:val="EF2E1AC6"/>
    <w:rsid w:val="EF53993F"/>
    <w:rsid w:val="EF6FD633"/>
    <w:rsid w:val="EFBFB2F4"/>
    <w:rsid w:val="EFBFFA21"/>
    <w:rsid w:val="F2BEBCB8"/>
    <w:rsid w:val="F36FB518"/>
    <w:rsid w:val="F3DE1A04"/>
    <w:rsid w:val="F3F722E5"/>
    <w:rsid w:val="F4FBCD07"/>
    <w:rsid w:val="F57B217D"/>
    <w:rsid w:val="F7D9DE8C"/>
    <w:rsid w:val="FA5F1E70"/>
    <w:rsid w:val="FA5FDB97"/>
    <w:rsid w:val="FB7F486A"/>
    <w:rsid w:val="FBCF52CC"/>
    <w:rsid w:val="FBFF5B2E"/>
    <w:rsid w:val="FD7FFE2B"/>
    <w:rsid w:val="FDEE196B"/>
    <w:rsid w:val="FDFE6575"/>
    <w:rsid w:val="FEC772A7"/>
    <w:rsid w:val="FEDFDDC2"/>
    <w:rsid w:val="FEED32F6"/>
    <w:rsid w:val="FEF781DD"/>
    <w:rsid w:val="FF3F7E3F"/>
    <w:rsid w:val="FFBA12D7"/>
    <w:rsid w:val="FFCBD314"/>
    <w:rsid w:val="FFDFF91C"/>
    <w:rsid w:val="FFDFFAEE"/>
    <w:rsid w:val="FFEF6777"/>
    <w:rsid w:val="FFF9B57B"/>
    <w:rsid w:val="FFFD61D9"/>
    <w:rsid w:val="FFFD8F59"/>
    <w:rsid w:val="FFFF2BB1"/>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9"/>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3"/>
    <w:unhideWhenUsed/>
    <w:qFormat/>
    <w:uiPriority w:val="9"/>
    <w:pPr>
      <w:keepNext/>
      <w:keepLines/>
      <w:spacing w:before="260" w:after="260" w:line="416" w:lineRule="auto"/>
      <w:outlineLvl w:val="2"/>
    </w:pPr>
    <w:rPr>
      <w:b/>
      <w:bCs/>
      <w:sz w:val="32"/>
      <w:szCs w:val="32"/>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6"/>
    <w:qFormat/>
    <w:uiPriority w:val="99"/>
    <w:pPr>
      <w:spacing w:beforeLines="30"/>
    </w:pPr>
    <w:rPr>
      <w:rFonts w:ascii="仿宋_GB2312" w:eastAsia="仿宋_GB2312"/>
      <w:kern w:val="0"/>
      <w:sz w:val="30"/>
    </w:rPr>
  </w:style>
  <w:style w:type="paragraph" w:styleId="6">
    <w:name w:val="Body Text Indent"/>
    <w:basedOn w:val="1"/>
    <w:next w:val="7"/>
    <w:qFormat/>
    <w:uiPriority w:val="0"/>
    <w:pPr>
      <w:spacing w:after="120"/>
      <w:ind w:left="200" w:leftChars="200"/>
    </w:pPr>
    <w:rPr>
      <w:rFonts w:ascii="仿宋_GB2312"/>
      <w:szCs w:val="32"/>
    </w:rPr>
  </w:style>
  <w:style w:type="paragraph" w:styleId="7">
    <w:name w:val="Body Text First Indent 2"/>
    <w:basedOn w:val="6"/>
    <w:unhideWhenUsed/>
    <w:qFormat/>
    <w:uiPriority w:val="99"/>
    <w:pPr>
      <w:ind w:firstLine="420" w:firstLineChars="200"/>
    </w:p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2"/>
    <w:semiHidden/>
    <w:unhideWhenUsed/>
    <w:qFormat/>
    <w:uiPriority w:val="99"/>
    <w:rPr>
      <w:sz w:val="18"/>
      <w:szCs w:val="18"/>
    </w:rPr>
  </w:style>
  <w:style w:type="paragraph" w:styleId="10">
    <w:name w:val="footer"/>
    <w:basedOn w:val="1"/>
    <w:link w:val="24"/>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2"/>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footnote text"/>
    <w:basedOn w:val="1"/>
    <w:next w:val="7"/>
    <w:semiHidden/>
    <w:qFormat/>
    <w:uiPriority w:val="0"/>
    <w:pPr>
      <w:snapToGrid w:val="0"/>
      <w:jc w:val="left"/>
    </w:pPr>
    <w:rPr>
      <w:sz w:val="18"/>
      <w:szCs w:val="18"/>
    </w:rPr>
  </w:style>
  <w:style w:type="paragraph" w:styleId="14">
    <w:name w:val="toc 2"/>
    <w:basedOn w:val="1"/>
    <w:next w:val="1"/>
    <w:unhideWhenUsed/>
    <w:qFormat/>
    <w:uiPriority w:val="39"/>
    <w:pPr>
      <w:tabs>
        <w:tab w:val="right" w:leader="dot" w:pos="8296"/>
      </w:tabs>
      <w:ind w:left="420" w:leftChars="200"/>
    </w:pPr>
  </w:style>
  <w:style w:type="character" w:styleId="17">
    <w:name w:val="Strong"/>
    <w:basedOn w:val="16"/>
    <w:qFormat/>
    <w:uiPriority w:val="99"/>
    <w:rPr>
      <w:b/>
    </w:rPr>
  </w:style>
  <w:style w:type="character" w:styleId="18">
    <w:name w:val="page number"/>
    <w:basedOn w:val="16"/>
    <w:semiHidden/>
    <w:unhideWhenUsed/>
    <w:qFormat/>
    <w:uiPriority w:val="99"/>
  </w:style>
  <w:style w:type="character" w:styleId="19">
    <w:name w:val="Hyperlink"/>
    <w:basedOn w:val="16"/>
    <w:unhideWhenUsed/>
    <w:qFormat/>
    <w:uiPriority w:val="99"/>
    <w:rPr>
      <w:color w:val="0000FF" w:themeColor="hyperlink"/>
      <w:u w:val="single"/>
      <w14:textFill>
        <w14:solidFill>
          <w14:schemeClr w14:val="hlink"/>
        </w14:solidFill>
      </w14:textFill>
    </w:rPr>
  </w:style>
  <w:style w:type="paragraph" w:customStyle="1" w:styleId="20">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1">
    <w:name w:val="Header Char"/>
    <w:basedOn w:val="16"/>
    <w:semiHidden/>
    <w:qFormat/>
    <w:uiPriority w:val="99"/>
    <w:rPr>
      <w:rFonts w:ascii="Times New Roman" w:hAnsi="Times New Roman"/>
      <w:sz w:val="18"/>
      <w:szCs w:val="18"/>
    </w:rPr>
  </w:style>
  <w:style w:type="character" w:customStyle="1" w:styleId="22">
    <w:name w:val="页眉 字符"/>
    <w:link w:val="11"/>
    <w:semiHidden/>
    <w:qFormat/>
    <w:locked/>
    <w:uiPriority w:val="99"/>
    <w:rPr>
      <w:sz w:val="18"/>
    </w:rPr>
  </w:style>
  <w:style w:type="character" w:customStyle="1" w:styleId="23">
    <w:name w:val="Footer Char"/>
    <w:basedOn w:val="16"/>
    <w:semiHidden/>
    <w:qFormat/>
    <w:uiPriority w:val="99"/>
    <w:rPr>
      <w:rFonts w:ascii="Times New Roman" w:hAnsi="Times New Roman"/>
      <w:sz w:val="18"/>
      <w:szCs w:val="18"/>
    </w:rPr>
  </w:style>
  <w:style w:type="character" w:customStyle="1" w:styleId="24">
    <w:name w:val="页脚 字符"/>
    <w:link w:val="10"/>
    <w:qFormat/>
    <w:locked/>
    <w:uiPriority w:val="99"/>
    <w:rPr>
      <w:sz w:val="18"/>
    </w:rPr>
  </w:style>
  <w:style w:type="character" w:customStyle="1" w:styleId="25">
    <w:name w:val="Body Text Char"/>
    <w:basedOn w:val="16"/>
    <w:semiHidden/>
    <w:qFormat/>
    <w:uiPriority w:val="99"/>
    <w:rPr>
      <w:rFonts w:ascii="Times New Roman" w:hAnsi="Times New Roman"/>
      <w:szCs w:val="24"/>
    </w:rPr>
  </w:style>
  <w:style w:type="character" w:customStyle="1" w:styleId="26">
    <w:name w:val="正文文本 字符"/>
    <w:link w:val="2"/>
    <w:qFormat/>
    <w:locked/>
    <w:uiPriority w:val="99"/>
    <w:rPr>
      <w:rFonts w:ascii="仿宋_GB2312" w:hAnsi="Times New Roman" w:eastAsia="仿宋_GB2312"/>
      <w:sz w:val="24"/>
    </w:rPr>
  </w:style>
  <w:style w:type="paragraph" w:customStyle="1" w:styleId="2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8">
    <w:name w:val="List Paragraph"/>
    <w:basedOn w:val="1"/>
    <w:qFormat/>
    <w:uiPriority w:val="34"/>
    <w:pPr>
      <w:ind w:firstLine="420" w:firstLineChars="200"/>
    </w:pPr>
  </w:style>
  <w:style w:type="character" w:customStyle="1" w:styleId="29">
    <w:name w:val="标题 1 字符"/>
    <w:basedOn w:val="16"/>
    <w:link w:val="3"/>
    <w:qFormat/>
    <w:uiPriority w:val="9"/>
    <w:rPr>
      <w:rFonts w:ascii="Times New Roman" w:hAnsi="Times New Roman"/>
      <w:b/>
      <w:bCs/>
      <w:kern w:val="44"/>
      <w:sz w:val="44"/>
      <w:szCs w:val="44"/>
    </w:rPr>
  </w:style>
  <w:style w:type="character" w:customStyle="1" w:styleId="30">
    <w:name w:val="标题 2 字符"/>
    <w:basedOn w:val="16"/>
    <w:link w:val="4"/>
    <w:qFormat/>
    <w:uiPriority w:val="9"/>
    <w:rPr>
      <w:rFonts w:asciiTheme="majorHAnsi" w:hAnsiTheme="majorHAnsi" w:eastAsiaTheme="majorEastAsia" w:cstheme="majorBidi"/>
      <w:b/>
      <w:bCs/>
      <w:kern w:val="2"/>
      <w:sz w:val="32"/>
      <w:szCs w:val="32"/>
    </w:rPr>
  </w:style>
  <w:style w:type="paragraph" w:customStyle="1" w:styleId="31">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批注框文本 字符"/>
    <w:basedOn w:val="16"/>
    <w:link w:val="9"/>
    <w:semiHidden/>
    <w:qFormat/>
    <w:uiPriority w:val="99"/>
    <w:rPr>
      <w:rFonts w:ascii="Times New Roman" w:hAnsi="Times New Roman"/>
      <w:kern w:val="2"/>
      <w:sz w:val="18"/>
      <w:szCs w:val="18"/>
    </w:rPr>
  </w:style>
  <w:style w:type="character" w:customStyle="1" w:styleId="33">
    <w:name w:val="标题 3 字符"/>
    <w:basedOn w:val="16"/>
    <w:link w:val="5"/>
    <w:qFormat/>
    <w:uiPriority w:val="9"/>
    <w:rPr>
      <w:rFonts w:ascii="Times New Roman" w:hAnsi="Times New Roman"/>
      <w:b/>
      <w:bCs/>
      <w:kern w:val="2"/>
      <w:sz w:val="32"/>
      <w:szCs w:val="32"/>
    </w:rPr>
  </w:style>
  <w:style w:type="paragraph" w:customStyle="1" w:styleId="34">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5">
    <w:name w:val="四号正文"/>
    <w:basedOn w:val="1"/>
    <w:qFormat/>
    <w:uiPriority w:val="0"/>
    <w:pPr>
      <w:spacing w:line="360" w:lineRule="auto"/>
    </w:pPr>
    <w:rPr>
      <w:rFonts w:ascii="??" w:hAnsi="??"/>
      <w:color w:val="000000"/>
      <w:kern w:val="0"/>
      <w:sz w:val="28"/>
      <w:szCs w:val="21"/>
      <w:lang w:val="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chart" Target="charts/chart5.xml"/><Relationship Id="rId14" Type="http://schemas.openxmlformats.org/officeDocument/2006/relationships/chart" Target="charts/chart4.xml"/><Relationship Id="rId13" Type="http://schemas.openxmlformats.org/officeDocument/2006/relationships/chart" Target="charts/chart3.xml"/><Relationship Id="rId12" Type="http://schemas.openxmlformats.org/officeDocument/2006/relationships/chart" Target="charts/chart2.xml"/><Relationship Id="rId11" Type="http://schemas.openxmlformats.org/officeDocument/2006/relationships/chart" Target="charts/chart1.xml"/><Relationship Id="rId10" Type="http://schemas.openxmlformats.org/officeDocument/2006/relationships/image" Target="media/image1.png"/><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E:\2024&#24180;&#20915;&#31639;&#20844;&#24320;&#36164;&#26009;2025.9.20\2024&#24180;&#20844;&#24320;\&#22270;&#26631;.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E:\2024&#24180;&#20915;&#31639;&#20844;&#24320;&#36164;&#26009;2025.9.20\2024&#24180;&#20844;&#24320;\&#22270;&#26631;.xlsx"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file:///E:\2024&#24180;&#20915;&#31639;&#20844;&#24320;&#36164;&#26009;2025.9.20\2024&#24180;&#20844;&#24320;\&#22270;&#26631;.xlsx"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E:\2024&#24180;&#20915;&#31639;&#20844;&#24320;&#36164;&#26009;2025.9.20\2024&#24180;&#20844;&#24320;\&#22270;&#26631;.xlsx"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file:///E:\2024&#24180;&#20915;&#31639;&#20844;&#24320;&#36164;&#26009;2025.9.20\2024&#24180;&#20844;&#24320;\&#22270;&#2663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tx1">
                    <a:lumMod val="75000"/>
                    <a:lumOff val="25000"/>
                  </a:schemeClr>
                </a:solidFill>
                <a:latin typeface="+mn-lt"/>
                <a:ea typeface="+mn-ea"/>
                <a:cs typeface="+mn-cs"/>
              </a:defRPr>
            </a:pPr>
            <a:r>
              <a:rPr lang="en-US" altLang="zh-CN"/>
              <a:t>2024</a:t>
            </a:r>
            <a:r>
              <a:rPr lang="zh-CN" altLang="en-US"/>
              <a:t>年</a:t>
            </a:r>
            <a:endParaRPr lang="zh-CN" altLang="en-US"/>
          </a:p>
        </c:rich>
      </c:tx>
      <c:layout/>
      <c:overlay val="false"/>
      <c:spPr>
        <a:noFill/>
        <a:ln>
          <a:noFill/>
        </a:ln>
        <a:effectLst/>
      </c:spPr>
    </c:title>
    <c:autoTitleDeleted val="false"/>
    <c:plotArea>
      <c:layout/>
      <c:pieChart>
        <c:varyColors val="true"/>
        <c:ser>
          <c:idx val="0"/>
          <c:order val="0"/>
          <c:tx>
            <c:strRef>
              <c:f>[图标.xlsx]图2!$A$2</c:f>
              <c:strCache>
                <c:ptCount val="1"/>
                <c:pt idx="0">
                  <c:v>2024年</c:v>
                </c:pt>
              </c:strCache>
            </c:strRef>
          </c:tx>
          <c:spPr/>
          <c:explosion val="0"/>
          <c:dPt>
            <c:idx val="0"/>
            <c:bubble3D val="false"/>
            <c:spPr>
              <a:solidFill>
                <a:schemeClr val="accent1"/>
              </a:solidFill>
              <a:ln>
                <a:solidFill>
                  <a:schemeClr val="bg1"/>
                </a:solidFill>
              </a:ln>
              <a:effectLst/>
            </c:spPr>
          </c:dPt>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false"/>
            <c:showVal val="true"/>
            <c:showCatName val="true"/>
            <c:showSerName val="false"/>
            <c:showPercent val="true"/>
            <c:showBubbleSize val="false"/>
            <c:separator>
</c:separator>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[图标.xlsx]图2!$B$1</c:f>
              <c:strCache>
                <c:ptCount val="1"/>
                <c:pt idx="0">
                  <c:v>一般公共预算财政拨款收入（万元）</c:v>
                </c:pt>
              </c:strCache>
            </c:strRef>
          </c:cat>
          <c:val>
            <c:numRef>
              <c:f>[图标.xlsx]图2!$B$2</c:f>
              <c:numCache>
                <c:formatCode>General</c:formatCode>
                <c:ptCount val="1"/>
                <c:pt idx="0">
                  <c:v>1266.15</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Pt>
            <c:idx val="2"/>
            <c:bubble3D val="false"/>
            <c:spPr>
              <a:solidFill>
                <a:schemeClr val="accent3"/>
              </a:solidFill>
              <a:ln>
                <a:solidFill>
                  <a:schemeClr val="bg1"/>
                </a:solidFill>
              </a:ln>
              <a:effectLst/>
            </c:spPr>
          </c:dPt>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false"/>
            <c:showVal val="false"/>
            <c:showCatName val="tru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[图标.xlsx]图3!$A$2:$A$4</c:f>
              <c:strCache>
                <c:ptCount val="3"/>
                <c:pt idx="0">
                  <c:v>2024年</c:v>
                </c:pt>
                <c:pt idx="1">
                  <c:v>基本支出</c:v>
                </c:pt>
                <c:pt idx="2">
                  <c:v>项目支出</c:v>
                </c:pt>
              </c:strCache>
            </c:strRef>
          </c:cat>
          <c:val>
            <c:numRef>
              <c:f>[图标.xlsx]图3!$B$2:$B$4</c:f>
              <c:numCache>
                <c:formatCode>General</c:formatCode>
                <c:ptCount val="3"/>
                <c:pt idx="1">
                  <c:v>1122.56</c:v>
                </c:pt>
                <c:pt idx="2">
                  <c:v>143.59</c:v>
                </c:pt>
              </c:numCache>
            </c:numRef>
          </c:val>
        </c:ser>
        <c:dLbls>
          <c:showLegendKey val="false"/>
          <c:showVal val="false"/>
          <c:showCatName val="false"/>
          <c:showSerName val="false"/>
          <c:showPercent val="tru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manualLayout>
          <c:layoutTarget val="inner"/>
          <c:xMode val="edge"/>
          <c:yMode val="edge"/>
          <c:x val="0.171631578947368"/>
          <c:y val="0.106018518518519"/>
          <c:w val="0.824421052631579"/>
          <c:h val="0.702592592592593"/>
        </c:manualLayout>
      </c:layout>
      <c:barChart>
        <c:barDir val="col"/>
        <c:grouping val="clustered"/>
        <c:varyColors val="false"/>
        <c:ser>
          <c:idx val="0"/>
          <c:order val="0"/>
          <c:tx>
            <c:strRef>
              <c:f>[图标.xlsx]图4!$A$2</c:f>
              <c:strCache>
                <c:ptCount val="1"/>
                <c:pt idx="0">
                  <c:v>2023年</c:v>
                </c:pt>
              </c:strCache>
            </c:strRef>
          </c:tx>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[图标.xlsx]图4!$B$1:$C$1</c:f>
              <c:strCache>
                <c:ptCount val="2"/>
                <c:pt idx="0">
                  <c:v>决算收入（万元）</c:v>
                </c:pt>
                <c:pt idx="1">
                  <c:v>决算支出（万元）</c:v>
                </c:pt>
              </c:strCache>
            </c:strRef>
          </c:cat>
          <c:val>
            <c:numRef>
              <c:f>[图标.xlsx]图4!$B$2:$C$2</c:f>
              <c:numCache>
                <c:formatCode>General</c:formatCode>
                <c:ptCount val="2"/>
                <c:pt idx="0">
                  <c:v>1495.62</c:v>
                </c:pt>
                <c:pt idx="1">
                  <c:v>1495.62</c:v>
                </c:pt>
              </c:numCache>
            </c:numRef>
          </c:val>
        </c:ser>
        <c:ser>
          <c:idx val="1"/>
          <c:order val="1"/>
          <c:tx>
            <c:strRef>
              <c:f>[图标.xlsx]图4!$A$3</c:f>
              <c:strCache>
                <c:ptCount val="1"/>
                <c:pt idx="0">
                  <c:v>2024年</c:v>
                </c:pt>
              </c:strCache>
            </c:strRef>
          </c:tx>
          <c:spPr>
            <a:solidFill>
              <a:schemeClr val="accent2"/>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[图标.xlsx]图4!$B$1:$C$1</c:f>
              <c:strCache>
                <c:ptCount val="2"/>
                <c:pt idx="0">
                  <c:v>决算收入（万元）</c:v>
                </c:pt>
                <c:pt idx="1">
                  <c:v>决算支出（万元）</c:v>
                </c:pt>
              </c:strCache>
            </c:strRef>
          </c:cat>
          <c:val>
            <c:numRef>
              <c:f>[图标.xlsx]图4!$B$3:$C$3</c:f>
              <c:numCache>
                <c:formatCode>General</c:formatCode>
                <c:ptCount val="2"/>
                <c:pt idx="0">
                  <c:v>1266.15</c:v>
                </c:pt>
                <c:pt idx="1">
                  <c:v>1266.15</c:v>
                </c:pt>
              </c:numCache>
            </c:numRef>
          </c:val>
        </c:ser>
        <c:dLbls>
          <c:showLegendKey val="false"/>
          <c:showVal val="true"/>
          <c:showCatName val="false"/>
          <c:showSerName val="false"/>
          <c:showPercent val="false"/>
          <c:showBubbleSize val="false"/>
        </c:dLbls>
        <c:gapWidth val="216"/>
        <c:overlap val="-32"/>
        <c:axId val="531783151"/>
        <c:axId val="186171926"/>
      </c:barChart>
      <c:catAx>
        <c:axId val="531783151"/>
        <c:scaling>
          <c:orientation val="minMax"/>
        </c:scaling>
        <c:delete val="false"/>
        <c:axPos val="b"/>
        <c:numFmt formatCode="General" sourceLinked="false"/>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86171926"/>
        <c:crosses val="autoZero"/>
        <c:auto val="true"/>
        <c:lblAlgn val="ctr"/>
        <c:lblOffset val="100"/>
        <c:noMultiLvlLbl val="false"/>
      </c:catAx>
      <c:valAx>
        <c:axId val="186171926"/>
        <c:scaling>
          <c:orientation val="minMax"/>
        </c:scaling>
        <c:delete val="false"/>
        <c:axPos val="l"/>
        <c:majorGridlines>
          <c:spPr>
            <a:ln w="9525" cap="flat" cmpd="sng" algn="ctr">
              <a:solidFill>
                <a:schemeClr val="lt1">
                  <a:lumMod val="902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531783151"/>
        <c:crosses val="autoZero"/>
        <c:crossBetween val="between"/>
      </c:valAx>
      <c:dTable>
        <c:showHorzBorder val="true"/>
        <c:showVertBorder val="true"/>
        <c:showOutline val="true"/>
        <c:showKeys val="true"/>
        <c:spPr>
          <a:noFill/>
          <a:ln w="9525" cap="flat" cmpd="sng" algn="ctr">
            <a:solidFill>
              <a:schemeClr val="tx1">
                <a:lumMod val="15000"/>
                <a:lumOff val="85000"/>
              </a:schemeClr>
            </a:solidFill>
            <a:round/>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dTable>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0" vertOverflow="ellipsis" vert="horz" wrap="square" anchor="ctr" anchorCtr="true"/>
        <a:lstStyle/>
        <a:p>
          <a:pPr>
            <a:defRPr lang="zh-CN" sz="1400" b="1" i="0" u="none" strike="noStrike" kern="1200" baseline="0">
              <a:solidFill>
                <a:schemeClr val="tx1">
                  <a:lumMod val="75000"/>
                  <a:lumOff val="25000"/>
                </a:schemeClr>
              </a:solidFill>
              <a:latin typeface="+mn-lt"/>
              <a:ea typeface="+mn-ea"/>
              <a:cs typeface="+mn-cs"/>
            </a:defRPr>
          </a:pPr>
        </a:p>
      </c:txPr>
    </c:title>
    <c:autoTitleDeleted val="false"/>
    <c:plotArea>
      <c:layout>
        <c:manualLayout>
          <c:layoutTarget val="inner"/>
          <c:xMode val="edge"/>
          <c:yMode val="edge"/>
          <c:x val="0.239526315789474"/>
          <c:y val="0.225"/>
          <c:w val="0.706526315789474"/>
          <c:h val="0.639259259259259"/>
        </c:manualLayout>
      </c:layout>
      <c:barChart>
        <c:barDir val="col"/>
        <c:grouping val="clustered"/>
        <c:varyColors val="false"/>
        <c:ser>
          <c:idx val="0"/>
          <c:order val="0"/>
          <c:tx>
            <c:strRef>
              <c:f>[图标.xlsx]Sheet4!$B$1</c:f>
              <c:strCache>
                <c:ptCount val="1"/>
                <c:pt idx="0">
                  <c:v>决算支出（万元）</c:v>
                </c:pt>
              </c:strCache>
            </c:strRef>
          </c:tx>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[图标.xlsx]Sheet4!$A$2:$A$3</c:f>
              <c:strCache>
                <c:ptCount val="2"/>
                <c:pt idx="0">
                  <c:v>2023年</c:v>
                </c:pt>
                <c:pt idx="1">
                  <c:v>2024年</c:v>
                </c:pt>
              </c:strCache>
            </c:strRef>
          </c:cat>
          <c:val>
            <c:numRef>
              <c:f>[图标.xlsx]Sheet4!$B$2:$B$3</c:f>
              <c:numCache>
                <c:formatCode>General</c:formatCode>
                <c:ptCount val="2"/>
                <c:pt idx="0">
                  <c:v>1495.62</c:v>
                </c:pt>
                <c:pt idx="1">
                  <c:v>1266.15</c:v>
                </c:pt>
              </c:numCache>
            </c:numRef>
          </c:val>
        </c:ser>
        <c:dLbls>
          <c:showLegendKey val="false"/>
          <c:showVal val="true"/>
          <c:showCatName val="false"/>
          <c:showSerName val="false"/>
          <c:showPercent val="false"/>
          <c:showBubbleSize val="false"/>
        </c:dLbls>
        <c:gapWidth val="216"/>
        <c:overlap val="-32"/>
        <c:axId val="972560388"/>
        <c:axId val="13547937"/>
      </c:barChart>
      <c:catAx>
        <c:axId val="972560388"/>
        <c:scaling>
          <c:orientation val="minMax"/>
        </c:scaling>
        <c:delete val="false"/>
        <c:axPos val="b"/>
        <c:numFmt formatCode="General" sourceLinked="false"/>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3547937"/>
        <c:crosses val="autoZero"/>
        <c:auto val="true"/>
        <c:lblAlgn val="ctr"/>
        <c:lblOffset val="100"/>
        <c:noMultiLvlLbl val="false"/>
      </c:catAx>
      <c:valAx>
        <c:axId val="13547937"/>
        <c:scaling>
          <c:orientation val="minMax"/>
        </c:scaling>
        <c:delete val="false"/>
        <c:axPos val="l"/>
        <c:majorGridlines>
          <c:spPr>
            <a:ln w="9525" cap="flat" cmpd="sng" algn="ctr">
              <a:solidFill>
                <a:schemeClr val="lt1">
                  <a:lumMod val="902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972560388"/>
        <c:crosses val="autoZero"/>
        <c:crossBetween val="between"/>
      </c:valAx>
      <c:dTable>
        <c:showHorzBorder val="true"/>
        <c:showVertBorder val="true"/>
        <c:showOutline val="true"/>
        <c:showKeys val="true"/>
        <c:spPr>
          <a:noFill/>
          <a:ln w="9525" cap="flat" cmpd="sng" algn="ctr">
            <a:solidFill>
              <a:schemeClr val="tx1">
                <a:lumMod val="15000"/>
                <a:lumOff val="85000"/>
              </a:schemeClr>
            </a:solidFill>
            <a:round/>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dTable>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0" vertOverflow="ellipsis" vert="horz" wrap="square" anchor="ctr" anchorCtr="true"/>
        <a:lstStyle/>
        <a:p>
          <a:pPr>
            <a:defRPr lang="zh-CN" sz="1400" b="1" i="0" u="none" strike="noStrike" kern="1200" baseline="0">
              <a:solidFill>
                <a:schemeClr val="tx1">
                  <a:lumMod val="75000"/>
                  <a:lumOff val="25000"/>
                </a:schemeClr>
              </a:solidFill>
              <a:latin typeface="+mn-lt"/>
              <a:ea typeface="+mn-ea"/>
              <a:cs typeface="+mn-cs"/>
            </a:defRPr>
          </a:pPr>
        </a:p>
      </c:txPr>
    </c:title>
    <c:autoTitleDeleted val="false"/>
    <c:plotArea>
      <c:layout/>
      <c:pieChart>
        <c:varyColors val="true"/>
        <c:ser>
          <c:idx val="0"/>
          <c:order val="0"/>
          <c:tx>
            <c:strRef>
              <c:f>[图标.xlsx]图6!$B$1</c:f>
              <c:strCache>
                <c:ptCount val="1"/>
                <c:pt idx="0">
                  <c:v>2024年支出占比（%）</c:v>
                </c:pt>
              </c:strCache>
            </c:strRef>
          </c:tx>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Pt>
            <c:idx val="2"/>
            <c:bubble3D val="false"/>
            <c:spPr>
              <a:solidFill>
                <a:schemeClr val="accent3"/>
              </a:solidFill>
              <a:ln>
                <a:solidFill>
                  <a:schemeClr val="bg1"/>
                </a:solidFill>
              </a:ln>
              <a:effectLst/>
            </c:spPr>
          </c:dPt>
          <c:dPt>
            <c:idx val="3"/>
            <c:bubble3D val="false"/>
            <c:spPr>
              <a:solidFill>
                <a:schemeClr val="accent4"/>
              </a:solidFill>
              <a:ln>
                <a:solidFill>
                  <a:schemeClr val="bg1"/>
                </a:solidFill>
              </a:ln>
              <a:effectLst/>
            </c:spPr>
          </c:dPt>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[图标.xlsx]图6!$A$2:$A$5</c:f>
              <c:strCache>
                <c:ptCount val="4"/>
                <c:pt idx="0">
                  <c:v>教育支出（类）</c:v>
                </c:pt>
                <c:pt idx="1">
                  <c:v>社会保障和就业支出（类）</c:v>
                </c:pt>
                <c:pt idx="2">
                  <c:v>卫生健康支出（类）</c:v>
                </c:pt>
                <c:pt idx="3">
                  <c:v>住房保障支出（类）</c:v>
                </c:pt>
              </c:strCache>
            </c:strRef>
          </c:cat>
          <c:val>
            <c:numRef>
              <c:f>[图标.xlsx]图6!$B$2:$B$5</c:f>
              <c:numCache>
                <c:formatCode>General</c:formatCode>
                <c:ptCount val="4"/>
                <c:pt idx="0">
                  <c:v>85.3</c:v>
                </c:pt>
                <c:pt idx="1">
                  <c:v>9.45</c:v>
                </c:pt>
                <c:pt idx="2">
                  <c:v>1.69</c:v>
                </c:pt>
                <c:pt idx="3">
                  <c:v>3.56</c:v>
                </c:pt>
              </c:numCache>
            </c:numRef>
          </c:val>
        </c:ser>
        <c:dLbls>
          <c:showLegendKey val="false"/>
          <c:showVal val="false"/>
          <c:showCatName val="false"/>
          <c:showSerName val="false"/>
          <c:showPercent val="tru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0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0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15</Pages>
  <Words>467</Words>
  <Characters>491</Characters>
  <Lines>32</Lines>
  <Paragraphs>9</Paragraphs>
  <TotalTime>8</TotalTime>
  <ScaleCrop>false</ScaleCrop>
  <LinksUpToDate>false</LinksUpToDate>
  <CharactersWithSpaces>498</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2025-09-21T01:48:00Z</dcterms:created>
  <dc:creator>曹颖</dc:creator>
  <cp:lastModifiedBy> </cp:lastModifiedBy>
  <cp:lastPrinted>2025-08-07T09:34:00Z</cp:lastPrinted>
  <dcterms:modified xsi:type="dcterms:W3CDTF">2025-10-11T16:57:58Z</dcterms:modified>
  <dc:title>四川省***</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04787F2533EB45DC91BCDE4AB213247F</vt:lpwstr>
  </property>
  <property fmtid="{D5CDD505-2E9C-101B-9397-08002B2CF9AE}" pid="4" name="KSOTemplateDocerSaveRecord">
    <vt:lpwstr>eyJoZGlkIjoiYTc2ZGZiNzZiNDVlOGViOWVmM2JhOTY0NGJkNjUyYzgiLCJ1c2VySWQiOiIyMjA2OTAwNTAifQ==</vt:lpwstr>
  </property>
</Properties>
</file>