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color w:val="auto"/>
          <w:sz w:val="72"/>
          <w:szCs w:val="72"/>
        </w:rPr>
      </w:pPr>
      <w:bookmarkStart w:id="0" w:name="_Toc15306267"/>
    </w:p>
    <w:p>
      <w:pPr>
        <w:spacing w:line="600" w:lineRule="exact"/>
        <w:jc w:val="center"/>
        <w:outlineLvl w:val="9"/>
        <w:rPr>
          <w:rFonts w:ascii="方正小标宋简体" w:hAnsi="宋体" w:eastAsia="方正小标宋简体"/>
          <w:color w:val="auto"/>
          <w:sz w:val="72"/>
          <w:szCs w:val="72"/>
        </w:rPr>
      </w:pPr>
    </w:p>
    <w:p>
      <w:pPr>
        <w:spacing w:line="600" w:lineRule="exact"/>
        <w:jc w:val="center"/>
        <w:outlineLvl w:val="9"/>
        <w:rPr>
          <w:rFonts w:ascii="方正小标宋简体" w:hAnsi="宋体" w:eastAsia="方正小标宋简体"/>
          <w:color w:val="auto"/>
          <w:sz w:val="72"/>
          <w:szCs w:val="72"/>
        </w:rPr>
      </w:pPr>
    </w:p>
    <w:p>
      <w:pPr>
        <w:spacing w:line="600" w:lineRule="exact"/>
        <w:jc w:val="center"/>
        <w:outlineLvl w:val="9"/>
        <w:rPr>
          <w:rFonts w:ascii="方正小标宋简体" w:hAnsi="宋体" w:eastAsia="方正小标宋简体"/>
          <w:color w:val="auto"/>
          <w:sz w:val="72"/>
          <w:szCs w:val="72"/>
        </w:rPr>
      </w:pPr>
    </w:p>
    <w:p>
      <w:pPr>
        <w:adjustRightInd w:val="0"/>
        <w:snapToGrid w:val="0"/>
        <w:spacing w:line="360" w:lineRule="auto"/>
        <w:jc w:val="center"/>
        <w:outlineLvl w:val="0"/>
        <w:rPr>
          <w:rFonts w:ascii="方正小标宋简体" w:hAnsi="方正小标宋简体" w:eastAsia="方正小标宋简体" w:cs="方正小标宋简体"/>
          <w:color w:val="auto"/>
          <w:sz w:val="72"/>
          <w:szCs w:val="72"/>
        </w:rPr>
      </w:pPr>
      <w:bookmarkStart w:id="1" w:name="_Toc15378441"/>
      <w:bookmarkStart w:id="2" w:name="_Toc15396597"/>
      <w:bookmarkStart w:id="3" w:name="_Toc15377193"/>
      <w:bookmarkStart w:id="4" w:name="_Toc15396475"/>
      <w:bookmarkStart w:id="5" w:name="_Toc16906"/>
      <w:bookmarkStart w:id="6" w:name="_Toc16677"/>
      <w:bookmarkStart w:id="7" w:name="_Toc10534"/>
      <w:bookmarkStart w:id="8" w:name="_Toc20885"/>
      <w:bookmarkStart w:id="9" w:name="_Toc15377425"/>
      <w:bookmarkStart w:id="10" w:name="_Toc10351"/>
      <w:r>
        <w:rPr>
          <w:rFonts w:hint="eastAsia" w:ascii="方正小标宋简体" w:hAnsi="方正小标宋简体" w:eastAsia="方正小标宋简体" w:cs="方正小标宋简体"/>
          <w:color w:val="auto"/>
          <w:sz w:val="72"/>
          <w:szCs w:val="72"/>
        </w:rPr>
        <w:t>202</w:t>
      </w:r>
      <w:r>
        <w:rPr>
          <w:rFonts w:hint="eastAsia" w:ascii="方正小标宋简体" w:hAnsi="方正小标宋简体" w:eastAsia="方正小标宋简体" w:cs="方正小标宋简体"/>
          <w:color w:val="auto"/>
          <w:sz w:val="72"/>
          <w:szCs w:val="72"/>
          <w:lang w:val="en-US" w:eastAsia="zh-CN"/>
        </w:rPr>
        <w:t>4</w:t>
      </w:r>
      <w:r>
        <w:rPr>
          <w:rFonts w:hint="eastAsia" w:ascii="方正小标宋简体" w:hAnsi="方正小标宋简体" w:eastAsia="方正小标宋简体" w:cs="方正小标宋简体"/>
          <w:color w:val="auto"/>
          <w:sz w:val="72"/>
          <w:szCs w:val="72"/>
        </w:rPr>
        <w:t>年度</w:t>
      </w:r>
      <w:bookmarkEnd w:id="1"/>
      <w:bookmarkEnd w:id="2"/>
      <w:bookmarkEnd w:id="3"/>
      <w:bookmarkEnd w:id="4"/>
      <w:bookmarkEnd w:id="5"/>
      <w:bookmarkEnd w:id="6"/>
      <w:bookmarkEnd w:id="7"/>
      <w:bookmarkEnd w:id="8"/>
      <w:bookmarkEnd w:id="9"/>
      <w:bookmarkEnd w:id="10"/>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lang w:eastAsia="zh-CN"/>
        </w:rPr>
      </w:pPr>
      <w:bookmarkStart w:id="11" w:name="_Toc24395"/>
      <w:bookmarkStart w:id="12" w:name="_Toc3350"/>
      <w:bookmarkStart w:id="13" w:name="_Toc20157"/>
      <w:bookmarkStart w:id="14" w:name="_Toc20301"/>
      <w:bookmarkStart w:id="15" w:name="_Toc25055"/>
      <w:bookmarkStart w:id="16" w:name="_Toc15378442"/>
      <w:bookmarkStart w:id="17" w:name="_Toc15377426"/>
      <w:bookmarkStart w:id="18" w:name="_Toc15396598"/>
      <w:bookmarkStart w:id="19" w:name="_Toc15377194"/>
      <w:bookmarkStart w:id="20" w:name="_Toc15396476"/>
      <w:r>
        <w:rPr>
          <w:rFonts w:hint="eastAsia" w:ascii="方正小标宋简体" w:hAnsi="方正小标宋简体" w:eastAsia="方正小标宋简体" w:cs="方正小标宋简体"/>
          <w:color w:val="auto"/>
          <w:sz w:val="72"/>
          <w:szCs w:val="72"/>
        </w:rPr>
        <w:t>广元市</w:t>
      </w:r>
      <w:bookmarkEnd w:id="0"/>
      <w:bookmarkStart w:id="21" w:name="_Toc15306268"/>
      <w:r>
        <w:rPr>
          <w:rFonts w:hint="eastAsia" w:ascii="方正小标宋简体" w:hAnsi="方正小标宋简体" w:eastAsia="方正小标宋简体" w:cs="方正小标宋简体"/>
          <w:color w:val="auto"/>
          <w:sz w:val="72"/>
          <w:szCs w:val="72"/>
          <w:lang w:eastAsia="zh-CN"/>
        </w:rPr>
        <w:t>粮油质量监测站</w:t>
      </w:r>
      <w:bookmarkEnd w:id="11"/>
      <w:bookmarkEnd w:id="12"/>
      <w:bookmarkEnd w:id="13"/>
      <w:bookmarkEnd w:id="14"/>
      <w:bookmarkEnd w:id="15"/>
    </w:p>
    <w:p>
      <w:pPr>
        <w:adjustRightInd w:val="0"/>
        <w:snapToGrid w:val="0"/>
        <w:spacing w:line="360" w:lineRule="auto"/>
        <w:jc w:val="center"/>
        <w:outlineLvl w:val="0"/>
        <w:rPr>
          <w:rFonts w:ascii="方正小标宋简体" w:hAnsi="方正小标宋简体" w:eastAsia="方正小标宋简体" w:cs="方正小标宋简体"/>
          <w:color w:val="auto"/>
          <w:sz w:val="72"/>
          <w:szCs w:val="72"/>
        </w:rPr>
      </w:pPr>
      <w:bookmarkStart w:id="22" w:name="_Toc23333"/>
      <w:bookmarkStart w:id="23" w:name="_Toc19534"/>
      <w:bookmarkStart w:id="24" w:name="_Toc2111"/>
      <w:bookmarkStart w:id="25" w:name="_Toc23982"/>
      <w:bookmarkStart w:id="26" w:name="_Toc18952"/>
      <w:r>
        <w:rPr>
          <w:rFonts w:hint="eastAsia" w:ascii="方正小标宋简体" w:hAnsi="方正小标宋简体" w:eastAsia="方正小标宋简体" w:cs="方正小标宋简体"/>
          <w:color w:val="auto"/>
          <w:sz w:val="72"/>
          <w:szCs w:val="72"/>
        </w:rPr>
        <w:t>单位决算</w:t>
      </w:r>
      <w:bookmarkEnd w:id="16"/>
      <w:bookmarkEnd w:id="17"/>
      <w:bookmarkEnd w:id="18"/>
      <w:bookmarkEnd w:id="19"/>
      <w:bookmarkEnd w:id="20"/>
      <w:bookmarkEnd w:id="21"/>
      <w:bookmarkEnd w:id="22"/>
      <w:bookmarkEnd w:id="23"/>
      <w:bookmarkEnd w:id="24"/>
      <w:bookmarkEnd w:id="25"/>
      <w:bookmarkEnd w:id="26"/>
    </w:p>
    <w:p>
      <w:pPr>
        <w:spacing w:before="0" w:beforeLines="0" w:after="0" w:afterLines="0" w:line="240" w:lineRule="auto"/>
        <w:ind w:left="0" w:leftChars="0" w:right="0" w:rightChars="0" w:firstLine="0" w:firstLineChars="0"/>
        <w:jc w:val="center"/>
        <w:rPr>
          <w:rFonts w:hint="eastAsia" w:ascii="方正小标宋简体" w:hAnsi="黑体" w:eastAsia="方正小标宋简体"/>
          <w:color w:val="auto"/>
          <w:sz w:val="44"/>
          <w:szCs w:val="44"/>
        </w:rPr>
      </w:pPr>
      <w:r>
        <w:rPr>
          <w:rFonts w:ascii="方正小标宋简体" w:hAnsi="宋体" w:eastAsia="方正小标宋简体"/>
          <w:color w:val="auto"/>
          <w:sz w:val="36"/>
          <w:szCs w:val="36"/>
        </w:rPr>
        <w:br w:type="page"/>
      </w:r>
      <w:bookmarkStart w:id="27" w:name="_Toc162"/>
      <w:r>
        <w:rPr>
          <w:rFonts w:hint="eastAsia" w:ascii="方正小标宋简体" w:hAnsi="黑体" w:eastAsia="方正小标宋简体"/>
          <w:color w:val="auto"/>
          <w:sz w:val="44"/>
          <w:szCs w:val="44"/>
        </w:rPr>
        <w:t>目      录</w:t>
      </w:r>
      <w:bookmarkEnd w:id="27"/>
    </w:p>
    <w:p>
      <w:pPr>
        <w:jc w:val="center"/>
        <w:rPr>
          <w:rFonts w:hint="eastAsia"/>
          <w:color w:val="auto"/>
        </w:rPr>
      </w:pPr>
    </w:p>
    <w:p>
      <w:pPr>
        <w:pStyle w:val="16"/>
        <w:jc w:val="center"/>
        <w:rPr>
          <w:color w:val="auto"/>
        </w:rPr>
      </w:pPr>
      <w:r>
        <w:rPr>
          <w:rFonts w:hint="eastAsia"/>
          <w:color w:val="auto"/>
          <w:lang w:val="en-US" w:eastAsia="zh-CN"/>
        </w:rPr>
        <w:t>（公开时间：2025年10月14日）</w:t>
      </w:r>
    </w:p>
    <w:sdt>
      <w:sdtPr>
        <w:rPr>
          <w:rFonts w:ascii="宋体" w:hAnsi="宋体" w:eastAsia="宋体" w:cs="Times New Roman"/>
          <w:color w:val="auto"/>
          <w:kern w:val="2"/>
          <w:sz w:val="21"/>
          <w:szCs w:val="24"/>
          <w:lang w:val="en-US" w:eastAsia="zh-CN" w:bidi="ar-SA"/>
        </w:rPr>
        <w:id w:val="147476328"/>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pStyle w:val="15"/>
            <w:tabs>
              <w:tab w:val="right" w:leader="dot" w:pos="8306"/>
              <w:tab w:val="clear" w:pos="8296"/>
            </w:tabs>
          </w:pPr>
          <w:r>
            <w:rPr>
              <w:color w:val="auto"/>
            </w:rPr>
            <w:fldChar w:fldCharType="begin"/>
          </w:r>
          <w:r>
            <w:rPr>
              <w:color w:val="auto"/>
            </w:rPr>
            <w:instrText xml:space="preserve">TOC \o "1-3" \h \u </w:instrText>
          </w:r>
          <w:r>
            <w:rPr>
              <w:color w:val="auto"/>
            </w:rPr>
            <w:fldChar w:fldCharType="separate"/>
          </w:r>
        </w:p>
        <w:p>
          <w:pPr>
            <w:pStyle w:val="15"/>
            <w:tabs>
              <w:tab w:val="right" w:leader="dot" w:pos="8306"/>
              <w:tab w:val="clear" w:pos="8296"/>
            </w:tabs>
          </w:pPr>
          <w:r>
            <w:rPr>
              <w:rFonts w:hint="eastAsia" w:ascii="Times New Roman" w:hAnsi="Times New Roman" w:eastAsia="宋体" w:cs="Times New Roman"/>
              <w:b/>
              <w:bCs/>
              <w:sz w:val="20"/>
              <w:szCs w:val="20"/>
            </w:rPr>
            <w:fldChar w:fldCharType="begin"/>
          </w:r>
          <w:r>
            <w:rPr>
              <w:rFonts w:hint="eastAsia" w:ascii="Times New Roman" w:hAnsi="Times New Roman" w:eastAsia="宋体" w:cs="Times New Roman"/>
              <w:b/>
              <w:bCs/>
              <w:sz w:val="20"/>
              <w:szCs w:val="20"/>
            </w:rPr>
            <w:instrText xml:space="preserve"> HYPERLINK \l _Toc12943 </w:instrText>
          </w:r>
          <w:r>
            <w:rPr>
              <w:rFonts w:hint="eastAsia" w:ascii="Times New Roman" w:hAnsi="Times New Roman" w:eastAsia="宋体" w:cs="Times New Roman"/>
              <w:b/>
              <w:bCs/>
              <w:sz w:val="20"/>
              <w:szCs w:val="20"/>
            </w:rPr>
            <w:fldChar w:fldCharType="separate"/>
          </w:r>
          <w:r>
            <w:rPr>
              <w:rFonts w:hint="eastAsia" w:ascii="Times New Roman" w:hAnsi="Times New Roman" w:eastAsia="宋体" w:cs="Times New Roman"/>
              <w:b/>
              <w:bCs/>
              <w:sz w:val="20"/>
              <w:szCs w:val="20"/>
            </w:rPr>
            <w:t>第一部分 单位概况</w:t>
          </w:r>
          <w:r>
            <w:rPr>
              <w:rFonts w:hint="eastAsia" w:ascii="Times New Roman" w:hAnsi="Times New Roman" w:eastAsia="宋体" w:cs="Times New Roman"/>
              <w:b/>
              <w:bCs/>
              <w:sz w:val="20"/>
              <w:szCs w:val="20"/>
            </w:rPr>
            <w:tab/>
          </w:r>
          <w:r>
            <w:rPr>
              <w:rFonts w:hint="eastAsia" w:ascii="Times New Roman" w:hAnsi="Times New Roman" w:eastAsia="宋体" w:cs="Times New Roman"/>
              <w:b/>
              <w:bCs/>
              <w:sz w:val="20"/>
              <w:szCs w:val="20"/>
            </w:rPr>
            <w:fldChar w:fldCharType="begin"/>
          </w:r>
          <w:r>
            <w:rPr>
              <w:rFonts w:hint="eastAsia" w:ascii="Times New Roman" w:hAnsi="Times New Roman" w:eastAsia="宋体" w:cs="Times New Roman"/>
              <w:b/>
              <w:bCs/>
              <w:sz w:val="20"/>
              <w:szCs w:val="20"/>
            </w:rPr>
            <w:instrText xml:space="preserve"> PAGEREF _Toc12943 </w:instrText>
          </w:r>
          <w:r>
            <w:rPr>
              <w:rFonts w:hint="eastAsia" w:ascii="Times New Roman" w:hAnsi="Times New Roman" w:eastAsia="宋体" w:cs="Times New Roman"/>
              <w:b/>
              <w:bCs/>
              <w:sz w:val="20"/>
              <w:szCs w:val="20"/>
            </w:rPr>
            <w:fldChar w:fldCharType="separate"/>
          </w:r>
          <w:r>
            <w:rPr>
              <w:rFonts w:hint="eastAsia" w:ascii="Times New Roman" w:hAnsi="Times New Roman" w:eastAsia="宋体" w:cs="Times New Roman"/>
              <w:b/>
              <w:bCs/>
              <w:sz w:val="20"/>
              <w:szCs w:val="20"/>
            </w:rPr>
            <w:t>4</w:t>
          </w:r>
          <w:r>
            <w:rPr>
              <w:rFonts w:hint="eastAsia" w:ascii="Times New Roman" w:hAnsi="Times New Roman" w:eastAsia="宋体" w:cs="Times New Roman"/>
              <w:b/>
              <w:bCs/>
              <w:sz w:val="20"/>
              <w:szCs w:val="20"/>
            </w:rPr>
            <w:fldChar w:fldCharType="end"/>
          </w:r>
          <w:r>
            <w:rPr>
              <w:rFonts w:hint="eastAsia" w:ascii="Times New Roman" w:hAnsi="Times New Roman" w:eastAsia="宋体" w:cs="Times New Roman"/>
              <w:b/>
              <w:bCs/>
              <w:sz w:val="20"/>
              <w:szCs w:val="20"/>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_Toc17700 </w:instrText>
          </w:r>
          <w:r>
            <w:rPr>
              <w:rFonts w:hint="eastAsia" w:ascii="Times New Roman" w:hAnsi="Times New Roman" w:eastAsia="宋体" w:cs="Times New Roman"/>
            </w:rPr>
            <w:fldChar w:fldCharType="separate"/>
          </w:r>
          <w:r>
            <w:rPr>
              <w:rFonts w:hint="eastAsia" w:ascii="Times New Roman" w:hAnsi="Times New Roman" w:eastAsia="宋体" w:cs="Times New Roman"/>
              <w:lang w:eastAsia="zh-CN"/>
            </w:rPr>
            <w:t>一、主要职责</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_Toc17700 </w:instrText>
          </w:r>
          <w:r>
            <w:rPr>
              <w:rFonts w:hint="eastAsia" w:ascii="Times New Roman" w:hAnsi="Times New Roman" w:eastAsia="宋体" w:cs="Times New Roman"/>
            </w:rPr>
            <w:fldChar w:fldCharType="separate"/>
          </w:r>
          <w:r>
            <w:rPr>
              <w:rFonts w:hint="eastAsia" w:ascii="Times New Roman" w:hAnsi="Times New Roman" w:eastAsia="宋体" w:cs="Times New Roman"/>
            </w:rPr>
            <w:t>4</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_Toc14660 </w:instrText>
          </w:r>
          <w:r>
            <w:rPr>
              <w:rFonts w:hint="eastAsia" w:ascii="Times New Roman" w:hAnsi="Times New Roman" w:eastAsia="宋体" w:cs="Times New Roman"/>
            </w:rPr>
            <w:fldChar w:fldCharType="separate"/>
          </w:r>
          <w:r>
            <w:rPr>
              <w:rFonts w:hint="eastAsia" w:ascii="Times New Roman" w:hAnsi="Times New Roman" w:eastAsia="宋体" w:cs="Times New Roman"/>
            </w:rPr>
            <w:t>二、</w:t>
          </w:r>
          <w:r>
            <w:rPr>
              <w:rFonts w:hint="eastAsia" w:ascii="Times New Roman" w:hAnsi="Times New Roman" w:eastAsia="宋体" w:cs="Times New Roman"/>
              <w:lang w:eastAsia="zh-CN"/>
            </w:rPr>
            <w:t>机构设置</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_Toc14660 </w:instrText>
          </w:r>
          <w:r>
            <w:rPr>
              <w:rFonts w:hint="eastAsia" w:ascii="Times New Roman" w:hAnsi="Times New Roman" w:eastAsia="宋体" w:cs="Times New Roman"/>
            </w:rPr>
            <w:fldChar w:fldCharType="separate"/>
          </w:r>
          <w:r>
            <w:rPr>
              <w:rFonts w:hint="eastAsia" w:ascii="Times New Roman" w:hAnsi="Times New Roman" w:eastAsia="宋体" w:cs="Times New Roman"/>
            </w:rPr>
            <w:t>5</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15"/>
            <w:tabs>
              <w:tab w:val="right" w:leader="dot" w:pos="8306"/>
              <w:tab w:val="clear" w:pos="8296"/>
            </w:tabs>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rPr>
            <w:fldChar w:fldCharType="begin"/>
          </w:r>
          <w:r>
            <w:rPr>
              <w:rFonts w:hint="eastAsia" w:ascii="Times New Roman" w:hAnsi="Times New Roman" w:eastAsia="宋体" w:cs="Times New Roman"/>
              <w:b/>
              <w:bCs/>
              <w:sz w:val="20"/>
              <w:szCs w:val="20"/>
            </w:rPr>
            <w:instrText xml:space="preserve"> HYPERLINK \l _Toc95 </w:instrText>
          </w:r>
          <w:r>
            <w:rPr>
              <w:rFonts w:hint="eastAsia" w:ascii="Times New Roman" w:hAnsi="Times New Roman" w:eastAsia="宋体" w:cs="Times New Roman"/>
              <w:b/>
              <w:bCs/>
              <w:sz w:val="20"/>
              <w:szCs w:val="20"/>
            </w:rPr>
            <w:fldChar w:fldCharType="separate"/>
          </w:r>
          <w:r>
            <w:rPr>
              <w:rFonts w:hint="eastAsia" w:ascii="Times New Roman" w:hAnsi="Times New Roman" w:eastAsia="宋体" w:cs="Times New Roman"/>
              <w:b/>
              <w:bCs/>
              <w:sz w:val="20"/>
              <w:szCs w:val="20"/>
            </w:rPr>
            <w:t>第二部分 202</w:t>
          </w:r>
          <w:r>
            <w:rPr>
              <w:rFonts w:hint="eastAsia" w:ascii="Times New Roman" w:hAnsi="Times New Roman" w:eastAsia="宋体" w:cs="Times New Roman"/>
              <w:b/>
              <w:bCs/>
              <w:sz w:val="20"/>
              <w:szCs w:val="20"/>
              <w:lang w:val="en-US" w:eastAsia="zh-CN"/>
            </w:rPr>
            <w:t>4</w:t>
          </w:r>
          <w:r>
            <w:rPr>
              <w:rFonts w:hint="eastAsia" w:ascii="Times New Roman" w:hAnsi="Times New Roman" w:eastAsia="宋体" w:cs="Times New Roman"/>
              <w:b/>
              <w:bCs/>
              <w:sz w:val="20"/>
              <w:szCs w:val="20"/>
            </w:rPr>
            <w:t>年度单位决算情况说明</w:t>
          </w:r>
          <w:r>
            <w:rPr>
              <w:rFonts w:hint="eastAsia" w:ascii="Times New Roman" w:hAnsi="Times New Roman" w:eastAsia="宋体" w:cs="Times New Roman"/>
              <w:b/>
              <w:bCs/>
              <w:sz w:val="20"/>
              <w:szCs w:val="20"/>
            </w:rPr>
            <w:tab/>
          </w:r>
          <w:r>
            <w:rPr>
              <w:rFonts w:hint="eastAsia" w:ascii="Times New Roman" w:hAnsi="Times New Roman" w:eastAsia="宋体" w:cs="Times New Roman"/>
              <w:b/>
              <w:bCs/>
              <w:sz w:val="20"/>
              <w:szCs w:val="20"/>
            </w:rPr>
            <w:fldChar w:fldCharType="begin"/>
          </w:r>
          <w:r>
            <w:rPr>
              <w:rFonts w:hint="eastAsia" w:ascii="Times New Roman" w:hAnsi="Times New Roman" w:eastAsia="宋体" w:cs="Times New Roman"/>
              <w:b/>
              <w:bCs/>
              <w:sz w:val="20"/>
              <w:szCs w:val="20"/>
            </w:rPr>
            <w:instrText xml:space="preserve"> PAGEREF _Toc95 </w:instrText>
          </w:r>
          <w:r>
            <w:rPr>
              <w:rFonts w:hint="eastAsia" w:ascii="Times New Roman" w:hAnsi="Times New Roman" w:eastAsia="宋体" w:cs="Times New Roman"/>
              <w:b/>
              <w:bCs/>
              <w:sz w:val="20"/>
              <w:szCs w:val="20"/>
            </w:rPr>
            <w:fldChar w:fldCharType="separate"/>
          </w:r>
          <w:r>
            <w:rPr>
              <w:rFonts w:hint="eastAsia" w:ascii="Times New Roman" w:hAnsi="Times New Roman" w:eastAsia="宋体" w:cs="Times New Roman"/>
              <w:b/>
              <w:bCs/>
              <w:sz w:val="20"/>
              <w:szCs w:val="20"/>
            </w:rPr>
            <w:t>6</w:t>
          </w:r>
          <w:r>
            <w:rPr>
              <w:rFonts w:hint="eastAsia" w:ascii="Times New Roman" w:hAnsi="Times New Roman" w:eastAsia="宋体" w:cs="Times New Roman"/>
              <w:b/>
              <w:bCs/>
              <w:sz w:val="20"/>
              <w:szCs w:val="20"/>
            </w:rPr>
            <w:fldChar w:fldCharType="end"/>
          </w:r>
          <w:r>
            <w:rPr>
              <w:rFonts w:hint="eastAsia" w:ascii="Times New Roman" w:hAnsi="Times New Roman" w:eastAsia="宋体" w:cs="Times New Roman"/>
              <w:b/>
              <w:bCs/>
              <w:sz w:val="20"/>
              <w:szCs w:val="20"/>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_Toc31907 </w:instrText>
          </w:r>
          <w:r>
            <w:rPr>
              <w:rFonts w:hint="eastAsia" w:ascii="Times New Roman" w:hAnsi="Times New Roman" w:eastAsia="宋体" w:cs="Times New Roman"/>
            </w:rPr>
            <w:fldChar w:fldCharType="separate"/>
          </w:r>
          <w:r>
            <w:rPr>
              <w:rFonts w:hint="default" w:ascii="Times New Roman" w:hAnsi="Times New Roman" w:eastAsia="宋体" w:cs="Times New Roman"/>
            </w:rPr>
            <w:t xml:space="preserve">一、 </w:t>
          </w:r>
          <w:r>
            <w:rPr>
              <w:rFonts w:hint="eastAsia" w:ascii="Times New Roman" w:hAnsi="Times New Roman" w:eastAsia="宋体" w:cs="Times New Roman"/>
            </w:rPr>
            <w:t>收入支出决算总体情况说明</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_Toc31907 </w:instrText>
          </w:r>
          <w:r>
            <w:rPr>
              <w:rFonts w:hint="eastAsia" w:ascii="Times New Roman" w:hAnsi="Times New Roman" w:eastAsia="宋体" w:cs="Times New Roman"/>
            </w:rPr>
            <w:fldChar w:fldCharType="separate"/>
          </w:r>
          <w:r>
            <w:rPr>
              <w:rFonts w:hint="eastAsia" w:ascii="Times New Roman" w:hAnsi="Times New Roman" w:eastAsia="宋体" w:cs="Times New Roman"/>
            </w:rPr>
            <w:t>6</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_Toc24178 </w:instrText>
          </w:r>
          <w:r>
            <w:rPr>
              <w:rFonts w:hint="eastAsia" w:ascii="Times New Roman" w:hAnsi="Times New Roman" w:eastAsia="宋体" w:cs="Times New Roman"/>
            </w:rPr>
            <w:fldChar w:fldCharType="separate"/>
          </w:r>
          <w:r>
            <w:rPr>
              <w:rFonts w:hint="default" w:ascii="Times New Roman" w:hAnsi="Times New Roman" w:eastAsia="宋体" w:cs="Times New Roman"/>
            </w:rPr>
            <w:t xml:space="preserve">二、 </w:t>
          </w:r>
          <w:r>
            <w:rPr>
              <w:rFonts w:hint="eastAsia" w:ascii="Times New Roman" w:hAnsi="Times New Roman" w:eastAsia="宋体" w:cs="Times New Roman"/>
            </w:rPr>
            <w:t>收入决算情况说明</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_Toc24178 </w:instrText>
          </w:r>
          <w:r>
            <w:rPr>
              <w:rFonts w:hint="eastAsia" w:ascii="Times New Roman" w:hAnsi="Times New Roman" w:eastAsia="宋体" w:cs="Times New Roman"/>
            </w:rPr>
            <w:fldChar w:fldCharType="separate"/>
          </w:r>
          <w:r>
            <w:rPr>
              <w:rFonts w:hint="eastAsia" w:ascii="Times New Roman" w:hAnsi="Times New Roman" w:eastAsia="宋体" w:cs="Times New Roman"/>
            </w:rPr>
            <w:t>6</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_Toc31972 </w:instrText>
          </w:r>
          <w:r>
            <w:rPr>
              <w:rFonts w:hint="eastAsia" w:ascii="Times New Roman" w:hAnsi="Times New Roman" w:eastAsia="宋体" w:cs="Times New Roman"/>
            </w:rPr>
            <w:fldChar w:fldCharType="separate"/>
          </w:r>
          <w:r>
            <w:rPr>
              <w:rFonts w:hint="default" w:ascii="Times New Roman" w:hAnsi="Times New Roman" w:eastAsia="宋体" w:cs="Times New Roman"/>
            </w:rPr>
            <w:t xml:space="preserve">三、 </w:t>
          </w:r>
          <w:r>
            <w:rPr>
              <w:rFonts w:hint="eastAsia" w:ascii="Times New Roman" w:hAnsi="Times New Roman" w:eastAsia="宋体" w:cs="Times New Roman"/>
            </w:rPr>
            <w:t>支出决算情况说明</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_Toc31972 </w:instrText>
          </w:r>
          <w:r>
            <w:rPr>
              <w:rFonts w:hint="eastAsia" w:ascii="Times New Roman" w:hAnsi="Times New Roman" w:eastAsia="宋体" w:cs="Times New Roman"/>
            </w:rPr>
            <w:fldChar w:fldCharType="separate"/>
          </w:r>
          <w:r>
            <w:rPr>
              <w:rFonts w:hint="eastAsia" w:ascii="Times New Roman" w:hAnsi="Times New Roman" w:eastAsia="宋体" w:cs="Times New Roman"/>
            </w:rPr>
            <w:t>7</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_Toc17213 </w:instrText>
          </w:r>
          <w:r>
            <w:rPr>
              <w:rFonts w:hint="eastAsia" w:ascii="Times New Roman" w:hAnsi="Times New Roman" w:eastAsia="宋体" w:cs="Times New Roman"/>
            </w:rPr>
            <w:fldChar w:fldCharType="separate"/>
          </w:r>
          <w:r>
            <w:rPr>
              <w:rFonts w:hint="eastAsia" w:ascii="Times New Roman" w:hAnsi="Times New Roman" w:eastAsia="宋体" w:cs="Times New Roman"/>
            </w:rPr>
            <w:t>四、财政拨款收入支出决算总体情况说明</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_Toc17213 </w:instrText>
          </w:r>
          <w:r>
            <w:rPr>
              <w:rFonts w:hint="eastAsia" w:ascii="Times New Roman" w:hAnsi="Times New Roman" w:eastAsia="宋体" w:cs="Times New Roman"/>
            </w:rPr>
            <w:fldChar w:fldCharType="separate"/>
          </w:r>
          <w:r>
            <w:rPr>
              <w:rFonts w:hint="eastAsia" w:ascii="Times New Roman" w:hAnsi="Times New Roman" w:eastAsia="宋体" w:cs="Times New Roman"/>
            </w:rPr>
            <w:t>7</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_Toc30953 </w:instrText>
          </w:r>
          <w:r>
            <w:rPr>
              <w:rFonts w:hint="eastAsia" w:ascii="Times New Roman" w:hAnsi="Times New Roman" w:eastAsia="宋体" w:cs="Times New Roman"/>
            </w:rPr>
            <w:fldChar w:fldCharType="separate"/>
          </w:r>
          <w:r>
            <w:rPr>
              <w:rFonts w:hint="eastAsia" w:ascii="Times New Roman" w:hAnsi="Times New Roman" w:eastAsia="宋体" w:cs="Times New Roman"/>
            </w:rPr>
            <w:t>五、一般公共预算财政拨款支出决算情况说明</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_Toc30953 </w:instrText>
          </w:r>
          <w:r>
            <w:rPr>
              <w:rFonts w:hint="eastAsia" w:ascii="Times New Roman" w:hAnsi="Times New Roman" w:eastAsia="宋体" w:cs="Times New Roman"/>
            </w:rPr>
            <w:fldChar w:fldCharType="separate"/>
          </w:r>
          <w:r>
            <w:rPr>
              <w:rFonts w:hint="eastAsia" w:ascii="Times New Roman" w:hAnsi="Times New Roman" w:eastAsia="宋体" w:cs="Times New Roman"/>
            </w:rPr>
            <w:t>8</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_Toc12254 </w:instrText>
          </w:r>
          <w:r>
            <w:rPr>
              <w:rFonts w:hint="eastAsia" w:ascii="Times New Roman" w:hAnsi="Times New Roman" w:eastAsia="宋体" w:cs="Times New Roman"/>
            </w:rPr>
            <w:fldChar w:fldCharType="separate"/>
          </w:r>
          <w:r>
            <w:rPr>
              <w:rFonts w:hint="eastAsia" w:ascii="Times New Roman" w:hAnsi="Times New Roman" w:eastAsia="宋体" w:cs="Times New Roman"/>
            </w:rPr>
            <w:t>七、“三公”经费财政拨款支出决算情况说明</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_Toc12254 </w:instrText>
          </w:r>
          <w:r>
            <w:rPr>
              <w:rFonts w:hint="eastAsia" w:ascii="Times New Roman" w:hAnsi="Times New Roman" w:eastAsia="宋体" w:cs="Times New Roman"/>
            </w:rPr>
            <w:fldChar w:fldCharType="separate"/>
          </w:r>
          <w:r>
            <w:rPr>
              <w:rFonts w:hint="eastAsia" w:ascii="Times New Roman" w:hAnsi="Times New Roman" w:eastAsia="宋体" w:cs="Times New Roman"/>
            </w:rPr>
            <w:t>11</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_Toc4796 </w:instrText>
          </w:r>
          <w:r>
            <w:rPr>
              <w:rFonts w:hint="eastAsia" w:ascii="Times New Roman" w:hAnsi="Times New Roman" w:eastAsia="宋体" w:cs="Times New Roman"/>
            </w:rPr>
            <w:fldChar w:fldCharType="separate"/>
          </w:r>
          <w:r>
            <w:rPr>
              <w:rFonts w:hint="eastAsia" w:ascii="Times New Roman" w:hAnsi="Times New Roman" w:eastAsia="宋体" w:cs="Times New Roman"/>
            </w:rPr>
            <w:t>八、政府性基金预算支出决算情况说明</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_Toc4796 </w:instrText>
          </w:r>
          <w:r>
            <w:rPr>
              <w:rFonts w:hint="eastAsia" w:ascii="Times New Roman" w:hAnsi="Times New Roman" w:eastAsia="宋体" w:cs="Times New Roman"/>
            </w:rPr>
            <w:fldChar w:fldCharType="separate"/>
          </w:r>
          <w:r>
            <w:rPr>
              <w:rFonts w:hint="eastAsia" w:ascii="Times New Roman" w:hAnsi="Times New Roman" w:eastAsia="宋体" w:cs="Times New Roman"/>
            </w:rPr>
            <w:t>12</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_Toc4221 </w:instrText>
          </w:r>
          <w:r>
            <w:rPr>
              <w:rFonts w:hint="eastAsia" w:ascii="Times New Roman" w:hAnsi="Times New Roman" w:eastAsia="宋体" w:cs="Times New Roman"/>
            </w:rPr>
            <w:fldChar w:fldCharType="separate"/>
          </w:r>
          <w:r>
            <w:rPr>
              <w:rFonts w:hint="eastAsia" w:ascii="Times New Roman" w:hAnsi="Times New Roman" w:eastAsia="宋体" w:cs="Times New Roman"/>
            </w:rPr>
            <w:t>九、 国有资本经营预算支出决算情况说明</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_Toc4221 </w:instrText>
          </w:r>
          <w:r>
            <w:rPr>
              <w:rFonts w:hint="eastAsia" w:ascii="Times New Roman" w:hAnsi="Times New Roman" w:eastAsia="宋体" w:cs="Times New Roman"/>
            </w:rPr>
            <w:fldChar w:fldCharType="separate"/>
          </w:r>
          <w:r>
            <w:rPr>
              <w:rFonts w:hint="eastAsia" w:ascii="Times New Roman" w:hAnsi="Times New Roman" w:eastAsia="宋体" w:cs="Times New Roman"/>
            </w:rPr>
            <w:t>12</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_Toc7945 </w:instrText>
          </w:r>
          <w:r>
            <w:rPr>
              <w:rFonts w:hint="eastAsia" w:ascii="Times New Roman" w:hAnsi="Times New Roman" w:eastAsia="宋体" w:cs="Times New Roman"/>
            </w:rPr>
            <w:fldChar w:fldCharType="separate"/>
          </w:r>
          <w:r>
            <w:rPr>
              <w:rFonts w:hint="eastAsia" w:ascii="Times New Roman" w:hAnsi="Times New Roman" w:eastAsia="宋体" w:cs="Times New Roman"/>
            </w:rPr>
            <w:t>十、 其他重要事项的情况说明</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_Toc7945 </w:instrText>
          </w:r>
          <w:r>
            <w:rPr>
              <w:rFonts w:hint="eastAsia" w:ascii="Times New Roman" w:hAnsi="Times New Roman" w:eastAsia="宋体" w:cs="Times New Roman"/>
            </w:rPr>
            <w:fldChar w:fldCharType="separate"/>
          </w:r>
          <w:r>
            <w:rPr>
              <w:rFonts w:hint="eastAsia" w:ascii="Times New Roman" w:hAnsi="Times New Roman" w:eastAsia="宋体" w:cs="Times New Roman"/>
            </w:rPr>
            <w:t>12</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15"/>
            <w:tabs>
              <w:tab w:val="right" w:leader="dot" w:pos="8306"/>
              <w:tab w:val="clear" w:pos="8296"/>
            </w:tabs>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rPr>
            <w:fldChar w:fldCharType="begin"/>
          </w:r>
          <w:r>
            <w:rPr>
              <w:rFonts w:hint="eastAsia" w:ascii="Times New Roman" w:hAnsi="Times New Roman" w:eastAsia="宋体" w:cs="Times New Roman"/>
              <w:b/>
              <w:bCs/>
              <w:sz w:val="20"/>
              <w:szCs w:val="20"/>
            </w:rPr>
            <w:instrText xml:space="preserve"> HYPERLINK \l _Toc4383 </w:instrText>
          </w:r>
          <w:r>
            <w:rPr>
              <w:rFonts w:hint="eastAsia" w:ascii="Times New Roman" w:hAnsi="Times New Roman" w:eastAsia="宋体" w:cs="Times New Roman"/>
              <w:b/>
              <w:bCs/>
              <w:sz w:val="20"/>
              <w:szCs w:val="20"/>
            </w:rPr>
            <w:fldChar w:fldCharType="separate"/>
          </w:r>
          <w:r>
            <w:rPr>
              <w:rFonts w:hint="eastAsia" w:ascii="Times New Roman" w:hAnsi="Times New Roman" w:eastAsia="宋体" w:cs="Times New Roman"/>
              <w:b/>
              <w:bCs/>
              <w:sz w:val="20"/>
              <w:szCs w:val="20"/>
            </w:rPr>
            <w:t>第三部分 名词解释</w:t>
          </w:r>
          <w:r>
            <w:rPr>
              <w:rFonts w:hint="eastAsia" w:ascii="Times New Roman" w:hAnsi="Times New Roman" w:eastAsia="宋体" w:cs="Times New Roman"/>
              <w:b/>
              <w:bCs/>
              <w:sz w:val="20"/>
              <w:szCs w:val="20"/>
            </w:rPr>
            <w:tab/>
          </w:r>
          <w:r>
            <w:rPr>
              <w:rFonts w:hint="eastAsia" w:ascii="Times New Roman" w:hAnsi="Times New Roman" w:eastAsia="宋体" w:cs="Times New Roman"/>
              <w:b/>
              <w:bCs/>
              <w:sz w:val="20"/>
              <w:szCs w:val="20"/>
            </w:rPr>
            <w:fldChar w:fldCharType="begin"/>
          </w:r>
          <w:r>
            <w:rPr>
              <w:rFonts w:hint="eastAsia" w:ascii="Times New Roman" w:hAnsi="Times New Roman" w:eastAsia="宋体" w:cs="Times New Roman"/>
              <w:b/>
              <w:bCs/>
              <w:sz w:val="20"/>
              <w:szCs w:val="20"/>
            </w:rPr>
            <w:instrText xml:space="preserve"> PAGEREF _Toc4383 </w:instrText>
          </w:r>
          <w:r>
            <w:rPr>
              <w:rFonts w:hint="eastAsia" w:ascii="Times New Roman" w:hAnsi="Times New Roman" w:eastAsia="宋体" w:cs="Times New Roman"/>
              <w:b/>
              <w:bCs/>
              <w:sz w:val="20"/>
              <w:szCs w:val="20"/>
            </w:rPr>
            <w:fldChar w:fldCharType="separate"/>
          </w:r>
          <w:r>
            <w:rPr>
              <w:rFonts w:hint="eastAsia" w:ascii="Times New Roman" w:hAnsi="Times New Roman" w:eastAsia="宋体" w:cs="Times New Roman"/>
              <w:b/>
              <w:bCs/>
              <w:sz w:val="20"/>
              <w:szCs w:val="20"/>
            </w:rPr>
            <w:t>14</w:t>
          </w:r>
          <w:r>
            <w:rPr>
              <w:rFonts w:hint="eastAsia" w:ascii="Times New Roman" w:hAnsi="Times New Roman" w:eastAsia="宋体" w:cs="Times New Roman"/>
              <w:b/>
              <w:bCs/>
              <w:sz w:val="20"/>
              <w:szCs w:val="20"/>
            </w:rPr>
            <w:fldChar w:fldCharType="end"/>
          </w:r>
          <w:r>
            <w:rPr>
              <w:rFonts w:hint="eastAsia" w:ascii="Times New Roman" w:hAnsi="Times New Roman" w:eastAsia="宋体" w:cs="Times New Roman"/>
              <w:b/>
              <w:bCs/>
              <w:sz w:val="20"/>
              <w:szCs w:val="20"/>
            </w:rPr>
            <w:fldChar w:fldCharType="end"/>
          </w:r>
        </w:p>
        <w:p>
          <w:pPr>
            <w:pStyle w:val="15"/>
            <w:tabs>
              <w:tab w:val="right" w:leader="dot" w:pos="8306"/>
              <w:tab w:val="clear" w:pos="8296"/>
            </w:tabs>
            <w:rPr>
              <w:rFonts w:hint="eastAsia" w:ascii="Times New Roman" w:hAnsi="Times New Roman" w:eastAsia="宋体" w:cs="Times New Roman"/>
              <w:b/>
              <w:bCs/>
              <w:sz w:val="20"/>
              <w:szCs w:val="20"/>
            </w:rPr>
          </w:pPr>
          <w:r>
            <w:rPr>
              <w:rFonts w:hint="eastAsia" w:ascii="Times New Roman" w:hAnsi="Times New Roman" w:eastAsia="宋体" w:cs="Times New Roman"/>
              <w:b/>
              <w:bCs/>
              <w:sz w:val="20"/>
              <w:szCs w:val="20"/>
            </w:rPr>
            <w:fldChar w:fldCharType="begin"/>
          </w:r>
          <w:r>
            <w:rPr>
              <w:rFonts w:hint="eastAsia" w:ascii="Times New Roman" w:hAnsi="Times New Roman" w:eastAsia="宋体" w:cs="Times New Roman"/>
              <w:b/>
              <w:bCs/>
              <w:sz w:val="20"/>
              <w:szCs w:val="20"/>
            </w:rPr>
            <w:instrText xml:space="preserve"> HYPERLINK \l _Toc5679 </w:instrText>
          </w:r>
          <w:r>
            <w:rPr>
              <w:rFonts w:hint="eastAsia" w:ascii="Times New Roman" w:hAnsi="Times New Roman" w:eastAsia="宋体" w:cs="Times New Roman"/>
              <w:b/>
              <w:bCs/>
              <w:sz w:val="20"/>
              <w:szCs w:val="20"/>
            </w:rPr>
            <w:fldChar w:fldCharType="separate"/>
          </w:r>
          <w:r>
            <w:rPr>
              <w:rFonts w:hint="eastAsia" w:ascii="Times New Roman" w:hAnsi="Times New Roman" w:eastAsia="宋体" w:cs="Times New Roman"/>
              <w:b/>
              <w:bCs/>
              <w:sz w:val="20"/>
              <w:szCs w:val="20"/>
            </w:rPr>
            <w:t>第四部分 附件</w:t>
          </w:r>
          <w:r>
            <w:rPr>
              <w:rFonts w:hint="eastAsia" w:ascii="Times New Roman" w:hAnsi="Times New Roman" w:eastAsia="宋体" w:cs="Times New Roman"/>
              <w:b/>
              <w:bCs/>
              <w:sz w:val="20"/>
              <w:szCs w:val="20"/>
            </w:rPr>
            <w:tab/>
          </w:r>
          <w:r>
            <w:rPr>
              <w:rFonts w:hint="eastAsia" w:ascii="Times New Roman" w:hAnsi="Times New Roman" w:eastAsia="宋体" w:cs="Times New Roman"/>
              <w:b/>
              <w:bCs/>
              <w:sz w:val="20"/>
              <w:szCs w:val="20"/>
            </w:rPr>
            <w:fldChar w:fldCharType="begin"/>
          </w:r>
          <w:r>
            <w:rPr>
              <w:rFonts w:hint="eastAsia" w:ascii="Times New Roman" w:hAnsi="Times New Roman" w:eastAsia="宋体" w:cs="Times New Roman"/>
              <w:b/>
              <w:bCs/>
              <w:sz w:val="20"/>
              <w:szCs w:val="20"/>
            </w:rPr>
            <w:instrText xml:space="preserve"> PAGEREF _Toc5679 </w:instrText>
          </w:r>
          <w:r>
            <w:rPr>
              <w:rFonts w:hint="eastAsia" w:ascii="Times New Roman" w:hAnsi="Times New Roman" w:eastAsia="宋体" w:cs="Times New Roman"/>
              <w:b/>
              <w:bCs/>
              <w:sz w:val="20"/>
              <w:szCs w:val="20"/>
            </w:rPr>
            <w:fldChar w:fldCharType="separate"/>
          </w:r>
          <w:r>
            <w:rPr>
              <w:rFonts w:hint="eastAsia" w:ascii="Times New Roman" w:hAnsi="Times New Roman" w:eastAsia="宋体" w:cs="Times New Roman"/>
              <w:b/>
              <w:bCs/>
              <w:sz w:val="20"/>
              <w:szCs w:val="20"/>
            </w:rPr>
            <w:t>16</w:t>
          </w:r>
          <w:r>
            <w:rPr>
              <w:rFonts w:hint="eastAsia" w:ascii="Times New Roman" w:hAnsi="Times New Roman" w:eastAsia="宋体" w:cs="Times New Roman"/>
              <w:b/>
              <w:bCs/>
              <w:sz w:val="20"/>
              <w:szCs w:val="20"/>
            </w:rPr>
            <w:fldChar w:fldCharType="end"/>
          </w:r>
          <w:r>
            <w:rPr>
              <w:rFonts w:hint="eastAsia" w:ascii="Times New Roman" w:hAnsi="Times New Roman" w:eastAsia="宋体" w:cs="Times New Roman"/>
              <w:b/>
              <w:bCs/>
              <w:sz w:val="20"/>
              <w:szCs w:val="20"/>
            </w:rPr>
            <w:fldChar w:fldCharType="end"/>
          </w:r>
        </w:p>
        <w:p>
          <w:pPr>
            <w:pStyle w:val="15"/>
            <w:tabs>
              <w:tab w:val="right" w:leader="dot" w:pos="8306"/>
              <w:tab w:val="clear" w:pos="8296"/>
            </w:tabs>
          </w:pPr>
          <w:r>
            <w:rPr>
              <w:rFonts w:hint="eastAsia" w:ascii="Times New Roman" w:hAnsi="Times New Roman" w:eastAsia="宋体" w:cs="Times New Roman"/>
              <w:b/>
              <w:bCs/>
              <w:sz w:val="20"/>
              <w:szCs w:val="20"/>
            </w:rPr>
            <w:fldChar w:fldCharType="begin"/>
          </w:r>
          <w:r>
            <w:rPr>
              <w:rFonts w:hint="eastAsia" w:ascii="Times New Roman" w:hAnsi="Times New Roman" w:eastAsia="宋体" w:cs="Times New Roman"/>
              <w:b/>
              <w:bCs/>
              <w:sz w:val="20"/>
              <w:szCs w:val="20"/>
            </w:rPr>
            <w:instrText xml:space="preserve"> HYPERLINK \l _Toc14896 </w:instrText>
          </w:r>
          <w:r>
            <w:rPr>
              <w:rFonts w:hint="eastAsia" w:ascii="Times New Roman" w:hAnsi="Times New Roman" w:eastAsia="宋体" w:cs="Times New Roman"/>
              <w:b/>
              <w:bCs/>
              <w:sz w:val="20"/>
              <w:szCs w:val="20"/>
            </w:rPr>
            <w:fldChar w:fldCharType="separate"/>
          </w:r>
          <w:r>
            <w:rPr>
              <w:rFonts w:hint="eastAsia" w:ascii="Times New Roman" w:hAnsi="Times New Roman" w:eastAsia="宋体" w:cs="Times New Roman"/>
              <w:b/>
              <w:bCs/>
              <w:sz w:val="20"/>
              <w:szCs w:val="20"/>
            </w:rPr>
            <w:t>第五部分 附表</w:t>
          </w:r>
          <w:r>
            <w:rPr>
              <w:rFonts w:hint="eastAsia" w:ascii="Times New Roman" w:hAnsi="Times New Roman" w:eastAsia="宋体" w:cs="Times New Roman"/>
              <w:b/>
              <w:bCs/>
              <w:sz w:val="20"/>
              <w:szCs w:val="20"/>
            </w:rPr>
            <w:tab/>
          </w:r>
          <w:r>
            <w:rPr>
              <w:rFonts w:hint="eastAsia" w:ascii="Times New Roman" w:hAnsi="Times New Roman" w:eastAsia="宋体" w:cs="Times New Roman"/>
              <w:b/>
              <w:bCs/>
              <w:sz w:val="20"/>
              <w:szCs w:val="20"/>
            </w:rPr>
            <w:fldChar w:fldCharType="begin"/>
          </w:r>
          <w:r>
            <w:rPr>
              <w:rFonts w:hint="eastAsia" w:ascii="Times New Roman" w:hAnsi="Times New Roman" w:eastAsia="宋体" w:cs="Times New Roman"/>
              <w:b/>
              <w:bCs/>
              <w:sz w:val="20"/>
              <w:szCs w:val="20"/>
            </w:rPr>
            <w:instrText xml:space="preserve"> PAGEREF _Toc14896 </w:instrText>
          </w:r>
          <w:r>
            <w:rPr>
              <w:rFonts w:hint="eastAsia" w:ascii="Times New Roman" w:hAnsi="Times New Roman" w:eastAsia="宋体" w:cs="Times New Roman"/>
              <w:b/>
              <w:bCs/>
              <w:sz w:val="20"/>
              <w:szCs w:val="20"/>
            </w:rPr>
            <w:fldChar w:fldCharType="separate"/>
          </w:r>
          <w:r>
            <w:rPr>
              <w:rFonts w:hint="eastAsia" w:ascii="Times New Roman" w:hAnsi="Times New Roman" w:eastAsia="宋体" w:cs="Times New Roman"/>
              <w:b/>
              <w:bCs/>
              <w:sz w:val="20"/>
              <w:szCs w:val="20"/>
            </w:rPr>
            <w:t>38</w:t>
          </w:r>
          <w:r>
            <w:rPr>
              <w:rFonts w:hint="eastAsia" w:ascii="Times New Roman" w:hAnsi="Times New Roman" w:eastAsia="宋体" w:cs="Times New Roman"/>
              <w:b/>
              <w:bCs/>
              <w:sz w:val="20"/>
              <w:szCs w:val="20"/>
            </w:rPr>
            <w:fldChar w:fldCharType="end"/>
          </w:r>
          <w:r>
            <w:rPr>
              <w:rFonts w:hint="eastAsia" w:ascii="Times New Roman" w:hAnsi="Times New Roman" w:eastAsia="宋体" w:cs="Times New Roman"/>
              <w:b/>
              <w:bCs/>
              <w:sz w:val="20"/>
              <w:szCs w:val="20"/>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_Toc12036 </w:instrText>
          </w:r>
          <w:r>
            <w:rPr>
              <w:rFonts w:hint="eastAsia" w:ascii="Times New Roman" w:hAnsi="Times New Roman" w:eastAsia="宋体" w:cs="Times New Roman"/>
            </w:rPr>
            <w:fldChar w:fldCharType="separate"/>
          </w:r>
          <w:r>
            <w:rPr>
              <w:rFonts w:hint="eastAsia" w:ascii="Times New Roman" w:hAnsi="Times New Roman" w:eastAsia="宋体" w:cs="Times New Roman"/>
            </w:rPr>
            <w:t>一、收入支出决算总表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_Toc12036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_Toc1909 </w:instrText>
          </w:r>
          <w:r>
            <w:rPr>
              <w:rFonts w:hint="eastAsia" w:ascii="Times New Roman" w:hAnsi="Times New Roman" w:eastAsia="宋体" w:cs="Times New Roman"/>
            </w:rPr>
            <w:fldChar w:fldCharType="separate"/>
          </w:r>
          <w:r>
            <w:rPr>
              <w:rFonts w:hint="eastAsia" w:ascii="Times New Roman" w:hAnsi="Times New Roman" w:eastAsia="宋体" w:cs="Times New Roman"/>
            </w:rPr>
            <w:t>二、收入决算表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_Toc1909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_Toc19145 </w:instrText>
          </w:r>
          <w:r>
            <w:rPr>
              <w:rFonts w:hint="eastAsia" w:ascii="Times New Roman" w:hAnsi="Times New Roman" w:eastAsia="宋体" w:cs="Times New Roman"/>
            </w:rPr>
            <w:fldChar w:fldCharType="separate"/>
          </w:r>
          <w:r>
            <w:rPr>
              <w:rFonts w:hint="eastAsia" w:ascii="Times New Roman" w:hAnsi="Times New Roman" w:eastAsia="宋体" w:cs="Times New Roman"/>
            </w:rPr>
            <w:t>三、支出决算表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_Toc19145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_Toc1669 </w:instrText>
          </w:r>
          <w:r>
            <w:rPr>
              <w:rFonts w:hint="eastAsia" w:ascii="Times New Roman" w:hAnsi="Times New Roman" w:eastAsia="宋体" w:cs="Times New Roman"/>
            </w:rPr>
            <w:fldChar w:fldCharType="separate"/>
          </w:r>
          <w:r>
            <w:rPr>
              <w:rFonts w:hint="eastAsia" w:ascii="Times New Roman" w:hAnsi="Times New Roman" w:eastAsia="宋体" w:cs="Times New Roman"/>
            </w:rPr>
            <w:t>四、财政拨款收入支出决算总表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_Toc1669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_Toc16146 </w:instrText>
          </w:r>
          <w:r>
            <w:rPr>
              <w:rFonts w:hint="eastAsia" w:ascii="Times New Roman" w:hAnsi="Times New Roman" w:eastAsia="宋体" w:cs="Times New Roman"/>
            </w:rPr>
            <w:fldChar w:fldCharType="separate"/>
          </w:r>
          <w:r>
            <w:rPr>
              <w:rFonts w:hint="eastAsia" w:ascii="Times New Roman" w:hAnsi="Times New Roman" w:eastAsia="宋体" w:cs="Times New Roman"/>
            </w:rPr>
            <w:t>五、财政拨款支出决算明细表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_Toc16146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_Toc7003 </w:instrText>
          </w:r>
          <w:r>
            <w:rPr>
              <w:rFonts w:hint="eastAsia" w:ascii="Times New Roman" w:hAnsi="Times New Roman" w:eastAsia="宋体" w:cs="Times New Roman"/>
            </w:rPr>
            <w:fldChar w:fldCharType="separate"/>
          </w:r>
          <w:r>
            <w:rPr>
              <w:rFonts w:hint="eastAsia" w:ascii="Times New Roman" w:hAnsi="Times New Roman" w:eastAsia="宋体" w:cs="Times New Roman"/>
            </w:rPr>
            <w:t>六、一般公共预算财政拨款支出决算表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_Toc7003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_Toc22822 </w:instrText>
          </w:r>
          <w:r>
            <w:rPr>
              <w:rFonts w:hint="eastAsia" w:ascii="Times New Roman" w:hAnsi="Times New Roman" w:eastAsia="宋体" w:cs="Times New Roman"/>
            </w:rPr>
            <w:fldChar w:fldCharType="separate"/>
          </w:r>
          <w:r>
            <w:rPr>
              <w:rFonts w:hint="eastAsia" w:ascii="Times New Roman" w:hAnsi="Times New Roman" w:eastAsia="宋体" w:cs="Times New Roman"/>
            </w:rPr>
            <w:t>七、一般公共预算财政拨款支出决算明细表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_Toc22822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_Toc14982 </w:instrText>
          </w:r>
          <w:r>
            <w:rPr>
              <w:rFonts w:hint="eastAsia" w:ascii="Times New Roman" w:hAnsi="Times New Roman" w:eastAsia="宋体" w:cs="Times New Roman"/>
            </w:rPr>
            <w:fldChar w:fldCharType="separate"/>
          </w:r>
          <w:r>
            <w:rPr>
              <w:rFonts w:hint="eastAsia" w:ascii="Times New Roman" w:hAnsi="Times New Roman" w:eastAsia="宋体" w:cs="Times New Roman"/>
            </w:rPr>
            <w:t>八、一般公共预算财政拨款基本支出决算表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_Toc14982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_Toc19985 </w:instrText>
          </w:r>
          <w:r>
            <w:rPr>
              <w:rFonts w:hint="eastAsia" w:ascii="Times New Roman" w:hAnsi="Times New Roman" w:eastAsia="宋体" w:cs="Times New Roman"/>
            </w:rPr>
            <w:fldChar w:fldCharType="separate"/>
          </w:r>
          <w:r>
            <w:rPr>
              <w:rFonts w:hint="eastAsia" w:ascii="Times New Roman" w:hAnsi="Times New Roman" w:eastAsia="宋体" w:cs="Times New Roman"/>
            </w:rPr>
            <w:t>九、一般公共预算财政拨款项目支出决算表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_Toc19985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_Toc5276 </w:instrText>
          </w:r>
          <w:r>
            <w:rPr>
              <w:rFonts w:hint="eastAsia" w:ascii="Times New Roman" w:hAnsi="Times New Roman" w:eastAsia="宋体" w:cs="Times New Roman"/>
            </w:rPr>
            <w:fldChar w:fldCharType="separate"/>
          </w:r>
          <w:r>
            <w:rPr>
              <w:rFonts w:hint="eastAsia" w:ascii="Times New Roman" w:hAnsi="Times New Roman" w:eastAsia="宋体" w:cs="Times New Roman"/>
            </w:rPr>
            <w:t>十、政府性基金预算财政拨款收入支出决算表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_Toc5276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_Toc1258 </w:instrText>
          </w:r>
          <w:r>
            <w:rPr>
              <w:rFonts w:hint="eastAsia" w:ascii="Times New Roman" w:hAnsi="Times New Roman" w:eastAsia="宋体" w:cs="Times New Roman"/>
            </w:rPr>
            <w:fldChar w:fldCharType="separate"/>
          </w:r>
          <w:r>
            <w:rPr>
              <w:rFonts w:hint="eastAsia" w:ascii="Times New Roman" w:hAnsi="Times New Roman" w:eastAsia="宋体" w:cs="Times New Roman"/>
            </w:rPr>
            <w:t>十一、国有资本经营预算</w:t>
          </w:r>
          <w:r>
            <w:rPr>
              <w:rFonts w:hint="eastAsia" w:ascii="Times New Roman" w:hAnsi="Times New Roman" w:eastAsia="宋体" w:cs="Times New Roman"/>
              <w:lang w:eastAsia="zh-CN"/>
            </w:rPr>
            <w:t>财政拨款收入</w:t>
          </w:r>
          <w:r>
            <w:rPr>
              <w:rFonts w:hint="eastAsia" w:ascii="Times New Roman" w:hAnsi="Times New Roman" w:eastAsia="宋体" w:cs="Times New Roman"/>
            </w:rPr>
            <w:t>支出决算表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_Toc1258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rPr>
              <w:rFonts w:hint="eastAsia" w:ascii="Times New Roman" w:hAnsi="Times New Roman" w:eastAsia="宋体" w:cs="Times New Roman"/>
            </w:rPr>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_Toc20964 </w:instrText>
          </w:r>
          <w:r>
            <w:rPr>
              <w:rFonts w:hint="eastAsia" w:ascii="Times New Roman" w:hAnsi="Times New Roman" w:eastAsia="宋体" w:cs="Times New Roman"/>
            </w:rPr>
            <w:fldChar w:fldCharType="separate"/>
          </w:r>
          <w:r>
            <w:rPr>
              <w:rFonts w:hint="eastAsia" w:ascii="Times New Roman" w:hAnsi="Times New Roman" w:eastAsia="宋体" w:cs="Times New Roman"/>
            </w:rPr>
            <w:t>十二、</w:t>
          </w:r>
          <w:r>
            <w:rPr>
              <w:rFonts w:hint="eastAsia" w:ascii="Times New Roman" w:hAnsi="Times New Roman" w:eastAsia="宋体" w:cs="Times New Roman"/>
              <w:lang w:eastAsia="zh-CN"/>
            </w:rPr>
            <w:t>国有资本经营预算财政拨款支出决算表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_Toc20964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pStyle w:val="40"/>
            <w:tabs>
              <w:tab w:val="right" w:leader="dot" w:pos="8306"/>
            </w:tabs>
          </w:pP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HYPERLINK \l _Toc5177 </w:instrText>
          </w:r>
          <w:r>
            <w:rPr>
              <w:rFonts w:hint="eastAsia" w:ascii="Times New Roman" w:hAnsi="Times New Roman" w:eastAsia="宋体" w:cs="Times New Roman"/>
            </w:rPr>
            <w:fldChar w:fldCharType="separate"/>
          </w:r>
          <w:r>
            <w:rPr>
              <w:rFonts w:hint="eastAsia" w:ascii="Times New Roman" w:hAnsi="Times New Roman" w:eastAsia="宋体" w:cs="Times New Roman"/>
            </w:rPr>
            <w:t>十三、</w:t>
          </w:r>
          <w:r>
            <w:rPr>
              <w:rFonts w:hint="eastAsia" w:ascii="Times New Roman" w:hAnsi="Times New Roman" w:eastAsia="宋体" w:cs="Times New Roman"/>
              <w:lang w:eastAsia="zh-CN"/>
            </w:rPr>
            <w:t>财政拨款“三公”经费支出决算表</w:t>
          </w:r>
          <w:r>
            <w:rPr>
              <w:rFonts w:hint="eastAsia" w:ascii="Times New Roman" w:hAnsi="Times New Roman" w:eastAsia="宋体" w:cs="Times New Roman"/>
            </w:rPr>
            <w:tab/>
          </w:r>
          <w:r>
            <w:rPr>
              <w:rFonts w:hint="eastAsia" w:ascii="Times New Roman" w:hAnsi="Times New Roman" w:eastAsia="宋体" w:cs="Times New Roman"/>
            </w:rPr>
            <w:fldChar w:fldCharType="begin"/>
          </w:r>
          <w:r>
            <w:rPr>
              <w:rFonts w:hint="eastAsia" w:ascii="Times New Roman" w:hAnsi="Times New Roman" w:eastAsia="宋体" w:cs="Times New Roman"/>
            </w:rPr>
            <w:instrText xml:space="preserve"> PAGEREF _Toc5177 </w:instrText>
          </w:r>
          <w:r>
            <w:rPr>
              <w:rFonts w:hint="eastAsia" w:ascii="Times New Roman" w:hAnsi="Times New Roman" w:eastAsia="宋体" w:cs="Times New Roman"/>
            </w:rPr>
            <w:fldChar w:fldCharType="separate"/>
          </w:r>
          <w:r>
            <w:rPr>
              <w:rFonts w:hint="eastAsia" w:ascii="Times New Roman" w:hAnsi="Times New Roman" w:eastAsia="宋体" w:cs="Times New Roman"/>
            </w:rPr>
            <w:t>39</w:t>
          </w:r>
          <w:r>
            <w:rPr>
              <w:rFonts w:hint="eastAsia" w:ascii="Times New Roman" w:hAnsi="Times New Roman" w:eastAsia="宋体" w:cs="Times New Roman"/>
            </w:rPr>
            <w:fldChar w:fldCharType="end"/>
          </w:r>
          <w:r>
            <w:rPr>
              <w:rFonts w:hint="eastAsia" w:ascii="Times New Roman" w:hAnsi="Times New Roman" w:eastAsia="宋体" w:cs="Times New Roman"/>
            </w:rPr>
            <w:fldChar w:fldCharType="end"/>
          </w:r>
        </w:p>
        <w:p>
          <w:pPr>
            <w:tabs>
              <w:tab w:val="right" w:leader="dot" w:pos="8306"/>
            </w:tabs>
            <w:spacing w:before="0" w:beforeLines="0" w:after="0" w:afterLines="0" w:line="240" w:lineRule="auto"/>
            <w:ind w:left="0" w:leftChars="0" w:right="0" w:rightChars="0" w:firstLine="0" w:firstLineChars="0"/>
            <w:jc w:val="center"/>
            <w:rPr>
              <w:color w:val="auto"/>
            </w:rPr>
          </w:pPr>
          <w:r>
            <w:rPr>
              <w:color w:val="auto"/>
            </w:rPr>
            <w:fldChar w:fldCharType="end"/>
          </w:r>
        </w:p>
      </w:sdtContent>
    </w:sdt>
    <w:p>
      <w:pPr>
        <w:pStyle w:val="15"/>
        <w:tabs>
          <w:tab w:val="right" w:leader="dot" w:pos="8306"/>
          <w:tab w:val="clear" w:pos="8296"/>
        </w:tabs>
        <w:rPr>
          <w:color w:val="auto"/>
        </w:rPr>
      </w:pPr>
    </w:p>
    <w:p>
      <w:pPr>
        <w:widowControl/>
        <w:spacing w:line="440" w:lineRule="exact"/>
        <w:jc w:val="left"/>
        <w:rPr>
          <w:rFonts w:ascii="仿宋" w:hAnsi="仿宋" w:eastAsia="仿宋"/>
          <w:bCs/>
          <w:color w:val="auto"/>
          <w:kern w:val="44"/>
          <w:sz w:val="24"/>
        </w:rPr>
      </w:pPr>
      <w:bookmarkStart w:id="28" w:name="_Toc15377196"/>
      <w:bookmarkStart w:id="29" w:name="_Toc15396599"/>
      <w:r>
        <w:rPr>
          <w:rFonts w:ascii="仿宋" w:hAnsi="仿宋" w:eastAsia="仿宋"/>
          <w:b/>
          <w:color w:val="auto"/>
          <w:sz w:val="24"/>
        </w:rPr>
        <w:br w:type="page"/>
      </w:r>
    </w:p>
    <w:p>
      <w:pPr>
        <w:pStyle w:val="3"/>
        <w:jc w:val="center"/>
        <w:rPr>
          <w:rFonts w:ascii="黑体" w:eastAsia="黑体"/>
          <w:color w:val="auto"/>
          <w:sz w:val="32"/>
          <w:szCs w:val="32"/>
        </w:rPr>
      </w:pPr>
      <w:bookmarkStart w:id="30" w:name="_Toc29879"/>
      <w:bookmarkStart w:id="31" w:name="_Toc12943"/>
      <w:r>
        <w:rPr>
          <w:rFonts w:hint="eastAsia" w:ascii="黑体" w:hAnsi="黑体" w:eastAsia="黑体"/>
          <w:b w:val="0"/>
          <w:color w:val="auto"/>
        </w:rPr>
        <w:t>第一部分 单位</w:t>
      </w:r>
      <w:r>
        <w:rPr>
          <w:rStyle w:val="23"/>
          <w:rFonts w:hint="eastAsia" w:ascii="黑体" w:hAnsi="黑体" w:eastAsia="黑体"/>
          <w:b w:val="0"/>
          <w:bCs w:val="0"/>
          <w:color w:val="auto"/>
        </w:rPr>
        <w:t>概况</w:t>
      </w:r>
      <w:bookmarkEnd w:id="28"/>
      <w:bookmarkEnd w:id="29"/>
      <w:bookmarkEnd w:id="30"/>
      <w:bookmarkEnd w:id="31"/>
    </w:p>
    <w:p>
      <w:pPr>
        <w:pStyle w:val="2"/>
        <w:adjustRightInd w:val="0"/>
        <w:snapToGrid w:val="0"/>
        <w:spacing w:beforeLines="0" w:line="576" w:lineRule="exact"/>
        <w:ind w:firstLine="640" w:firstLineChars="200"/>
        <w:outlineLvl w:val="1"/>
        <w:rPr>
          <w:rStyle w:val="24"/>
          <w:rFonts w:hint="eastAsia" w:ascii="黑体" w:hAnsi="黑体" w:eastAsia="黑体"/>
          <w:b w:val="0"/>
          <w:bCs w:val="0"/>
          <w:color w:val="auto"/>
        </w:rPr>
      </w:pPr>
      <w:bookmarkStart w:id="32" w:name="_Toc17700"/>
      <w:bookmarkStart w:id="33" w:name="_Toc31678"/>
      <w:bookmarkStart w:id="34" w:name="_Toc15396600"/>
      <w:bookmarkStart w:id="35" w:name="_Toc15377197"/>
      <w:r>
        <w:rPr>
          <w:rStyle w:val="24"/>
          <w:rFonts w:hint="eastAsia" w:ascii="黑体" w:hAnsi="黑体" w:eastAsia="黑体"/>
          <w:b w:val="0"/>
          <w:bCs w:val="0"/>
          <w:color w:val="auto"/>
          <w:lang w:eastAsia="zh-CN"/>
        </w:rPr>
        <w:t>一、主要职责</w:t>
      </w:r>
      <w:bookmarkEnd w:id="32"/>
    </w:p>
    <w:bookmarkEnd w:id="33"/>
    <w:p>
      <w:pPr>
        <w:pStyle w:val="2"/>
        <w:adjustRightInd w:val="0"/>
        <w:snapToGrid w:val="0"/>
        <w:spacing w:beforeLines="0" w:line="576" w:lineRule="exact"/>
        <w:ind w:firstLine="640" w:firstLineChars="200"/>
        <w:rPr>
          <w:rFonts w:hint="eastAsia" w:hAnsi="仿宋" w:cs="Times New Roman"/>
          <w:bCs/>
          <w:color w:val="auto"/>
          <w:sz w:val="32"/>
          <w:szCs w:val="32"/>
        </w:rPr>
      </w:pPr>
      <w:r>
        <w:rPr>
          <w:rFonts w:hint="eastAsia" w:hAnsi="仿宋" w:cs="Times New Roman"/>
          <w:bCs/>
          <w:color w:val="auto"/>
          <w:sz w:val="32"/>
          <w:szCs w:val="32"/>
          <w:lang w:eastAsia="zh-CN"/>
        </w:rPr>
        <w:t>（一）</w:t>
      </w:r>
      <w:r>
        <w:rPr>
          <w:rFonts w:hint="eastAsia" w:hAnsi="仿宋" w:cs="Times New Roman"/>
          <w:bCs/>
          <w:color w:val="auto"/>
          <w:sz w:val="32"/>
          <w:szCs w:val="32"/>
        </w:rPr>
        <w:t>承担市级粮食行政管理部门下达的储备粮、军粮、最低收购价粮食等政策性粮食的质量安全检测工作；</w:t>
      </w:r>
    </w:p>
    <w:p>
      <w:pPr>
        <w:pStyle w:val="2"/>
        <w:adjustRightInd w:val="0"/>
        <w:snapToGrid w:val="0"/>
        <w:spacing w:beforeLines="0" w:line="576" w:lineRule="exact"/>
        <w:ind w:firstLine="640" w:firstLineChars="200"/>
        <w:rPr>
          <w:rFonts w:hint="eastAsia" w:hAnsi="仿宋" w:cs="Times New Roman"/>
          <w:bCs/>
          <w:color w:val="auto"/>
          <w:sz w:val="32"/>
          <w:szCs w:val="32"/>
        </w:rPr>
      </w:pPr>
      <w:r>
        <w:rPr>
          <w:rFonts w:hint="eastAsia" w:hAnsi="仿宋" w:cs="Times New Roman"/>
          <w:bCs/>
          <w:color w:val="auto"/>
          <w:sz w:val="32"/>
          <w:szCs w:val="32"/>
          <w:lang w:eastAsia="zh-CN"/>
        </w:rPr>
        <w:t>（二）</w:t>
      </w:r>
      <w:r>
        <w:rPr>
          <w:rFonts w:hint="eastAsia" w:hAnsi="仿宋" w:cs="Times New Roman"/>
          <w:bCs/>
          <w:color w:val="auto"/>
          <w:sz w:val="32"/>
          <w:szCs w:val="32"/>
        </w:rPr>
        <w:t>承担粮食质量安全监测预警体系建设和快速反应机制研究；负责组织全市粮食质量安全突发事件应急检验工作；</w:t>
      </w:r>
    </w:p>
    <w:p>
      <w:pPr>
        <w:pStyle w:val="2"/>
        <w:adjustRightInd w:val="0"/>
        <w:snapToGrid w:val="0"/>
        <w:spacing w:beforeLines="0" w:line="576" w:lineRule="exact"/>
        <w:ind w:firstLine="640" w:firstLineChars="200"/>
        <w:outlineLvl w:val="2"/>
        <w:rPr>
          <w:rFonts w:hint="eastAsia" w:hAnsi="仿宋" w:cs="Times New Roman"/>
          <w:bCs/>
          <w:color w:val="auto"/>
          <w:sz w:val="32"/>
          <w:szCs w:val="32"/>
        </w:rPr>
      </w:pPr>
      <w:bookmarkStart w:id="36" w:name="_Toc21507"/>
      <w:bookmarkStart w:id="37" w:name="_Toc22222"/>
      <w:r>
        <w:rPr>
          <w:rFonts w:hint="eastAsia" w:hAnsi="仿宋" w:cs="Times New Roman"/>
          <w:bCs/>
          <w:color w:val="auto"/>
          <w:sz w:val="32"/>
          <w:szCs w:val="32"/>
          <w:lang w:eastAsia="zh-CN"/>
        </w:rPr>
        <w:t>（三）</w:t>
      </w:r>
      <w:r>
        <w:rPr>
          <w:rFonts w:hint="eastAsia" w:hAnsi="仿宋" w:cs="Times New Roman"/>
          <w:bCs/>
          <w:color w:val="auto"/>
          <w:sz w:val="32"/>
          <w:szCs w:val="32"/>
        </w:rPr>
        <w:t>组织开展全市粮食质量安全调查、品质测报会检工作；</w:t>
      </w:r>
      <w:bookmarkEnd w:id="36"/>
      <w:bookmarkEnd w:id="37"/>
    </w:p>
    <w:p>
      <w:pPr>
        <w:pStyle w:val="2"/>
        <w:adjustRightInd w:val="0"/>
        <w:snapToGrid w:val="0"/>
        <w:spacing w:beforeLines="0" w:line="576" w:lineRule="exact"/>
        <w:ind w:firstLine="640" w:firstLineChars="200"/>
        <w:rPr>
          <w:rFonts w:hint="eastAsia" w:hAnsi="仿宋" w:cs="Times New Roman"/>
          <w:bCs/>
          <w:color w:val="auto"/>
          <w:sz w:val="32"/>
          <w:szCs w:val="32"/>
        </w:rPr>
      </w:pPr>
      <w:r>
        <w:rPr>
          <w:rFonts w:hint="eastAsia" w:hAnsi="仿宋" w:cs="Times New Roman"/>
          <w:bCs/>
          <w:color w:val="auto"/>
          <w:sz w:val="32"/>
          <w:szCs w:val="32"/>
          <w:lang w:eastAsia="zh-CN"/>
        </w:rPr>
        <w:t>（四）</w:t>
      </w:r>
      <w:r>
        <w:rPr>
          <w:rFonts w:hint="eastAsia" w:hAnsi="仿宋" w:cs="Times New Roman"/>
          <w:bCs/>
          <w:color w:val="auto"/>
          <w:sz w:val="32"/>
          <w:szCs w:val="32"/>
        </w:rPr>
        <w:t>组织全市粮食质量检验机构检验人员能力培训；组织开展全市粮食质检机构的比对考核、职能技术培训等工作；</w:t>
      </w:r>
    </w:p>
    <w:p>
      <w:pPr>
        <w:pStyle w:val="2"/>
        <w:adjustRightInd w:val="0"/>
        <w:snapToGrid w:val="0"/>
        <w:spacing w:beforeLines="0" w:line="576" w:lineRule="exact"/>
        <w:ind w:firstLine="640" w:firstLineChars="200"/>
        <w:rPr>
          <w:rFonts w:hint="eastAsia" w:hAnsi="仿宋" w:cs="Times New Roman"/>
          <w:bCs/>
          <w:color w:val="auto"/>
          <w:sz w:val="32"/>
          <w:szCs w:val="32"/>
        </w:rPr>
      </w:pPr>
      <w:r>
        <w:rPr>
          <w:rFonts w:hint="eastAsia" w:hAnsi="仿宋" w:cs="Times New Roman"/>
          <w:bCs/>
          <w:color w:val="auto"/>
          <w:sz w:val="32"/>
          <w:szCs w:val="32"/>
          <w:lang w:eastAsia="zh-CN"/>
        </w:rPr>
        <w:t>（五）</w:t>
      </w:r>
      <w:r>
        <w:rPr>
          <w:rFonts w:hint="eastAsia" w:hAnsi="仿宋" w:cs="Times New Roman"/>
          <w:bCs/>
          <w:color w:val="auto"/>
          <w:sz w:val="32"/>
          <w:szCs w:val="32"/>
        </w:rPr>
        <w:t>负责全市粮食行业质量安全风险监测计划及方案的实施；</w:t>
      </w:r>
    </w:p>
    <w:p>
      <w:pPr>
        <w:pStyle w:val="2"/>
        <w:adjustRightInd w:val="0"/>
        <w:snapToGrid w:val="0"/>
        <w:spacing w:beforeLines="0" w:line="576" w:lineRule="exact"/>
        <w:ind w:firstLine="640" w:firstLineChars="200"/>
        <w:rPr>
          <w:rFonts w:hint="eastAsia" w:hAnsi="仿宋" w:cs="Times New Roman"/>
          <w:bCs/>
          <w:color w:val="auto"/>
          <w:sz w:val="32"/>
          <w:szCs w:val="32"/>
        </w:rPr>
      </w:pPr>
      <w:r>
        <w:rPr>
          <w:rFonts w:hint="eastAsia" w:hAnsi="仿宋" w:cs="Times New Roman"/>
          <w:bCs/>
          <w:color w:val="auto"/>
          <w:sz w:val="32"/>
          <w:szCs w:val="32"/>
          <w:lang w:eastAsia="zh-CN"/>
        </w:rPr>
        <w:t>（六）</w:t>
      </w:r>
      <w:r>
        <w:rPr>
          <w:rFonts w:hint="eastAsia" w:hAnsi="仿宋" w:cs="Times New Roman"/>
          <w:bCs/>
          <w:color w:val="auto"/>
          <w:sz w:val="32"/>
          <w:szCs w:val="32"/>
        </w:rPr>
        <w:t>负责全市粮食质量监测机构检验检测能力建设的技术指导；</w:t>
      </w:r>
    </w:p>
    <w:p>
      <w:pPr>
        <w:pStyle w:val="2"/>
        <w:adjustRightInd w:val="0"/>
        <w:snapToGrid w:val="0"/>
        <w:spacing w:beforeLines="0" w:line="576" w:lineRule="exact"/>
        <w:ind w:firstLine="640" w:firstLineChars="200"/>
        <w:rPr>
          <w:rFonts w:hint="eastAsia" w:hAnsi="仿宋" w:cs="Times New Roman"/>
          <w:bCs/>
          <w:color w:val="auto"/>
          <w:sz w:val="32"/>
          <w:szCs w:val="32"/>
        </w:rPr>
      </w:pPr>
      <w:r>
        <w:rPr>
          <w:rFonts w:hint="eastAsia" w:hAnsi="仿宋" w:cs="Times New Roman"/>
          <w:bCs/>
          <w:color w:val="auto"/>
          <w:sz w:val="32"/>
          <w:szCs w:val="32"/>
          <w:lang w:eastAsia="zh-CN"/>
        </w:rPr>
        <w:t>（七）</w:t>
      </w:r>
      <w:r>
        <w:rPr>
          <w:rFonts w:hint="eastAsia" w:hAnsi="仿宋" w:cs="Times New Roman"/>
          <w:bCs/>
          <w:color w:val="auto"/>
          <w:sz w:val="32"/>
          <w:szCs w:val="32"/>
        </w:rPr>
        <w:t>负责国家、行业标准的宣传贯彻工作;</w:t>
      </w:r>
    </w:p>
    <w:p>
      <w:pPr>
        <w:pStyle w:val="2"/>
        <w:adjustRightInd w:val="0"/>
        <w:snapToGrid w:val="0"/>
        <w:spacing w:beforeLines="0" w:line="576" w:lineRule="exact"/>
        <w:ind w:firstLine="640" w:firstLineChars="200"/>
        <w:rPr>
          <w:rFonts w:hint="eastAsia" w:hAnsi="仿宋" w:cs="Times New Roman"/>
          <w:bCs/>
          <w:color w:val="auto"/>
          <w:sz w:val="32"/>
          <w:szCs w:val="32"/>
        </w:rPr>
      </w:pPr>
      <w:r>
        <w:rPr>
          <w:rFonts w:hint="eastAsia" w:hAnsi="仿宋" w:cs="Times New Roman"/>
          <w:bCs/>
          <w:color w:val="auto"/>
          <w:sz w:val="32"/>
          <w:szCs w:val="32"/>
          <w:lang w:eastAsia="zh-CN"/>
        </w:rPr>
        <w:t>（八）</w:t>
      </w:r>
      <w:r>
        <w:rPr>
          <w:rFonts w:hint="eastAsia" w:hAnsi="仿宋" w:cs="Times New Roman"/>
          <w:bCs/>
          <w:color w:val="auto"/>
          <w:sz w:val="32"/>
          <w:szCs w:val="32"/>
        </w:rPr>
        <w:t>具备检验各种粮食质量指标、品质指标和安全指标的能力及具备一定的科研能力。</w:t>
      </w:r>
    </w:p>
    <w:p>
      <w:pPr>
        <w:pStyle w:val="2"/>
        <w:adjustRightInd w:val="0"/>
        <w:snapToGrid w:val="0"/>
        <w:spacing w:beforeLines="0" w:line="576" w:lineRule="exact"/>
        <w:ind w:firstLine="640" w:firstLineChars="200"/>
        <w:rPr>
          <w:rStyle w:val="24"/>
          <w:rFonts w:ascii="黑体" w:hAnsi="黑体" w:eastAsia="黑体"/>
          <w:b w:val="0"/>
          <w:bCs w:val="0"/>
          <w:color w:val="auto"/>
        </w:rPr>
      </w:pPr>
      <w:r>
        <w:rPr>
          <w:rFonts w:hint="eastAsia" w:hAnsi="仿宋" w:cs="Times New Roman"/>
          <w:bCs/>
          <w:color w:val="auto"/>
          <w:sz w:val="32"/>
          <w:szCs w:val="32"/>
          <w:lang w:eastAsia="zh-CN"/>
        </w:rPr>
        <w:t>（九）</w:t>
      </w:r>
      <w:r>
        <w:rPr>
          <w:rFonts w:hint="eastAsia" w:hAnsi="仿宋" w:cs="Times New Roman"/>
          <w:bCs/>
          <w:color w:val="auto"/>
          <w:sz w:val="32"/>
          <w:szCs w:val="32"/>
        </w:rPr>
        <w:t>承办国家粮食和物资储备局、省粮食和物资储备局交办的其它工作。</w:t>
      </w:r>
    </w:p>
    <w:p>
      <w:pPr>
        <w:rPr>
          <w:color w:val="auto"/>
        </w:rPr>
      </w:pPr>
    </w:p>
    <w:bookmarkEnd w:id="34"/>
    <w:bookmarkEnd w:id="35"/>
    <w:p>
      <w:pPr>
        <w:pStyle w:val="4"/>
        <w:rPr>
          <w:rFonts w:hint="eastAsia" w:ascii="黑体" w:hAnsi="黑体" w:eastAsia="黑体"/>
          <w:b w:val="0"/>
          <w:color w:val="auto"/>
          <w:lang w:eastAsia="zh-CN"/>
        </w:rPr>
      </w:pPr>
      <w:bookmarkStart w:id="38" w:name="_Toc14660"/>
      <w:bookmarkStart w:id="39" w:name="_Toc13439"/>
      <w:r>
        <w:rPr>
          <w:rFonts w:hint="eastAsia" w:ascii="黑体" w:hAnsi="黑体" w:eastAsia="黑体"/>
          <w:b w:val="0"/>
          <w:color w:val="auto"/>
        </w:rPr>
        <w:t>二、</w:t>
      </w:r>
      <w:r>
        <w:rPr>
          <w:rFonts w:hint="eastAsia" w:ascii="黑体" w:hAnsi="黑体" w:eastAsia="黑体"/>
          <w:b w:val="0"/>
          <w:color w:val="auto"/>
          <w:lang w:eastAsia="zh-CN"/>
        </w:rPr>
        <w:t>机构设置</w:t>
      </w:r>
      <w:bookmarkEnd w:id="38"/>
      <w:bookmarkEnd w:id="39"/>
    </w:p>
    <w:p>
      <w:pPr>
        <w:pStyle w:val="4"/>
        <w:ind w:firstLine="640" w:firstLineChars="200"/>
        <w:rPr>
          <w:rFonts w:hint="eastAsia" w:ascii="仿宋" w:hAnsi="仿宋" w:eastAsia="仿宋" w:cs="Times New Roman"/>
          <w:b w:val="0"/>
          <w:bCs w:val="0"/>
          <w:color w:val="auto"/>
          <w:kern w:val="2"/>
          <w:sz w:val="32"/>
          <w:szCs w:val="32"/>
          <w:lang w:val="en-US" w:eastAsia="zh-CN" w:bidi="ar-SA"/>
        </w:rPr>
      </w:pPr>
      <w:bookmarkStart w:id="40" w:name="_Toc11804"/>
      <w:bookmarkStart w:id="41" w:name="_Toc12403"/>
      <w:r>
        <w:rPr>
          <w:rFonts w:hint="eastAsia" w:ascii="仿宋" w:hAnsi="仿宋" w:eastAsia="仿宋" w:cs="Times New Roman"/>
          <w:b w:val="0"/>
          <w:bCs w:val="0"/>
          <w:color w:val="auto"/>
          <w:kern w:val="2"/>
          <w:sz w:val="32"/>
          <w:szCs w:val="32"/>
          <w:lang w:val="en-US" w:eastAsia="zh-CN" w:bidi="ar-SA"/>
        </w:rPr>
        <w:t>广元市粮油质量监测站(（元市救灾物资管理中心）属于广元市发展和改革委员会下属二级预算单位，下设独立预算机构0个，其中行政单位0个，其他事业单位0个。纳入2024年度单位决算编制范围的独立编制机构：1.广元市粮油质量监测站</w:t>
      </w:r>
      <w:bookmarkEnd w:id="40"/>
      <w:bookmarkEnd w:id="41"/>
    </w:p>
    <w:p>
      <w:pPr>
        <w:pStyle w:val="3"/>
        <w:ind w:right="440"/>
        <w:jc w:val="both"/>
        <w:outlineLvl w:val="9"/>
        <w:rPr>
          <w:rFonts w:hint="eastAsia" w:ascii="黑体" w:hAnsi="黑体" w:eastAsia="黑体"/>
          <w:b w:val="0"/>
          <w:color w:val="auto"/>
        </w:rPr>
      </w:pPr>
      <w:bookmarkStart w:id="42" w:name="_Toc15396602"/>
      <w:bookmarkStart w:id="43" w:name="_Toc15377204"/>
    </w:p>
    <w:p>
      <w:pPr>
        <w:rPr>
          <w:rFonts w:hint="eastAsia" w:ascii="黑体" w:hAnsi="黑体" w:eastAsia="黑体"/>
          <w:b w:val="0"/>
          <w:color w:val="auto"/>
        </w:rPr>
      </w:pPr>
    </w:p>
    <w:p>
      <w:pPr>
        <w:pStyle w:val="2"/>
        <w:rPr>
          <w:rFonts w:hint="eastAsia" w:ascii="黑体" w:hAnsi="黑体" w:eastAsia="黑体"/>
          <w:b w:val="0"/>
          <w:color w:val="auto"/>
        </w:rPr>
      </w:pPr>
    </w:p>
    <w:p>
      <w:pPr>
        <w:pStyle w:val="2"/>
        <w:rPr>
          <w:rFonts w:hint="eastAsia" w:ascii="黑体" w:hAnsi="黑体" w:eastAsia="黑体"/>
          <w:b w:val="0"/>
          <w:color w:val="auto"/>
        </w:rPr>
      </w:pPr>
    </w:p>
    <w:p>
      <w:pPr>
        <w:pStyle w:val="2"/>
        <w:rPr>
          <w:rFonts w:hint="eastAsia" w:ascii="黑体" w:hAnsi="黑体" w:eastAsia="黑体"/>
          <w:b w:val="0"/>
          <w:color w:val="auto"/>
        </w:rPr>
      </w:pPr>
    </w:p>
    <w:p>
      <w:pPr>
        <w:pStyle w:val="2"/>
        <w:rPr>
          <w:rFonts w:hint="eastAsia" w:ascii="黑体" w:hAnsi="黑体" w:eastAsia="黑体"/>
          <w:b w:val="0"/>
          <w:color w:val="auto"/>
        </w:rPr>
      </w:pPr>
    </w:p>
    <w:p>
      <w:pPr>
        <w:pStyle w:val="2"/>
        <w:rPr>
          <w:rFonts w:hint="eastAsia" w:ascii="黑体" w:hAnsi="黑体" w:eastAsia="黑体"/>
          <w:b w:val="0"/>
          <w:color w:val="auto"/>
        </w:rPr>
      </w:pPr>
    </w:p>
    <w:p>
      <w:pPr>
        <w:pStyle w:val="2"/>
        <w:rPr>
          <w:rFonts w:hint="eastAsia" w:ascii="黑体" w:hAnsi="黑体" w:eastAsia="黑体"/>
          <w:b w:val="0"/>
          <w:color w:val="auto"/>
        </w:rPr>
      </w:pPr>
    </w:p>
    <w:p>
      <w:pPr>
        <w:pStyle w:val="2"/>
        <w:rPr>
          <w:rFonts w:hint="eastAsia" w:ascii="黑体" w:hAnsi="黑体" w:eastAsia="黑体"/>
          <w:b w:val="0"/>
          <w:color w:val="auto"/>
        </w:rPr>
      </w:pPr>
    </w:p>
    <w:p>
      <w:pPr>
        <w:pStyle w:val="2"/>
        <w:rPr>
          <w:rFonts w:hint="eastAsia" w:ascii="黑体" w:hAnsi="黑体" w:eastAsia="黑体"/>
          <w:b w:val="0"/>
          <w:color w:val="auto"/>
        </w:rPr>
      </w:pPr>
    </w:p>
    <w:p>
      <w:pPr>
        <w:pStyle w:val="2"/>
        <w:rPr>
          <w:rFonts w:hint="eastAsia" w:ascii="黑体" w:hAnsi="黑体" w:eastAsia="黑体"/>
          <w:b w:val="0"/>
          <w:color w:val="auto"/>
        </w:rPr>
      </w:pPr>
    </w:p>
    <w:p>
      <w:pPr>
        <w:pStyle w:val="2"/>
        <w:rPr>
          <w:rFonts w:hint="eastAsia" w:ascii="黑体" w:hAnsi="黑体" w:eastAsia="黑体"/>
          <w:b w:val="0"/>
          <w:color w:val="auto"/>
        </w:rPr>
      </w:pPr>
    </w:p>
    <w:p>
      <w:pPr>
        <w:pStyle w:val="2"/>
        <w:rPr>
          <w:rFonts w:hint="eastAsia" w:ascii="黑体" w:hAnsi="黑体" w:eastAsia="黑体"/>
          <w:b w:val="0"/>
          <w:color w:val="auto"/>
        </w:rPr>
      </w:pPr>
    </w:p>
    <w:p>
      <w:pPr>
        <w:pStyle w:val="3"/>
        <w:ind w:right="440"/>
        <w:jc w:val="center"/>
        <w:rPr>
          <w:rStyle w:val="23"/>
          <w:rFonts w:ascii="黑体" w:hAnsi="黑体" w:eastAsia="黑体"/>
          <w:b w:val="0"/>
          <w:bCs/>
          <w:color w:val="auto"/>
        </w:rPr>
      </w:pPr>
      <w:bookmarkStart w:id="44" w:name="_Toc95"/>
      <w:bookmarkStart w:id="45" w:name="_Toc27976"/>
      <w:r>
        <w:rPr>
          <w:rFonts w:hint="eastAsia" w:ascii="黑体" w:hAnsi="黑体" w:eastAsia="黑体"/>
          <w:b w:val="0"/>
          <w:color w:val="auto"/>
        </w:rPr>
        <w:t>第二部分 202</w:t>
      </w:r>
      <w:r>
        <w:rPr>
          <w:rFonts w:hint="eastAsia" w:ascii="黑体" w:hAnsi="黑体" w:eastAsia="黑体"/>
          <w:b w:val="0"/>
          <w:color w:val="auto"/>
          <w:lang w:val="en-US" w:eastAsia="zh-CN"/>
        </w:rPr>
        <w:t>4</w:t>
      </w:r>
      <w:r>
        <w:rPr>
          <w:rFonts w:hint="eastAsia" w:ascii="黑体" w:hAnsi="黑体" w:eastAsia="黑体"/>
          <w:b w:val="0"/>
          <w:color w:val="auto"/>
        </w:rPr>
        <w:t>年度</w:t>
      </w:r>
      <w:r>
        <w:rPr>
          <w:rStyle w:val="23"/>
          <w:rFonts w:hint="eastAsia" w:ascii="黑体" w:hAnsi="黑体" w:eastAsia="黑体"/>
          <w:b w:val="0"/>
          <w:bCs/>
          <w:color w:val="auto"/>
        </w:rPr>
        <w:t>单位决算情况说明</w:t>
      </w:r>
      <w:bookmarkEnd w:id="42"/>
      <w:bookmarkEnd w:id="43"/>
      <w:bookmarkEnd w:id="44"/>
      <w:bookmarkEnd w:id="45"/>
    </w:p>
    <w:p>
      <w:pPr>
        <w:rPr>
          <w:color w:val="auto"/>
        </w:rPr>
      </w:pPr>
    </w:p>
    <w:p>
      <w:pPr>
        <w:pStyle w:val="33"/>
        <w:numPr>
          <w:ilvl w:val="0"/>
          <w:numId w:val="1"/>
        </w:numPr>
        <w:spacing w:line="600" w:lineRule="exact"/>
        <w:ind w:firstLineChars="0"/>
        <w:outlineLvl w:val="1"/>
        <w:rPr>
          <w:rStyle w:val="24"/>
          <w:rFonts w:ascii="黑体" w:hAnsi="黑体" w:eastAsia="黑体"/>
          <w:b w:val="0"/>
          <w:color w:val="auto"/>
        </w:rPr>
      </w:pPr>
      <w:bookmarkStart w:id="46" w:name="_Toc15396603"/>
      <w:bookmarkStart w:id="47" w:name="_Toc15377205"/>
      <w:bookmarkStart w:id="48" w:name="_Toc27584"/>
      <w:bookmarkStart w:id="49" w:name="_Toc31907"/>
      <w:r>
        <w:rPr>
          <w:rFonts w:hint="eastAsia" w:ascii="黑体" w:hAnsi="黑体" w:eastAsia="黑体"/>
          <w:color w:val="auto"/>
          <w:sz w:val="32"/>
          <w:szCs w:val="32"/>
        </w:rPr>
        <w:t>收</w:t>
      </w:r>
      <w:r>
        <w:rPr>
          <w:rStyle w:val="24"/>
          <w:rFonts w:hint="eastAsia" w:ascii="黑体" w:hAnsi="黑体" w:eastAsia="黑体"/>
          <w:b w:val="0"/>
          <w:color w:val="auto"/>
        </w:rPr>
        <w:t>入支出决算总体情况说明</w:t>
      </w:r>
      <w:bookmarkEnd w:id="46"/>
      <w:bookmarkEnd w:id="47"/>
      <w:bookmarkEnd w:id="48"/>
      <w:bookmarkEnd w:id="49"/>
    </w:p>
    <w:p>
      <w:pPr>
        <w:spacing w:line="600" w:lineRule="exact"/>
        <w:ind w:firstLine="640" w:firstLineChars="200"/>
        <w:rPr>
          <w:rFonts w:hint="eastAsia" w:ascii="仿宋_GB2312" w:hAnsi="仿宋" w:eastAsia="仿宋_GB2312"/>
          <w:color w:val="auto"/>
          <w:sz w:val="32"/>
          <w:szCs w:val="32"/>
          <w:lang w:eastAsia="zh-CN"/>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年度收、支总计</w:t>
      </w:r>
      <w:r>
        <w:rPr>
          <w:rFonts w:hint="eastAsia" w:ascii="仿宋" w:hAnsi="仿宋" w:eastAsia="仿宋"/>
          <w:color w:val="auto"/>
          <w:sz w:val="32"/>
          <w:szCs w:val="32"/>
          <w:lang w:val="en-US" w:eastAsia="zh-CN"/>
        </w:rPr>
        <w:t>192.74</w:t>
      </w:r>
      <w:r>
        <w:rPr>
          <w:rFonts w:hint="eastAsia" w:ascii="仿宋" w:hAnsi="仿宋" w:eastAsia="仿宋"/>
          <w:color w:val="auto"/>
          <w:sz w:val="32"/>
          <w:szCs w:val="32"/>
        </w:rPr>
        <w:t>万元。与202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年相比，收、支总计各</w:t>
      </w:r>
      <w:r>
        <w:rPr>
          <w:rFonts w:hint="eastAsia" w:ascii="仿宋" w:hAnsi="仿宋" w:eastAsia="仿宋"/>
          <w:color w:val="auto"/>
          <w:sz w:val="32"/>
          <w:szCs w:val="32"/>
          <w:lang w:eastAsia="zh-CN"/>
        </w:rPr>
        <w:t>减少</w:t>
      </w:r>
      <w:r>
        <w:rPr>
          <w:rFonts w:hint="eastAsia" w:ascii="仿宋" w:hAnsi="仿宋" w:eastAsia="仿宋"/>
          <w:color w:val="auto"/>
          <w:sz w:val="32"/>
          <w:szCs w:val="32"/>
          <w:lang w:val="en-US" w:eastAsia="zh-CN"/>
        </w:rPr>
        <w:t>424.32</w:t>
      </w:r>
      <w:r>
        <w:rPr>
          <w:rFonts w:hint="eastAsia" w:ascii="仿宋" w:hAnsi="仿宋" w:eastAsia="仿宋"/>
          <w:color w:val="auto"/>
          <w:sz w:val="32"/>
          <w:szCs w:val="32"/>
        </w:rPr>
        <w:t>万元，</w:t>
      </w:r>
      <w:r>
        <w:rPr>
          <w:rFonts w:hint="eastAsia" w:ascii="仿宋" w:hAnsi="仿宋" w:eastAsia="仿宋"/>
          <w:color w:val="auto"/>
          <w:sz w:val="32"/>
          <w:szCs w:val="32"/>
          <w:lang w:eastAsia="zh-CN"/>
        </w:rPr>
        <w:t>下降</w:t>
      </w:r>
      <w:r>
        <w:rPr>
          <w:rFonts w:hint="eastAsia" w:ascii="仿宋" w:hAnsi="仿宋" w:eastAsia="仿宋"/>
          <w:color w:val="auto"/>
          <w:sz w:val="32"/>
          <w:szCs w:val="32"/>
          <w:lang w:val="en-US" w:eastAsia="zh-CN"/>
        </w:rPr>
        <w:t>68.76</w:t>
      </w:r>
      <w:r>
        <w:rPr>
          <w:rFonts w:ascii="仿宋" w:hAnsi="仿宋" w:eastAsia="仿宋"/>
          <w:color w:val="auto"/>
          <w:sz w:val="32"/>
          <w:szCs w:val="32"/>
        </w:rPr>
        <w:t>%</w:t>
      </w:r>
      <w:r>
        <w:rPr>
          <w:rFonts w:hint="eastAsia" w:ascii="仿宋" w:hAnsi="仿宋" w:eastAsia="仿宋"/>
          <w:color w:val="auto"/>
          <w:sz w:val="32"/>
          <w:szCs w:val="32"/>
        </w:rPr>
        <w:t>。主要变动原因</w:t>
      </w:r>
      <w:r>
        <w:rPr>
          <w:rFonts w:hint="eastAsia" w:ascii="仿宋" w:hAnsi="仿宋" w:eastAsia="仿宋"/>
          <w:color w:val="auto"/>
          <w:sz w:val="32"/>
          <w:szCs w:val="32"/>
          <w:lang w:eastAsia="zh-CN"/>
        </w:rPr>
        <w:t>：</w:t>
      </w:r>
      <w:r>
        <w:rPr>
          <w:rFonts w:hint="eastAsia" w:ascii="仿宋_GB2312" w:hAnsi="仿宋" w:eastAsia="仿宋_GB2312"/>
          <w:b/>
          <w:color w:val="auto"/>
          <w:sz w:val="32"/>
          <w:szCs w:val="32"/>
        </w:rPr>
        <w:t>一是</w:t>
      </w:r>
      <w:r>
        <w:rPr>
          <w:rFonts w:hint="eastAsia" w:ascii="仿宋_GB2312" w:hAnsi="仿宋" w:eastAsia="仿宋_GB2312"/>
          <w:b w:val="0"/>
          <w:bCs/>
          <w:color w:val="auto"/>
          <w:sz w:val="32"/>
          <w:szCs w:val="32"/>
          <w:lang w:val="en-US" w:eastAsia="zh-CN"/>
        </w:rPr>
        <w:t>市救灾物资管理中心预算并入发改委机关，人员经费减少</w:t>
      </w:r>
      <w:r>
        <w:rPr>
          <w:rFonts w:hint="eastAsia" w:ascii="仿宋_GB2312" w:hAnsi="仿宋" w:eastAsia="仿宋_GB2312"/>
          <w:b w:val="0"/>
          <w:bCs/>
          <w:color w:val="auto"/>
          <w:sz w:val="32"/>
          <w:szCs w:val="32"/>
          <w:lang w:eastAsia="zh-CN"/>
        </w:rPr>
        <w:t>；</w:t>
      </w:r>
      <w:r>
        <w:rPr>
          <w:rFonts w:hint="eastAsia" w:ascii="仿宋_GB2312" w:hAnsi="仿宋" w:eastAsia="仿宋_GB2312"/>
          <w:b/>
          <w:bCs w:val="0"/>
          <w:color w:val="auto"/>
          <w:sz w:val="32"/>
          <w:szCs w:val="32"/>
          <w:lang w:eastAsia="zh-CN"/>
        </w:rPr>
        <w:t>二</w:t>
      </w:r>
      <w:r>
        <w:rPr>
          <w:rFonts w:hint="eastAsia" w:ascii="仿宋" w:hAnsi="仿宋" w:eastAsia="仿宋"/>
          <w:b/>
          <w:bCs w:val="0"/>
          <w:color w:val="auto"/>
          <w:sz w:val="32"/>
          <w:szCs w:val="32"/>
          <w:highlight w:val="none"/>
        </w:rPr>
        <w:t>是</w:t>
      </w:r>
      <w:r>
        <w:rPr>
          <w:rFonts w:hint="eastAsia" w:ascii="仿宋_GB2312" w:hAnsi="仿宋" w:eastAsia="仿宋_GB2312"/>
          <w:color w:val="auto"/>
          <w:sz w:val="32"/>
          <w:szCs w:val="32"/>
        </w:rPr>
        <w:t>项目工作经费</w:t>
      </w:r>
      <w:r>
        <w:rPr>
          <w:rFonts w:hint="eastAsia" w:ascii="仿宋_GB2312" w:hAnsi="仿宋" w:eastAsia="仿宋_GB2312"/>
          <w:color w:val="auto"/>
          <w:sz w:val="32"/>
          <w:szCs w:val="32"/>
          <w:lang w:eastAsia="zh-CN"/>
        </w:rPr>
        <w:t>减少。</w:t>
      </w:r>
    </w:p>
    <w:p>
      <w:pPr>
        <w:spacing w:line="600" w:lineRule="exact"/>
        <w:ind w:firstLine="640" w:firstLineChars="200"/>
        <w:rPr>
          <w:rFonts w:hint="eastAsia" w:ascii="仿宋" w:hAnsi="仿宋" w:eastAsia="仿宋"/>
          <w:color w:val="auto"/>
          <w:sz w:val="32"/>
          <w:szCs w:val="32"/>
        </w:rPr>
      </w:pPr>
      <w:r>
        <w:rPr>
          <w:rFonts w:hint="eastAsia" w:ascii="仿宋_GB2312" w:eastAsia="仿宋_GB2312"/>
          <w:color w:val="auto"/>
          <w:sz w:val="32"/>
          <w:szCs w:val="32"/>
        </w:rPr>
        <w:pict>
          <v:shape id="Object 2" o:spid="_x0000_s1026" o:spt="75" type="#_x0000_t75" style="position:absolute;left:0pt;margin-left:42.1pt;margin-top:17.5pt;height:163.75pt;width:337.8pt;z-index:251659264;mso-width-relative:page;mso-height-relative:page;" o:ole="t" fillcolor="#FFFFFF" filled="t" o:preferrelative="t" stroked="f" coordsize="21600,21600">
            <v:path/>
            <v:fill on="t" color2="#FFFFFF" focussize="0,0"/>
            <v:stroke on="f"/>
            <v:imagedata r:id="rId7" o:title=""/>
            <o:lock v:ext="edit" aspectratio="f"/>
          </v:shape>
          <o:OLEObject Type="Embed" ProgID="Excel.Chart.8" ShapeID="Object 2" DrawAspect="Content" ObjectID="_1468075725" r:id="rId6">
            <o:LockedField>false</o:LockedField>
          </o:OLEObject>
        </w:pict>
      </w:r>
    </w:p>
    <w:p>
      <w:pPr>
        <w:spacing w:line="600" w:lineRule="exact"/>
        <w:ind w:firstLine="640" w:firstLineChars="200"/>
        <w:rPr>
          <w:rFonts w:hint="eastAsia" w:ascii="仿宋" w:hAnsi="仿宋" w:eastAsia="仿宋"/>
          <w:color w:val="auto"/>
          <w:sz w:val="32"/>
          <w:szCs w:val="32"/>
        </w:rPr>
      </w:pPr>
    </w:p>
    <w:p>
      <w:pPr>
        <w:spacing w:line="600" w:lineRule="exact"/>
        <w:ind w:firstLine="640" w:firstLineChars="200"/>
        <w:jc w:val="right"/>
        <w:rPr>
          <w:rFonts w:hint="eastAsia" w:ascii="仿宋" w:hAnsi="仿宋" w:eastAsia="仿宋"/>
          <w:color w:val="auto"/>
          <w:sz w:val="32"/>
          <w:szCs w:val="32"/>
        </w:rPr>
      </w:pPr>
    </w:p>
    <w:p>
      <w:pPr>
        <w:spacing w:line="600" w:lineRule="exact"/>
        <w:ind w:firstLine="640" w:firstLineChars="200"/>
        <w:rPr>
          <w:rFonts w:hint="eastAsia" w:ascii="仿宋" w:hAnsi="仿宋" w:eastAsia="仿宋"/>
          <w:color w:val="auto"/>
          <w:sz w:val="32"/>
          <w:szCs w:val="32"/>
        </w:rPr>
      </w:pPr>
    </w:p>
    <w:p>
      <w:pPr>
        <w:pStyle w:val="37"/>
        <w:spacing w:line="600" w:lineRule="exact"/>
        <w:ind w:left="640" w:firstLine="0" w:firstLineChars="0"/>
        <w:rPr>
          <w:rFonts w:hint="eastAsia" w:ascii="仿宋" w:hAnsi="仿宋" w:eastAsia="仿宋"/>
          <w:color w:val="auto"/>
          <w:sz w:val="32"/>
          <w:szCs w:val="32"/>
        </w:rPr>
      </w:pPr>
    </w:p>
    <w:p>
      <w:pPr>
        <w:spacing w:line="600" w:lineRule="exact"/>
        <w:ind w:firstLine="640" w:firstLineChars="200"/>
        <w:jc w:val="center"/>
        <w:rPr>
          <w:rStyle w:val="24"/>
          <w:rFonts w:ascii="黑体" w:hAnsi="黑体" w:eastAsia="黑体"/>
          <w:b w:val="0"/>
          <w:color w:val="auto"/>
        </w:rPr>
      </w:pPr>
      <w:r>
        <w:rPr>
          <w:rFonts w:hint="eastAsia" w:ascii="仿宋" w:hAnsi="仿宋" w:eastAsia="仿宋"/>
          <w:color w:val="auto"/>
          <w:sz w:val="32"/>
          <w:szCs w:val="32"/>
        </w:rPr>
        <w:tab/>
      </w:r>
    </w:p>
    <w:p>
      <w:pPr>
        <w:spacing w:line="600" w:lineRule="exact"/>
        <w:ind w:firstLine="640" w:firstLineChars="200"/>
        <w:jc w:val="center"/>
        <w:rPr>
          <w:rFonts w:ascii="仿宋" w:hAnsi="仿宋" w:eastAsia="仿宋"/>
          <w:color w:val="auto"/>
          <w:sz w:val="32"/>
          <w:szCs w:val="32"/>
        </w:rPr>
      </w:pPr>
      <w:r>
        <w:rPr>
          <w:rFonts w:hint="eastAsia" w:ascii="仿宋" w:hAnsi="仿宋" w:eastAsia="仿宋"/>
          <w:color w:val="auto"/>
          <w:sz w:val="32"/>
          <w:szCs w:val="32"/>
        </w:rPr>
        <w:t>（图</w:t>
      </w:r>
      <w:r>
        <w:rPr>
          <w:rFonts w:ascii="仿宋" w:hAnsi="仿宋" w:eastAsia="仿宋"/>
          <w:color w:val="auto"/>
          <w:sz w:val="32"/>
          <w:szCs w:val="32"/>
        </w:rPr>
        <w:t>1</w:t>
      </w:r>
      <w:r>
        <w:rPr>
          <w:rFonts w:hint="eastAsia" w:ascii="仿宋" w:hAnsi="仿宋" w:eastAsia="仿宋"/>
          <w:color w:val="auto"/>
          <w:sz w:val="32"/>
          <w:szCs w:val="32"/>
        </w:rPr>
        <w:t>：收、支决算总计变动情况图）</w:t>
      </w:r>
    </w:p>
    <w:p>
      <w:pPr>
        <w:pStyle w:val="33"/>
        <w:numPr>
          <w:ilvl w:val="0"/>
          <w:numId w:val="1"/>
        </w:numPr>
        <w:spacing w:line="600" w:lineRule="exact"/>
        <w:ind w:firstLineChars="0"/>
        <w:outlineLvl w:val="1"/>
        <w:rPr>
          <w:rStyle w:val="24"/>
          <w:rFonts w:ascii="黑体" w:hAnsi="黑体" w:eastAsia="黑体"/>
          <w:b w:val="0"/>
          <w:color w:val="auto"/>
        </w:rPr>
      </w:pPr>
      <w:bookmarkStart w:id="50" w:name="_Toc15377206"/>
      <w:bookmarkStart w:id="51" w:name="_Toc16384"/>
      <w:bookmarkStart w:id="52" w:name="_Toc15396604"/>
      <w:bookmarkStart w:id="53" w:name="_Toc24178"/>
      <w:r>
        <w:rPr>
          <w:rFonts w:hint="eastAsia" w:ascii="黑体" w:hAnsi="黑体" w:eastAsia="黑体"/>
          <w:color w:val="auto"/>
          <w:sz w:val="32"/>
          <w:szCs w:val="32"/>
        </w:rPr>
        <w:t>收</w:t>
      </w:r>
      <w:r>
        <w:rPr>
          <w:rStyle w:val="24"/>
          <w:rFonts w:hint="eastAsia" w:ascii="黑体" w:hAnsi="黑体" w:eastAsia="黑体"/>
          <w:b w:val="0"/>
          <w:color w:val="auto"/>
        </w:rPr>
        <w:t>入决算情况说明</w:t>
      </w:r>
      <w:bookmarkEnd w:id="50"/>
      <w:bookmarkEnd w:id="51"/>
      <w:bookmarkEnd w:id="52"/>
      <w:bookmarkEnd w:id="53"/>
    </w:p>
    <w:p>
      <w:pPr>
        <w:spacing w:line="600" w:lineRule="exact"/>
        <w:ind w:firstLine="640" w:firstLineChars="200"/>
        <w:outlineLvl w:val="1"/>
        <w:rPr>
          <w:rFonts w:hint="eastAsia" w:ascii="仿宋" w:hAnsi="仿宋" w:eastAsia="仿宋"/>
          <w:color w:val="auto"/>
          <w:sz w:val="32"/>
          <w:szCs w:val="32"/>
        </w:rPr>
      </w:pPr>
      <w:bookmarkStart w:id="54" w:name="_Toc9507"/>
      <w:bookmarkStart w:id="55" w:name="_Toc2538"/>
      <w:bookmarkStart w:id="56" w:name="_Toc15961"/>
      <w:bookmarkStart w:id="57" w:name="_Toc17022"/>
      <w:bookmarkStart w:id="58" w:name="_Toc11594"/>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年本年收入合计</w:t>
      </w:r>
      <w:r>
        <w:rPr>
          <w:rFonts w:hint="eastAsia" w:ascii="仿宋" w:hAnsi="仿宋" w:eastAsia="仿宋"/>
          <w:color w:val="auto"/>
          <w:sz w:val="32"/>
          <w:szCs w:val="32"/>
          <w:lang w:val="en-US" w:eastAsia="zh-CN"/>
        </w:rPr>
        <w:t>174.02</w:t>
      </w:r>
      <w:r>
        <w:rPr>
          <w:rFonts w:hint="eastAsia" w:ascii="仿宋" w:hAnsi="仿宋" w:eastAsia="仿宋"/>
          <w:color w:val="auto"/>
          <w:sz w:val="32"/>
          <w:szCs w:val="32"/>
        </w:rPr>
        <w:t>万元，其中：一般公共预算财政拨款收入</w:t>
      </w:r>
      <w:r>
        <w:rPr>
          <w:rFonts w:hint="eastAsia" w:ascii="仿宋" w:hAnsi="仿宋" w:eastAsia="仿宋"/>
          <w:color w:val="auto"/>
          <w:sz w:val="32"/>
          <w:szCs w:val="32"/>
          <w:lang w:val="en-US" w:eastAsia="zh-CN"/>
        </w:rPr>
        <w:t>172.65</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99.21</w:t>
      </w:r>
      <w:r>
        <w:rPr>
          <w:rFonts w:ascii="仿宋" w:hAnsi="仿宋" w:eastAsia="仿宋"/>
          <w:color w:val="auto"/>
          <w:sz w:val="32"/>
          <w:szCs w:val="32"/>
        </w:rPr>
        <w:t>%</w:t>
      </w:r>
      <w:r>
        <w:rPr>
          <w:rFonts w:hint="eastAsia" w:ascii="仿宋" w:hAnsi="仿宋" w:eastAsia="仿宋"/>
          <w:color w:val="auto"/>
          <w:sz w:val="32"/>
          <w:szCs w:val="32"/>
        </w:rPr>
        <w:t>；其他收入</w:t>
      </w:r>
      <w:r>
        <w:rPr>
          <w:rFonts w:hint="eastAsia" w:ascii="仿宋" w:hAnsi="仿宋" w:eastAsia="仿宋"/>
          <w:color w:val="auto"/>
          <w:sz w:val="32"/>
          <w:szCs w:val="32"/>
          <w:lang w:val="en-US" w:eastAsia="zh-CN"/>
        </w:rPr>
        <w:t>1.38</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0.79</w:t>
      </w:r>
      <w:r>
        <w:rPr>
          <w:rFonts w:ascii="仿宋" w:hAnsi="仿宋" w:eastAsia="仿宋"/>
          <w:color w:val="auto"/>
          <w:sz w:val="32"/>
          <w:szCs w:val="32"/>
        </w:rPr>
        <w:t>%</w:t>
      </w:r>
      <w:r>
        <w:rPr>
          <w:rFonts w:hint="eastAsia" w:ascii="仿宋" w:hAnsi="仿宋" w:eastAsia="仿宋"/>
          <w:color w:val="auto"/>
          <w:sz w:val="32"/>
          <w:szCs w:val="32"/>
        </w:rPr>
        <w:t>。</w:t>
      </w:r>
      <w:bookmarkEnd w:id="54"/>
      <w:bookmarkEnd w:id="55"/>
      <w:bookmarkEnd w:id="56"/>
      <w:bookmarkEnd w:id="57"/>
      <w:bookmarkEnd w:id="58"/>
    </w:p>
    <w:p>
      <w:pPr>
        <w:pStyle w:val="2"/>
        <w:spacing w:before="93"/>
        <w:rPr>
          <w:rFonts w:hint="eastAsia"/>
          <w:color w:val="auto"/>
        </w:rPr>
      </w:pPr>
      <w:r>
        <w:rPr>
          <w:rFonts w:hint="eastAsia" w:ascii="仿宋" w:hAnsi="仿宋" w:eastAsia="仿宋"/>
          <w:color w:val="auto"/>
          <w:sz w:val="32"/>
          <w:szCs w:val="32"/>
        </w:rPr>
        <w:pict>
          <v:shape id="Object 6" o:spid="_x0000_s1027" o:spt="75" type="#_x0000_t75" style="position:absolute;left:0pt;margin-left:53.65pt;margin-top:22.2pt;height:191.05pt;width:310.1pt;z-index:251663360;mso-width-relative:page;mso-height-relative:page;" o:ole="t" filled="f" o:preferrelative="t" stroked="f" coordsize="21600,21600">
            <v:path/>
            <v:fill on="f" focussize="0,0"/>
            <v:stroke on="f"/>
            <v:imagedata r:id="rId9" o:title=""/>
            <o:lock v:ext="edit" aspectratio="t"/>
          </v:shape>
          <o:OLEObject Type="Embed" ProgID="Excel.Chart.8" ShapeID="Object 6" DrawAspect="Content" ObjectID="_1468075726" r:id="rId8">
            <o:LockedField>false</o:LockedField>
          </o:OLEObject>
        </w:pict>
      </w:r>
    </w:p>
    <w:p>
      <w:pPr>
        <w:pStyle w:val="2"/>
        <w:spacing w:before="93"/>
        <w:rPr>
          <w:color w:val="auto"/>
        </w:rPr>
      </w:pPr>
    </w:p>
    <w:p>
      <w:pPr>
        <w:spacing w:line="600" w:lineRule="exact"/>
        <w:ind w:firstLine="640" w:firstLineChars="200"/>
        <w:rPr>
          <w:rFonts w:hint="eastAsia" w:ascii="仿宋" w:hAnsi="仿宋" w:eastAsia="仿宋"/>
          <w:color w:val="auto"/>
          <w:sz w:val="32"/>
          <w:szCs w:val="32"/>
        </w:rPr>
      </w:pPr>
    </w:p>
    <w:p>
      <w:pPr>
        <w:spacing w:line="600" w:lineRule="exact"/>
        <w:ind w:firstLine="640" w:firstLineChars="200"/>
        <w:rPr>
          <w:rFonts w:hint="eastAsia" w:ascii="仿宋" w:hAnsi="仿宋" w:eastAsia="仿宋"/>
          <w:color w:val="auto"/>
          <w:sz w:val="32"/>
          <w:szCs w:val="32"/>
        </w:rPr>
      </w:pPr>
    </w:p>
    <w:p>
      <w:pPr>
        <w:spacing w:line="600" w:lineRule="exact"/>
        <w:jc w:val="both"/>
        <w:rPr>
          <w:rFonts w:hint="eastAsia" w:ascii="仿宋" w:hAnsi="仿宋" w:eastAsia="仿宋"/>
          <w:color w:val="auto"/>
          <w:sz w:val="32"/>
          <w:szCs w:val="32"/>
        </w:rPr>
      </w:pPr>
    </w:p>
    <w:p>
      <w:pPr>
        <w:spacing w:line="600" w:lineRule="exact"/>
        <w:ind w:firstLine="640" w:firstLineChars="200"/>
        <w:jc w:val="center"/>
        <w:rPr>
          <w:rFonts w:ascii="仿宋_GB2312" w:eastAsia="仿宋_GB2312"/>
          <w:color w:val="auto"/>
          <w:sz w:val="32"/>
          <w:szCs w:val="32"/>
        </w:rPr>
      </w:pPr>
      <w:r>
        <w:rPr>
          <w:rFonts w:hint="eastAsia" w:ascii="仿宋" w:hAnsi="仿宋" w:eastAsia="仿宋"/>
          <w:color w:val="auto"/>
          <w:sz w:val="32"/>
          <w:szCs w:val="32"/>
        </w:rPr>
        <w:t>（图2：收入决算结构图）</w:t>
      </w:r>
    </w:p>
    <w:p>
      <w:pPr>
        <w:pStyle w:val="33"/>
        <w:numPr>
          <w:ilvl w:val="0"/>
          <w:numId w:val="1"/>
        </w:numPr>
        <w:spacing w:line="600" w:lineRule="exact"/>
        <w:ind w:firstLineChars="0"/>
        <w:outlineLvl w:val="1"/>
        <w:rPr>
          <w:rStyle w:val="24"/>
          <w:rFonts w:ascii="黑体" w:hAnsi="黑体" w:eastAsia="黑体"/>
          <w:b w:val="0"/>
          <w:color w:val="auto"/>
        </w:rPr>
      </w:pPr>
      <w:bookmarkStart w:id="59" w:name="_Toc15377207"/>
      <w:bookmarkStart w:id="60" w:name="_Toc31972"/>
      <w:bookmarkStart w:id="61" w:name="_Toc15396605"/>
      <w:bookmarkStart w:id="62" w:name="_Toc12984"/>
      <w:r>
        <w:rPr>
          <w:rFonts w:hint="eastAsia" w:ascii="黑体" w:hAnsi="黑体" w:eastAsia="黑体"/>
          <w:color w:val="auto"/>
          <w:sz w:val="32"/>
          <w:szCs w:val="32"/>
        </w:rPr>
        <w:t>支</w:t>
      </w:r>
      <w:r>
        <w:rPr>
          <w:rStyle w:val="24"/>
          <w:rFonts w:hint="eastAsia" w:ascii="黑体" w:hAnsi="黑体" w:eastAsia="黑体"/>
          <w:b w:val="0"/>
          <w:color w:val="auto"/>
        </w:rPr>
        <w:t>出决算情况说明</w:t>
      </w:r>
      <w:bookmarkEnd w:id="59"/>
      <w:bookmarkEnd w:id="60"/>
      <w:bookmarkEnd w:id="61"/>
      <w:bookmarkEnd w:id="62"/>
    </w:p>
    <w:p>
      <w:pPr>
        <w:spacing w:line="600" w:lineRule="exact"/>
        <w:ind w:firstLine="640" w:firstLineChars="200"/>
        <w:outlineLvl w:val="1"/>
        <w:rPr>
          <w:rFonts w:hint="eastAsia" w:ascii="仿宋" w:hAnsi="仿宋" w:eastAsia="仿宋"/>
          <w:color w:val="auto"/>
          <w:sz w:val="32"/>
          <w:szCs w:val="32"/>
        </w:rPr>
      </w:pPr>
      <w:bookmarkStart w:id="63" w:name="_Toc23198"/>
      <w:bookmarkStart w:id="64" w:name="_Toc8778"/>
      <w:bookmarkStart w:id="65" w:name="_Toc24978"/>
      <w:bookmarkStart w:id="66" w:name="_Toc14334"/>
      <w:bookmarkStart w:id="67" w:name="_Toc7994"/>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年本年支出合计</w:t>
      </w:r>
      <w:r>
        <w:rPr>
          <w:rFonts w:hint="eastAsia" w:ascii="仿宋" w:hAnsi="仿宋" w:eastAsia="仿宋"/>
          <w:color w:val="auto"/>
          <w:sz w:val="32"/>
          <w:szCs w:val="32"/>
          <w:lang w:val="en-US" w:eastAsia="zh-CN"/>
        </w:rPr>
        <w:t>191.93</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157.54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82.08</w:t>
      </w:r>
      <w:r>
        <w:rPr>
          <w:rFonts w:ascii="仿宋" w:hAnsi="仿宋" w:eastAsia="仿宋"/>
          <w:color w:val="auto"/>
          <w:sz w:val="32"/>
          <w:szCs w:val="32"/>
        </w:rPr>
        <w:t>%</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34.39</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17.92</w:t>
      </w:r>
      <w:r>
        <w:rPr>
          <w:rFonts w:ascii="仿宋" w:hAnsi="仿宋" w:eastAsia="仿宋"/>
          <w:color w:val="auto"/>
          <w:sz w:val="32"/>
          <w:szCs w:val="32"/>
        </w:rPr>
        <w:t>%</w:t>
      </w:r>
      <w:r>
        <w:rPr>
          <w:rFonts w:hint="eastAsia" w:ascii="仿宋" w:hAnsi="仿宋" w:eastAsia="仿宋"/>
          <w:color w:val="auto"/>
          <w:sz w:val="32"/>
          <w:szCs w:val="32"/>
        </w:rPr>
        <w:t>。</w:t>
      </w:r>
      <w:bookmarkEnd w:id="63"/>
      <w:bookmarkEnd w:id="64"/>
      <w:bookmarkEnd w:id="65"/>
      <w:bookmarkEnd w:id="66"/>
      <w:bookmarkEnd w:id="67"/>
    </w:p>
    <w:p>
      <w:pPr>
        <w:spacing w:line="600" w:lineRule="exact"/>
        <w:ind w:firstLine="643" w:firstLineChars="200"/>
        <w:rPr>
          <w:rFonts w:hint="eastAsia" w:ascii="仿宋_GB2312" w:hAnsi="仿宋" w:eastAsia="仿宋_GB2312"/>
          <w:b/>
          <w:color w:val="auto"/>
          <w:sz w:val="32"/>
          <w:szCs w:val="32"/>
        </w:rPr>
      </w:pPr>
    </w:p>
    <w:p>
      <w:pPr>
        <w:spacing w:line="600" w:lineRule="exact"/>
        <w:rPr>
          <w:rFonts w:ascii="仿宋_GB2312" w:eastAsia="仿宋_GB2312"/>
          <w:color w:val="auto"/>
          <w:sz w:val="32"/>
          <w:szCs w:val="32"/>
        </w:rPr>
      </w:pPr>
    </w:p>
    <w:p>
      <w:pPr>
        <w:spacing w:line="600" w:lineRule="exact"/>
        <w:ind w:firstLine="640" w:firstLineChars="200"/>
        <w:rPr>
          <w:rFonts w:ascii="仿宋_GB2312" w:eastAsia="仿宋_GB2312"/>
          <w:color w:val="auto"/>
          <w:sz w:val="32"/>
          <w:szCs w:val="32"/>
        </w:rPr>
      </w:pPr>
      <w:r>
        <w:rPr>
          <w:rFonts w:hint="eastAsia" w:ascii="仿宋_GB2312" w:hAnsi="仿宋" w:eastAsia="仿宋_GB2312"/>
          <w:color w:val="auto"/>
          <w:sz w:val="32"/>
          <w:szCs w:val="32"/>
        </w:rPr>
        <w:pict>
          <v:shape id="Object 8" o:spid="_x0000_s1028" o:spt="75" type="#_x0000_t75" style="position:absolute;left:0pt;margin-left:45.2pt;margin-top:6.4pt;height:207.35pt;width:341.35pt;z-index:251660288;mso-width-relative:page;mso-height-relative:page;" o:ole="t" filled="f" o:preferrelative="t" stroked="f" coordsize="21600,21600">
            <v:path/>
            <v:fill on="f" focussize="0,0"/>
            <v:stroke on="f"/>
            <v:imagedata r:id="rId11" o:title=""/>
            <o:lock v:ext="edit" aspectratio="t"/>
          </v:shape>
          <o:OLEObject Type="Embed" ProgID="Excel.Chart.8" ShapeID="Object 8" DrawAspect="Content" ObjectID="_1468075727" r:id="rId10">
            <o:LockedField>false</o:LockedField>
          </o:OLEObject>
        </w:pict>
      </w:r>
    </w:p>
    <w:p>
      <w:pPr>
        <w:spacing w:line="600" w:lineRule="exact"/>
        <w:ind w:firstLine="640" w:firstLineChars="200"/>
        <w:rPr>
          <w:rFonts w:hint="eastAsia" w:ascii="仿宋_GB2312" w:eastAsia="仿宋_GB2312"/>
          <w:color w:val="auto"/>
          <w:sz w:val="32"/>
          <w:szCs w:val="32"/>
        </w:rPr>
      </w:pPr>
    </w:p>
    <w:p>
      <w:pPr>
        <w:spacing w:line="600" w:lineRule="exact"/>
        <w:ind w:firstLine="640" w:firstLineChars="200"/>
        <w:rPr>
          <w:rFonts w:hint="eastAsia" w:ascii="仿宋_GB2312" w:eastAsia="仿宋_GB2312"/>
          <w:color w:val="auto"/>
          <w:sz w:val="32"/>
          <w:szCs w:val="32"/>
        </w:rPr>
      </w:pPr>
    </w:p>
    <w:p>
      <w:pPr>
        <w:spacing w:line="600" w:lineRule="exact"/>
        <w:ind w:firstLine="640" w:firstLineChars="200"/>
        <w:rPr>
          <w:rFonts w:hint="eastAsia" w:ascii="仿宋_GB2312" w:eastAsia="仿宋_GB2312"/>
          <w:color w:val="auto"/>
          <w:sz w:val="32"/>
          <w:szCs w:val="32"/>
        </w:rPr>
      </w:pPr>
    </w:p>
    <w:p>
      <w:pPr>
        <w:spacing w:line="600" w:lineRule="exact"/>
        <w:ind w:firstLine="640" w:firstLineChars="200"/>
        <w:rPr>
          <w:rFonts w:ascii="仿宋_GB2312" w:eastAsia="仿宋_GB2312"/>
          <w:color w:val="auto"/>
          <w:sz w:val="32"/>
          <w:szCs w:val="32"/>
        </w:rPr>
      </w:pPr>
    </w:p>
    <w:p>
      <w:pPr>
        <w:spacing w:line="600" w:lineRule="exact"/>
        <w:ind w:firstLine="640" w:firstLineChars="200"/>
        <w:rPr>
          <w:rFonts w:ascii="仿宋_GB2312" w:eastAsia="仿宋_GB2312"/>
          <w:color w:val="auto"/>
          <w:sz w:val="32"/>
          <w:szCs w:val="32"/>
        </w:rPr>
      </w:pPr>
    </w:p>
    <w:p>
      <w:pPr>
        <w:spacing w:line="600" w:lineRule="exact"/>
        <w:ind w:firstLine="640" w:firstLineChars="200"/>
        <w:jc w:val="center"/>
        <w:outlineLvl w:val="9"/>
        <w:rPr>
          <w:rFonts w:hint="eastAsia" w:ascii="仿宋_GB2312" w:hAnsi="仿宋" w:eastAsia="仿宋_GB2312"/>
          <w:color w:val="auto"/>
          <w:sz w:val="32"/>
          <w:szCs w:val="32"/>
        </w:rPr>
      </w:pPr>
      <w:bookmarkStart w:id="68" w:name="_Toc29138"/>
      <w:bookmarkStart w:id="69" w:name="_Toc9363"/>
      <w:bookmarkStart w:id="70" w:name="_Toc23388"/>
      <w:bookmarkStart w:id="71" w:name="_Toc489"/>
    </w:p>
    <w:p>
      <w:pPr>
        <w:spacing w:line="600" w:lineRule="exact"/>
        <w:ind w:firstLine="640" w:firstLineChars="200"/>
        <w:jc w:val="center"/>
        <w:outlineLvl w:val="9"/>
        <w:rPr>
          <w:rFonts w:hint="eastAsia" w:ascii="仿宋_GB2312" w:hAnsi="仿宋" w:eastAsia="仿宋_GB2312"/>
          <w:color w:val="auto"/>
          <w:sz w:val="32"/>
          <w:szCs w:val="32"/>
        </w:rPr>
      </w:pPr>
    </w:p>
    <w:p>
      <w:pPr>
        <w:spacing w:line="600" w:lineRule="exact"/>
        <w:ind w:firstLine="640" w:firstLineChars="200"/>
        <w:jc w:val="center"/>
        <w:outlineLvl w:val="2"/>
        <w:rPr>
          <w:rFonts w:hint="default" w:ascii="仿宋_GB2312" w:hAnsi="黑体" w:eastAsia="仿宋_GB2312"/>
          <w:color w:val="auto"/>
          <w:sz w:val="32"/>
          <w:szCs w:val="32"/>
        </w:rPr>
      </w:pPr>
      <w:bookmarkStart w:id="72" w:name="_Toc414"/>
      <w:bookmarkStart w:id="73" w:name="_Toc29646"/>
      <w:bookmarkStart w:id="74" w:name="_Toc6688"/>
      <w:bookmarkStart w:id="75" w:name="_Toc27780"/>
      <w:bookmarkStart w:id="76" w:name="_Toc24935"/>
      <w:r>
        <w:rPr>
          <w:rFonts w:hint="default" w:ascii="仿宋_GB2312" w:hAnsi="仿宋" w:eastAsia="仿宋_GB2312"/>
          <w:color w:val="auto"/>
          <w:sz w:val="32"/>
          <w:szCs w:val="32"/>
        </w:rPr>
        <w:t>（</w:t>
      </w:r>
      <w:r>
        <w:rPr>
          <w:rFonts w:hint="eastAsia" w:ascii="仿宋_GB2312" w:hAnsi="仿宋" w:eastAsia="仿宋_GB2312"/>
          <w:color w:val="auto"/>
          <w:sz w:val="32"/>
          <w:szCs w:val="32"/>
        </w:rPr>
        <w:t>图3：支出决算结构图</w:t>
      </w:r>
      <w:bookmarkEnd w:id="68"/>
      <w:bookmarkEnd w:id="69"/>
      <w:bookmarkEnd w:id="70"/>
      <w:bookmarkEnd w:id="71"/>
      <w:bookmarkEnd w:id="72"/>
      <w:bookmarkEnd w:id="73"/>
      <w:bookmarkEnd w:id="74"/>
      <w:bookmarkEnd w:id="75"/>
      <w:r>
        <w:rPr>
          <w:rFonts w:hint="eastAsia" w:ascii="仿宋_GB2312" w:hAnsi="黑体" w:eastAsia="仿宋_GB2312"/>
          <w:color w:val="auto"/>
          <w:sz w:val="32"/>
          <w:szCs w:val="32"/>
        </w:rPr>
        <w:tab/>
      </w:r>
      <w:r>
        <w:rPr>
          <w:rFonts w:hint="default" w:ascii="仿宋_GB2312" w:hAnsi="黑体" w:eastAsia="仿宋_GB2312"/>
          <w:color w:val="auto"/>
          <w:sz w:val="32"/>
          <w:szCs w:val="32"/>
        </w:rPr>
        <w:t>）</w:t>
      </w:r>
      <w:bookmarkEnd w:id="76"/>
    </w:p>
    <w:p>
      <w:pPr>
        <w:spacing w:line="600" w:lineRule="exact"/>
        <w:rPr>
          <w:rFonts w:hint="eastAsia" w:ascii="仿宋_GB2312" w:eastAsia="仿宋_GB2312"/>
          <w:color w:val="auto"/>
          <w:sz w:val="32"/>
          <w:szCs w:val="32"/>
          <w:lang w:val="en-US" w:eastAsia="zh-CN"/>
        </w:rPr>
      </w:pPr>
    </w:p>
    <w:p>
      <w:pPr>
        <w:spacing w:line="600" w:lineRule="exact"/>
        <w:ind w:firstLine="640" w:firstLineChars="200"/>
        <w:outlineLvl w:val="1"/>
        <w:rPr>
          <w:rStyle w:val="24"/>
          <w:rFonts w:ascii="黑体" w:hAnsi="黑体" w:eastAsia="黑体"/>
          <w:b w:val="0"/>
          <w:color w:val="auto"/>
        </w:rPr>
      </w:pPr>
      <w:bookmarkStart w:id="77" w:name="_Toc15396606"/>
      <w:bookmarkStart w:id="78" w:name="_Toc15377208"/>
      <w:bookmarkStart w:id="79" w:name="_Toc17213"/>
      <w:bookmarkStart w:id="80" w:name="_Toc4904"/>
      <w:r>
        <w:rPr>
          <w:rFonts w:hint="eastAsia" w:ascii="黑体" w:hAnsi="黑体" w:eastAsia="黑体"/>
          <w:color w:val="auto"/>
          <w:sz w:val="32"/>
          <w:szCs w:val="32"/>
        </w:rPr>
        <w:t>四、财</w:t>
      </w:r>
      <w:r>
        <w:rPr>
          <w:rStyle w:val="24"/>
          <w:rFonts w:hint="eastAsia" w:ascii="黑体" w:hAnsi="黑体" w:eastAsia="黑体"/>
          <w:b w:val="0"/>
          <w:color w:val="auto"/>
        </w:rPr>
        <w:t>政拨款收入支出决算总体情况说明</w:t>
      </w:r>
      <w:bookmarkEnd w:id="77"/>
      <w:bookmarkEnd w:id="78"/>
      <w:bookmarkEnd w:id="79"/>
      <w:bookmarkEnd w:id="80"/>
    </w:p>
    <w:p>
      <w:pPr>
        <w:spacing w:line="600" w:lineRule="exact"/>
        <w:ind w:firstLine="640"/>
        <w:rPr>
          <w:rFonts w:hint="eastAsia"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年财政拨款收、支总计</w:t>
      </w:r>
      <w:r>
        <w:rPr>
          <w:rFonts w:hint="eastAsia" w:ascii="仿宋" w:hAnsi="仿宋" w:eastAsia="仿宋"/>
          <w:color w:val="auto"/>
          <w:sz w:val="32"/>
          <w:szCs w:val="32"/>
          <w:lang w:val="en-US" w:eastAsia="zh-CN"/>
        </w:rPr>
        <w:t>172.65</w:t>
      </w:r>
      <w:r>
        <w:rPr>
          <w:rFonts w:hint="eastAsia" w:ascii="仿宋" w:hAnsi="仿宋" w:eastAsia="仿宋"/>
          <w:color w:val="auto"/>
          <w:sz w:val="32"/>
          <w:szCs w:val="32"/>
        </w:rPr>
        <w:t>万元。与</w:t>
      </w: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年相比，财政拨款收、支总计各</w:t>
      </w:r>
      <w:r>
        <w:rPr>
          <w:rFonts w:hint="eastAsia" w:ascii="仿宋" w:hAnsi="仿宋" w:eastAsia="仿宋"/>
          <w:color w:val="auto"/>
          <w:sz w:val="32"/>
          <w:szCs w:val="32"/>
          <w:lang w:eastAsia="zh-CN"/>
        </w:rPr>
        <w:t>减少</w:t>
      </w:r>
      <w:r>
        <w:rPr>
          <w:rFonts w:hint="eastAsia" w:ascii="仿宋" w:hAnsi="仿宋" w:eastAsia="仿宋"/>
          <w:color w:val="auto"/>
          <w:sz w:val="32"/>
          <w:szCs w:val="32"/>
          <w:lang w:val="en-US" w:eastAsia="zh-CN"/>
        </w:rPr>
        <w:t>415.75</w:t>
      </w:r>
      <w:r>
        <w:rPr>
          <w:rFonts w:hint="eastAsia" w:ascii="仿宋" w:hAnsi="仿宋" w:eastAsia="仿宋"/>
          <w:color w:val="auto"/>
          <w:sz w:val="32"/>
          <w:szCs w:val="32"/>
        </w:rPr>
        <w:t>万元，</w:t>
      </w:r>
      <w:r>
        <w:rPr>
          <w:rFonts w:hint="eastAsia" w:ascii="仿宋" w:hAnsi="仿宋" w:eastAsia="仿宋"/>
          <w:color w:val="auto"/>
          <w:sz w:val="32"/>
          <w:szCs w:val="32"/>
          <w:lang w:eastAsia="zh-CN"/>
        </w:rPr>
        <w:t>下降</w:t>
      </w:r>
      <w:r>
        <w:rPr>
          <w:rFonts w:hint="eastAsia" w:ascii="仿宋" w:hAnsi="仿宋" w:eastAsia="仿宋"/>
          <w:color w:val="auto"/>
          <w:sz w:val="32"/>
          <w:szCs w:val="32"/>
          <w:lang w:val="en-US" w:eastAsia="zh-CN"/>
        </w:rPr>
        <w:t>70.66</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color w:val="auto"/>
          <w:sz w:val="32"/>
          <w:szCs w:val="32"/>
          <w:highlight w:val="none"/>
        </w:rPr>
        <w:t>主要变动原因是</w:t>
      </w:r>
      <w:r>
        <w:rPr>
          <w:rFonts w:hint="eastAsia" w:ascii="仿宋_GB2312" w:hAnsi="仿宋" w:eastAsia="仿宋_GB2312"/>
          <w:b w:val="0"/>
          <w:bCs/>
          <w:color w:val="auto"/>
          <w:sz w:val="32"/>
          <w:szCs w:val="32"/>
          <w:lang w:val="en-US" w:eastAsia="zh-CN"/>
        </w:rPr>
        <w:t>市救灾物资管理中心预算并入发改委机关，人员经费</w:t>
      </w:r>
      <w:r>
        <w:rPr>
          <w:rFonts w:hint="eastAsia" w:ascii="仿宋" w:hAnsi="仿宋" w:eastAsia="仿宋"/>
          <w:color w:val="auto"/>
          <w:sz w:val="32"/>
          <w:szCs w:val="32"/>
          <w:highlight w:val="none"/>
          <w:lang w:eastAsia="zh-CN"/>
        </w:rPr>
        <w:t>及</w:t>
      </w:r>
      <w:r>
        <w:rPr>
          <w:rFonts w:hint="eastAsia" w:ascii="仿宋_GB2312" w:hAnsi="仿宋" w:eastAsia="仿宋_GB2312"/>
          <w:color w:val="auto"/>
          <w:sz w:val="32"/>
          <w:szCs w:val="32"/>
        </w:rPr>
        <w:t>项目工作经费</w:t>
      </w:r>
      <w:r>
        <w:rPr>
          <w:rFonts w:hint="eastAsia" w:ascii="仿宋_GB2312" w:hAnsi="仿宋" w:eastAsia="仿宋_GB2312"/>
          <w:color w:val="auto"/>
          <w:sz w:val="32"/>
          <w:szCs w:val="32"/>
          <w:lang w:eastAsia="zh-CN"/>
        </w:rPr>
        <w:t>减少。</w:t>
      </w:r>
    </w:p>
    <w:p>
      <w:pPr>
        <w:spacing w:line="600" w:lineRule="exact"/>
        <w:ind w:firstLine="640" w:firstLineChars="200"/>
        <w:rPr>
          <w:rFonts w:hint="eastAsia" w:ascii="仿宋" w:hAnsi="仿宋" w:eastAsia="仿宋"/>
          <w:color w:val="auto"/>
          <w:sz w:val="32"/>
          <w:szCs w:val="32"/>
        </w:rPr>
      </w:pPr>
    </w:p>
    <w:p>
      <w:pPr>
        <w:spacing w:line="60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pict>
          <v:shape id="Object 9" o:spid="_x0000_s1029" o:spt="75" type="#_x0000_t75" style="position:absolute;left:0pt;margin-left:53.55pt;margin-top:-8.25pt;height:206.45pt;width:339.75pt;z-index:251661312;mso-width-relative:page;mso-height-relative:page;" o:ole="t" filled="f" o:preferrelative="t" stroked="f" coordsize="21600,21600">
            <v:path/>
            <v:fill on="f" focussize="0,0"/>
            <v:stroke on="f"/>
            <v:imagedata r:id="rId13" o:title=""/>
            <o:lock v:ext="edit" aspectratio="t"/>
          </v:shape>
          <o:OLEObject Type="Embed" ProgID="Excel.Chart.8" ShapeID="Object 9" DrawAspect="Content" ObjectID="_1468075728" r:id="rId12">
            <o:LockedField>false</o:LockedField>
          </o:OLEObject>
        </w:pict>
      </w:r>
    </w:p>
    <w:p>
      <w:pPr>
        <w:spacing w:line="600" w:lineRule="exact"/>
        <w:ind w:firstLine="640" w:firstLineChars="200"/>
        <w:rPr>
          <w:rFonts w:hint="eastAsia" w:ascii="仿宋" w:hAnsi="仿宋" w:eastAsia="仿宋"/>
          <w:color w:val="auto"/>
          <w:sz w:val="32"/>
          <w:szCs w:val="32"/>
        </w:rPr>
      </w:pPr>
    </w:p>
    <w:p>
      <w:pPr>
        <w:spacing w:line="600" w:lineRule="exact"/>
        <w:ind w:firstLine="640" w:firstLineChars="200"/>
        <w:rPr>
          <w:rFonts w:hint="eastAsia" w:ascii="仿宋" w:hAnsi="仿宋" w:eastAsia="仿宋"/>
          <w:color w:val="auto"/>
          <w:sz w:val="32"/>
          <w:szCs w:val="32"/>
        </w:rPr>
      </w:pPr>
    </w:p>
    <w:p>
      <w:pPr>
        <w:spacing w:line="600" w:lineRule="exact"/>
        <w:ind w:firstLine="640" w:firstLineChars="200"/>
        <w:rPr>
          <w:rFonts w:hint="eastAsia" w:ascii="仿宋" w:hAnsi="仿宋" w:eastAsia="仿宋"/>
          <w:color w:val="auto"/>
          <w:sz w:val="32"/>
          <w:szCs w:val="32"/>
        </w:rPr>
      </w:pPr>
    </w:p>
    <w:p>
      <w:pPr>
        <w:spacing w:line="600" w:lineRule="exact"/>
        <w:ind w:firstLine="640" w:firstLineChars="200"/>
        <w:rPr>
          <w:rFonts w:hint="eastAsia" w:ascii="仿宋" w:hAnsi="仿宋" w:eastAsia="仿宋"/>
          <w:color w:val="auto"/>
          <w:sz w:val="32"/>
          <w:szCs w:val="32"/>
        </w:rPr>
      </w:pPr>
    </w:p>
    <w:p>
      <w:pPr>
        <w:spacing w:line="600" w:lineRule="exact"/>
        <w:ind w:firstLine="640" w:firstLineChars="200"/>
        <w:rPr>
          <w:rFonts w:hint="eastAsia" w:ascii="仿宋" w:hAnsi="仿宋" w:eastAsia="仿宋"/>
          <w:color w:val="auto"/>
          <w:sz w:val="32"/>
          <w:szCs w:val="32"/>
        </w:rPr>
      </w:pPr>
    </w:p>
    <w:p>
      <w:pPr>
        <w:spacing w:line="600" w:lineRule="exact"/>
        <w:rPr>
          <w:rFonts w:ascii="仿宋" w:hAnsi="仿宋" w:eastAsia="仿宋"/>
          <w:color w:val="auto"/>
          <w:sz w:val="32"/>
          <w:szCs w:val="32"/>
        </w:rPr>
      </w:pPr>
    </w:p>
    <w:p>
      <w:pPr>
        <w:spacing w:line="600" w:lineRule="exact"/>
        <w:ind w:firstLine="640" w:firstLineChars="200"/>
        <w:jc w:val="center"/>
        <w:rPr>
          <w:rFonts w:ascii="仿宋" w:hAnsi="仿宋" w:eastAsia="仿宋"/>
          <w:color w:val="auto"/>
          <w:sz w:val="32"/>
          <w:szCs w:val="32"/>
        </w:rPr>
      </w:pPr>
      <w:r>
        <w:rPr>
          <w:rFonts w:hint="eastAsia" w:ascii="仿宋" w:hAnsi="仿宋" w:eastAsia="仿宋"/>
          <w:color w:val="auto"/>
          <w:sz w:val="32"/>
          <w:szCs w:val="32"/>
        </w:rPr>
        <w:t>（图4：财政拨款收、支决算总计变动情况）</w:t>
      </w:r>
    </w:p>
    <w:p>
      <w:pPr>
        <w:spacing w:line="600" w:lineRule="exact"/>
        <w:ind w:firstLine="640"/>
        <w:rPr>
          <w:rFonts w:ascii="仿宋" w:hAnsi="仿宋" w:eastAsia="仿宋"/>
          <w:b/>
          <w:color w:val="auto"/>
          <w:sz w:val="32"/>
          <w:szCs w:val="32"/>
        </w:rPr>
      </w:pPr>
    </w:p>
    <w:p>
      <w:pPr>
        <w:spacing w:line="600" w:lineRule="exact"/>
        <w:ind w:firstLine="640" w:firstLineChars="200"/>
        <w:outlineLvl w:val="1"/>
        <w:rPr>
          <w:rStyle w:val="24"/>
          <w:rFonts w:ascii="黑体" w:hAnsi="黑体" w:eastAsia="黑体"/>
          <w:b w:val="0"/>
          <w:color w:val="auto"/>
        </w:rPr>
      </w:pPr>
      <w:bookmarkStart w:id="81" w:name="_Toc30953"/>
      <w:bookmarkStart w:id="82" w:name="_Toc15377209"/>
      <w:bookmarkStart w:id="83" w:name="_Toc10707"/>
      <w:bookmarkStart w:id="84" w:name="_Toc15396607"/>
      <w:r>
        <w:rPr>
          <w:rFonts w:hint="eastAsia" w:ascii="黑体" w:hAnsi="黑体" w:eastAsia="黑体"/>
          <w:color w:val="auto"/>
          <w:sz w:val="32"/>
          <w:szCs w:val="32"/>
        </w:rPr>
        <w:t>五、</w:t>
      </w:r>
      <w:r>
        <w:rPr>
          <w:rFonts w:hint="eastAsia" w:ascii="黑体" w:hAnsi="黑体" w:eastAsia="黑体"/>
          <w:b/>
          <w:color w:val="auto"/>
          <w:sz w:val="32"/>
          <w:szCs w:val="32"/>
        </w:rPr>
        <w:t>一</w:t>
      </w:r>
      <w:r>
        <w:rPr>
          <w:rStyle w:val="24"/>
          <w:rFonts w:hint="eastAsia" w:ascii="黑体" w:hAnsi="黑体" w:eastAsia="黑体"/>
          <w:b w:val="0"/>
          <w:color w:val="auto"/>
        </w:rPr>
        <w:t>般公共预算财政拨款支出决算情况说明</w:t>
      </w:r>
      <w:bookmarkEnd w:id="81"/>
      <w:bookmarkEnd w:id="82"/>
      <w:bookmarkEnd w:id="83"/>
      <w:bookmarkEnd w:id="84"/>
    </w:p>
    <w:p>
      <w:pPr>
        <w:spacing w:line="600" w:lineRule="exact"/>
        <w:ind w:firstLine="643" w:firstLineChars="200"/>
        <w:outlineLvl w:val="2"/>
        <w:rPr>
          <w:rFonts w:ascii="仿宋" w:hAnsi="仿宋" w:eastAsia="仿宋"/>
          <w:b/>
          <w:color w:val="auto"/>
          <w:sz w:val="32"/>
          <w:szCs w:val="32"/>
        </w:rPr>
      </w:pPr>
      <w:bookmarkStart w:id="85" w:name="_Toc2251"/>
      <w:bookmarkStart w:id="86" w:name="_Toc15377210"/>
      <w:bookmarkStart w:id="87" w:name="_Toc14908"/>
      <w:bookmarkStart w:id="88" w:name="_Toc10045"/>
      <w:bookmarkStart w:id="89" w:name="_Toc32494"/>
      <w:r>
        <w:rPr>
          <w:rFonts w:hint="eastAsia" w:ascii="仿宋" w:hAnsi="仿宋" w:eastAsia="仿宋"/>
          <w:b/>
          <w:color w:val="auto"/>
          <w:sz w:val="32"/>
          <w:szCs w:val="32"/>
        </w:rPr>
        <w:t>（一）一般公共预算财政拨款支出决算总体情况</w:t>
      </w:r>
      <w:bookmarkEnd w:id="85"/>
      <w:bookmarkEnd w:id="86"/>
      <w:bookmarkEnd w:id="87"/>
      <w:bookmarkEnd w:id="88"/>
      <w:bookmarkEnd w:id="89"/>
    </w:p>
    <w:p>
      <w:pPr>
        <w:spacing w:line="600" w:lineRule="exact"/>
        <w:ind w:firstLine="640" w:firstLineChars="200"/>
        <w:rPr>
          <w:rFonts w:hint="eastAsia"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年一般公共预算财政拨款支出</w:t>
      </w:r>
      <w:r>
        <w:rPr>
          <w:rFonts w:hint="eastAsia" w:ascii="仿宋" w:hAnsi="仿宋" w:eastAsia="仿宋"/>
          <w:color w:val="auto"/>
          <w:sz w:val="32"/>
          <w:szCs w:val="32"/>
          <w:lang w:val="en-US" w:eastAsia="zh-CN"/>
        </w:rPr>
        <w:t>172.65</w:t>
      </w:r>
      <w:r>
        <w:rPr>
          <w:rFonts w:hint="eastAsia" w:ascii="仿宋" w:hAnsi="仿宋" w:eastAsia="仿宋"/>
          <w:color w:val="auto"/>
          <w:sz w:val="32"/>
          <w:szCs w:val="32"/>
        </w:rPr>
        <w:t>万元，占本年支出合计的</w:t>
      </w:r>
      <w:r>
        <w:rPr>
          <w:rFonts w:hint="eastAsia" w:ascii="仿宋" w:hAnsi="仿宋" w:eastAsia="仿宋"/>
          <w:color w:val="auto"/>
          <w:sz w:val="32"/>
          <w:szCs w:val="32"/>
          <w:lang w:val="en-US" w:eastAsia="zh-CN"/>
        </w:rPr>
        <w:t>89.95</w:t>
      </w:r>
      <w:r>
        <w:rPr>
          <w:rFonts w:ascii="仿宋" w:hAnsi="仿宋" w:eastAsia="仿宋"/>
          <w:color w:val="auto"/>
          <w:sz w:val="32"/>
          <w:szCs w:val="32"/>
        </w:rPr>
        <w:t>%</w:t>
      </w:r>
      <w:r>
        <w:rPr>
          <w:rFonts w:hint="eastAsia" w:ascii="仿宋" w:hAnsi="仿宋" w:eastAsia="仿宋"/>
          <w:color w:val="auto"/>
          <w:sz w:val="32"/>
          <w:szCs w:val="32"/>
        </w:rPr>
        <w:t>。与</w:t>
      </w: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年相比，一般公共预算财政拨款支出</w:t>
      </w:r>
      <w:r>
        <w:rPr>
          <w:rFonts w:hint="eastAsia" w:ascii="仿宋" w:hAnsi="仿宋" w:eastAsia="仿宋"/>
          <w:color w:val="auto"/>
          <w:sz w:val="32"/>
          <w:szCs w:val="32"/>
          <w:lang w:eastAsia="zh-CN"/>
        </w:rPr>
        <w:t>减少</w:t>
      </w:r>
      <w:r>
        <w:rPr>
          <w:rFonts w:hint="eastAsia" w:ascii="仿宋" w:hAnsi="仿宋" w:eastAsia="仿宋"/>
          <w:color w:val="auto"/>
          <w:sz w:val="32"/>
          <w:szCs w:val="32"/>
          <w:lang w:val="en-US" w:eastAsia="zh-CN"/>
        </w:rPr>
        <w:t>415.75</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下</w:t>
      </w:r>
      <w:r>
        <w:rPr>
          <w:rFonts w:hint="eastAsia" w:ascii="仿宋" w:hAnsi="仿宋" w:eastAsia="仿宋"/>
          <w:color w:val="auto"/>
          <w:sz w:val="32"/>
          <w:szCs w:val="32"/>
          <w:lang w:eastAsia="zh-CN"/>
        </w:rPr>
        <w:t>降</w:t>
      </w:r>
      <w:r>
        <w:rPr>
          <w:rFonts w:hint="eastAsia" w:ascii="仿宋" w:hAnsi="仿宋" w:eastAsia="仿宋"/>
          <w:color w:val="auto"/>
          <w:sz w:val="32"/>
          <w:szCs w:val="32"/>
          <w:lang w:val="en-US" w:eastAsia="zh-CN"/>
        </w:rPr>
        <w:t>70.66</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当年人员经费及</w:t>
      </w:r>
      <w:r>
        <w:rPr>
          <w:rFonts w:hint="eastAsia" w:ascii="仿宋_GB2312" w:hAnsi="仿宋" w:eastAsia="仿宋_GB2312"/>
          <w:color w:val="auto"/>
          <w:sz w:val="32"/>
          <w:szCs w:val="32"/>
        </w:rPr>
        <w:t>项目工作经费</w:t>
      </w:r>
      <w:r>
        <w:rPr>
          <w:rFonts w:hint="eastAsia" w:ascii="仿宋_GB2312" w:hAnsi="仿宋" w:eastAsia="仿宋_GB2312"/>
          <w:color w:val="auto"/>
          <w:sz w:val="32"/>
          <w:szCs w:val="32"/>
          <w:lang w:eastAsia="zh-CN"/>
        </w:rPr>
        <w:t>增加。</w:t>
      </w:r>
    </w:p>
    <w:p>
      <w:pPr>
        <w:spacing w:line="60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pict>
          <v:shape id="Object 12" o:spid="_x0000_s1030" o:spt="75" type="#_x0000_t75" style="position:absolute;left:0pt;margin-left:58.3pt;margin-top:2.2pt;height:200.1pt;width:329.05pt;z-index:251662336;mso-width-relative:page;mso-height-relative:page;" o:ole="t" filled="f" o:preferrelative="t" stroked="f" coordsize="21600,21600">
            <v:path/>
            <v:fill on="f" focussize="0,0"/>
            <v:stroke on="f"/>
            <v:imagedata r:id="rId15" o:title=""/>
            <o:lock v:ext="edit" aspectratio="t"/>
          </v:shape>
          <o:OLEObject Type="Embed" ProgID="Excel.Chart.8" ShapeID="Object 12" DrawAspect="Content" ObjectID="_1468075729" r:id="rId14">
            <o:LockedField>false</o:LockedField>
          </o:OLEObject>
        </w:pict>
      </w:r>
    </w:p>
    <w:p>
      <w:pPr>
        <w:spacing w:line="600" w:lineRule="exact"/>
        <w:ind w:firstLine="640" w:firstLineChars="200"/>
        <w:rPr>
          <w:rFonts w:hint="eastAsia" w:ascii="仿宋" w:hAnsi="仿宋" w:eastAsia="仿宋"/>
          <w:color w:val="auto"/>
          <w:sz w:val="32"/>
          <w:szCs w:val="32"/>
        </w:rPr>
      </w:pPr>
    </w:p>
    <w:p>
      <w:pPr>
        <w:spacing w:line="600" w:lineRule="exact"/>
        <w:ind w:firstLine="640" w:firstLineChars="200"/>
        <w:rPr>
          <w:rFonts w:hint="eastAsia" w:ascii="仿宋" w:hAnsi="仿宋" w:eastAsia="仿宋"/>
          <w:color w:val="auto"/>
          <w:sz w:val="32"/>
          <w:szCs w:val="32"/>
        </w:rPr>
      </w:pPr>
    </w:p>
    <w:p>
      <w:pPr>
        <w:spacing w:line="600" w:lineRule="exact"/>
        <w:ind w:firstLine="640" w:firstLineChars="200"/>
        <w:rPr>
          <w:rFonts w:hint="eastAsia" w:ascii="仿宋" w:hAnsi="仿宋" w:eastAsia="仿宋"/>
          <w:color w:val="auto"/>
          <w:sz w:val="32"/>
          <w:szCs w:val="32"/>
        </w:rPr>
      </w:pPr>
    </w:p>
    <w:p>
      <w:pPr>
        <w:spacing w:line="600" w:lineRule="exact"/>
        <w:rPr>
          <w:rFonts w:hint="eastAsia" w:ascii="仿宋" w:hAnsi="仿宋" w:eastAsia="仿宋"/>
          <w:color w:val="auto"/>
          <w:sz w:val="32"/>
          <w:szCs w:val="32"/>
        </w:rPr>
      </w:pPr>
    </w:p>
    <w:p>
      <w:pPr>
        <w:pStyle w:val="2"/>
        <w:rPr>
          <w:rFonts w:hint="eastAsia"/>
          <w:color w:val="auto"/>
        </w:rPr>
      </w:pPr>
    </w:p>
    <w:p>
      <w:pPr>
        <w:spacing w:line="600" w:lineRule="exact"/>
        <w:ind w:firstLine="640" w:firstLineChars="200"/>
        <w:rPr>
          <w:rFonts w:ascii="仿宋" w:hAnsi="仿宋" w:eastAsia="仿宋"/>
          <w:color w:val="auto"/>
          <w:sz w:val="32"/>
          <w:szCs w:val="32"/>
        </w:rPr>
      </w:pP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（图5：一般公共预算财政拨款支出决算变动情况）</w:t>
      </w:r>
    </w:p>
    <w:p>
      <w:pPr>
        <w:spacing w:line="600" w:lineRule="exact"/>
        <w:ind w:firstLine="643" w:firstLineChars="200"/>
        <w:outlineLvl w:val="2"/>
        <w:rPr>
          <w:rFonts w:ascii="仿宋" w:hAnsi="仿宋" w:eastAsia="仿宋"/>
          <w:b/>
          <w:color w:val="auto"/>
          <w:sz w:val="32"/>
          <w:szCs w:val="32"/>
        </w:rPr>
      </w:pPr>
      <w:bookmarkStart w:id="90" w:name="_Toc3013"/>
      <w:bookmarkStart w:id="91" w:name="_Toc16163"/>
      <w:bookmarkStart w:id="92" w:name="_Toc22190"/>
      <w:bookmarkStart w:id="93" w:name="_Toc15377211"/>
      <w:bookmarkStart w:id="94" w:name="_Toc17354"/>
      <w:r>
        <w:rPr>
          <w:rFonts w:hint="eastAsia" w:ascii="仿宋" w:hAnsi="仿宋" w:eastAsia="仿宋"/>
          <w:b/>
          <w:color w:val="auto"/>
          <w:sz w:val="32"/>
          <w:szCs w:val="32"/>
        </w:rPr>
        <w:t>（二）一般公共预算财政拨款支出决算结构情况</w:t>
      </w:r>
      <w:bookmarkEnd w:id="90"/>
      <w:bookmarkEnd w:id="91"/>
      <w:bookmarkEnd w:id="92"/>
      <w:bookmarkEnd w:id="93"/>
      <w:bookmarkEnd w:id="94"/>
    </w:p>
    <w:p>
      <w:pPr>
        <w:spacing w:line="600" w:lineRule="exact"/>
        <w:ind w:firstLine="640"/>
        <w:rPr>
          <w:rFonts w:hint="eastAsia"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年一般公共预算财政拨款支出</w:t>
      </w:r>
      <w:r>
        <w:rPr>
          <w:rFonts w:hint="eastAsia" w:ascii="仿宋" w:hAnsi="仿宋" w:eastAsia="仿宋"/>
          <w:color w:val="auto"/>
          <w:sz w:val="32"/>
          <w:szCs w:val="32"/>
          <w:lang w:val="en-US" w:eastAsia="zh-CN"/>
        </w:rPr>
        <w:t>172.65</w:t>
      </w:r>
      <w:r>
        <w:rPr>
          <w:rFonts w:hint="eastAsia" w:ascii="仿宋" w:hAnsi="仿宋" w:eastAsia="仿宋"/>
          <w:color w:val="auto"/>
          <w:sz w:val="32"/>
          <w:szCs w:val="32"/>
        </w:rPr>
        <w:t>万元，主要用于以下方面</w:t>
      </w:r>
      <w:r>
        <w:rPr>
          <w:rFonts w:ascii="仿宋" w:hAnsi="仿宋" w:eastAsia="仿宋"/>
          <w:color w:val="auto"/>
          <w:sz w:val="32"/>
          <w:szCs w:val="32"/>
        </w:rPr>
        <w:t>:</w:t>
      </w:r>
      <w:r>
        <w:rPr>
          <w:rFonts w:hint="eastAsia" w:ascii="仿宋" w:hAnsi="仿宋" w:eastAsia="仿宋"/>
          <w:b/>
          <w:color w:val="auto"/>
          <w:sz w:val="32"/>
          <w:szCs w:val="32"/>
        </w:rPr>
        <w:t>社会保障和就业（类）</w:t>
      </w:r>
      <w:r>
        <w:rPr>
          <w:rFonts w:hint="eastAsia" w:ascii="仿宋" w:hAnsi="仿宋" w:eastAsia="仿宋"/>
          <w:color w:val="auto"/>
          <w:sz w:val="32"/>
          <w:szCs w:val="32"/>
        </w:rPr>
        <w:t>支出</w:t>
      </w:r>
      <w:r>
        <w:rPr>
          <w:rFonts w:hint="eastAsia" w:ascii="仿宋" w:hAnsi="仿宋" w:eastAsia="仿宋"/>
          <w:color w:val="auto"/>
          <w:sz w:val="32"/>
          <w:szCs w:val="32"/>
          <w:lang w:val="en-US" w:eastAsia="zh-CN"/>
        </w:rPr>
        <w:t>15.97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9.25</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b/>
          <w:bCs/>
          <w:color w:val="auto"/>
          <w:sz w:val="32"/>
          <w:szCs w:val="32"/>
        </w:rPr>
        <w:t>卫生健康支出</w:t>
      </w:r>
      <w:r>
        <w:rPr>
          <w:rFonts w:hint="eastAsia" w:ascii="仿宋" w:hAnsi="仿宋" w:eastAsia="仿宋"/>
          <w:color w:val="auto"/>
          <w:sz w:val="32"/>
          <w:szCs w:val="32"/>
          <w:lang w:val="en-US" w:eastAsia="zh-CN"/>
        </w:rPr>
        <w:t>5.17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2.99</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b/>
          <w:bCs/>
          <w:color w:val="auto"/>
          <w:sz w:val="32"/>
          <w:szCs w:val="32"/>
        </w:rPr>
        <w:t>住房保障支出</w:t>
      </w:r>
      <w:r>
        <w:rPr>
          <w:rFonts w:hint="eastAsia" w:ascii="仿宋" w:hAnsi="仿宋" w:eastAsia="仿宋"/>
          <w:color w:val="auto"/>
          <w:sz w:val="32"/>
          <w:szCs w:val="32"/>
          <w:lang w:val="en-US" w:eastAsia="zh-CN"/>
        </w:rPr>
        <w:t>9.66</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5.6</w:t>
      </w:r>
      <w:r>
        <w:rPr>
          <w:rFonts w:ascii="仿宋" w:hAnsi="仿宋" w:eastAsia="仿宋"/>
          <w:color w:val="auto"/>
          <w:sz w:val="32"/>
          <w:szCs w:val="32"/>
        </w:rPr>
        <w:t>%</w:t>
      </w:r>
      <w:r>
        <w:rPr>
          <w:rFonts w:hint="eastAsia" w:ascii="仿宋" w:hAnsi="仿宋" w:eastAsia="仿宋"/>
          <w:color w:val="auto"/>
          <w:sz w:val="32"/>
          <w:szCs w:val="32"/>
          <w:lang w:val="en-US" w:eastAsia="zh-CN"/>
        </w:rPr>
        <w:t>;</w:t>
      </w:r>
      <w:r>
        <w:rPr>
          <w:rFonts w:hint="eastAsia" w:ascii="仿宋_GB2312" w:hAnsi="仿宋" w:eastAsia="仿宋_GB2312"/>
          <w:b/>
          <w:bCs/>
          <w:color w:val="auto"/>
          <w:sz w:val="32"/>
          <w:szCs w:val="32"/>
        </w:rPr>
        <w:t>粮油物资储备</w:t>
      </w:r>
      <w:r>
        <w:rPr>
          <w:rFonts w:hint="eastAsia" w:ascii="仿宋_GB2312" w:hAnsi="仿宋" w:eastAsia="仿宋_GB2312"/>
          <w:color w:val="auto"/>
          <w:sz w:val="32"/>
          <w:szCs w:val="32"/>
        </w:rPr>
        <w:t>支出</w:t>
      </w:r>
      <w:r>
        <w:rPr>
          <w:rFonts w:hint="eastAsia" w:ascii="仿宋_GB2312" w:hAnsi="仿宋" w:eastAsia="仿宋_GB2312"/>
          <w:color w:val="auto"/>
          <w:sz w:val="32"/>
          <w:szCs w:val="32"/>
          <w:lang w:val="en-US" w:eastAsia="zh-CN"/>
        </w:rPr>
        <w:t>141.85</w:t>
      </w:r>
      <w:r>
        <w:rPr>
          <w:rFonts w:hint="eastAsia" w:ascii="仿宋_GB2312" w:hAnsi="仿宋" w:eastAsia="仿宋_GB2312"/>
          <w:color w:val="auto"/>
          <w:sz w:val="32"/>
          <w:szCs w:val="32"/>
        </w:rPr>
        <w:t>万元，占</w:t>
      </w:r>
      <w:r>
        <w:rPr>
          <w:rFonts w:hint="eastAsia" w:ascii="仿宋_GB2312" w:hAnsi="仿宋" w:eastAsia="仿宋_GB2312"/>
          <w:color w:val="auto"/>
          <w:sz w:val="32"/>
          <w:szCs w:val="32"/>
          <w:lang w:val="en-US" w:eastAsia="zh-CN"/>
        </w:rPr>
        <w:t>82.16</w:t>
      </w:r>
      <w:r>
        <w:rPr>
          <w:rFonts w:hint="eastAsia" w:ascii="仿宋_GB2312" w:hAnsi="仿宋" w:eastAsia="仿宋_GB2312"/>
          <w:color w:val="auto"/>
          <w:sz w:val="32"/>
          <w:szCs w:val="32"/>
        </w:rPr>
        <w:t>%</w:t>
      </w:r>
      <w:r>
        <w:rPr>
          <w:rFonts w:hint="eastAsia" w:ascii="仿宋" w:hAnsi="仿宋" w:eastAsia="仿宋"/>
          <w:color w:val="auto"/>
          <w:sz w:val="32"/>
          <w:szCs w:val="32"/>
        </w:rPr>
        <w:t>。</w:t>
      </w:r>
    </w:p>
    <w:p>
      <w:pPr>
        <w:pStyle w:val="2"/>
        <w:spacing w:before="93"/>
        <w:jc w:val="center"/>
        <w:rPr>
          <w:rFonts w:hint="eastAsia" w:ascii="仿宋" w:hAnsi="仿宋" w:eastAsia="仿宋"/>
          <w:color w:val="auto"/>
          <w:sz w:val="32"/>
          <w:szCs w:val="32"/>
          <w:lang w:eastAsia="zh-CN"/>
        </w:rPr>
      </w:pPr>
      <w:r>
        <w:rPr>
          <w:rFonts w:hint="eastAsia" w:ascii="仿宋" w:hAnsi="仿宋" w:eastAsia="仿宋"/>
          <w:color w:val="auto"/>
          <w:sz w:val="32"/>
          <w:szCs w:val="32"/>
        </w:rPr>
        <w:pict>
          <v:shape id="Object 11" o:spid="_x0000_s1031" o:spt="75" type="#_x0000_t75" style="position:absolute;left:0pt;margin-left:37.3pt;margin-top:7.3pt;height:208.9pt;width:352.8pt;z-index:251665408;mso-width-relative:page;mso-height-relative:page;" o:ole="t" filled="f" o:preferrelative="t" stroked="f" coordsize="21600,21600">
            <v:path/>
            <v:fill on="f" focussize="0,0"/>
            <v:stroke on="f"/>
            <v:imagedata r:id="rId17" o:title=""/>
            <o:lock v:ext="edit" aspectratio="t"/>
          </v:shape>
          <o:OLEObject Type="Embed" ProgID="Excel.Chart.8" ShapeID="Object 11" DrawAspect="Content" ObjectID="_1468075730" r:id="rId16">
            <o:LockedField>false</o:LockedField>
          </o:OLEObject>
        </w:pict>
      </w:r>
    </w:p>
    <w:p>
      <w:pPr>
        <w:pStyle w:val="2"/>
        <w:spacing w:before="93"/>
        <w:jc w:val="center"/>
        <w:rPr>
          <w:rFonts w:hint="eastAsia" w:ascii="仿宋" w:hAnsi="仿宋" w:eastAsia="仿宋"/>
          <w:color w:val="auto"/>
          <w:sz w:val="32"/>
          <w:szCs w:val="32"/>
          <w:lang w:eastAsia="zh-CN"/>
        </w:rPr>
      </w:pPr>
    </w:p>
    <w:p>
      <w:pPr>
        <w:pStyle w:val="2"/>
        <w:spacing w:before="93"/>
        <w:jc w:val="center"/>
        <w:rPr>
          <w:rFonts w:hint="eastAsia" w:ascii="仿宋" w:hAnsi="仿宋" w:eastAsia="仿宋"/>
          <w:color w:val="auto"/>
          <w:sz w:val="32"/>
          <w:szCs w:val="32"/>
          <w:lang w:eastAsia="zh-CN"/>
        </w:rPr>
      </w:pPr>
    </w:p>
    <w:p>
      <w:pPr>
        <w:pStyle w:val="2"/>
        <w:spacing w:before="93"/>
        <w:jc w:val="center"/>
        <w:rPr>
          <w:rFonts w:hint="eastAsia" w:ascii="仿宋" w:hAnsi="仿宋" w:eastAsia="仿宋"/>
          <w:color w:val="auto"/>
          <w:sz w:val="32"/>
          <w:szCs w:val="32"/>
          <w:lang w:eastAsia="zh-CN"/>
        </w:rPr>
      </w:pPr>
    </w:p>
    <w:p>
      <w:pPr>
        <w:pStyle w:val="2"/>
        <w:spacing w:before="93"/>
        <w:jc w:val="center"/>
        <w:rPr>
          <w:rFonts w:hint="eastAsia" w:ascii="仿宋" w:hAnsi="仿宋" w:eastAsia="仿宋"/>
          <w:color w:val="auto"/>
          <w:sz w:val="32"/>
          <w:szCs w:val="32"/>
          <w:lang w:eastAsia="zh-CN"/>
        </w:rPr>
      </w:pPr>
    </w:p>
    <w:p>
      <w:pPr>
        <w:pStyle w:val="2"/>
        <w:spacing w:before="93"/>
        <w:jc w:val="center"/>
        <w:rPr>
          <w:rFonts w:hint="eastAsia" w:ascii="仿宋" w:hAnsi="仿宋" w:eastAsia="仿宋"/>
          <w:color w:val="auto"/>
          <w:sz w:val="32"/>
          <w:szCs w:val="32"/>
          <w:lang w:eastAsia="zh-CN"/>
        </w:rPr>
      </w:pPr>
    </w:p>
    <w:p>
      <w:pPr>
        <w:spacing w:line="600" w:lineRule="exact"/>
        <w:ind w:firstLine="640" w:firstLineChars="200"/>
        <w:rPr>
          <w:rFonts w:hint="eastAsia" w:ascii="仿宋" w:hAnsi="仿宋" w:eastAsia="仿宋"/>
          <w:b/>
          <w:color w:val="auto"/>
          <w:sz w:val="32"/>
          <w:szCs w:val="32"/>
        </w:rPr>
      </w:pPr>
      <w:r>
        <w:rPr>
          <w:rFonts w:hint="eastAsia" w:ascii="仿宋" w:hAnsi="仿宋" w:eastAsia="仿宋"/>
          <w:color w:val="auto"/>
          <w:sz w:val="32"/>
          <w:szCs w:val="32"/>
        </w:rPr>
        <w:t>（图6：一般公共预算财政拨款支出决算结构）</w:t>
      </w:r>
      <w:bookmarkStart w:id="95" w:name="_Toc19832"/>
      <w:bookmarkStart w:id="96" w:name="_Toc24276"/>
      <w:bookmarkStart w:id="97" w:name="_Toc15377212"/>
      <w:bookmarkStart w:id="98" w:name="_Toc21293"/>
    </w:p>
    <w:p>
      <w:pPr>
        <w:spacing w:line="600" w:lineRule="exact"/>
        <w:ind w:firstLine="643" w:firstLineChars="200"/>
        <w:outlineLvl w:val="2"/>
        <w:rPr>
          <w:rFonts w:hint="eastAsia"/>
          <w:color w:val="auto"/>
        </w:rPr>
      </w:pPr>
      <w:bookmarkStart w:id="99" w:name="_Toc16404"/>
      <w:r>
        <w:rPr>
          <w:rFonts w:hint="eastAsia" w:ascii="仿宋" w:hAnsi="仿宋" w:eastAsia="仿宋"/>
          <w:b/>
          <w:color w:val="auto"/>
          <w:sz w:val="32"/>
          <w:szCs w:val="32"/>
        </w:rPr>
        <w:t>（三）一般公共预算财政拨款支出决算具体情况</w:t>
      </w:r>
      <w:bookmarkEnd w:id="95"/>
      <w:bookmarkEnd w:id="96"/>
      <w:bookmarkEnd w:id="97"/>
      <w:bookmarkEnd w:id="98"/>
      <w:bookmarkEnd w:id="99"/>
      <w:bookmarkStart w:id="100" w:name="_Toc22749"/>
      <w:bookmarkStart w:id="101" w:name="_Toc15378460"/>
      <w:bookmarkStart w:id="102" w:name="_Toc17994"/>
      <w:bookmarkStart w:id="103" w:name="_Toc9528"/>
      <w:bookmarkStart w:id="104" w:name="_Toc15377444"/>
      <w:bookmarkStart w:id="105" w:name="_Toc15377213"/>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1"/>
        <w:rPr>
          <w:rFonts w:ascii="仿宋" w:hAnsi="仿宋" w:eastAsia="仿宋"/>
          <w:color w:val="auto"/>
          <w:sz w:val="32"/>
          <w:szCs w:val="32"/>
        </w:rPr>
      </w:pPr>
      <w:bookmarkStart w:id="106" w:name="_Toc3971"/>
      <w:r>
        <w:rPr>
          <w:rFonts w:hint="eastAsia" w:ascii="仿宋" w:hAnsi="仿宋" w:eastAsia="仿宋"/>
          <w:b/>
          <w:color w:val="auto"/>
          <w:sz w:val="32"/>
          <w:szCs w:val="32"/>
          <w:lang w:val="en-US" w:eastAsia="zh-CN"/>
        </w:rPr>
        <w:t>2024</w:t>
      </w:r>
      <w:r>
        <w:rPr>
          <w:rFonts w:hint="eastAsia" w:ascii="仿宋" w:hAnsi="仿宋" w:eastAsia="仿宋"/>
          <w:b/>
          <w:color w:val="auto"/>
          <w:sz w:val="32"/>
          <w:szCs w:val="32"/>
        </w:rPr>
        <w:t>年一般公共预算支出决算数为</w:t>
      </w:r>
      <w:r>
        <w:rPr>
          <w:rFonts w:hint="eastAsia" w:ascii="仿宋" w:hAnsi="仿宋" w:eastAsia="仿宋"/>
          <w:b/>
          <w:color w:val="auto"/>
          <w:sz w:val="32"/>
          <w:szCs w:val="32"/>
          <w:lang w:val="en-US" w:eastAsia="zh-CN"/>
        </w:rPr>
        <w:t>172.65</w:t>
      </w:r>
      <w:r>
        <w:rPr>
          <w:rFonts w:hint="eastAsia" w:ascii="仿宋" w:hAnsi="仿宋" w:eastAsia="仿宋"/>
          <w:b/>
          <w:color w:val="auto"/>
          <w:sz w:val="32"/>
          <w:szCs w:val="32"/>
        </w:rPr>
        <w:t>万元</w:t>
      </w:r>
      <w:r>
        <w:rPr>
          <w:rFonts w:hint="eastAsia" w:ascii="仿宋" w:hAnsi="仿宋" w:eastAsia="仿宋"/>
          <w:color w:val="auto"/>
          <w:sz w:val="32"/>
          <w:szCs w:val="32"/>
        </w:rPr>
        <w:t>，</w:t>
      </w:r>
      <w:r>
        <w:rPr>
          <w:rStyle w:val="21"/>
          <w:rFonts w:hint="eastAsia" w:ascii="仿宋" w:hAnsi="仿宋" w:eastAsia="仿宋"/>
          <w:bCs/>
          <w:color w:val="auto"/>
          <w:sz w:val="32"/>
          <w:szCs w:val="32"/>
        </w:rPr>
        <w:t>完成预算</w:t>
      </w:r>
      <w:r>
        <w:rPr>
          <w:rStyle w:val="21"/>
          <w:rFonts w:hint="eastAsia" w:ascii="仿宋" w:hAnsi="仿宋" w:eastAsia="仿宋"/>
          <w:bCs/>
          <w:color w:val="auto"/>
          <w:sz w:val="32"/>
          <w:szCs w:val="32"/>
          <w:lang w:val="en-US" w:eastAsia="zh-CN"/>
        </w:rPr>
        <w:t>100</w:t>
      </w:r>
      <w:r>
        <w:rPr>
          <w:rStyle w:val="21"/>
          <w:rFonts w:ascii="仿宋" w:hAnsi="仿宋" w:eastAsia="仿宋"/>
          <w:bCs/>
          <w:color w:val="auto"/>
          <w:sz w:val="32"/>
          <w:szCs w:val="32"/>
        </w:rPr>
        <w:t>%</w:t>
      </w:r>
      <w:r>
        <w:rPr>
          <w:rStyle w:val="21"/>
          <w:rFonts w:hint="eastAsia" w:ascii="仿宋" w:hAnsi="仿宋" w:eastAsia="仿宋"/>
          <w:bCs/>
          <w:color w:val="auto"/>
          <w:sz w:val="32"/>
          <w:szCs w:val="32"/>
        </w:rPr>
        <w:t>。其中：</w:t>
      </w:r>
      <w:bookmarkEnd w:id="100"/>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Style w:val="21"/>
          <w:rFonts w:hint="eastAsia" w:ascii="仿宋_GB2312" w:hAnsi="仿宋" w:eastAsia="仿宋_GB2312"/>
          <w:b w:val="0"/>
          <w:bCs/>
          <w:color w:val="auto"/>
          <w:sz w:val="32"/>
          <w:szCs w:val="32"/>
        </w:rPr>
      </w:pPr>
      <w:r>
        <w:rPr>
          <w:rStyle w:val="21"/>
          <w:rFonts w:hint="eastAsia" w:ascii="仿宋_GB2312" w:hAnsi="仿宋" w:eastAsia="仿宋_GB2312"/>
          <w:bCs/>
          <w:color w:val="auto"/>
          <w:sz w:val="32"/>
          <w:szCs w:val="32"/>
          <w:lang w:val="en-US" w:eastAsia="zh-CN"/>
        </w:rPr>
        <w:t>1</w:t>
      </w:r>
      <w:r>
        <w:rPr>
          <w:rStyle w:val="21"/>
          <w:rFonts w:hint="eastAsia" w:ascii="仿宋_GB2312" w:hAnsi="仿宋" w:eastAsia="仿宋_GB2312"/>
          <w:bCs/>
          <w:color w:val="auto"/>
          <w:sz w:val="32"/>
          <w:szCs w:val="32"/>
        </w:rPr>
        <w:t>.社会保障和就业</w:t>
      </w:r>
      <w:r>
        <w:rPr>
          <w:rStyle w:val="21"/>
          <w:rFonts w:hint="eastAsia" w:ascii="仿宋_GB2312" w:hAnsi="仿宋" w:eastAsia="仿宋_GB2312"/>
          <w:bCs/>
          <w:color w:val="auto"/>
          <w:sz w:val="32"/>
          <w:szCs w:val="32"/>
          <w:lang w:eastAsia="zh-CN"/>
        </w:rPr>
        <w:t>支出</w:t>
      </w:r>
      <w:r>
        <w:rPr>
          <w:rStyle w:val="21"/>
          <w:rFonts w:hint="eastAsia" w:ascii="仿宋_GB2312" w:hAnsi="仿宋" w:eastAsia="仿宋_GB2312"/>
          <w:bCs/>
          <w:color w:val="auto"/>
          <w:sz w:val="32"/>
          <w:szCs w:val="32"/>
        </w:rPr>
        <w:t>（类）行政事业单位</w:t>
      </w:r>
      <w:r>
        <w:rPr>
          <w:rStyle w:val="21"/>
          <w:rFonts w:hint="eastAsia" w:ascii="仿宋_GB2312" w:hAnsi="仿宋" w:eastAsia="仿宋_GB2312"/>
          <w:bCs/>
          <w:color w:val="auto"/>
          <w:sz w:val="32"/>
          <w:szCs w:val="32"/>
          <w:lang w:eastAsia="zh-CN"/>
        </w:rPr>
        <w:t>养老支出</w:t>
      </w:r>
      <w:r>
        <w:rPr>
          <w:rStyle w:val="21"/>
          <w:rFonts w:hint="eastAsia" w:ascii="仿宋_GB2312" w:hAnsi="仿宋" w:eastAsia="仿宋_GB2312"/>
          <w:bCs/>
          <w:color w:val="auto"/>
          <w:sz w:val="32"/>
          <w:szCs w:val="32"/>
        </w:rPr>
        <w:t>（款）机关事业单位基本养老保险缴费支出（项）:</w:t>
      </w:r>
      <w:r>
        <w:rPr>
          <w:rStyle w:val="21"/>
          <w:rFonts w:hint="eastAsia" w:ascii="仿宋_GB2312" w:hAnsi="仿宋" w:eastAsia="仿宋_GB2312"/>
          <w:b w:val="0"/>
          <w:bCs/>
          <w:color w:val="auto"/>
          <w:sz w:val="32"/>
          <w:szCs w:val="32"/>
        </w:rPr>
        <w:t>支出决算为</w:t>
      </w:r>
      <w:r>
        <w:rPr>
          <w:rStyle w:val="21"/>
          <w:rFonts w:hint="eastAsia" w:ascii="仿宋_GB2312" w:hAnsi="仿宋" w:eastAsia="仿宋_GB2312"/>
          <w:b w:val="0"/>
          <w:bCs/>
          <w:color w:val="auto"/>
          <w:sz w:val="32"/>
          <w:szCs w:val="32"/>
          <w:lang w:val="en-US" w:eastAsia="zh-CN"/>
        </w:rPr>
        <w:t>10.95</w:t>
      </w:r>
      <w:r>
        <w:rPr>
          <w:rStyle w:val="21"/>
          <w:rFonts w:hint="eastAsia" w:ascii="仿宋_GB2312" w:hAnsi="仿宋" w:eastAsia="仿宋_GB2312"/>
          <w:b w:val="0"/>
          <w:bCs/>
          <w:color w:val="auto"/>
          <w:sz w:val="32"/>
          <w:szCs w:val="32"/>
        </w:rPr>
        <w:t>万元，完成预算100%。</w:t>
      </w:r>
    </w:p>
    <w:p>
      <w:pPr>
        <w:spacing w:line="600" w:lineRule="exact"/>
        <w:ind w:firstLine="643" w:firstLineChars="200"/>
        <w:rPr>
          <w:rStyle w:val="21"/>
          <w:rFonts w:hint="eastAsia" w:ascii="仿宋" w:hAnsi="仿宋" w:eastAsia="仿宋"/>
          <w:b w:val="0"/>
          <w:bCs/>
          <w:color w:val="auto"/>
          <w:sz w:val="32"/>
          <w:szCs w:val="32"/>
        </w:rPr>
      </w:pPr>
      <w:r>
        <w:rPr>
          <w:rStyle w:val="21"/>
          <w:rFonts w:hint="eastAsia" w:ascii="仿宋" w:hAnsi="仿宋" w:eastAsia="仿宋"/>
          <w:bCs/>
          <w:color w:val="auto"/>
          <w:sz w:val="32"/>
          <w:szCs w:val="32"/>
          <w:lang w:val="en-US" w:eastAsia="zh-CN"/>
        </w:rPr>
        <w:t>2</w:t>
      </w:r>
      <w:r>
        <w:rPr>
          <w:rStyle w:val="21"/>
          <w:rFonts w:ascii="仿宋" w:hAnsi="仿宋" w:eastAsia="仿宋"/>
          <w:bCs/>
          <w:color w:val="auto"/>
          <w:sz w:val="32"/>
          <w:szCs w:val="32"/>
        </w:rPr>
        <w:t>.</w:t>
      </w:r>
      <w:r>
        <w:rPr>
          <w:rStyle w:val="21"/>
          <w:rFonts w:hint="eastAsia" w:ascii="仿宋" w:hAnsi="仿宋" w:eastAsia="仿宋"/>
          <w:bCs/>
          <w:color w:val="auto"/>
          <w:sz w:val="32"/>
          <w:szCs w:val="32"/>
        </w:rPr>
        <w:t>社会保障和就业支出（类）行政事业单位养老支出（款）机关事业单位职业年金缴费支出（项）</w:t>
      </w:r>
      <w:r>
        <w:rPr>
          <w:rStyle w:val="21"/>
          <w:rFonts w:ascii="仿宋" w:hAnsi="仿宋" w:eastAsia="仿宋"/>
          <w:bCs/>
          <w:color w:val="auto"/>
          <w:sz w:val="32"/>
          <w:szCs w:val="32"/>
        </w:rPr>
        <w:t>:</w:t>
      </w:r>
      <w:r>
        <w:rPr>
          <w:rStyle w:val="21"/>
          <w:rFonts w:ascii="仿宋" w:hAnsi="仿宋" w:eastAsia="仿宋"/>
          <w:b w:val="0"/>
          <w:bCs/>
          <w:color w:val="auto"/>
          <w:sz w:val="32"/>
          <w:szCs w:val="32"/>
        </w:rPr>
        <w:t xml:space="preserve"> </w:t>
      </w:r>
      <w:r>
        <w:rPr>
          <w:rStyle w:val="21"/>
          <w:rFonts w:hint="eastAsia" w:ascii="仿宋" w:hAnsi="仿宋" w:eastAsia="仿宋"/>
          <w:b w:val="0"/>
          <w:bCs/>
          <w:color w:val="auto"/>
          <w:sz w:val="32"/>
          <w:szCs w:val="32"/>
        </w:rPr>
        <w:t>支出决算为</w:t>
      </w:r>
      <w:r>
        <w:rPr>
          <w:rStyle w:val="21"/>
          <w:rFonts w:hint="eastAsia" w:ascii="仿宋" w:hAnsi="仿宋" w:eastAsia="仿宋"/>
          <w:b w:val="0"/>
          <w:bCs/>
          <w:color w:val="auto"/>
          <w:sz w:val="32"/>
          <w:szCs w:val="32"/>
          <w:lang w:val="en-US" w:eastAsia="zh-CN"/>
        </w:rPr>
        <w:t>2.28</w:t>
      </w:r>
      <w:r>
        <w:rPr>
          <w:rStyle w:val="21"/>
          <w:rFonts w:hint="eastAsia" w:ascii="仿宋" w:hAnsi="仿宋" w:eastAsia="仿宋"/>
          <w:b w:val="0"/>
          <w:bCs/>
          <w:color w:val="auto"/>
          <w:sz w:val="32"/>
          <w:szCs w:val="32"/>
        </w:rPr>
        <w:t>万元，完成预算100</w:t>
      </w:r>
      <w:r>
        <w:rPr>
          <w:rStyle w:val="21"/>
          <w:rFonts w:ascii="仿宋" w:hAnsi="仿宋" w:eastAsia="仿宋"/>
          <w:b w:val="0"/>
          <w:bCs/>
          <w:color w:val="auto"/>
          <w:sz w:val="32"/>
          <w:szCs w:val="32"/>
        </w:rPr>
        <w:t>%</w:t>
      </w:r>
      <w:r>
        <w:rPr>
          <w:rStyle w:val="21"/>
          <w:rFonts w:hint="eastAsia" w:ascii="仿宋" w:hAnsi="仿宋" w:eastAsia="仿宋"/>
          <w:b w:val="0"/>
          <w:bCs/>
          <w:color w:val="auto"/>
          <w:sz w:val="32"/>
          <w:szCs w:val="32"/>
        </w:rPr>
        <w:t>。</w:t>
      </w:r>
    </w:p>
    <w:p>
      <w:pPr>
        <w:spacing w:line="600" w:lineRule="exact"/>
        <w:ind w:firstLine="643" w:firstLineChars="200"/>
        <w:rPr>
          <w:rFonts w:hint="eastAsia"/>
          <w:color w:val="auto"/>
        </w:rPr>
      </w:pPr>
      <w:r>
        <w:rPr>
          <w:rStyle w:val="21"/>
          <w:rFonts w:hint="eastAsia" w:ascii="仿宋" w:hAnsi="仿宋" w:eastAsia="仿宋"/>
          <w:bCs/>
          <w:color w:val="auto"/>
          <w:sz w:val="32"/>
          <w:szCs w:val="32"/>
          <w:lang w:val="en-US" w:eastAsia="zh-CN"/>
        </w:rPr>
        <w:t>3</w:t>
      </w:r>
      <w:r>
        <w:rPr>
          <w:rStyle w:val="21"/>
          <w:rFonts w:ascii="仿宋" w:hAnsi="仿宋" w:eastAsia="仿宋"/>
          <w:bCs/>
          <w:color w:val="auto"/>
          <w:sz w:val="32"/>
          <w:szCs w:val="32"/>
        </w:rPr>
        <w:t>.</w:t>
      </w:r>
      <w:r>
        <w:rPr>
          <w:rStyle w:val="21"/>
          <w:rFonts w:hint="eastAsia" w:ascii="仿宋" w:hAnsi="仿宋" w:eastAsia="仿宋"/>
          <w:bCs/>
          <w:color w:val="auto"/>
          <w:sz w:val="32"/>
          <w:szCs w:val="32"/>
        </w:rPr>
        <w:t>社会保障和就业支出（类）其他社会保障和就业支出（款）其他社会保障和就业支出（项）</w:t>
      </w:r>
      <w:r>
        <w:rPr>
          <w:rStyle w:val="21"/>
          <w:rFonts w:ascii="仿宋" w:hAnsi="仿宋" w:eastAsia="仿宋"/>
          <w:bCs/>
          <w:color w:val="auto"/>
          <w:sz w:val="32"/>
          <w:szCs w:val="32"/>
        </w:rPr>
        <w:t>:</w:t>
      </w:r>
      <w:r>
        <w:rPr>
          <w:rStyle w:val="21"/>
          <w:rFonts w:ascii="仿宋" w:hAnsi="仿宋" w:eastAsia="仿宋"/>
          <w:b w:val="0"/>
          <w:bCs/>
          <w:color w:val="auto"/>
          <w:sz w:val="32"/>
          <w:szCs w:val="32"/>
        </w:rPr>
        <w:t xml:space="preserve"> </w:t>
      </w:r>
      <w:r>
        <w:rPr>
          <w:rStyle w:val="21"/>
          <w:rFonts w:hint="eastAsia" w:ascii="仿宋" w:hAnsi="仿宋" w:eastAsia="仿宋"/>
          <w:b w:val="0"/>
          <w:bCs/>
          <w:color w:val="auto"/>
          <w:sz w:val="32"/>
          <w:szCs w:val="32"/>
        </w:rPr>
        <w:t>支出决算为</w:t>
      </w:r>
      <w:r>
        <w:rPr>
          <w:rStyle w:val="21"/>
          <w:rFonts w:hint="eastAsia" w:ascii="仿宋" w:hAnsi="仿宋" w:eastAsia="仿宋"/>
          <w:b w:val="0"/>
          <w:bCs/>
          <w:color w:val="auto"/>
          <w:sz w:val="32"/>
          <w:szCs w:val="32"/>
          <w:lang w:val="en-US" w:eastAsia="zh-CN"/>
        </w:rPr>
        <w:t>2.74</w:t>
      </w:r>
      <w:r>
        <w:rPr>
          <w:rStyle w:val="21"/>
          <w:rFonts w:hint="eastAsia" w:ascii="仿宋" w:hAnsi="仿宋" w:eastAsia="仿宋"/>
          <w:b w:val="0"/>
          <w:bCs/>
          <w:color w:val="auto"/>
          <w:sz w:val="32"/>
          <w:szCs w:val="32"/>
        </w:rPr>
        <w:t>万元，完成预算100</w:t>
      </w:r>
      <w:r>
        <w:rPr>
          <w:rStyle w:val="21"/>
          <w:rFonts w:ascii="仿宋" w:hAnsi="仿宋" w:eastAsia="仿宋"/>
          <w:b w:val="0"/>
          <w:bCs/>
          <w:color w:val="auto"/>
          <w:sz w:val="32"/>
          <w:szCs w:val="32"/>
        </w:rPr>
        <w:t>%</w:t>
      </w:r>
      <w:r>
        <w:rPr>
          <w:rStyle w:val="21"/>
          <w:rFonts w:hint="eastAsia" w:ascii="仿宋" w:hAnsi="仿宋" w:eastAsia="仿宋"/>
          <w:b w:val="0"/>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Style w:val="21"/>
          <w:rFonts w:hint="eastAsia" w:ascii="仿宋_GB2312" w:hAnsi="仿宋" w:eastAsia="仿宋_GB2312"/>
          <w:b w:val="0"/>
          <w:bCs/>
          <w:color w:val="auto"/>
          <w:sz w:val="32"/>
          <w:szCs w:val="32"/>
        </w:rPr>
      </w:pPr>
      <w:r>
        <w:rPr>
          <w:rFonts w:hint="eastAsia" w:ascii="仿宋_GB2312" w:hAnsi="仿宋" w:eastAsia="仿宋_GB2312"/>
          <w:b/>
          <w:bCs/>
          <w:color w:val="auto"/>
          <w:sz w:val="32"/>
          <w:szCs w:val="32"/>
          <w:lang w:val="en-US" w:eastAsia="zh-CN"/>
        </w:rPr>
        <w:t>4</w:t>
      </w:r>
      <w:r>
        <w:rPr>
          <w:rFonts w:hint="eastAsia" w:ascii="仿宋_GB2312" w:hAnsi="仿宋" w:eastAsia="仿宋_GB2312"/>
          <w:b/>
          <w:bCs/>
          <w:color w:val="auto"/>
          <w:sz w:val="32"/>
          <w:szCs w:val="32"/>
        </w:rPr>
        <w:t>.</w:t>
      </w:r>
      <w:r>
        <w:rPr>
          <w:rStyle w:val="21"/>
          <w:rFonts w:hint="eastAsia" w:ascii="仿宋_GB2312" w:hAnsi="仿宋" w:eastAsia="仿宋_GB2312"/>
          <w:bCs/>
          <w:color w:val="auto"/>
          <w:sz w:val="32"/>
          <w:szCs w:val="32"/>
        </w:rPr>
        <w:t>卫</w:t>
      </w:r>
      <w:r>
        <w:rPr>
          <w:rFonts w:hint="eastAsia" w:ascii="仿宋_GB2312" w:hAnsi="仿宋" w:eastAsia="仿宋_GB2312"/>
          <w:b/>
          <w:bCs/>
          <w:color w:val="auto"/>
          <w:sz w:val="32"/>
          <w:szCs w:val="32"/>
        </w:rPr>
        <w:t>生健康</w:t>
      </w:r>
      <w:r>
        <w:rPr>
          <w:rStyle w:val="21"/>
          <w:rFonts w:hint="eastAsia" w:ascii="仿宋_GB2312" w:hAnsi="仿宋" w:eastAsia="仿宋_GB2312"/>
          <w:bCs/>
          <w:color w:val="auto"/>
          <w:sz w:val="32"/>
          <w:szCs w:val="32"/>
        </w:rPr>
        <w:t>（类）行政事业单位医疗（款）事业单位医疗（项）:</w:t>
      </w:r>
      <w:r>
        <w:rPr>
          <w:rStyle w:val="21"/>
          <w:rFonts w:hint="eastAsia" w:ascii="仿宋_GB2312" w:hAnsi="仿宋" w:eastAsia="仿宋_GB2312"/>
          <w:b w:val="0"/>
          <w:bCs/>
          <w:color w:val="auto"/>
          <w:sz w:val="32"/>
          <w:szCs w:val="32"/>
        </w:rPr>
        <w:t>支出决算为</w:t>
      </w:r>
      <w:r>
        <w:rPr>
          <w:rStyle w:val="21"/>
          <w:rFonts w:hint="eastAsia" w:ascii="仿宋_GB2312" w:hAnsi="仿宋" w:eastAsia="仿宋_GB2312"/>
          <w:b w:val="0"/>
          <w:bCs/>
          <w:color w:val="auto"/>
          <w:sz w:val="32"/>
          <w:szCs w:val="32"/>
          <w:lang w:val="en-US" w:eastAsia="zh-CN"/>
        </w:rPr>
        <w:t>5.17</w:t>
      </w:r>
      <w:r>
        <w:rPr>
          <w:rStyle w:val="21"/>
          <w:rFonts w:hint="eastAsia" w:ascii="仿宋_GB2312" w:hAnsi="仿宋" w:eastAsia="仿宋_GB2312"/>
          <w:b w:val="0"/>
          <w:bCs/>
          <w:color w:val="auto"/>
          <w:sz w:val="32"/>
          <w:szCs w:val="32"/>
        </w:rPr>
        <w:t>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Style w:val="21"/>
          <w:rFonts w:hint="eastAsia" w:ascii="仿宋_GB2312" w:hAnsi="仿宋" w:eastAsia="仿宋_GB2312"/>
          <w:b w:val="0"/>
          <w:bCs/>
          <w:color w:val="auto"/>
          <w:sz w:val="32"/>
          <w:szCs w:val="32"/>
        </w:rPr>
      </w:pPr>
      <w:r>
        <w:rPr>
          <w:rFonts w:hint="eastAsia" w:ascii="仿宋_GB2312" w:hAnsi="仿宋" w:eastAsia="仿宋_GB2312"/>
          <w:b/>
          <w:bCs/>
          <w:color w:val="auto"/>
          <w:sz w:val="32"/>
          <w:szCs w:val="32"/>
          <w:lang w:val="en-US" w:eastAsia="zh-CN"/>
        </w:rPr>
        <w:t>5</w:t>
      </w:r>
      <w:r>
        <w:rPr>
          <w:rFonts w:hint="eastAsia" w:ascii="仿宋_GB2312" w:hAnsi="仿宋" w:eastAsia="仿宋_GB2312"/>
          <w:b/>
          <w:bCs/>
          <w:color w:val="auto"/>
          <w:sz w:val="32"/>
          <w:szCs w:val="32"/>
        </w:rPr>
        <w:t>.住房保障支出</w:t>
      </w:r>
      <w:r>
        <w:rPr>
          <w:rStyle w:val="21"/>
          <w:rFonts w:hint="eastAsia" w:ascii="仿宋_GB2312" w:hAnsi="仿宋" w:eastAsia="仿宋_GB2312"/>
          <w:bCs/>
          <w:color w:val="auto"/>
          <w:sz w:val="32"/>
          <w:szCs w:val="32"/>
        </w:rPr>
        <w:t>（类）住房改革支出（款）住房公积金（项）:</w:t>
      </w:r>
      <w:r>
        <w:rPr>
          <w:rStyle w:val="21"/>
          <w:rFonts w:hint="eastAsia" w:ascii="仿宋_GB2312" w:hAnsi="仿宋" w:eastAsia="仿宋_GB2312"/>
          <w:b w:val="0"/>
          <w:bCs/>
          <w:color w:val="auto"/>
          <w:sz w:val="32"/>
          <w:szCs w:val="32"/>
        </w:rPr>
        <w:t>支出决算为</w:t>
      </w:r>
      <w:r>
        <w:rPr>
          <w:rStyle w:val="21"/>
          <w:rFonts w:hint="eastAsia" w:ascii="仿宋_GB2312" w:hAnsi="仿宋" w:eastAsia="仿宋_GB2312"/>
          <w:b w:val="0"/>
          <w:bCs/>
          <w:color w:val="auto"/>
          <w:sz w:val="32"/>
          <w:szCs w:val="32"/>
          <w:lang w:val="en-US" w:eastAsia="zh-CN"/>
        </w:rPr>
        <w:t>9.66</w:t>
      </w:r>
      <w:r>
        <w:rPr>
          <w:rStyle w:val="21"/>
          <w:rFonts w:hint="eastAsia" w:ascii="仿宋_GB2312" w:hAnsi="仿宋" w:eastAsia="仿宋_GB2312"/>
          <w:b w:val="0"/>
          <w:bCs/>
          <w:color w:val="auto"/>
          <w:sz w:val="32"/>
          <w:szCs w:val="32"/>
        </w:rPr>
        <w:t>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ascii="仿宋" w:hAnsi="仿宋" w:eastAsia="仿宋"/>
          <w:color w:val="auto"/>
          <w:sz w:val="32"/>
          <w:szCs w:val="32"/>
        </w:rPr>
      </w:pPr>
      <w:r>
        <w:rPr>
          <w:rStyle w:val="21"/>
          <w:rFonts w:hint="eastAsia" w:ascii="仿宋" w:hAnsi="仿宋" w:eastAsia="仿宋"/>
          <w:bCs/>
          <w:color w:val="auto"/>
          <w:sz w:val="32"/>
          <w:szCs w:val="32"/>
          <w:lang w:val="en-US" w:eastAsia="zh-CN"/>
        </w:rPr>
        <w:t>6</w:t>
      </w:r>
      <w:r>
        <w:rPr>
          <w:rStyle w:val="21"/>
          <w:rFonts w:hint="eastAsia" w:ascii="仿宋" w:hAnsi="仿宋" w:eastAsia="仿宋"/>
          <w:bCs/>
          <w:color w:val="auto"/>
          <w:sz w:val="32"/>
          <w:szCs w:val="32"/>
        </w:rPr>
        <w:t>.</w:t>
      </w:r>
      <w:r>
        <w:rPr>
          <w:rFonts w:hint="eastAsia"/>
          <w:color w:val="auto"/>
        </w:rPr>
        <w:t xml:space="preserve"> </w:t>
      </w:r>
      <w:r>
        <w:rPr>
          <w:rFonts w:hint="eastAsia" w:ascii="仿宋_GB2312" w:hAnsi="仿宋" w:eastAsia="仿宋_GB2312"/>
          <w:b/>
          <w:bCs/>
          <w:color w:val="auto"/>
          <w:sz w:val="32"/>
          <w:szCs w:val="32"/>
        </w:rPr>
        <w:t>粮油物资储备支出（类）粮油</w:t>
      </w:r>
      <w:r>
        <w:rPr>
          <w:rFonts w:hint="eastAsia" w:ascii="仿宋_GB2312" w:hAnsi="仿宋" w:eastAsia="仿宋_GB2312"/>
          <w:b/>
          <w:bCs/>
          <w:color w:val="auto"/>
          <w:sz w:val="32"/>
          <w:szCs w:val="32"/>
          <w:lang w:eastAsia="zh-CN"/>
        </w:rPr>
        <w:t>物资</w:t>
      </w:r>
      <w:r>
        <w:rPr>
          <w:rFonts w:hint="eastAsia" w:ascii="仿宋_GB2312" w:hAnsi="仿宋" w:eastAsia="仿宋_GB2312"/>
          <w:b/>
          <w:bCs/>
          <w:color w:val="auto"/>
          <w:sz w:val="32"/>
          <w:szCs w:val="32"/>
        </w:rPr>
        <w:t>事务（款）专项业务活动（项）:</w:t>
      </w:r>
      <w:r>
        <w:rPr>
          <w:rStyle w:val="21"/>
          <w:rFonts w:hint="eastAsia" w:ascii="仿宋_GB2312" w:hAnsi="仿宋" w:eastAsia="仿宋_GB2312"/>
          <w:b w:val="0"/>
          <w:color w:val="auto"/>
          <w:sz w:val="32"/>
          <w:szCs w:val="32"/>
        </w:rPr>
        <w:t>支出决算为</w:t>
      </w:r>
      <w:r>
        <w:rPr>
          <w:rStyle w:val="21"/>
          <w:rFonts w:hint="eastAsia" w:ascii="仿宋_GB2312" w:hAnsi="仿宋" w:eastAsia="仿宋_GB2312"/>
          <w:b w:val="0"/>
          <w:color w:val="auto"/>
          <w:sz w:val="32"/>
          <w:szCs w:val="32"/>
          <w:lang w:val="en-US" w:eastAsia="zh-CN"/>
        </w:rPr>
        <w:t>32.57</w:t>
      </w:r>
      <w:r>
        <w:rPr>
          <w:rStyle w:val="21"/>
          <w:rFonts w:hint="eastAsia" w:ascii="仿宋_GB2312" w:hAnsi="仿宋" w:eastAsia="仿宋_GB2312"/>
          <w:b w:val="0"/>
          <w:color w:val="auto"/>
          <w:sz w:val="32"/>
          <w:szCs w:val="32"/>
        </w:rPr>
        <w:t>万元，完成预算</w:t>
      </w:r>
      <w:r>
        <w:rPr>
          <w:rStyle w:val="21"/>
          <w:rFonts w:hint="eastAsia" w:ascii="仿宋_GB2312" w:hAnsi="仿宋" w:eastAsia="仿宋_GB2312"/>
          <w:b w:val="0"/>
          <w:color w:val="auto"/>
          <w:sz w:val="32"/>
          <w:szCs w:val="32"/>
          <w:lang w:val="en-US" w:eastAsia="zh-CN"/>
        </w:rPr>
        <w:t>100</w:t>
      </w:r>
      <w:r>
        <w:rPr>
          <w:rStyle w:val="21"/>
          <w:rFonts w:hint="eastAsia" w:ascii="仿宋_GB2312" w:hAnsi="仿宋" w:eastAsia="仿宋_GB2312"/>
          <w:b w:val="0"/>
          <w:color w:val="auto"/>
          <w:sz w:val="32"/>
          <w:szCs w:val="32"/>
        </w:rPr>
        <w:t>%</w:t>
      </w:r>
      <w:r>
        <w:rPr>
          <w:rStyle w:val="21"/>
          <w:rFonts w:hint="eastAsia" w:ascii="仿宋_GB2312" w:hAnsi="仿宋" w:eastAsia="仿宋_GB2312"/>
          <w:b w:val="0"/>
          <w:color w:val="auto"/>
          <w:sz w:val="32"/>
          <w:szCs w:val="32"/>
          <w:lang w:eastAsia="zh-CN"/>
        </w:rPr>
        <w:t>。</w:t>
      </w:r>
      <w:r>
        <w:rPr>
          <w:rStyle w:val="21"/>
          <w:rFonts w:hint="eastAsia" w:ascii="仿宋" w:hAnsi="仿宋" w:eastAsia="仿宋"/>
          <w:bCs/>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Style w:val="21"/>
          <w:rFonts w:hint="eastAsia" w:ascii="仿宋_GB2312" w:hAnsi="仿宋" w:eastAsia="仿宋_GB2312"/>
          <w:b w:val="0"/>
          <w:color w:val="auto"/>
          <w:sz w:val="32"/>
          <w:szCs w:val="32"/>
        </w:rPr>
      </w:pPr>
      <w:r>
        <w:rPr>
          <w:rFonts w:hint="eastAsia" w:ascii="仿宋_GB2312" w:hAnsi="仿宋" w:eastAsia="仿宋_GB2312"/>
          <w:b/>
          <w:bCs/>
          <w:color w:val="auto"/>
          <w:sz w:val="32"/>
          <w:szCs w:val="32"/>
          <w:lang w:val="en-US" w:eastAsia="zh-CN"/>
        </w:rPr>
        <w:t>7</w:t>
      </w:r>
      <w:r>
        <w:rPr>
          <w:rFonts w:hint="default" w:ascii="仿宋_GB2312" w:hAnsi="仿宋" w:eastAsia="仿宋_GB2312"/>
          <w:b/>
          <w:bCs/>
          <w:color w:val="auto"/>
          <w:sz w:val="32"/>
          <w:szCs w:val="32"/>
        </w:rPr>
        <w:t>.</w:t>
      </w:r>
      <w:r>
        <w:rPr>
          <w:rFonts w:hint="eastAsia" w:ascii="仿宋_GB2312" w:hAnsi="仿宋" w:eastAsia="仿宋_GB2312"/>
          <w:b/>
          <w:bCs/>
          <w:color w:val="auto"/>
          <w:sz w:val="32"/>
          <w:szCs w:val="32"/>
        </w:rPr>
        <w:t>粮油物资储备支出（类）粮油</w:t>
      </w:r>
      <w:r>
        <w:rPr>
          <w:rFonts w:hint="eastAsia" w:ascii="仿宋_GB2312" w:hAnsi="仿宋" w:eastAsia="仿宋_GB2312"/>
          <w:b/>
          <w:bCs/>
          <w:color w:val="auto"/>
          <w:sz w:val="32"/>
          <w:szCs w:val="32"/>
          <w:lang w:eastAsia="zh-CN"/>
        </w:rPr>
        <w:t>物资</w:t>
      </w:r>
      <w:r>
        <w:rPr>
          <w:rFonts w:hint="eastAsia" w:ascii="仿宋_GB2312" w:hAnsi="仿宋" w:eastAsia="仿宋_GB2312"/>
          <w:b/>
          <w:bCs/>
          <w:color w:val="auto"/>
          <w:sz w:val="32"/>
          <w:szCs w:val="32"/>
        </w:rPr>
        <w:t>事务（款）事业运行（项）:</w:t>
      </w:r>
      <w:r>
        <w:rPr>
          <w:rStyle w:val="21"/>
          <w:rFonts w:hint="eastAsia" w:ascii="仿宋_GB2312" w:hAnsi="仿宋" w:eastAsia="仿宋_GB2312"/>
          <w:b w:val="0"/>
          <w:color w:val="auto"/>
          <w:sz w:val="32"/>
          <w:szCs w:val="32"/>
        </w:rPr>
        <w:t>支出决算为</w:t>
      </w:r>
      <w:r>
        <w:rPr>
          <w:rStyle w:val="21"/>
          <w:rFonts w:hint="eastAsia" w:ascii="仿宋_GB2312" w:hAnsi="仿宋" w:eastAsia="仿宋_GB2312"/>
          <w:b w:val="0"/>
          <w:color w:val="auto"/>
          <w:sz w:val="32"/>
          <w:szCs w:val="32"/>
          <w:lang w:val="en-US" w:eastAsia="zh-CN"/>
        </w:rPr>
        <w:t>107.46</w:t>
      </w:r>
      <w:r>
        <w:rPr>
          <w:rStyle w:val="21"/>
          <w:rFonts w:hint="eastAsia" w:ascii="仿宋_GB2312" w:hAnsi="仿宋" w:eastAsia="仿宋_GB2312"/>
          <w:b w:val="0"/>
          <w:color w:val="auto"/>
          <w:sz w:val="32"/>
          <w:szCs w:val="32"/>
        </w:rPr>
        <w:t>万元，完成预算</w:t>
      </w:r>
      <w:r>
        <w:rPr>
          <w:rStyle w:val="21"/>
          <w:rFonts w:hint="eastAsia" w:ascii="仿宋_GB2312" w:hAnsi="仿宋" w:eastAsia="仿宋_GB2312"/>
          <w:b w:val="0"/>
          <w:color w:val="auto"/>
          <w:sz w:val="32"/>
          <w:szCs w:val="32"/>
          <w:lang w:val="en-US" w:eastAsia="zh-CN"/>
        </w:rPr>
        <w:t>100</w:t>
      </w:r>
      <w:r>
        <w:rPr>
          <w:rStyle w:val="21"/>
          <w:rFonts w:hint="eastAsia" w:ascii="仿宋_GB2312" w:hAnsi="仿宋" w:eastAsia="仿宋_GB2312"/>
          <w:b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 w:hAnsi="仿宋" w:eastAsia="仿宋"/>
          <w:color w:val="auto"/>
          <w:sz w:val="32"/>
          <w:szCs w:val="32"/>
        </w:rPr>
      </w:pPr>
      <w:r>
        <w:rPr>
          <w:rStyle w:val="21"/>
          <w:rFonts w:hint="eastAsia" w:ascii="仿宋_GB2312" w:hAnsi="仿宋" w:eastAsia="仿宋_GB2312"/>
          <w:b w:val="0"/>
          <w:color w:val="auto"/>
          <w:sz w:val="32"/>
          <w:szCs w:val="32"/>
          <w:lang w:val="en-US" w:eastAsia="zh-CN"/>
        </w:rPr>
        <w:t>8</w:t>
      </w:r>
      <w:r>
        <w:rPr>
          <w:rStyle w:val="21"/>
          <w:rFonts w:hint="default" w:ascii="仿宋_GB2312" w:hAnsi="仿宋" w:eastAsia="仿宋_GB2312"/>
          <w:b w:val="0"/>
          <w:color w:val="auto"/>
          <w:sz w:val="32"/>
          <w:szCs w:val="32"/>
        </w:rPr>
        <w:t>.</w:t>
      </w:r>
      <w:r>
        <w:rPr>
          <w:rFonts w:hint="eastAsia" w:ascii="仿宋_GB2312" w:hAnsi="仿宋" w:eastAsia="仿宋_GB2312"/>
          <w:b/>
          <w:bCs/>
          <w:color w:val="auto"/>
          <w:sz w:val="32"/>
          <w:szCs w:val="32"/>
        </w:rPr>
        <w:t>粮油物资储备支出（类）粮油</w:t>
      </w:r>
      <w:r>
        <w:rPr>
          <w:rFonts w:hint="eastAsia" w:ascii="仿宋_GB2312" w:hAnsi="仿宋" w:eastAsia="仿宋_GB2312"/>
          <w:b/>
          <w:bCs/>
          <w:color w:val="auto"/>
          <w:sz w:val="32"/>
          <w:szCs w:val="32"/>
          <w:lang w:eastAsia="zh-CN"/>
        </w:rPr>
        <w:t>物资</w:t>
      </w:r>
      <w:r>
        <w:rPr>
          <w:rFonts w:hint="eastAsia" w:ascii="仿宋_GB2312" w:hAnsi="仿宋" w:eastAsia="仿宋_GB2312"/>
          <w:b/>
          <w:bCs/>
          <w:color w:val="auto"/>
          <w:sz w:val="32"/>
          <w:szCs w:val="32"/>
        </w:rPr>
        <w:t>事务（款）其他粮油</w:t>
      </w:r>
      <w:r>
        <w:rPr>
          <w:rFonts w:hint="eastAsia" w:ascii="仿宋_GB2312" w:hAnsi="仿宋" w:eastAsia="仿宋_GB2312"/>
          <w:b/>
          <w:bCs/>
          <w:color w:val="auto"/>
          <w:sz w:val="32"/>
          <w:szCs w:val="32"/>
          <w:lang w:eastAsia="zh-CN"/>
        </w:rPr>
        <w:t>物资</w:t>
      </w:r>
      <w:r>
        <w:rPr>
          <w:rFonts w:hint="eastAsia" w:ascii="仿宋_GB2312" w:hAnsi="仿宋" w:eastAsia="仿宋_GB2312"/>
          <w:b/>
          <w:bCs/>
          <w:color w:val="auto"/>
          <w:sz w:val="32"/>
          <w:szCs w:val="32"/>
        </w:rPr>
        <w:t>事务支出（项）:</w:t>
      </w:r>
      <w:r>
        <w:rPr>
          <w:rStyle w:val="21"/>
          <w:rFonts w:hint="eastAsia" w:ascii="仿宋_GB2312" w:hAnsi="仿宋" w:eastAsia="仿宋_GB2312"/>
          <w:b w:val="0"/>
          <w:color w:val="auto"/>
          <w:sz w:val="32"/>
          <w:szCs w:val="32"/>
        </w:rPr>
        <w:t>支出决算</w:t>
      </w:r>
      <w:r>
        <w:rPr>
          <w:rStyle w:val="21"/>
          <w:rFonts w:hint="eastAsia" w:ascii="仿宋_GB2312" w:hAnsi="仿宋" w:eastAsia="仿宋_GB2312"/>
          <w:b w:val="0"/>
          <w:color w:val="auto"/>
          <w:sz w:val="32"/>
          <w:szCs w:val="32"/>
          <w:lang w:val="en-US" w:eastAsia="zh-CN"/>
        </w:rPr>
        <w:t>1.82</w:t>
      </w:r>
      <w:r>
        <w:rPr>
          <w:rStyle w:val="21"/>
          <w:rFonts w:hint="eastAsia" w:ascii="仿宋_GB2312" w:hAnsi="仿宋" w:eastAsia="仿宋_GB2312"/>
          <w:b w:val="0"/>
          <w:color w:val="auto"/>
          <w:sz w:val="32"/>
          <w:szCs w:val="32"/>
        </w:rPr>
        <w:t>万元，完成预算</w:t>
      </w:r>
      <w:r>
        <w:rPr>
          <w:rStyle w:val="21"/>
          <w:rFonts w:hint="eastAsia" w:ascii="仿宋_GB2312" w:hAnsi="仿宋" w:eastAsia="仿宋_GB2312"/>
          <w:b w:val="0"/>
          <w:color w:val="auto"/>
          <w:sz w:val="32"/>
          <w:szCs w:val="32"/>
          <w:lang w:val="en-US" w:eastAsia="zh-CN"/>
        </w:rPr>
        <w:t>100</w:t>
      </w:r>
      <w:r>
        <w:rPr>
          <w:rStyle w:val="21"/>
          <w:rFonts w:hint="eastAsia" w:ascii="仿宋_GB2312" w:hAnsi="仿宋" w:eastAsia="仿宋_GB2312"/>
          <w:b w:val="0"/>
          <w:color w:val="auto"/>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Style w:val="24"/>
          <w:color w:val="auto"/>
        </w:rPr>
      </w:pPr>
      <w:bookmarkStart w:id="107" w:name="_Toc15396608"/>
      <w:bookmarkStart w:id="108" w:name="_Toc18260"/>
      <w:bookmarkStart w:id="109" w:name="_Toc15377214"/>
      <w:r>
        <w:rPr>
          <w:rFonts w:hint="eastAsia" w:ascii="黑体" w:eastAsia="黑体"/>
          <w:color w:val="auto"/>
          <w:sz w:val="32"/>
          <w:szCs w:val="32"/>
        </w:rPr>
        <w:t>六</w:t>
      </w:r>
      <w:r>
        <w:rPr>
          <w:rFonts w:hint="eastAsia" w:ascii="黑体" w:eastAsia="黑体"/>
          <w:b/>
          <w:color w:val="auto"/>
          <w:sz w:val="32"/>
          <w:szCs w:val="32"/>
        </w:rPr>
        <w:t>、</w:t>
      </w:r>
      <w:r>
        <w:rPr>
          <w:rFonts w:hint="eastAsia" w:ascii="黑体" w:hAnsi="黑体" w:eastAsia="黑体"/>
          <w:b/>
          <w:color w:val="auto"/>
          <w:sz w:val="32"/>
          <w:szCs w:val="32"/>
        </w:rPr>
        <w:t>一</w:t>
      </w:r>
      <w:r>
        <w:rPr>
          <w:rStyle w:val="24"/>
          <w:rFonts w:hint="eastAsia" w:ascii="黑体" w:hAnsi="黑体" w:eastAsia="黑体"/>
          <w:b w:val="0"/>
          <w:color w:val="auto"/>
        </w:rPr>
        <w:t>般公共预算财政拨款基本支出决算情况说明</w:t>
      </w:r>
      <w:bookmarkEnd w:id="107"/>
      <w:bookmarkEnd w:id="108"/>
      <w:bookmarkEnd w:id="109"/>
      <w:r>
        <w:rPr>
          <w:rStyle w:val="24"/>
          <w:rFonts w:ascii="黑体" w:hAnsi="黑体" w:eastAsia="黑体"/>
          <w:b w:val="0"/>
          <w:color w:val="auto"/>
        </w:rPr>
        <w:tab/>
      </w:r>
    </w:p>
    <w:p>
      <w:pPr>
        <w:spacing w:line="600" w:lineRule="exact"/>
        <w:ind w:firstLine="645"/>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年一般公共预算财政拨款基本支出</w:t>
      </w:r>
      <w:r>
        <w:rPr>
          <w:rFonts w:hint="eastAsia" w:ascii="仿宋" w:hAnsi="仿宋" w:eastAsia="仿宋"/>
          <w:color w:val="auto"/>
          <w:sz w:val="32"/>
          <w:szCs w:val="32"/>
          <w:lang w:val="en-US" w:eastAsia="zh-CN"/>
        </w:rPr>
        <w:t>138.26</w:t>
      </w:r>
      <w:r>
        <w:rPr>
          <w:rFonts w:hint="eastAsia" w:ascii="仿宋" w:hAnsi="仿宋" w:eastAsia="仿宋"/>
          <w:color w:val="auto"/>
          <w:sz w:val="32"/>
          <w:szCs w:val="32"/>
        </w:rPr>
        <w:t>万元，其中：</w:t>
      </w:r>
    </w:p>
    <w:p>
      <w:pPr>
        <w:spacing w:line="600" w:lineRule="exact"/>
        <w:ind w:firstLine="645"/>
        <w:rPr>
          <w:rFonts w:hint="eastAsia" w:ascii="仿宋" w:hAnsi="仿宋" w:eastAsia="仿宋"/>
          <w:color w:val="auto"/>
          <w:sz w:val="32"/>
          <w:szCs w:val="32"/>
          <w:lang w:eastAsia="zh-CN"/>
        </w:rPr>
      </w:pPr>
      <w:r>
        <w:rPr>
          <w:rFonts w:hint="eastAsia" w:ascii="仿宋" w:hAnsi="仿宋" w:eastAsia="仿宋"/>
          <w:color w:val="auto"/>
          <w:sz w:val="32"/>
          <w:szCs w:val="32"/>
        </w:rPr>
        <w:t>人员经费</w:t>
      </w:r>
      <w:r>
        <w:rPr>
          <w:rFonts w:hint="eastAsia" w:ascii="仿宋" w:hAnsi="仿宋" w:eastAsia="仿宋"/>
          <w:color w:val="auto"/>
          <w:sz w:val="32"/>
          <w:szCs w:val="32"/>
          <w:lang w:val="en-US" w:eastAsia="zh-CN"/>
        </w:rPr>
        <w:t>126.05</w:t>
      </w:r>
      <w:r>
        <w:rPr>
          <w:rFonts w:hint="eastAsia" w:ascii="仿宋" w:hAnsi="仿宋" w:eastAsia="仿宋"/>
          <w:color w:val="auto"/>
          <w:sz w:val="32"/>
          <w:szCs w:val="32"/>
        </w:rPr>
        <w:t>万元，主要包括：基本工资、津贴补贴、</w:t>
      </w:r>
      <w:r>
        <w:rPr>
          <w:rFonts w:hint="eastAsia" w:ascii="仿宋" w:hAnsi="仿宋" w:eastAsia="仿宋"/>
          <w:color w:val="auto"/>
          <w:sz w:val="32"/>
          <w:szCs w:val="32"/>
          <w:lang w:eastAsia="zh-CN"/>
        </w:rPr>
        <w:t>奖金</w:t>
      </w:r>
      <w:r>
        <w:rPr>
          <w:rFonts w:hint="eastAsia" w:ascii="仿宋" w:hAnsi="仿宋" w:eastAsia="仿宋"/>
          <w:color w:val="auto"/>
          <w:sz w:val="32"/>
          <w:szCs w:val="32"/>
        </w:rPr>
        <w:t>、绩效工资、机关事业单位基本养老保险缴费、职业年金缴费、</w:t>
      </w:r>
      <w:r>
        <w:rPr>
          <w:rFonts w:hint="eastAsia" w:ascii="仿宋" w:hAnsi="仿宋" w:eastAsia="仿宋"/>
          <w:color w:val="auto"/>
          <w:sz w:val="32"/>
          <w:szCs w:val="32"/>
          <w:lang w:eastAsia="zh-CN"/>
        </w:rPr>
        <w:t>职工基本医疗保险缴费、</w:t>
      </w:r>
      <w:r>
        <w:rPr>
          <w:rFonts w:hint="eastAsia" w:ascii="仿宋" w:hAnsi="仿宋" w:eastAsia="仿宋"/>
          <w:color w:val="auto"/>
          <w:sz w:val="32"/>
          <w:szCs w:val="32"/>
        </w:rPr>
        <w:t>其他社会保障缴费、住房公积金</w:t>
      </w:r>
      <w:r>
        <w:rPr>
          <w:rFonts w:hint="eastAsia" w:ascii="仿宋" w:hAnsi="仿宋" w:eastAsia="仿宋"/>
          <w:color w:val="auto"/>
          <w:sz w:val="32"/>
          <w:szCs w:val="32"/>
          <w:lang w:eastAsia="zh-CN"/>
        </w:rPr>
        <w:t>、</w:t>
      </w:r>
      <w:r>
        <w:rPr>
          <w:rFonts w:hint="eastAsia" w:ascii="仿宋" w:hAnsi="仿宋" w:eastAsia="仿宋"/>
          <w:color w:val="auto"/>
          <w:sz w:val="32"/>
          <w:szCs w:val="32"/>
        </w:rPr>
        <w:t>其他工资福利支出</w:t>
      </w:r>
      <w:r>
        <w:rPr>
          <w:rFonts w:hint="eastAsia" w:ascii="仿宋" w:hAnsi="仿宋" w:eastAsia="仿宋"/>
          <w:color w:val="auto"/>
          <w:sz w:val="32"/>
          <w:szCs w:val="32"/>
          <w:lang w:eastAsia="zh-CN"/>
        </w:rPr>
        <w:t>、</w:t>
      </w:r>
      <w:r>
        <w:rPr>
          <w:rFonts w:hint="eastAsia" w:ascii="仿宋" w:hAnsi="仿宋" w:eastAsia="仿宋"/>
          <w:color w:val="auto"/>
          <w:sz w:val="32"/>
          <w:szCs w:val="32"/>
          <w:highlight w:val="none"/>
          <w:lang w:val="en-US" w:eastAsia="zh-CN"/>
        </w:rPr>
        <w:t>生活补助</w:t>
      </w:r>
      <w:r>
        <w:rPr>
          <w:rFonts w:hint="eastAsia" w:ascii="仿宋" w:hAnsi="仿宋" w:eastAsia="仿宋"/>
          <w:color w:val="auto"/>
          <w:sz w:val="32"/>
          <w:szCs w:val="32"/>
        </w:rPr>
        <w:t>。</w:t>
      </w:r>
    </w:p>
    <w:p>
      <w:pPr>
        <w:spacing w:line="600" w:lineRule="exact"/>
        <w:ind w:firstLine="645"/>
        <w:rPr>
          <w:rFonts w:ascii="仿宋" w:hAnsi="仿宋" w:eastAsia="仿宋"/>
          <w:b/>
          <w:color w:val="auto"/>
          <w:sz w:val="32"/>
          <w:szCs w:val="32"/>
        </w:rPr>
      </w:pP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12.21</w:t>
      </w:r>
      <w:r>
        <w:rPr>
          <w:rFonts w:hint="eastAsia" w:ascii="仿宋" w:hAnsi="仿宋" w:eastAsia="仿宋"/>
          <w:color w:val="auto"/>
          <w:sz w:val="32"/>
          <w:szCs w:val="32"/>
        </w:rPr>
        <w:t>万元，主要包括：办公费、印刷费、水费、电费、邮电费、差旅费、</w:t>
      </w:r>
      <w:r>
        <w:rPr>
          <w:rFonts w:hint="eastAsia" w:ascii="仿宋" w:hAnsi="仿宋" w:eastAsia="仿宋"/>
          <w:color w:val="auto"/>
          <w:sz w:val="32"/>
          <w:szCs w:val="32"/>
          <w:lang w:val="en-US" w:eastAsia="zh-CN"/>
        </w:rPr>
        <w:t>公务接待费、</w:t>
      </w:r>
      <w:r>
        <w:rPr>
          <w:rFonts w:hint="eastAsia" w:ascii="仿宋" w:hAnsi="仿宋" w:eastAsia="仿宋"/>
          <w:color w:val="auto"/>
          <w:sz w:val="32"/>
          <w:szCs w:val="32"/>
        </w:rPr>
        <w:t>劳务费、工会经费、</w:t>
      </w:r>
      <w:r>
        <w:rPr>
          <w:rFonts w:hint="default" w:ascii="仿宋" w:hAnsi="仿宋" w:eastAsia="仿宋"/>
          <w:color w:val="auto"/>
          <w:sz w:val="32"/>
          <w:szCs w:val="32"/>
        </w:rPr>
        <w:t>福利费</w:t>
      </w:r>
      <w:r>
        <w:rPr>
          <w:rFonts w:hint="eastAsia" w:ascii="仿宋" w:hAnsi="仿宋" w:eastAsia="仿宋"/>
          <w:color w:val="auto"/>
          <w:sz w:val="32"/>
          <w:szCs w:val="32"/>
        </w:rPr>
        <w:t>、其他商品和服务支出。</w:t>
      </w:r>
    </w:p>
    <w:p>
      <w:pPr>
        <w:spacing w:line="600" w:lineRule="exact"/>
        <w:ind w:firstLine="640"/>
        <w:outlineLvl w:val="1"/>
        <w:rPr>
          <w:rStyle w:val="24"/>
          <w:rFonts w:ascii="黑体" w:hAnsi="黑体" w:eastAsia="黑体"/>
          <w:b w:val="0"/>
          <w:color w:val="auto"/>
        </w:rPr>
      </w:pPr>
      <w:bookmarkStart w:id="110" w:name="_Toc12254"/>
      <w:bookmarkStart w:id="111" w:name="_Toc15396609"/>
      <w:bookmarkStart w:id="112" w:name="_Toc3033"/>
      <w:bookmarkStart w:id="113" w:name="_Toc15377215"/>
      <w:r>
        <w:rPr>
          <w:rFonts w:hint="eastAsia" w:ascii="黑体" w:eastAsia="黑体"/>
          <w:color w:val="auto"/>
          <w:sz w:val="32"/>
          <w:szCs w:val="32"/>
        </w:rPr>
        <w:t>七、</w:t>
      </w:r>
      <w:r>
        <w:rPr>
          <w:rStyle w:val="24"/>
          <w:rFonts w:hint="eastAsia" w:ascii="黑体" w:hAnsi="黑体" w:eastAsia="黑体"/>
          <w:color w:val="auto"/>
        </w:rPr>
        <w:t>“</w:t>
      </w:r>
      <w:r>
        <w:rPr>
          <w:rStyle w:val="24"/>
          <w:rFonts w:hint="eastAsia" w:ascii="黑体" w:hAnsi="黑体" w:eastAsia="黑体"/>
          <w:b w:val="0"/>
          <w:color w:val="auto"/>
        </w:rPr>
        <w:t>三公”经费财政拨款支出决算情况说明</w:t>
      </w:r>
      <w:bookmarkEnd w:id="110"/>
      <w:bookmarkEnd w:id="111"/>
      <w:bookmarkEnd w:id="112"/>
      <w:bookmarkEnd w:id="113"/>
    </w:p>
    <w:p>
      <w:pPr>
        <w:spacing w:line="600" w:lineRule="exact"/>
        <w:ind w:firstLine="640"/>
        <w:outlineLvl w:val="2"/>
        <w:rPr>
          <w:rFonts w:ascii="仿宋" w:hAnsi="仿宋" w:eastAsia="仿宋"/>
          <w:b/>
          <w:color w:val="auto"/>
          <w:sz w:val="32"/>
          <w:szCs w:val="32"/>
        </w:rPr>
      </w:pPr>
      <w:bookmarkStart w:id="114" w:name="_Toc15377216"/>
      <w:bookmarkStart w:id="115" w:name="_Toc7924"/>
      <w:bookmarkStart w:id="116" w:name="_Toc2286"/>
      <w:bookmarkStart w:id="117" w:name="_Toc24239"/>
      <w:bookmarkStart w:id="118" w:name="_Toc21127"/>
      <w:r>
        <w:rPr>
          <w:rFonts w:hint="eastAsia" w:ascii="仿宋" w:hAnsi="仿宋" w:eastAsia="仿宋"/>
          <w:b/>
          <w:color w:val="auto"/>
          <w:sz w:val="32"/>
          <w:szCs w:val="32"/>
        </w:rPr>
        <w:t>（一）“三公”经费财政拨款支出决算总体情况说明</w:t>
      </w:r>
      <w:bookmarkEnd w:id="114"/>
      <w:bookmarkEnd w:id="115"/>
      <w:bookmarkEnd w:id="116"/>
      <w:bookmarkEnd w:id="117"/>
      <w:bookmarkEnd w:id="118"/>
    </w:p>
    <w:p>
      <w:pPr>
        <w:spacing w:line="600" w:lineRule="exact"/>
        <w:ind w:firstLine="640"/>
        <w:rPr>
          <w:rFonts w:hint="default" w:ascii="仿宋" w:hAnsi="仿宋" w:eastAsia="仿宋"/>
          <w:color w:val="auto"/>
          <w:sz w:val="32"/>
          <w:szCs w:val="32"/>
          <w:lang w:eastAsia="zh-CN"/>
        </w:rPr>
      </w:pP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年“三公”经费财政拨款支出决算为</w:t>
      </w:r>
      <w:r>
        <w:rPr>
          <w:rFonts w:hint="eastAsia" w:ascii="仿宋" w:hAnsi="仿宋" w:eastAsia="仿宋"/>
          <w:color w:val="auto"/>
          <w:sz w:val="32"/>
          <w:szCs w:val="32"/>
          <w:lang w:val="en-US" w:eastAsia="zh-CN"/>
        </w:rPr>
        <w:t>0.12</w:t>
      </w:r>
      <w:r>
        <w:rPr>
          <w:rFonts w:hint="eastAsia" w:ascii="仿宋" w:hAnsi="仿宋" w:eastAsia="仿宋"/>
          <w:color w:val="auto"/>
          <w:sz w:val="32"/>
          <w:szCs w:val="32"/>
        </w:rPr>
        <w:t>万元，完成预算</w:t>
      </w:r>
      <w:r>
        <w:rPr>
          <w:rFonts w:hint="eastAsia" w:ascii="仿宋" w:hAnsi="仿宋" w:eastAsia="仿宋"/>
          <w:color w:val="auto"/>
          <w:sz w:val="32"/>
          <w:szCs w:val="32"/>
          <w:lang w:val="en-US" w:eastAsia="zh-CN"/>
        </w:rPr>
        <w:t>60</w:t>
      </w:r>
      <w:r>
        <w:rPr>
          <w:rFonts w:ascii="仿宋" w:hAnsi="仿宋" w:eastAsia="仿宋"/>
          <w:color w:val="auto"/>
          <w:sz w:val="32"/>
          <w:szCs w:val="32"/>
        </w:rPr>
        <w:t>%</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较上年减少1.16</w:t>
      </w:r>
      <w:r>
        <w:rPr>
          <w:rFonts w:hint="default" w:ascii="仿宋" w:hAnsi="仿宋" w:eastAsia="仿宋"/>
          <w:color w:val="auto"/>
          <w:sz w:val="32"/>
          <w:szCs w:val="32"/>
          <w:lang w:val="en-US" w:eastAsia="zh-CN"/>
        </w:rPr>
        <w:t>万元，</w:t>
      </w:r>
      <w:r>
        <w:rPr>
          <w:rFonts w:hint="eastAsia" w:ascii="仿宋" w:hAnsi="仿宋" w:eastAsia="仿宋"/>
          <w:color w:val="auto"/>
          <w:sz w:val="32"/>
          <w:szCs w:val="32"/>
          <w:lang w:val="en-US" w:eastAsia="zh-CN"/>
        </w:rPr>
        <w:t>下降90.63</w:t>
      </w:r>
      <w:r>
        <w:rPr>
          <w:rFonts w:hint="default" w:ascii="仿宋" w:hAnsi="仿宋" w:eastAsia="仿宋"/>
          <w:color w:val="auto"/>
          <w:sz w:val="32"/>
          <w:szCs w:val="32"/>
          <w:lang w:val="en-US" w:eastAsia="zh-CN"/>
        </w:rPr>
        <w:t>%</w:t>
      </w:r>
      <w:r>
        <w:rPr>
          <w:rFonts w:hint="eastAsia" w:ascii="仿宋" w:hAnsi="仿宋" w:eastAsia="仿宋"/>
          <w:color w:val="auto"/>
          <w:sz w:val="32"/>
          <w:szCs w:val="32"/>
          <w:lang w:val="en-US" w:eastAsia="zh-CN"/>
        </w:rPr>
        <w:t>。</w:t>
      </w:r>
      <w:r>
        <w:rPr>
          <w:rFonts w:hint="eastAsia" w:ascii="仿宋_GB2312" w:hAnsi="仿宋_GB2312" w:eastAsia="仿宋_GB2312" w:cs="仿宋_GB2312"/>
          <w:color w:val="auto"/>
          <w:sz w:val="32"/>
          <w:szCs w:val="32"/>
        </w:rPr>
        <w:t>决算数小于预算数的主要原因是</w:t>
      </w:r>
      <w:r>
        <w:rPr>
          <w:rFonts w:hint="eastAsia" w:ascii="仿宋_GB2312" w:hAnsi="仿宋_GB2312" w:eastAsia="仿宋_GB2312" w:cs="仿宋_GB2312"/>
          <w:color w:val="auto"/>
          <w:sz w:val="32"/>
          <w:szCs w:val="32"/>
          <w:lang w:val="en-US" w:eastAsia="zh-CN"/>
        </w:rPr>
        <w:t>市救灾物资管理中心预算并入市发改委机关</w:t>
      </w:r>
      <w:r>
        <w:rPr>
          <w:rFonts w:hint="eastAsia" w:ascii="仿宋_GB2312" w:hAnsi="仿宋_GB2312" w:eastAsia="仿宋_GB2312" w:cs="仿宋_GB2312"/>
          <w:color w:val="auto"/>
          <w:sz w:val="32"/>
          <w:szCs w:val="32"/>
          <w:lang w:eastAsia="zh-CN"/>
        </w:rPr>
        <w:t>。</w:t>
      </w:r>
    </w:p>
    <w:p>
      <w:pPr>
        <w:spacing w:line="600" w:lineRule="exact"/>
        <w:ind w:firstLine="640"/>
        <w:outlineLvl w:val="2"/>
        <w:rPr>
          <w:rFonts w:ascii="仿宋" w:hAnsi="仿宋" w:eastAsia="仿宋"/>
          <w:b/>
          <w:color w:val="auto"/>
          <w:sz w:val="32"/>
          <w:szCs w:val="32"/>
        </w:rPr>
      </w:pPr>
      <w:bookmarkStart w:id="119" w:name="_Toc30889"/>
      <w:bookmarkStart w:id="120" w:name="_Toc4145"/>
      <w:bookmarkStart w:id="121" w:name="_Toc15377217"/>
      <w:bookmarkStart w:id="122" w:name="_Toc4181"/>
      <w:bookmarkStart w:id="123" w:name="_Toc31500"/>
      <w:r>
        <w:rPr>
          <w:rFonts w:hint="eastAsia" w:ascii="仿宋" w:hAnsi="仿宋" w:eastAsia="仿宋"/>
          <w:b/>
          <w:color w:val="auto"/>
          <w:sz w:val="32"/>
          <w:szCs w:val="32"/>
        </w:rPr>
        <w:t>（二）“三公”经费财政拨款支出决算具体情况说明</w:t>
      </w:r>
      <w:bookmarkEnd w:id="119"/>
      <w:bookmarkEnd w:id="120"/>
      <w:bookmarkEnd w:id="121"/>
      <w:bookmarkEnd w:id="122"/>
      <w:bookmarkEnd w:id="123"/>
    </w:p>
    <w:p>
      <w:pPr>
        <w:spacing w:line="600" w:lineRule="exact"/>
        <w:ind w:firstLine="640"/>
        <w:rPr>
          <w:rFonts w:hint="eastAsia"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年“三公”经费财政拨款支出决算中，因公出国（境）费支出决算0万元；公务用车购置及运行维护费支出决算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万元；公务接待费支出决算</w:t>
      </w:r>
      <w:r>
        <w:rPr>
          <w:rFonts w:hint="eastAsia" w:ascii="仿宋" w:hAnsi="仿宋" w:eastAsia="仿宋"/>
          <w:color w:val="auto"/>
          <w:sz w:val="32"/>
          <w:szCs w:val="32"/>
          <w:lang w:val="en-US" w:eastAsia="zh-CN"/>
        </w:rPr>
        <w:t>0.12</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ascii="仿宋" w:hAnsi="仿宋" w:eastAsia="仿宋"/>
          <w:color w:val="auto"/>
          <w:sz w:val="32"/>
          <w:szCs w:val="32"/>
        </w:rPr>
        <w:t>%</w:t>
      </w:r>
      <w:r>
        <w:rPr>
          <w:rFonts w:hint="eastAsia" w:ascii="仿宋" w:hAnsi="仿宋" w:eastAsia="仿宋"/>
          <w:color w:val="auto"/>
          <w:sz w:val="32"/>
          <w:szCs w:val="32"/>
        </w:rPr>
        <w:t>。具体情况如下：</w:t>
      </w:r>
    </w:p>
    <w:p>
      <w:pPr>
        <w:pStyle w:val="2"/>
        <w:rPr>
          <w:rFonts w:hint="eastAsia" w:ascii="仿宋" w:hAnsi="仿宋" w:eastAsia="仿宋"/>
          <w:color w:val="auto"/>
          <w:sz w:val="32"/>
          <w:szCs w:val="32"/>
        </w:rPr>
      </w:pPr>
      <w:r>
        <w:rPr>
          <w:rFonts w:hint="eastAsia" w:ascii="仿宋" w:hAnsi="仿宋" w:eastAsia="仿宋"/>
          <w:color w:val="auto"/>
          <w:sz w:val="32"/>
          <w:szCs w:val="32"/>
        </w:rPr>
        <w:pict>
          <v:shape id="Object 13" o:spid="_x0000_s1032" o:spt="75" type="#_x0000_t75" style="position:absolute;left:0pt;margin-left:59.65pt;margin-top:6.45pt;height:201.85pt;width:332.3pt;z-index:251664384;mso-width-relative:page;mso-height-relative:page;" o:ole="t" filled="f" o:preferrelative="t" stroked="f" coordsize="21600,21600">
            <v:path/>
            <v:fill on="f" focussize="0,0"/>
            <v:stroke on="f"/>
            <v:imagedata r:id="rId19" o:title=""/>
            <o:lock v:ext="edit" aspectratio="t"/>
          </v:shape>
          <o:OLEObject Type="Embed" ProgID="Excel.Chart.8" ShapeID="Object 13" DrawAspect="Content" ObjectID="_1468075731" r:id="rId18">
            <o:LockedField>false</o:LockedField>
          </o:OLEObject>
        </w:pict>
      </w:r>
    </w:p>
    <w:p>
      <w:pPr>
        <w:pStyle w:val="2"/>
        <w:rPr>
          <w:rFonts w:hint="eastAsia" w:ascii="仿宋" w:hAnsi="仿宋" w:eastAsia="仿宋"/>
          <w:color w:val="auto"/>
          <w:sz w:val="32"/>
          <w:szCs w:val="32"/>
        </w:rPr>
      </w:pPr>
    </w:p>
    <w:p>
      <w:pPr>
        <w:pStyle w:val="2"/>
        <w:rPr>
          <w:rFonts w:hint="eastAsia" w:ascii="仿宋" w:hAnsi="仿宋" w:eastAsia="仿宋"/>
          <w:color w:val="auto"/>
          <w:sz w:val="32"/>
          <w:szCs w:val="32"/>
        </w:rPr>
      </w:pPr>
    </w:p>
    <w:p>
      <w:pPr>
        <w:pStyle w:val="2"/>
        <w:rPr>
          <w:rFonts w:hint="eastAsia" w:ascii="仿宋" w:hAnsi="仿宋" w:eastAsia="仿宋"/>
          <w:color w:val="auto"/>
          <w:sz w:val="32"/>
          <w:szCs w:val="32"/>
        </w:rPr>
      </w:pPr>
    </w:p>
    <w:p>
      <w:pPr>
        <w:pStyle w:val="2"/>
        <w:rPr>
          <w:rFonts w:hint="eastAsia" w:ascii="仿宋" w:hAnsi="仿宋" w:eastAsia="仿宋"/>
          <w:color w:val="auto"/>
          <w:sz w:val="32"/>
          <w:szCs w:val="32"/>
        </w:rPr>
      </w:pPr>
    </w:p>
    <w:p>
      <w:pPr>
        <w:spacing w:line="600" w:lineRule="exact"/>
        <w:ind w:firstLine="640"/>
        <w:rPr>
          <w:rFonts w:hint="eastAsia" w:ascii="仿宋" w:hAnsi="仿宋" w:eastAsia="仿宋"/>
          <w:color w:val="auto"/>
          <w:sz w:val="32"/>
          <w:szCs w:val="32"/>
        </w:rPr>
      </w:pPr>
    </w:p>
    <w:p>
      <w:pPr>
        <w:spacing w:line="600" w:lineRule="exact"/>
        <w:ind w:firstLine="640"/>
        <w:jc w:val="center"/>
        <w:rPr>
          <w:rFonts w:ascii="仿宋" w:hAnsi="仿宋" w:eastAsia="仿宋"/>
          <w:color w:val="auto"/>
          <w:sz w:val="32"/>
          <w:szCs w:val="32"/>
        </w:rPr>
      </w:pPr>
      <w:r>
        <w:rPr>
          <w:rFonts w:hint="eastAsia" w:ascii="仿宋" w:hAnsi="仿宋" w:eastAsia="仿宋"/>
          <w:color w:val="auto"/>
          <w:sz w:val="32"/>
          <w:szCs w:val="32"/>
        </w:rPr>
        <w:t>（图7：“三公”经费财政拨款支出结构）</w:t>
      </w:r>
    </w:p>
    <w:p>
      <w:pPr>
        <w:spacing w:line="600" w:lineRule="exact"/>
        <w:ind w:firstLine="640"/>
        <w:rPr>
          <w:color w:val="auto"/>
        </w:rPr>
      </w:pPr>
      <w:r>
        <w:rPr>
          <w:rFonts w:ascii="仿宋_GB2312" w:eastAsia="仿宋_GB2312"/>
          <w:b/>
          <w:color w:val="auto"/>
          <w:sz w:val="32"/>
          <w:szCs w:val="32"/>
        </w:rPr>
        <w:t>1.</w:t>
      </w:r>
      <w:r>
        <w:rPr>
          <w:rFonts w:hint="eastAsia" w:ascii="仿宋" w:hAnsi="仿宋" w:eastAsia="仿宋"/>
          <w:b/>
          <w:color w:val="auto"/>
          <w:sz w:val="32"/>
          <w:szCs w:val="32"/>
        </w:rPr>
        <w:t xml:space="preserve"> 因公出国经费为0万元，年初未安排预算，因公出国</w:t>
      </w:r>
      <w:r>
        <w:rPr>
          <w:rFonts w:hint="eastAsia" w:ascii="仿宋_GB2312" w:eastAsia="仿宋_GB2312"/>
          <w:b/>
          <w:color w:val="auto"/>
          <w:sz w:val="32"/>
          <w:szCs w:val="32"/>
        </w:rPr>
        <w:t>（境）</w:t>
      </w:r>
      <w:r>
        <w:rPr>
          <w:rFonts w:hint="eastAsia" w:ascii="仿宋" w:hAnsi="仿宋" w:eastAsia="仿宋"/>
          <w:b/>
          <w:color w:val="auto"/>
          <w:sz w:val="32"/>
          <w:szCs w:val="32"/>
        </w:rPr>
        <w:t>支出决算较202</w:t>
      </w:r>
      <w:r>
        <w:rPr>
          <w:rFonts w:hint="eastAsia" w:ascii="仿宋" w:hAnsi="仿宋" w:eastAsia="仿宋"/>
          <w:b/>
          <w:color w:val="auto"/>
          <w:sz w:val="32"/>
          <w:szCs w:val="32"/>
          <w:lang w:val="en-US" w:eastAsia="zh-CN"/>
        </w:rPr>
        <w:t>3</w:t>
      </w:r>
      <w:r>
        <w:rPr>
          <w:rFonts w:hint="eastAsia" w:ascii="仿宋" w:hAnsi="仿宋" w:eastAsia="仿宋"/>
          <w:b/>
          <w:color w:val="auto"/>
          <w:sz w:val="32"/>
          <w:szCs w:val="32"/>
        </w:rPr>
        <w:t>年无变化。</w:t>
      </w:r>
    </w:p>
    <w:p>
      <w:pPr>
        <w:spacing w:line="600" w:lineRule="exact"/>
        <w:ind w:firstLine="640"/>
        <w:rPr>
          <w:rFonts w:hint="eastAsia" w:ascii="仿宋_GB2312" w:eastAsia="仿宋"/>
          <w:b/>
          <w:color w:val="auto"/>
          <w:sz w:val="32"/>
          <w:szCs w:val="32"/>
          <w:lang w:val="en-US" w:eastAsia="zh-CN"/>
        </w:rPr>
      </w:pPr>
      <w:r>
        <w:rPr>
          <w:rFonts w:ascii="仿宋_GB2312" w:eastAsia="仿宋_GB2312"/>
          <w:b/>
          <w:color w:val="auto"/>
          <w:sz w:val="32"/>
          <w:szCs w:val="32"/>
        </w:rPr>
        <w:t>2.</w:t>
      </w:r>
      <w:r>
        <w:rPr>
          <w:rFonts w:hint="eastAsia" w:ascii="仿宋_GB2312" w:eastAsia="仿宋_GB2312"/>
          <w:b/>
          <w:color w:val="auto"/>
          <w:sz w:val="32"/>
          <w:szCs w:val="32"/>
        </w:rPr>
        <w:t>公务用车购置及运行维护费支出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 w:hAnsi="仿宋" w:eastAsia="仿宋"/>
          <w:b/>
          <w:color w:val="auto"/>
          <w:sz w:val="32"/>
          <w:szCs w:val="32"/>
        </w:rPr>
        <w:t>年初未安排预算</w:t>
      </w:r>
      <w:r>
        <w:rPr>
          <w:rStyle w:val="21"/>
          <w:rFonts w:hint="eastAsia" w:ascii="仿宋" w:hAnsi="仿宋" w:eastAsia="仿宋"/>
          <w:b w:val="0"/>
          <w:bCs/>
          <w:color w:val="auto"/>
          <w:sz w:val="32"/>
          <w:szCs w:val="32"/>
        </w:rPr>
        <w:t>。</w:t>
      </w:r>
      <w:r>
        <w:rPr>
          <w:rFonts w:hint="eastAsia" w:ascii="仿宋_GB2312" w:eastAsia="仿宋_GB2312"/>
          <w:color w:val="auto"/>
          <w:sz w:val="32"/>
          <w:szCs w:val="32"/>
        </w:rPr>
        <w:t>公务用车购置及运行维护费支出决算比</w:t>
      </w: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年</w:t>
      </w:r>
      <w:r>
        <w:rPr>
          <w:rFonts w:hint="eastAsia" w:ascii="仿宋_GB2312" w:eastAsia="仿宋_GB2312"/>
          <w:color w:val="auto"/>
          <w:sz w:val="32"/>
          <w:szCs w:val="32"/>
          <w:lang w:val="en-US" w:eastAsia="zh-CN"/>
        </w:rPr>
        <w:t>减少1.28</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下降</w:t>
      </w:r>
      <w:r>
        <w:rPr>
          <w:rFonts w:hint="eastAsia" w:ascii="仿宋" w:hAnsi="仿宋" w:eastAsia="仿宋"/>
          <w:color w:val="auto"/>
          <w:sz w:val="32"/>
          <w:szCs w:val="32"/>
          <w:lang w:val="en-US" w:eastAsia="zh-CN"/>
        </w:rPr>
        <w:t>100</w:t>
      </w:r>
      <w:r>
        <w:rPr>
          <w:rFonts w:hint="default" w:ascii="仿宋" w:hAnsi="仿宋" w:eastAsia="仿宋"/>
          <w:color w:val="auto"/>
          <w:sz w:val="32"/>
          <w:szCs w:val="32"/>
          <w:lang w:val="en-US" w:eastAsia="zh-CN"/>
        </w:rPr>
        <w:t>%</w:t>
      </w:r>
      <w:r>
        <w:rPr>
          <w:rFonts w:hint="eastAsia" w:ascii="仿宋_GB2312" w:eastAsia="仿宋_GB2312"/>
          <w:color w:val="auto"/>
          <w:sz w:val="32"/>
          <w:szCs w:val="32"/>
        </w:rPr>
        <w:t>。主要原因是</w:t>
      </w:r>
      <w:r>
        <w:rPr>
          <w:rFonts w:hint="eastAsia" w:ascii="仿宋_GB2312" w:eastAsia="仿宋_GB2312"/>
          <w:color w:val="auto"/>
          <w:sz w:val="32"/>
          <w:szCs w:val="32"/>
          <w:lang w:eastAsia="zh-CN"/>
        </w:rPr>
        <w:t>市救灾物资中心公务用车</w:t>
      </w:r>
      <w:r>
        <w:rPr>
          <w:rFonts w:hint="eastAsia" w:ascii="仿宋_GB2312" w:eastAsia="仿宋_GB2312"/>
          <w:color w:val="auto"/>
          <w:sz w:val="32"/>
          <w:szCs w:val="32"/>
          <w:lang w:val="en-US" w:eastAsia="zh-CN"/>
        </w:rPr>
        <w:t>运行</w:t>
      </w:r>
      <w:r>
        <w:rPr>
          <w:rFonts w:hint="eastAsia" w:ascii="仿宋_GB2312" w:eastAsia="仿宋_GB2312"/>
          <w:color w:val="auto"/>
          <w:sz w:val="32"/>
          <w:szCs w:val="32"/>
          <w:lang w:eastAsia="zh-CN"/>
        </w:rPr>
        <w:t>维修</w:t>
      </w:r>
      <w:r>
        <w:rPr>
          <w:rFonts w:hint="eastAsia" w:ascii="仿宋_GB2312" w:eastAsia="仿宋_GB2312"/>
          <w:color w:val="auto"/>
          <w:sz w:val="32"/>
          <w:szCs w:val="32"/>
          <w:lang w:val="en-US" w:eastAsia="zh-CN"/>
        </w:rPr>
        <w:t>费预算并入市发改委机关</w:t>
      </w:r>
      <w:r>
        <w:rPr>
          <w:rFonts w:hint="eastAsia" w:ascii="仿宋" w:hAnsi="仿宋" w:eastAsia="仿宋"/>
          <w:color w:val="auto"/>
          <w:sz w:val="32"/>
          <w:szCs w:val="32"/>
          <w:lang w:eastAsia="zh-CN"/>
        </w:rPr>
        <w:t>。</w:t>
      </w:r>
    </w:p>
    <w:p>
      <w:pPr>
        <w:spacing w:line="600" w:lineRule="exact"/>
        <w:ind w:firstLine="640" w:firstLineChars="200"/>
        <w:rPr>
          <w:rFonts w:ascii="仿宋_GB2312" w:eastAsia="仿宋_GB2312"/>
          <w:b/>
          <w:color w:val="auto"/>
          <w:sz w:val="32"/>
          <w:szCs w:val="32"/>
        </w:rPr>
      </w:pPr>
      <w:r>
        <w:rPr>
          <w:rFonts w:hint="eastAsia" w:ascii="仿宋_GB2312" w:eastAsia="仿宋_GB2312"/>
          <w:color w:val="auto"/>
          <w:sz w:val="32"/>
          <w:szCs w:val="32"/>
        </w:rPr>
        <w:t>其中：</w:t>
      </w:r>
      <w:r>
        <w:rPr>
          <w:rFonts w:hint="eastAsia" w:ascii="仿宋_GB2312" w:eastAsia="仿宋_GB2312"/>
          <w:b/>
          <w:color w:val="auto"/>
          <w:sz w:val="32"/>
          <w:szCs w:val="32"/>
        </w:rPr>
        <w:t>公务用车购置支出</w:t>
      </w:r>
      <w:r>
        <w:rPr>
          <w:rFonts w:hint="eastAsia" w:ascii="仿宋_GB2312" w:eastAsia="仿宋_GB2312"/>
          <w:b/>
          <w:color w:val="auto"/>
          <w:sz w:val="32"/>
          <w:szCs w:val="32"/>
          <w:lang w:val="en-US" w:eastAsia="zh-CN"/>
        </w:rPr>
        <w:t>0</w:t>
      </w:r>
      <w:r>
        <w:rPr>
          <w:rFonts w:hint="eastAsia" w:ascii="仿宋_GB2312" w:eastAsia="仿宋_GB2312"/>
          <w:color w:val="auto"/>
          <w:sz w:val="32"/>
          <w:szCs w:val="32"/>
        </w:rPr>
        <w:t>万元。</w:t>
      </w:r>
      <w:r>
        <w:rPr>
          <w:rFonts w:hint="eastAsia" w:ascii="仿宋_GB2312" w:hAnsi="仿宋" w:eastAsia="仿宋_GB2312"/>
          <w:color w:val="auto"/>
          <w:sz w:val="32"/>
          <w:szCs w:val="32"/>
        </w:rPr>
        <w:t>全年按规定更新购置公务用车0辆</w:t>
      </w:r>
      <w:r>
        <w:rPr>
          <w:rFonts w:hint="eastAsia" w:ascii="仿宋_GB2312" w:eastAsia="仿宋_GB2312"/>
          <w:color w:val="auto"/>
          <w:sz w:val="32"/>
          <w:szCs w:val="32"/>
        </w:rPr>
        <w:t>。</w:t>
      </w:r>
      <w:r>
        <w:rPr>
          <w:rFonts w:hint="eastAsia" w:ascii="仿宋_GB2312" w:hAnsi="仿宋" w:eastAsia="仿宋_GB2312"/>
          <w:color w:val="auto"/>
          <w:sz w:val="32"/>
          <w:szCs w:val="32"/>
        </w:rPr>
        <w:t>截至202</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年12月底，</w:t>
      </w:r>
      <w:r>
        <w:rPr>
          <w:rFonts w:hint="eastAsia" w:ascii="仿宋_GB2312" w:hAnsi="仿宋" w:eastAsia="仿宋_GB2312"/>
          <w:color w:val="auto"/>
          <w:sz w:val="32"/>
          <w:szCs w:val="32"/>
          <w:lang w:val="en-US" w:eastAsia="zh-CN"/>
        </w:rPr>
        <w:t>市粮油质量监测站</w:t>
      </w:r>
      <w:r>
        <w:rPr>
          <w:rFonts w:hint="eastAsia" w:ascii="仿宋_GB2312" w:hAnsi="仿宋" w:eastAsia="仿宋_GB2312"/>
          <w:color w:val="auto"/>
          <w:sz w:val="32"/>
          <w:szCs w:val="32"/>
        </w:rPr>
        <w:t>公务用车0辆</w:t>
      </w:r>
      <w:r>
        <w:rPr>
          <w:rFonts w:hint="eastAsia" w:ascii="仿宋_GB2312" w:eastAsia="仿宋_GB2312"/>
          <w:color w:val="auto"/>
          <w:sz w:val="32"/>
          <w:szCs w:val="32"/>
        </w:rPr>
        <w:t>。</w:t>
      </w:r>
    </w:p>
    <w:p>
      <w:pPr>
        <w:spacing w:line="600" w:lineRule="exact"/>
        <w:ind w:firstLine="640"/>
        <w:rPr>
          <w:rFonts w:hint="eastAsia" w:ascii="仿宋_GB2312" w:eastAsia="仿宋_GB2312"/>
          <w:color w:val="auto"/>
          <w:sz w:val="32"/>
          <w:szCs w:val="32"/>
        </w:rPr>
      </w:pPr>
      <w:r>
        <w:rPr>
          <w:rFonts w:hint="eastAsia" w:ascii="仿宋_GB2312" w:eastAsia="仿宋_GB2312"/>
          <w:b/>
          <w:color w:val="auto"/>
          <w:sz w:val="32"/>
          <w:szCs w:val="32"/>
        </w:rPr>
        <w:t>公务用车运行维护费支出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p>
    <w:p>
      <w:pPr>
        <w:spacing w:line="600" w:lineRule="exact"/>
        <w:ind w:firstLine="640"/>
        <w:rPr>
          <w:rFonts w:hint="default" w:ascii="仿宋_GB2312" w:eastAsia="仿宋_GB2312"/>
          <w:color w:val="auto"/>
          <w:sz w:val="32"/>
          <w:szCs w:val="32"/>
          <w:lang w:val="en-US" w:eastAsia="zh-CN"/>
        </w:rPr>
      </w:pPr>
      <w:r>
        <w:rPr>
          <w:rFonts w:ascii="仿宋_GB2312" w:eastAsia="仿宋_GB2312"/>
          <w:b/>
          <w:color w:val="auto"/>
          <w:sz w:val="32"/>
          <w:szCs w:val="32"/>
        </w:rPr>
        <w:t>3.</w:t>
      </w:r>
      <w:r>
        <w:rPr>
          <w:rFonts w:hint="eastAsia" w:ascii="仿宋_GB2312" w:eastAsia="仿宋_GB2312"/>
          <w:b/>
          <w:color w:val="auto"/>
          <w:sz w:val="32"/>
          <w:szCs w:val="32"/>
        </w:rPr>
        <w:t>公务接待费支出</w:t>
      </w:r>
      <w:r>
        <w:rPr>
          <w:rFonts w:hint="eastAsia" w:ascii="仿宋_GB2312" w:eastAsia="仿宋_GB2312"/>
          <w:b/>
          <w:color w:val="auto"/>
          <w:sz w:val="32"/>
          <w:szCs w:val="32"/>
          <w:lang w:val="en-US" w:eastAsia="zh-CN"/>
        </w:rPr>
        <w:t>0.12</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Style w:val="21"/>
          <w:rFonts w:hint="eastAsia" w:ascii="仿宋" w:hAnsi="仿宋" w:eastAsia="仿宋"/>
          <w:b w:val="0"/>
          <w:bCs/>
          <w:color w:val="auto"/>
          <w:sz w:val="32"/>
          <w:szCs w:val="32"/>
        </w:rPr>
        <w:t>完成预算</w:t>
      </w:r>
      <w:r>
        <w:rPr>
          <w:rStyle w:val="21"/>
          <w:rFonts w:hint="eastAsia" w:ascii="仿宋" w:hAnsi="仿宋" w:eastAsia="仿宋"/>
          <w:b w:val="0"/>
          <w:bCs/>
          <w:color w:val="auto"/>
          <w:sz w:val="32"/>
          <w:szCs w:val="32"/>
          <w:lang w:val="en-US" w:eastAsia="zh-CN"/>
        </w:rPr>
        <w:t>60</w:t>
      </w:r>
      <w:r>
        <w:rPr>
          <w:rStyle w:val="21"/>
          <w:rFonts w:ascii="仿宋" w:hAnsi="仿宋" w:eastAsia="仿宋"/>
          <w:b w:val="0"/>
          <w:bCs/>
          <w:color w:val="auto"/>
          <w:sz w:val="32"/>
          <w:szCs w:val="32"/>
        </w:rPr>
        <w:t>%</w:t>
      </w:r>
      <w:r>
        <w:rPr>
          <w:rStyle w:val="21"/>
          <w:rFonts w:hint="eastAsia" w:ascii="仿宋" w:hAnsi="仿宋" w:eastAsia="仿宋"/>
          <w:b w:val="0"/>
          <w:bCs/>
          <w:color w:val="auto"/>
          <w:sz w:val="32"/>
          <w:szCs w:val="32"/>
          <w:lang w:eastAsia="zh-CN"/>
        </w:rPr>
        <w:t>。公务接待</w:t>
      </w:r>
      <w:r>
        <w:rPr>
          <w:rStyle w:val="21"/>
          <w:rFonts w:hint="eastAsia" w:ascii="仿宋" w:hAnsi="仿宋" w:eastAsia="仿宋"/>
          <w:b w:val="0"/>
          <w:bCs/>
          <w:color w:val="auto"/>
          <w:sz w:val="32"/>
          <w:szCs w:val="32"/>
          <w:lang w:val="en-US" w:eastAsia="zh-CN"/>
        </w:rPr>
        <w:t>费支出决算比2023年度增加0.12万元，增长100%。主要原因是</w:t>
      </w:r>
      <w:r>
        <w:rPr>
          <w:rFonts w:hint="eastAsia" w:ascii="仿宋_GB2312" w:eastAsia="仿宋_GB2312"/>
          <w:color w:val="auto"/>
          <w:sz w:val="32"/>
          <w:szCs w:val="32"/>
          <w:lang w:val="en-US" w:eastAsia="zh-CN"/>
        </w:rPr>
        <w:t>调研和考察接待费增加。</w:t>
      </w:r>
    </w:p>
    <w:p>
      <w:pPr>
        <w:spacing w:line="600" w:lineRule="exact"/>
        <w:ind w:firstLine="640"/>
        <w:rPr>
          <w:rFonts w:hint="default" w:ascii="仿宋_GB2312" w:eastAsia="仿宋_GB2312"/>
          <w:color w:val="auto"/>
          <w:sz w:val="32"/>
          <w:szCs w:val="32"/>
          <w:lang w:val="en-US" w:eastAsia="zh-CN"/>
        </w:rPr>
      </w:pPr>
      <w:r>
        <w:rPr>
          <w:rFonts w:hint="eastAsia" w:ascii="仿宋" w:hAnsi="仿宋" w:eastAsia="仿宋"/>
          <w:b/>
          <w:color w:val="auto"/>
          <w:sz w:val="32"/>
          <w:szCs w:val="32"/>
        </w:rPr>
        <w:t>国内公务接待支出</w:t>
      </w:r>
      <w:r>
        <w:rPr>
          <w:rFonts w:hint="eastAsia" w:ascii="仿宋" w:hAnsi="仿宋" w:eastAsia="仿宋"/>
          <w:b/>
          <w:color w:val="auto"/>
          <w:sz w:val="32"/>
          <w:szCs w:val="32"/>
          <w:lang w:val="en-US" w:eastAsia="zh-CN"/>
        </w:rPr>
        <w:t>0.12</w:t>
      </w:r>
      <w:r>
        <w:rPr>
          <w:rFonts w:hint="eastAsia" w:ascii="仿宋_GB2312" w:eastAsia="仿宋_GB2312"/>
          <w:color w:val="auto"/>
          <w:sz w:val="32"/>
          <w:szCs w:val="32"/>
        </w:rPr>
        <w:t>万元，</w:t>
      </w:r>
      <w:bookmarkStart w:id="124" w:name="_Toc15396610"/>
      <w:bookmarkStart w:id="125" w:name="_Toc15377218"/>
      <w:r>
        <w:rPr>
          <w:rFonts w:hint="eastAsia" w:ascii="仿宋_GB2312" w:eastAsia="仿宋_GB2312"/>
          <w:color w:val="auto"/>
          <w:sz w:val="32"/>
          <w:szCs w:val="32"/>
        </w:rPr>
        <w:t>国内公务接待</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批次</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13人次，</w:t>
      </w:r>
      <w:r>
        <w:rPr>
          <w:rFonts w:hint="eastAsia" w:ascii="仿宋_GB2312" w:eastAsia="仿宋_GB2312"/>
          <w:color w:val="auto"/>
          <w:sz w:val="32"/>
          <w:szCs w:val="32"/>
        </w:rPr>
        <w:t>共计支出</w:t>
      </w:r>
      <w:r>
        <w:rPr>
          <w:rFonts w:hint="eastAsia" w:ascii="仿宋_GB2312" w:eastAsia="仿宋_GB2312"/>
          <w:color w:val="auto"/>
          <w:sz w:val="32"/>
          <w:szCs w:val="32"/>
          <w:lang w:val="en-US" w:eastAsia="zh-CN"/>
        </w:rPr>
        <w:t>0.12</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具体内容包括：接待国家粮食和物资储备局标准管理办公室调研及南充市粮油质量监测站考察。</w:t>
      </w:r>
    </w:p>
    <w:p>
      <w:pPr>
        <w:spacing w:line="600" w:lineRule="exact"/>
        <w:ind w:firstLine="643" w:firstLineChars="200"/>
        <w:rPr>
          <w:rFonts w:hint="eastAsia"/>
          <w:color w:val="auto"/>
          <w:lang w:eastAsia="zh-CN"/>
        </w:rPr>
      </w:pPr>
      <w:r>
        <w:rPr>
          <w:rFonts w:hint="eastAsia" w:ascii="仿宋" w:hAnsi="仿宋" w:eastAsia="仿宋"/>
          <w:b/>
          <w:color w:val="auto"/>
          <w:sz w:val="32"/>
          <w:szCs w:val="32"/>
          <w:highlight w:val="none"/>
        </w:rPr>
        <w:t>外事接待支出</w:t>
      </w:r>
      <w:r>
        <w:rPr>
          <w:rFonts w:hint="eastAsia" w:ascii="仿宋" w:hAnsi="仿宋" w:eastAsia="仿宋"/>
          <w:b/>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24"/>
          <w:rFonts w:ascii="黑体" w:hAnsi="黑体" w:eastAsia="黑体"/>
          <w:color w:val="auto"/>
        </w:rPr>
      </w:pPr>
      <w:bookmarkStart w:id="126" w:name="_Toc9109"/>
      <w:bookmarkStart w:id="127" w:name="_Toc4796"/>
      <w:r>
        <w:rPr>
          <w:rFonts w:hint="eastAsia" w:ascii="黑体" w:eastAsia="黑体"/>
          <w:color w:val="auto"/>
          <w:sz w:val="32"/>
          <w:szCs w:val="32"/>
        </w:rPr>
        <w:t>八、</w:t>
      </w:r>
      <w:r>
        <w:rPr>
          <w:rStyle w:val="24"/>
          <w:rFonts w:hint="eastAsia" w:ascii="黑体" w:hAnsi="黑体" w:eastAsia="黑体"/>
          <w:b w:val="0"/>
          <w:color w:val="auto"/>
        </w:rPr>
        <w:t>政府性基金预算支出决算情况说明</w:t>
      </w:r>
      <w:bookmarkEnd w:id="124"/>
      <w:bookmarkEnd w:id="125"/>
      <w:bookmarkEnd w:id="126"/>
      <w:bookmarkEnd w:id="127"/>
    </w:p>
    <w:p>
      <w:pPr>
        <w:spacing w:line="600" w:lineRule="exact"/>
        <w:ind w:firstLine="640"/>
        <w:rPr>
          <w:rFonts w:hint="eastAsia" w:ascii="仿宋_GB2312" w:eastAsia="仿宋_GB2312"/>
          <w:color w:val="auto"/>
          <w:sz w:val="32"/>
          <w:szCs w:val="32"/>
        </w:rPr>
      </w:pP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年我</w:t>
      </w:r>
      <w:r>
        <w:rPr>
          <w:rFonts w:hint="eastAsia" w:ascii="仿宋_GB2312" w:eastAsia="仿宋_GB2312"/>
          <w:color w:val="auto"/>
          <w:sz w:val="32"/>
          <w:szCs w:val="32"/>
          <w:lang w:eastAsia="zh-CN"/>
        </w:rPr>
        <w:t>站</w:t>
      </w:r>
      <w:r>
        <w:rPr>
          <w:rFonts w:hint="eastAsia" w:ascii="仿宋_GB2312" w:eastAsia="仿宋_GB2312"/>
          <w:color w:val="auto"/>
          <w:sz w:val="32"/>
          <w:szCs w:val="32"/>
        </w:rPr>
        <w:t>无政府性基金预算财政拨款支出。</w:t>
      </w:r>
    </w:p>
    <w:p>
      <w:pPr>
        <w:pStyle w:val="2"/>
        <w:rPr>
          <w:color w:val="auto"/>
        </w:rPr>
      </w:pPr>
    </w:p>
    <w:p>
      <w:pPr>
        <w:numPr>
          <w:ilvl w:val="0"/>
          <w:numId w:val="2"/>
        </w:numPr>
        <w:spacing w:line="600" w:lineRule="exact"/>
        <w:ind w:firstLine="640"/>
        <w:outlineLvl w:val="1"/>
        <w:rPr>
          <w:rStyle w:val="24"/>
          <w:rFonts w:ascii="黑体" w:hAnsi="黑体" w:eastAsia="黑体"/>
          <w:b w:val="0"/>
          <w:color w:val="auto"/>
        </w:rPr>
      </w:pPr>
      <w:bookmarkStart w:id="128" w:name="_Toc15377219"/>
      <w:bookmarkStart w:id="129" w:name="_Toc16341"/>
      <w:bookmarkStart w:id="130" w:name="_Toc4221"/>
      <w:bookmarkStart w:id="131" w:name="_Toc15396611"/>
      <w:r>
        <w:rPr>
          <w:rStyle w:val="24"/>
          <w:rFonts w:hint="eastAsia" w:ascii="黑体" w:hAnsi="黑体" w:eastAsia="黑体"/>
          <w:b w:val="0"/>
          <w:color w:val="auto"/>
        </w:rPr>
        <w:t>国有资本经营预算支出决算情况说明</w:t>
      </w:r>
      <w:bookmarkEnd w:id="128"/>
      <w:bookmarkEnd w:id="129"/>
      <w:bookmarkEnd w:id="130"/>
      <w:bookmarkEnd w:id="131"/>
    </w:p>
    <w:p>
      <w:pPr>
        <w:spacing w:line="600" w:lineRule="exact"/>
        <w:ind w:firstLine="640"/>
        <w:rPr>
          <w:rFonts w:hint="eastAsia" w:ascii="仿宋_GB2312" w:eastAsia="仿宋_GB2312"/>
          <w:color w:val="auto"/>
          <w:sz w:val="32"/>
          <w:szCs w:val="32"/>
        </w:rPr>
      </w:pP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年我</w:t>
      </w:r>
      <w:r>
        <w:rPr>
          <w:rFonts w:hint="eastAsia" w:ascii="仿宋_GB2312" w:eastAsia="仿宋_GB2312"/>
          <w:color w:val="auto"/>
          <w:sz w:val="32"/>
          <w:szCs w:val="32"/>
          <w:lang w:eastAsia="zh-CN"/>
        </w:rPr>
        <w:t>站</w:t>
      </w:r>
      <w:r>
        <w:rPr>
          <w:rFonts w:hint="eastAsia" w:ascii="仿宋_GB2312" w:eastAsia="仿宋_GB2312"/>
          <w:color w:val="auto"/>
          <w:sz w:val="32"/>
          <w:szCs w:val="32"/>
        </w:rPr>
        <w:t>无国有资本经营预算财政拨款支出。</w:t>
      </w:r>
      <w:bookmarkStart w:id="132" w:name="_Toc15377221"/>
      <w:bookmarkStart w:id="133" w:name="_Toc15396612"/>
    </w:p>
    <w:p>
      <w:pPr>
        <w:pStyle w:val="16"/>
        <w:rPr>
          <w:rFonts w:hint="eastAsia" w:ascii="仿宋_GB2312" w:eastAsia="仿宋_GB2312"/>
          <w:color w:val="auto"/>
          <w:sz w:val="32"/>
          <w:szCs w:val="32"/>
        </w:rPr>
      </w:pPr>
    </w:p>
    <w:p>
      <w:pPr>
        <w:rPr>
          <w:color w:val="auto"/>
        </w:rPr>
      </w:pPr>
    </w:p>
    <w:p>
      <w:pPr>
        <w:numPr>
          <w:ilvl w:val="0"/>
          <w:numId w:val="2"/>
        </w:numPr>
        <w:spacing w:line="600" w:lineRule="exact"/>
        <w:ind w:firstLine="640"/>
        <w:outlineLvl w:val="1"/>
        <w:rPr>
          <w:rStyle w:val="24"/>
          <w:rFonts w:ascii="黑体" w:hAnsi="黑体" w:eastAsia="黑体"/>
          <w:b w:val="0"/>
          <w:color w:val="auto"/>
        </w:rPr>
      </w:pPr>
      <w:bookmarkStart w:id="134" w:name="_Toc7945"/>
      <w:bookmarkStart w:id="135" w:name="_Toc12798"/>
      <w:r>
        <w:rPr>
          <w:rStyle w:val="24"/>
          <w:rFonts w:hint="eastAsia" w:ascii="黑体" w:hAnsi="黑体" w:eastAsia="黑体"/>
          <w:b w:val="0"/>
          <w:color w:val="auto"/>
        </w:rPr>
        <w:t>其他重要事项的情况说明</w:t>
      </w:r>
      <w:bookmarkEnd w:id="132"/>
      <w:bookmarkEnd w:id="133"/>
      <w:bookmarkEnd w:id="134"/>
      <w:bookmarkEnd w:id="135"/>
    </w:p>
    <w:p>
      <w:pPr>
        <w:spacing w:line="600" w:lineRule="exact"/>
        <w:ind w:firstLine="643" w:firstLineChars="200"/>
        <w:outlineLvl w:val="2"/>
        <w:rPr>
          <w:rFonts w:ascii="仿宋" w:hAnsi="仿宋" w:eastAsia="仿宋"/>
          <w:color w:val="auto"/>
          <w:sz w:val="32"/>
          <w:szCs w:val="32"/>
        </w:rPr>
      </w:pPr>
      <w:bookmarkStart w:id="136" w:name="_Toc15377222"/>
      <w:bookmarkStart w:id="137" w:name="_Toc536"/>
      <w:bookmarkStart w:id="138" w:name="_Toc22507"/>
      <w:bookmarkStart w:id="139" w:name="_Toc26677"/>
      <w:bookmarkStart w:id="140" w:name="_Toc12885"/>
      <w:r>
        <w:rPr>
          <w:rFonts w:hint="eastAsia" w:ascii="仿宋" w:hAnsi="仿宋" w:eastAsia="仿宋"/>
          <w:b/>
          <w:color w:val="auto"/>
          <w:sz w:val="32"/>
          <w:szCs w:val="32"/>
        </w:rPr>
        <w:t>（一）机关运行经费支出情况</w:t>
      </w:r>
      <w:bookmarkEnd w:id="136"/>
      <w:bookmarkEnd w:id="137"/>
      <w:bookmarkEnd w:id="138"/>
      <w:bookmarkEnd w:id="139"/>
      <w:bookmarkEnd w:id="140"/>
    </w:p>
    <w:p>
      <w:pPr>
        <w:spacing w:line="576" w:lineRule="exact"/>
        <w:ind w:firstLine="640" w:firstLineChars="200"/>
        <w:rPr>
          <w:rFonts w:hint="eastAsia" w:ascii="仿宋_GB2312" w:hAnsi="仿宋" w:eastAsia="仿宋_GB2312"/>
          <w:color w:val="auto"/>
          <w:sz w:val="32"/>
          <w:szCs w:val="32"/>
        </w:rPr>
      </w:pPr>
      <w:bookmarkStart w:id="141" w:name="_Toc15377223"/>
      <w:r>
        <w:rPr>
          <w:rFonts w:hint="eastAsia" w:ascii="仿宋_GB2312" w:hAnsi="仿宋" w:eastAsia="仿宋_GB2312"/>
          <w:color w:val="auto"/>
          <w:sz w:val="32"/>
          <w:szCs w:val="32"/>
          <w:lang w:eastAsia="zh-CN"/>
        </w:rPr>
        <w:t>我站为公益一类事业单位，202</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lang w:eastAsia="zh-CN"/>
        </w:rPr>
        <w:t>年未发生机关运行经费支出，与202</w:t>
      </w:r>
      <w:r>
        <w:rPr>
          <w:rFonts w:hint="eastAsia" w:ascii="仿宋_GB2312" w:hAnsi="仿宋" w:eastAsia="仿宋_GB2312"/>
          <w:color w:val="auto"/>
          <w:sz w:val="32"/>
          <w:szCs w:val="32"/>
          <w:lang w:val="en-US" w:eastAsia="zh-CN"/>
        </w:rPr>
        <w:t>3</w:t>
      </w:r>
      <w:r>
        <w:rPr>
          <w:rFonts w:hint="eastAsia" w:ascii="仿宋_GB2312" w:hAnsi="仿宋" w:eastAsia="仿宋_GB2312"/>
          <w:color w:val="auto"/>
          <w:sz w:val="32"/>
          <w:szCs w:val="32"/>
          <w:lang w:eastAsia="zh-CN"/>
        </w:rPr>
        <w:t>年决算数持平</w:t>
      </w:r>
      <w:r>
        <w:rPr>
          <w:rFonts w:hint="eastAsia" w:ascii="仿宋_GB2312" w:hAnsi="仿宋" w:eastAsia="仿宋_GB2312"/>
          <w:color w:val="auto"/>
          <w:sz w:val="32"/>
          <w:szCs w:val="32"/>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rPr>
      </w:pPr>
      <w:bookmarkStart w:id="142" w:name="_Toc8421"/>
      <w:bookmarkStart w:id="143" w:name="_Toc19430"/>
      <w:bookmarkStart w:id="144" w:name="_Toc15143"/>
      <w:bookmarkStart w:id="145" w:name="_Toc1402"/>
      <w:r>
        <w:rPr>
          <w:rFonts w:hint="eastAsia" w:ascii="仿宋" w:hAnsi="仿宋" w:eastAsia="仿宋"/>
          <w:b/>
          <w:color w:val="auto"/>
          <w:sz w:val="32"/>
          <w:szCs w:val="32"/>
        </w:rPr>
        <w:t>（二）政府采购支出情况</w:t>
      </w:r>
      <w:bookmarkEnd w:id="141"/>
      <w:bookmarkEnd w:id="142"/>
      <w:bookmarkEnd w:id="143"/>
      <w:bookmarkEnd w:id="144"/>
      <w:bookmarkEnd w:id="145"/>
    </w:p>
    <w:p>
      <w:pPr>
        <w:spacing w:line="600" w:lineRule="exact"/>
        <w:ind w:firstLine="640"/>
        <w:rPr>
          <w:rFonts w:hint="eastAsia" w:ascii="仿宋_GB2312" w:eastAsia="仿宋_GB2312"/>
          <w:color w:val="auto"/>
          <w:sz w:val="32"/>
          <w:szCs w:val="32"/>
        </w:rPr>
      </w:pPr>
      <w:bookmarkStart w:id="146" w:name="_Toc19085"/>
      <w:bookmarkStart w:id="147" w:name="_Toc20096"/>
      <w:bookmarkStart w:id="148" w:name="_Toc16963"/>
      <w:bookmarkStart w:id="149" w:name="_Toc15377224"/>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年我</w:t>
      </w:r>
      <w:r>
        <w:rPr>
          <w:rFonts w:hint="eastAsia" w:ascii="仿宋_GB2312" w:eastAsia="仿宋_GB2312"/>
          <w:color w:val="auto"/>
          <w:sz w:val="32"/>
          <w:szCs w:val="32"/>
          <w:lang w:eastAsia="zh-CN"/>
        </w:rPr>
        <w:t>站</w:t>
      </w:r>
      <w:r>
        <w:rPr>
          <w:rFonts w:hint="eastAsia" w:ascii="仿宋_GB2312" w:eastAsia="仿宋_GB2312"/>
          <w:color w:val="auto"/>
          <w:sz w:val="32"/>
          <w:szCs w:val="32"/>
        </w:rPr>
        <w:t>无</w:t>
      </w:r>
      <w:r>
        <w:rPr>
          <w:rFonts w:hint="eastAsia" w:ascii="仿宋_GB2312" w:eastAsia="仿宋_GB2312"/>
          <w:color w:val="auto"/>
          <w:sz w:val="32"/>
          <w:szCs w:val="32"/>
          <w:lang w:val="en-US" w:eastAsia="zh-CN"/>
        </w:rPr>
        <w:t>政府采购支</w:t>
      </w:r>
      <w:r>
        <w:rPr>
          <w:rFonts w:hint="eastAsia" w:ascii="仿宋_GB2312" w:eastAsia="仿宋_GB2312"/>
          <w:color w:val="auto"/>
          <w:sz w:val="32"/>
          <w:szCs w:val="32"/>
        </w:rPr>
        <w:t>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rPr>
      </w:pPr>
      <w:bookmarkStart w:id="150" w:name="_Toc28547"/>
      <w:r>
        <w:rPr>
          <w:rFonts w:hint="eastAsia" w:ascii="仿宋" w:hAnsi="仿宋" w:eastAsia="仿宋"/>
          <w:b/>
          <w:color w:val="auto"/>
          <w:sz w:val="32"/>
          <w:szCs w:val="32"/>
        </w:rPr>
        <w:t>（三）国有资产占有使用情况</w:t>
      </w:r>
      <w:bookmarkEnd w:id="146"/>
      <w:bookmarkEnd w:id="147"/>
      <w:bookmarkEnd w:id="148"/>
      <w:bookmarkEnd w:id="149"/>
      <w:bookmarkEnd w:id="150"/>
    </w:p>
    <w:p>
      <w:pPr>
        <w:autoSpaceDE w:val="0"/>
        <w:autoSpaceDN w:val="0"/>
        <w:adjustRightInd w:val="0"/>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截至</w:t>
      </w: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w:t>
      </w:r>
      <w:r>
        <w:rPr>
          <w:rFonts w:ascii="仿宋_GB2312" w:eastAsia="仿宋_GB2312"/>
          <w:color w:val="auto"/>
          <w:sz w:val="32"/>
          <w:szCs w:val="32"/>
        </w:rPr>
        <w:t>12</w:t>
      </w:r>
      <w:r>
        <w:rPr>
          <w:rFonts w:hint="eastAsia" w:ascii="仿宋_GB2312" w:eastAsia="仿宋_GB2312"/>
          <w:color w:val="auto"/>
          <w:sz w:val="32"/>
          <w:szCs w:val="32"/>
        </w:rPr>
        <w:t>月</w:t>
      </w:r>
      <w:r>
        <w:rPr>
          <w:rFonts w:ascii="仿宋_GB2312" w:eastAsia="仿宋_GB2312"/>
          <w:color w:val="auto"/>
          <w:sz w:val="32"/>
          <w:szCs w:val="32"/>
        </w:rPr>
        <w:t>31</w:t>
      </w:r>
      <w:r>
        <w:rPr>
          <w:rFonts w:hint="eastAsia" w:ascii="仿宋_GB2312" w:eastAsia="仿宋_GB2312"/>
          <w:color w:val="auto"/>
          <w:sz w:val="32"/>
          <w:szCs w:val="32"/>
        </w:rPr>
        <w:t>日，我</w:t>
      </w:r>
      <w:r>
        <w:rPr>
          <w:rFonts w:hint="eastAsia" w:ascii="仿宋_GB2312" w:eastAsia="仿宋_GB2312"/>
          <w:color w:val="auto"/>
          <w:sz w:val="32"/>
          <w:szCs w:val="32"/>
          <w:lang w:eastAsia="zh-CN"/>
        </w:rPr>
        <w:t>站</w:t>
      </w:r>
      <w:r>
        <w:rPr>
          <w:rFonts w:hint="eastAsia" w:ascii="仿宋_GB2312" w:eastAsia="仿宋_GB2312"/>
          <w:color w:val="auto"/>
          <w:sz w:val="32"/>
          <w:szCs w:val="32"/>
        </w:rPr>
        <w:t>共有车辆</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辆。单价</w:t>
      </w:r>
      <w:r>
        <w:rPr>
          <w:rFonts w:ascii="仿宋_GB2312" w:eastAsia="仿宋_GB2312"/>
          <w:color w:val="auto"/>
          <w:sz w:val="32"/>
          <w:szCs w:val="32"/>
        </w:rPr>
        <w:t>100</w:t>
      </w:r>
      <w:r>
        <w:rPr>
          <w:rFonts w:hint="eastAsia" w:ascii="仿宋_GB2312" w:eastAsia="仿宋_GB2312"/>
          <w:color w:val="auto"/>
          <w:sz w:val="32"/>
          <w:szCs w:val="32"/>
        </w:rPr>
        <w:t>万元以上专用设备</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台（套）。</w:t>
      </w:r>
      <w:bookmarkStart w:id="151" w:name="_Toc7892"/>
    </w:p>
    <w:p>
      <w:pPr>
        <w:autoSpaceDE w:val="0"/>
        <w:autoSpaceDN w:val="0"/>
        <w:adjustRightInd w:val="0"/>
        <w:spacing w:line="600" w:lineRule="exact"/>
        <w:ind w:firstLine="640" w:firstLineChars="200"/>
        <w:jc w:val="left"/>
        <w:outlineLvl w:val="2"/>
        <w:rPr>
          <w:rStyle w:val="24"/>
          <w:rFonts w:ascii="黑体" w:hAnsi="黑体" w:eastAsia="黑体"/>
          <w:b w:val="0"/>
          <w:color w:val="auto"/>
        </w:rPr>
      </w:pPr>
      <w:bookmarkStart w:id="152" w:name="_Toc8522"/>
      <w:bookmarkStart w:id="153" w:name="_Toc13228"/>
      <w:bookmarkStart w:id="154" w:name="_Toc26911"/>
      <w:r>
        <w:rPr>
          <w:rStyle w:val="24"/>
          <w:rFonts w:hint="eastAsia" w:ascii="黑体" w:hAnsi="黑体" w:eastAsia="黑体"/>
          <w:b w:val="0"/>
          <w:color w:val="auto"/>
          <w:lang w:eastAsia="zh-CN"/>
        </w:rPr>
        <w:t>（四）</w:t>
      </w:r>
      <w:r>
        <w:rPr>
          <w:rStyle w:val="24"/>
          <w:rFonts w:hint="eastAsia" w:ascii="黑体" w:hAnsi="黑体" w:eastAsia="黑体"/>
          <w:b w:val="0"/>
          <w:color w:val="auto"/>
        </w:rPr>
        <w:t>预算绩效管理情况</w:t>
      </w:r>
      <w:bookmarkEnd w:id="151"/>
      <w:bookmarkEnd w:id="152"/>
      <w:bookmarkEnd w:id="153"/>
    </w:p>
    <w:bookmarkEnd w:id="154"/>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根据预算绩效管理要求，本单位在202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年度预算编制阶段，组织对粮食质量安全检验监测工作经费、实验室基础设施及仪器设备运行维护费等</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个项目开展了预算事前绩效评估，对</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个项目编制了绩效目标，预算执行过程中，选取</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个项目开展绩效监控，年终执行完毕后，对</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个项目开展了绩效自评，绩效自评表详见</w:t>
      </w:r>
      <w:r>
        <w:rPr>
          <w:rFonts w:hint="eastAsia" w:ascii="仿宋_GB2312" w:hAnsi="仿宋_GB2312" w:eastAsia="仿宋_GB2312" w:cs="仿宋_GB2312"/>
          <w:color w:val="auto"/>
          <w:sz w:val="32"/>
          <w:szCs w:val="32"/>
          <w:lang w:eastAsia="zh-CN"/>
        </w:rPr>
        <w:t>第四部分</w:t>
      </w:r>
      <w:r>
        <w:rPr>
          <w:rFonts w:hint="eastAsia" w:ascii="仿宋_GB2312" w:hAnsi="仿宋_GB2312" w:eastAsia="仿宋_GB2312" w:cs="仿宋_GB2312"/>
          <w:color w:val="auto"/>
          <w:sz w:val="32"/>
          <w:szCs w:val="32"/>
        </w:rPr>
        <w:t>附件。</w:t>
      </w:r>
    </w:p>
    <w:p>
      <w:pPr>
        <w:pStyle w:val="16"/>
        <w:rPr>
          <w:color w:val="auto"/>
        </w:rPr>
      </w:pPr>
    </w:p>
    <w:p>
      <w:pPr>
        <w:pStyle w:val="2"/>
        <w:spacing w:before="93"/>
        <w:rPr>
          <w:color w:val="auto"/>
          <w:highlight w:val="yellow"/>
        </w:rPr>
      </w:pPr>
    </w:p>
    <w:p>
      <w:pPr>
        <w:widowControl/>
        <w:jc w:val="left"/>
        <w:rPr>
          <w:rFonts w:ascii="仿宋_GB2312" w:eastAsia="仿宋_GB2312"/>
          <w:b/>
          <w:color w:val="auto"/>
          <w:sz w:val="32"/>
          <w:szCs w:val="32"/>
        </w:rPr>
      </w:pPr>
      <w:r>
        <w:rPr>
          <w:rFonts w:ascii="仿宋_GB2312" w:eastAsia="仿宋_GB2312"/>
          <w:b/>
          <w:color w:val="auto"/>
          <w:sz w:val="32"/>
          <w:szCs w:val="32"/>
        </w:rPr>
        <w:br w:type="page"/>
      </w:r>
    </w:p>
    <w:p>
      <w:pPr>
        <w:numPr>
          <w:ilvl w:val="0"/>
          <w:numId w:val="3"/>
        </w:numPr>
        <w:spacing w:line="600" w:lineRule="exact"/>
        <w:ind w:firstLine="660" w:firstLineChars="150"/>
        <w:jc w:val="center"/>
        <w:outlineLvl w:val="0"/>
        <w:rPr>
          <w:rStyle w:val="23"/>
          <w:rFonts w:ascii="黑体" w:hAnsi="黑体" w:eastAsia="黑体"/>
          <w:b w:val="0"/>
          <w:color w:val="auto"/>
        </w:rPr>
      </w:pPr>
      <w:bookmarkStart w:id="155" w:name="_Toc15377225"/>
      <w:bookmarkStart w:id="156" w:name="_Toc28594"/>
      <w:bookmarkStart w:id="157" w:name="_Toc15396613"/>
      <w:bookmarkStart w:id="158" w:name="_Toc4383"/>
      <w:r>
        <w:rPr>
          <w:rFonts w:hint="eastAsia" w:ascii="黑体" w:hAnsi="黑体" w:eastAsia="黑体"/>
          <w:color w:val="auto"/>
          <w:sz w:val="44"/>
          <w:szCs w:val="44"/>
        </w:rPr>
        <w:t>名</w:t>
      </w:r>
      <w:r>
        <w:rPr>
          <w:rStyle w:val="23"/>
          <w:rFonts w:hint="eastAsia" w:ascii="黑体" w:hAnsi="黑体" w:eastAsia="黑体"/>
          <w:b w:val="0"/>
          <w:color w:val="auto"/>
        </w:rPr>
        <w:t>词解释</w:t>
      </w:r>
      <w:bookmarkEnd w:id="155"/>
      <w:bookmarkEnd w:id="156"/>
      <w:bookmarkEnd w:id="157"/>
      <w:bookmarkEnd w:id="158"/>
    </w:p>
    <w:p>
      <w:pPr>
        <w:spacing w:line="600" w:lineRule="exact"/>
        <w:jc w:val="left"/>
        <w:rPr>
          <w:rFonts w:ascii="宋体"/>
          <w:b/>
          <w:color w:val="auto"/>
          <w:sz w:val="44"/>
          <w:szCs w:val="44"/>
        </w:rPr>
      </w:pPr>
    </w:p>
    <w:p>
      <w:pPr>
        <w:pStyle w:val="32"/>
        <w:numPr>
          <w:ilvl w:val="0"/>
          <w:numId w:val="4"/>
        </w:numPr>
        <w:spacing w:line="560" w:lineRule="exact"/>
        <w:ind w:left="425" w:leftChars="0" w:hanging="425" w:firstLineChars="0"/>
        <w:rPr>
          <w:rFonts w:hint="eastAsia" w:ascii="仿宋_GB2312" w:eastAsia="仿宋_GB2312"/>
          <w:color w:val="auto"/>
          <w:sz w:val="32"/>
          <w:szCs w:val="32"/>
        </w:rPr>
      </w:pPr>
      <w:r>
        <w:rPr>
          <w:rFonts w:hint="eastAsia" w:ascii="仿宋_GB2312" w:eastAsia="仿宋_GB2312"/>
          <w:color w:val="auto"/>
          <w:sz w:val="32"/>
          <w:szCs w:val="32"/>
        </w:rPr>
        <w:t>财政拨款收入：指单位从同级财政部门取得的财政预算资金。</w:t>
      </w:r>
    </w:p>
    <w:p>
      <w:pPr>
        <w:pStyle w:val="32"/>
        <w:numPr>
          <w:ilvl w:val="0"/>
          <w:numId w:val="4"/>
        </w:numPr>
        <w:spacing w:line="560" w:lineRule="exact"/>
        <w:ind w:left="425" w:leftChars="0" w:hanging="425" w:firstLineChars="0"/>
        <w:rPr>
          <w:rFonts w:ascii="仿宋_GB2312" w:eastAsia="仿宋_GB2312"/>
          <w:color w:val="auto"/>
          <w:sz w:val="32"/>
          <w:szCs w:val="32"/>
        </w:rPr>
      </w:pPr>
      <w:r>
        <w:rPr>
          <w:rFonts w:hint="eastAsia" w:ascii="仿宋_GB2312" w:eastAsia="仿宋_GB2312"/>
          <w:color w:val="auto"/>
          <w:sz w:val="32"/>
          <w:szCs w:val="32"/>
        </w:rPr>
        <w:t>其他收入：指单位取得的除上述收入以外的各项收入。主要是账户存款利息收入等。</w:t>
      </w:r>
      <w:r>
        <w:rPr>
          <w:rFonts w:ascii="仿宋_GB2312" w:eastAsia="仿宋_GB2312"/>
          <w:color w:val="auto"/>
          <w:sz w:val="32"/>
          <w:szCs w:val="32"/>
        </w:rPr>
        <w:t xml:space="preserve"> </w:t>
      </w:r>
    </w:p>
    <w:p>
      <w:pPr>
        <w:pStyle w:val="32"/>
        <w:numPr>
          <w:ilvl w:val="0"/>
          <w:numId w:val="4"/>
        </w:numPr>
        <w:spacing w:line="560" w:lineRule="exact"/>
        <w:ind w:left="425" w:leftChars="0" w:hanging="425" w:firstLineChars="0"/>
        <w:rPr>
          <w:rFonts w:ascii="仿宋_GB2312" w:eastAsia="仿宋_GB2312"/>
          <w:color w:val="auto"/>
          <w:sz w:val="32"/>
          <w:szCs w:val="32"/>
        </w:rPr>
      </w:pP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32"/>
        <w:numPr>
          <w:ilvl w:val="0"/>
          <w:numId w:val="4"/>
        </w:numPr>
        <w:spacing w:line="560" w:lineRule="exact"/>
        <w:ind w:left="425" w:leftChars="0" w:hanging="425" w:firstLineChars="0"/>
        <w:rPr>
          <w:rFonts w:hint="eastAsia" w:ascii="仿宋_GB2312" w:eastAsia="仿宋_GB2312"/>
          <w:color w:val="auto"/>
          <w:sz w:val="32"/>
          <w:szCs w:val="32"/>
        </w:rPr>
      </w:pPr>
      <w:r>
        <w:rPr>
          <w:rFonts w:hint="eastAsia" w:ascii="仿宋_GB2312" w:eastAsia="仿宋_GB2312"/>
          <w:color w:val="auto"/>
          <w:sz w:val="32"/>
          <w:szCs w:val="32"/>
        </w:rPr>
        <w:t>年末结转和结余：指单位按有关规定结转到下年或以后年度继续使用的资金。</w:t>
      </w:r>
    </w:p>
    <w:p>
      <w:pPr>
        <w:pStyle w:val="32"/>
        <w:numPr>
          <w:ilvl w:val="0"/>
          <w:numId w:val="0"/>
        </w:numPr>
        <w:spacing w:line="560" w:lineRule="exact"/>
        <w:ind w:leftChars="0"/>
        <w:rPr>
          <w:color w:val="auto"/>
        </w:rPr>
      </w:pPr>
      <w:r>
        <w:rPr>
          <w:rFonts w:hint="default" w:ascii="仿宋_GB2312" w:eastAsia="仿宋_GB2312"/>
          <w:b w:val="0"/>
          <w:bCs w:val="0"/>
          <w:color w:val="auto"/>
          <w:sz w:val="32"/>
          <w:szCs w:val="32"/>
          <w:lang w:eastAsia="zh-CN"/>
        </w:rPr>
        <w:t>5.</w:t>
      </w:r>
      <w:r>
        <w:rPr>
          <w:rFonts w:hint="eastAsia" w:ascii="仿宋_GB2312" w:eastAsia="仿宋_GB2312"/>
          <w:b w:val="0"/>
          <w:bCs w:val="0"/>
          <w:color w:val="auto"/>
          <w:sz w:val="32"/>
          <w:szCs w:val="32"/>
          <w:lang w:val="en-US" w:eastAsia="zh-CN"/>
        </w:rPr>
        <w:t>社会保障和就业支出（类）行政事业单位养老支出（款）</w:t>
      </w:r>
      <w:r>
        <w:rPr>
          <w:rFonts w:hint="default" w:ascii="仿宋_GB2312" w:eastAsia="仿宋_GB2312"/>
          <w:b w:val="0"/>
          <w:bCs w:val="0"/>
          <w:color w:val="auto"/>
          <w:sz w:val="32"/>
          <w:szCs w:val="32"/>
          <w:lang w:eastAsia="zh-CN"/>
        </w:rPr>
        <w:t xml:space="preserve">  </w:t>
      </w:r>
      <w:r>
        <w:rPr>
          <w:rFonts w:hint="eastAsia" w:ascii="仿宋_GB2312" w:eastAsia="仿宋_GB2312"/>
          <w:b w:val="0"/>
          <w:bCs w:val="0"/>
          <w:color w:val="auto"/>
          <w:sz w:val="32"/>
          <w:szCs w:val="32"/>
          <w:lang w:val="en-US" w:eastAsia="zh-CN"/>
        </w:rPr>
        <w:t>机关事业单位基本养老保险缴费支出（项）指本单位人员养老保险支出。</w:t>
      </w:r>
    </w:p>
    <w:p>
      <w:pPr>
        <w:pStyle w:val="32"/>
        <w:numPr>
          <w:ilvl w:val="0"/>
          <w:numId w:val="0"/>
        </w:numPr>
        <w:spacing w:line="560" w:lineRule="exact"/>
        <w:ind w:leftChars="0"/>
        <w:rPr>
          <w:color w:val="auto"/>
        </w:rPr>
      </w:pPr>
      <w:r>
        <w:rPr>
          <w:rFonts w:hint="default" w:ascii="仿宋_GB2312" w:eastAsia="仿宋_GB2312"/>
          <w:b w:val="0"/>
          <w:bCs w:val="0"/>
          <w:color w:val="auto"/>
          <w:sz w:val="32"/>
          <w:szCs w:val="32"/>
          <w:lang w:eastAsia="zh-CN"/>
        </w:rPr>
        <w:t>6.</w:t>
      </w:r>
      <w:r>
        <w:rPr>
          <w:rFonts w:hint="eastAsia" w:ascii="仿宋_GB2312" w:eastAsia="仿宋_GB2312"/>
          <w:b w:val="0"/>
          <w:bCs w:val="0"/>
          <w:color w:val="auto"/>
          <w:sz w:val="32"/>
          <w:szCs w:val="32"/>
          <w:lang w:val="en-US" w:eastAsia="zh-CN"/>
        </w:rPr>
        <w:t>社会保障和就业支出（类）行政事业单位养老支出（款）机关事业单位职业年金缴费支出（项）指本单位退休人中职业年金纪实支出。</w:t>
      </w:r>
    </w:p>
    <w:p>
      <w:pPr>
        <w:pStyle w:val="32"/>
        <w:numPr>
          <w:ilvl w:val="0"/>
          <w:numId w:val="0"/>
        </w:numPr>
        <w:spacing w:line="560" w:lineRule="exact"/>
        <w:ind w:leftChars="0"/>
        <w:rPr>
          <w:color w:val="auto"/>
        </w:rPr>
      </w:pPr>
      <w:r>
        <w:rPr>
          <w:rFonts w:hint="default" w:ascii="仿宋_GB2312" w:eastAsia="仿宋_GB2312"/>
          <w:b w:val="0"/>
          <w:bCs w:val="0"/>
          <w:color w:val="auto"/>
          <w:sz w:val="32"/>
          <w:szCs w:val="32"/>
          <w:lang w:eastAsia="zh-CN"/>
        </w:rPr>
        <w:t>7.</w:t>
      </w:r>
      <w:r>
        <w:rPr>
          <w:rFonts w:hint="eastAsia" w:ascii="仿宋_GB2312" w:eastAsia="仿宋_GB2312"/>
          <w:b w:val="0"/>
          <w:bCs w:val="0"/>
          <w:color w:val="auto"/>
          <w:sz w:val="32"/>
          <w:szCs w:val="32"/>
          <w:lang w:val="en-US" w:eastAsia="zh-CN"/>
        </w:rPr>
        <w:t>社会保障和就业支出（类）其他社会保障和就业支出（款）其他社会保障和就业支出（项）指本单位其他社会保障缴费。</w:t>
      </w:r>
    </w:p>
    <w:p>
      <w:pPr>
        <w:pStyle w:val="32"/>
        <w:numPr>
          <w:ilvl w:val="0"/>
          <w:numId w:val="0"/>
        </w:numPr>
        <w:spacing w:line="560" w:lineRule="exact"/>
        <w:ind w:leftChars="0"/>
        <w:rPr>
          <w:color w:val="auto"/>
        </w:rPr>
      </w:pPr>
      <w:r>
        <w:rPr>
          <w:rFonts w:hint="default" w:hAnsi="仿宋"/>
          <w:b w:val="0"/>
          <w:bCs w:val="0"/>
          <w:color w:val="auto"/>
          <w:sz w:val="32"/>
          <w:szCs w:val="32"/>
        </w:rPr>
        <w:t>8.</w:t>
      </w:r>
      <w:r>
        <w:rPr>
          <w:rFonts w:hint="eastAsia" w:ascii="仿宋" w:hAnsi="仿宋" w:eastAsia="仿宋"/>
          <w:b w:val="0"/>
          <w:bCs w:val="0"/>
          <w:color w:val="auto"/>
          <w:sz w:val="32"/>
          <w:szCs w:val="32"/>
        </w:rPr>
        <w:t>卫生健康支出</w:t>
      </w:r>
      <w:r>
        <w:rPr>
          <w:rStyle w:val="21"/>
          <w:rFonts w:hint="eastAsia" w:ascii="仿宋" w:hAnsi="仿宋" w:eastAsia="仿宋"/>
          <w:b w:val="0"/>
          <w:bCs w:val="0"/>
          <w:color w:val="auto"/>
          <w:sz w:val="32"/>
          <w:szCs w:val="32"/>
        </w:rPr>
        <w:t>（类）行政</w:t>
      </w:r>
      <w:r>
        <w:rPr>
          <w:rStyle w:val="21"/>
          <w:rFonts w:hint="eastAsia" w:ascii="仿宋" w:hAnsi="仿宋" w:eastAsia="仿宋"/>
          <w:b w:val="0"/>
          <w:bCs w:val="0"/>
          <w:color w:val="auto"/>
          <w:sz w:val="32"/>
          <w:szCs w:val="32"/>
          <w:lang w:eastAsia="zh-CN"/>
        </w:rPr>
        <w:t>事业</w:t>
      </w:r>
      <w:r>
        <w:rPr>
          <w:rStyle w:val="21"/>
          <w:rFonts w:hint="eastAsia" w:ascii="仿宋" w:hAnsi="仿宋" w:eastAsia="仿宋"/>
          <w:b w:val="0"/>
          <w:bCs w:val="0"/>
          <w:color w:val="auto"/>
          <w:sz w:val="32"/>
          <w:szCs w:val="32"/>
        </w:rPr>
        <w:t>单位医疗（款）</w:t>
      </w:r>
      <w:r>
        <w:rPr>
          <w:rStyle w:val="21"/>
          <w:rFonts w:hint="eastAsia" w:ascii="仿宋" w:hAnsi="仿宋" w:eastAsia="仿宋"/>
          <w:b w:val="0"/>
          <w:bCs w:val="0"/>
          <w:color w:val="auto"/>
          <w:sz w:val="32"/>
          <w:szCs w:val="32"/>
          <w:lang w:eastAsia="zh-CN"/>
        </w:rPr>
        <w:t>事业</w:t>
      </w:r>
      <w:r>
        <w:rPr>
          <w:rStyle w:val="21"/>
          <w:rFonts w:hint="eastAsia" w:ascii="仿宋" w:hAnsi="仿宋" w:eastAsia="仿宋"/>
          <w:b w:val="0"/>
          <w:bCs w:val="0"/>
          <w:color w:val="auto"/>
          <w:sz w:val="32"/>
          <w:szCs w:val="32"/>
        </w:rPr>
        <w:t>单位医疗（项）指</w:t>
      </w:r>
      <w:r>
        <w:rPr>
          <w:rFonts w:hint="eastAsia" w:ascii="仿宋_GB2312" w:eastAsia="仿宋_GB2312"/>
          <w:b w:val="0"/>
          <w:bCs w:val="0"/>
          <w:color w:val="auto"/>
          <w:sz w:val="32"/>
          <w:szCs w:val="32"/>
          <w:lang w:eastAsia="zh-CN"/>
        </w:rPr>
        <w:t>事业单位人员</w:t>
      </w:r>
      <w:r>
        <w:rPr>
          <w:rFonts w:hint="eastAsia" w:ascii="仿宋_GB2312" w:eastAsia="仿宋_GB2312"/>
          <w:b w:val="0"/>
          <w:bCs w:val="0"/>
          <w:color w:val="auto"/>
          <w:sz w:val="32"/>
          <w:szCs w:val="32"/>
        </w:rPr>
        <w:t>医疗保险支出</w:t>
      </w:r>
      <w:r>
        <w:rPr>
          <w:rStyle w:val="21"/>
          <w:rFonts w:hint="eastAsia" w:ascii="仿宋" w:hAnsi="仿宋" w:eastAsia="仿宋"/>
          <w:b w:val="0"/>
          <w:bCs w:val="0"/>
          <w:color w:val="auto"/>
          <w:sz w:val="32"/>
          <w:szCs w:val="32"/>
        </w:rPr>
        <w:t>。</w:t>
      </w:r>
    </w:p>
    <w:p>
      <w:pPr>
        <w:numPr>
          <w:ilvl w:val="0"/>
          <w:numId w:val="0"/>
        </w:numPr>
        <w:spacing w:line="600" w:lineRule="exact"/>
        <w:ind w:leftChars="0"/>
        <w:rPr>
          <w:color w:val="auto"/>
        </w:rPr>
      </w:pPr>
      <w:r>
        <w:rPr>
          <w:rFonts w:hint="default" w:ascii="仿宋" w:hAnsi="仿宋" w:eastAsia="仿宋"/>
          <w:b w:val="0"/>
          <w:bCs w:val="0"/>
          <w:color w:val="auto"/>
          <w:sz w:val="32"/>
          <w:szCs w:val="32"/>
        </w:rPr>
        <w:t>9.</w:t>
      </w:r>
      <w:r>
        <w:rPr>
          <w:rFonts w:hint="eastAsia" w:ascii="仿宋" w:hAnsi="仿宋" w:eastAsia="仿宋"/>
          <w:b w:val="0"/>
          <w:bCs w:val="0"/>
          <w:color w:val="auto"/>
          <w:sz w:val="32"/>
          <w:szCs w:val="32"/>
        </w:rPr>
        <w:t>住房保障支出（类）住房改革支出（款）住房公积金（项）指</w:t>
      </w:r>
      <w:r>
        <w:rPr>
          <w:rFonts w:hint="eastAsia" w:ascii="仿宋" w:hAnsi="仿宋" w:eastAsia="仿宋"/>
          <w:b w:val="0"/>
          <w:bCs w:val="0"/>
          <w:color w:val="auto"/>
          <w:sz w:val="32"/>
          <w:szCs w:val="32"/>
          <w:lang w:eastAsia="zh-CN"/>
        </w:rPr>
        <w:t>事业单位</w:t>
      </w:r>
      <w:r>
        <w:rPr>
          <w:rFonts w:hint="eastAsia" w:ascii="仿宋" w:hAnsi="仿宋" w:eastAsia="仿宋"/>
          <w:b w:val="0"/>
          <w:bCs w:val="0"/>
          <w:color w:val="auto"/>
          <w:sz w:val="32"/>
          <w:szCs w:val="32"/>
        </w:rPr>
        <w:t>人员住房公积金缴费支出。</w:t>
      </w:r>
    </w:p>
    <w:p>
      <w:pPr>
        <w:numPr>
          <w:ilvl w:val="0"/>
          <w:numId w:val="0"/>
        </w:numPr>
        <w:spacing w:line="600" w:lineRule="exact"/>
        <w:ind w:leftChars="0"/>
        <w:rPr>
          <w:rFonts w:hint="eastAsia" w:ascii="仿宋_GB2312" w:hAnsi="仿宋" w:eastAsia="仿宋_GB2312"/>
          <w:color w:val="auto"/>
          <w:sz w:val="32"/>
          <w:szCs w:val="32"/>
        </w:rPr>
      </w:pPr>
      <w:r>
        <w:rPr>
          <w:rFonts w:hint="default" w:ascii="仿宋_GB2312" w:hAnsi="仿宋" w:eastAsia="仿宋_GB2312"/>
          <w:color w:val="auto"/>
          <w:sz w:val="32"/>
          <w:szCs w:val="32"/>
        </w:rPr>
        <w:t>10.</w:t>
      </w:r>
      <w:r>
        <w:rPr>
          <w:rFonts w:hint="eastAsia" w:ascii="仿宋_GB2312" w:hAnsi="仿宋" w:eastAsia="仿宋_GB2312"/>
          <w:color w:val="auto"/>
          <w:sz w:val="32"/>
          <w:szCs w:val="32"/>
        </w:rPr>
        <w:t>粮油物资储备支出（类）粮油</w:t>
      </w:r>
      <w:r>
        <w:rPr>
          <w:rFonts w:hint="eastAsia" w:ascii="仿宋_GB2312" w:hAnsi="仿宋" w:eastAsia="仿宋_GB2312"/>
          <w:color w:val="auto"/>
          <w:sz w:val="32"/>
          <w:szCs w:val="32"/>
          <w:lang w:eastAsia="zh-CN"/>
        </w:rPr>
        <w:t>物资</w:t>
      </w:r>
      <w:r>
        <w:rPr>
          <w:rFonts w:hint="eastAsia" w:ascii="仿宋_GB2312" w:hAnsi="仿宋" w:eastAsia="仿宋_GB2312"/>
          <w:color w:val="auto"/>
          <w:sz w:val="32"/>
          <w:szCs w:val="32"/>
        </w:rPr>
        <w:t>事务（款）专项业务活动（项）反映粮食体制改革、制度研究、军粮供应等专项业务活动。</w:t>
      </w:r>
    </w:p>
    <w:p>
      <w:pPr>
        <w:pStyle w:val="32"/>
        <w:numPr>
          <w:ilvl w:val="0"/>
          <w:numId w:val="0"/>
        </w:numPr>
        <w:spacing w:line="560" w:lineRule="exact"/>
        <w:ind w:leftChars="0"/>
        <w:rPr>
          <w:rFonts w:hint="eastAsia"/>
          <w:color w:val="auto"/>
        </w:rPr>
      </w:pPr>
      <w:r>
        <w:rPr>
          <w:rFonts w:hint="default" w:ascii="仿宋_GB2312" w:hAnsi="仿宋" w:eastAsia="仿宋_GB2312"/>
          <w:color w:val="auto"/>
          <w:sz w:val="32"/>
          <w:szCs w:val="32"/>
        </w:rPr>
        <w:t>1</w:t>
      </w:r>
      <w:r>
        <w:rPr>
          <w:rFonts w:hint="eastAsia" w:ascii="仿宋_GB2312" w:hAnsi="仿宋" w:eastAsia="仿宋_GB2312"/>
          <w:color w:val="auto"/>
          <w:sz w:val="32"/>
          <w:szCs w:val="32"/>
          <w:lang w:val="en-US" w:eastAsia="zh-CN"/>
        </w:rPr>
        <w:t>1</w:t>
      </w:r>
      <w:r>
        <w:rPr>
          <w:rFonts w:hint="default" w:ascii="仿宋_GB2312" w:hAnsi="仿宋" w:eastAsia="仿宋_GB2312"/>
          <w:color w:val="auto"/>
          <w:sz w:val="32"/>
          <w:szCs w:val="32"/>
        </w:rPr>
        <w:t>.</w:t>
      </w:r>
      <w:r>
        <w:rPr>
          <w:rFonts w:hint="eastAsia" w:ascii="仿宋_GB2312" w:hAnsi="仿宋" w:eastAsia="仿宋_GB2312"/>
          <w:color w:val="auto"/>
          <w:sz w:val="32"/>
          <w:szCs w:val="32"/>
        </w:rPr>
        <w:t>油物资储备支出（类）粮油</w:t>
      </w:r>
      <w:r>
        <w:rPr>
          <w:rFonts w:hint="eastAsia" w:ascii="仿宋_GB2312" w:hAnsi="仿宋" w:eastAsia="仿宋_GB2312"/>
          <w:color w:val="auto"/>
          <w:sz w:val="32"/>
          <w:szCs w:val="32"/>
          <w:lang w:eastAsia="zh-CN"/>
        </w:rPr>
        <w:t>物资</w:t>
      </w:r>
      <w:r>
        <w:rPr>
          <w:rFonts w:hint="eastAsia" w:ascii="仿宋_GB2312" w:hAnsi="仿宋" w:eastAsia="仿宋_GB2312"/>
          <w:color w:val="auto"/>
          <w:sz w:val="32"/>
          <w:szCs w:val="32"/>
        </w:rPr>
        <w:t>事务（款）事业运行（项）反映事业单位的基本支出。</w:t>
      </w:r>
    </w:p>
    <w:p>
      <w:pPr>
        <w:numPr>
          <w:ilvl w:val="0"/>
          <w:numId w:val="0"/>
        </w:numPr>
        <w:spacing w:line="600" w:lineRule="exact"/>
        <w:ind w:leftChars="0"/>
        <w:rPr>
          <w:rFonts w:hint="eastAsia"/>
          <w:color w:val="auto"/>
        </w:rPr>
      </w:pPr>
      <w:r>
        <w:rPr>
          <w:rFonts w:hint="default" w:ascii="仿宋_GB2312" w:hAnsi="仿宋" w:eastAsia="仿宋_GB2312"/>
          <w:color w:val="auto"/>
          <w:sz w:val="32"/>
          <w:szCs w:val="32"/>
        </w:rPr>
        <w:t>1</w:t>
      </w:r>
      <w:r>
        <w:rPr>
          <w:rFonts w:hint="eastAsia" w:ascii="仿宋_GB2312" w:hAnsi="仿宋" w:eastAsia="仿宋_GB2312"/>
          <w:color w:val="auto"/>
          <w:sz w:val="32"/>
          <w:szCs w:val="32"/>
          <w:lang w:val="en-US" w:eastAsia="zh-CN"/>
        </w:rPr>
        <w:t>2</w:t>
      </w:r>
      <w:r>
        <w:rPr>
          <w:rFonts w:hint="default" w:ascii="仿宋_GB2312" w:hAnsi="仿宋" w:eastAsia="仿宋_GB2312"/>
          <w:color w:val="auto"/>
          <w:sz w:val="32"/>
          <w:szCs w:val="32"/>
        </w:rPr>
        <w:t>.</w:t>
      </w:r>
      <w:r>
        <w:rPr>
          <w:rFonts w:hint="eastAsia" w:ascii="仿宋_GB2312" w:hAnsi="仿宋" w:eastAsia="仿宋_GB2312"/>
          <w:color w:val="auto"/>
          <w:sz w:val="32"/>
          <w:szCs w:val="32"/>
        </w:rPr>
        <w:t>粮油物资储备支出（类）粮油</w:t>
      </w:r>
      <w:r>
        <w:rPr>
          <w:rFonts w:hint="eastAsia" w:ascii="仿宋_GB2312" w:hAnsi="仿宋" w:eastAsia="仿宋_GB2312"/>
          <w:color w:val="auto"/>
          <w:sz w:val="32"/>
          <w:szCs w:val="32"/>
          <w:lang w:eastAsia="zh-CN"/>
        </w:rPr>
        <w:t>物资</w:t>
      </w:r>
      <w:r>
        <w:rPr>
          <w:rFonts w:hint="eastAsia" w:ascii="仿宋_GB2312" w:hAnsi="仿宋" w:eastAsia="仿宋_GB2312"/>
          <w:color w:val="auto"/>
          <w:sz w:val="32"/>
          <w:szCs w:val="32"/>
        </w:rPr>
        <w:t>事务（款）其他粮油</w:t>
      </w:r>
      <w:r>
        <w:rPr>
          <w:rFonts w:hint="eastAsia" w:ascii="仿宋_GB2312" w:hAnsi="仿宋" w:eastAsia="仿宋_GB2312"/>
          <w:color w:val="auto"/>
          <w:sz w:val="32"/>
          <w:szCs w:val="32"/>
          <w:lang w:eastAsia="zh-CN"/>
        </w:rPr>
        <w:t>物资</w:t>
      </w:r>
      <w:r>
        <w:rPr>
          <w:rFonts w:hint="eastAsia" w:ascii="仿宋_GB2312" w:hAnsi="仿宋" w:eastAsia="仿宋_GB2312"/>
          <w:color w:val="auto"/>
          <w:sz w:val="32"/>
          <w:szCs w:val="32"/>
        </w:rPr>
        <w:t>事务支出（项）反映除上述项目以外其他用于粮油</w:t>
      </w:r>
      <w:r>
        <w:rPr>
          <w:rFonts w:hint="eastAsia" w:ascii="仿宋_GB2312" w:hAnsi="仿宋" w:eastAsia="仿宋_GB2312"/>
          <w:color w:val="auto"/>
          <w:sz w:val="32"/>
          <w:szCs w:val="32"/>
          <w:lang w:eastAsia="zh-CN"/>
        </w:rPr>
        <w:t>物资</w:t>
      </w:r>
      <w:r>
        <w:rPr>
          <w:rFonts w:hint="eastAsia" w:ascii="仿宋_GB2312" w:hAnsi="仿宋" w:eastAsia="仿宋_GB2312"/>
          <w:color w:val="auto"/>
          <w:sz w:val="32"/>
          <w:szCs w:val="32"/>
        </w:rPr>
        <w:t>事务方面的支出。</w:t>
      </w:r>
    </w:p>
    <w:p>
      <w:pPr>
        <w:numPr>
          <w:ilvl w:val="0"/>
          <w:numId w:val="0"/>
        </w:numPr>
        <w:spacing w:line="600" w:lineRule="exact"/>
        <w:ind w:leftChars="0"/>
        <w:rPr>
          <w:rFonts w:ascii="仿宋_GB2312" w:eastAsia="仿宋_GB2312"/>
          <w:color w:val="auto"/>
          <w:sz w:val="32"/>
          <w:szCs w:val="32"/>
        </w:rPr>
      </w:pPr>
      <w:r>
        <w:rPr>
          <w:rFonts w:hint="default" w:ascii="仿宋_GB2312" w:eastAsia="仿宋_GB2312"/>
          <w:color w:val="auto"/>
          <w:sz w:val="32"/>
          <w:szCs w:val="32"/>
        </w:rPr>
        <w:t>1</w:t>
      </w:r>
      <w:r>
        <w:rPr>
          <w:rFonts w:hint="eastAsia" w:ascii="仿宋_GB2312" w:eastAsia="仿宋_GB2312"/>
          <w:color w:val="auto"/>
          <w:sz w:val="32"/>
          <w:szCs w:val="32"/>
          <w:lang w:val="en-US" w:eastAsia="zh-CN"/>
        </w:rPr>
        <w:t>3</w:t>
      </w:r>
      <w:r>
        <w:rPr>
          <w:rFonts w:hint="default" w:ascii="仿宋_GB2312" w:eastAsia="仿宋_GB2312"/>
          <w:color w:val="auto"/>
          <w:sz w:val="32"/>
          <w:szCs w:val="32"/>
        </w:rPr>
        <w:t>.</w:t>
      </w:r>
      <w:r>
        <w:rPr>
          <w:rFonts w:hint="eastAsia" w:ascii="仿宋_GB2312" w:eastAsia="仿宋_GB2312"/>
          <w:color w:val="auto"/>
          <w:sz w:val="32"/>
          <w:szCs w:val="32"/>
        </w:rPr>
        <w:t>基本支出：指为保障机构正常运转、完成日常工作任务而发生的人员支出和公用支出。</w:t>
      </w:r>
    </w:p>
    <w:p>
      <w:pPr>
        <w:numPr>
          <w:ilvl w:val="0"/>
          <w:numId w:val="0"/>
        </w:numPr>
        <w:spacing w:line="600" w:lineRule="exact"/>
        <w:ind w:leftChars="0"/>
        <w:rPr>
          <w:rFonts w:ascii="仿宋_GB2312" w:eastAsia="仿宋_GB2312"/>
          <w:color w:val="auto"/>
          <w:sz w:val="32"/>
          <w:szCs w:val="32"/>
        </w:rPr>
      </w:pPr>
      <w:r>
        <w:rPr>
          <w:rFonts w:hint="default" w:ascii="仿宋_GB2312" w:eastAsia="仿宋_GB2312"/>
          <w:color w:val="auto"/>
          <w:sz w:val="32"/>
          <w:szCs w:val="32"/>
        </w:rPr>
        <w:t>1</w:t>
      </w:r>
      <w:r>
        <w:rPr>
          <w:rFonts w:hint="eastAsia" w:ascii="仿宋_GB2312" w:eastAsia="仿宋_GB2312"/>
          <w:color w:val="auto"/>
          <w:sz w:val="32"/>
          <w:szCs w:val="32"/>
          <w:lang w:val="en-US" w:eastAsia="zh-CN"/>
        </w:rPr>
        <w:t>4</w:t>
      </w:r>
      <w:r>
        <w:rPr>
          <w:rFonts w:hint="default" w:ascii="仿宋_GB2312" w:eastAsia="仿宋_GB2312"/>
          <w:color w:val="auto"/>
          <w:sz w:val="32"/>
          <w:szCs w:val="32"/>
        </w:rPr>
        <w:t>.</w:t>
      </w:r>
      <w:r>
        <w:rPr>
          <w:rFonts w:hint="eastAsia" w:ascii="仿宋_GB2312" w:eastAsia="仿宋_GB2312"/>
          <w:color w:val="auto"/>
          <w:sz w:val="32"/>
          <w:szCs w:val="32"/>
        </w:rPr>
        <w:t>项目支出：指在基本支出之外为完成特定事业发展目标所发生的支出。</w:t>
      </w:r>
      <w:r>
        <w:rPr>
          <w:rFonts w:ascii="仿宋_GB2312" w:eastAsia="仿宋_GB2312"/>
          <w:color w:val="auto"/>
          <w:sz w:val="32"/>
          <w:szCs w:val="32"/>
        </w:rPr>
        <w:t xml:space="preserve"> </w:t>
      </w:r>
    </w:p>
    <w:p>
      <w:pPr>
        <w:numPr>
          <w:ilvl w:val="0"/>
          <w:numId w:val="0"/>
        </w:numPr>
        <w:spacing w:line="600" w:lineRule="exact"/>
        <w:ind w:leftChars="0"/>
        <w:rPr>
          <w:color w:val="auto"/>
        </w:rPr>
      </w:pPr>
      <w:r>
        <w:rPr>
          <w:rFonts w:hint="default" w:ascii="仿宋_GB2312" w:eastAsia="仿宋_GB2312"/>
          <w:color w:val="auto"/>
          <w:sz w:val="32"/>
          <w:szCs w:val="32"/>
        </w:rPr>
        <w:t>1</w:t>
      </w:r>
      <w:r>
        <w:rPr>
          <w:rFonts w:hint="eastAsia" w:ascii="仿宋_GB2312" w:eastAsia="仿宋_GB2312"/>
          <w:color w:val="auto"/>
          <w:sz w:val="32"/>
          <w:szCs w:val="32"/>
          <w:lang w:val="en-US" w:eastAsia="zh-CN"/>
        </w:rPr>
        <w:t>5</w:t>
      </w:r>
      <w:r>
        <w:rPr>
          <w:rFonts w:hint="default"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159" w:name="_Toc15377226"/>
    </w:p>
    <w:p>
      <w:pPr>
        <w:spacing w:beforeLines="0" w:afterLines="0" w:line="600" w:lineRule="exact"/>
        <w:jc w:val="center"/>
        <w:outlineLvl w:val="0"/>
        <w:rPr>
          <w:rFonts w:hint="eastAsia" w:ascii="黑体" w:hAnsi="黑体" w:eastAsia="黑体"/>
          <w:color w:val="auto"/>
          <w:sz w:val="44"/>
          <w:szCs w:val="44"/>
        </w:rPr>
      </w:pPr>
      <w:bookmarkStart w:id="160" w:name="_Toc6997"/>
      <w:bookmarkStart w:id="161" w:name="_Toc15396618"/>
      <w:bookmarkStart w:id="162" w:name="_Toc22559"/>
    </w:p>
    <w:p>
      <w:pPr>
        <w:spacing w:beforeLines="0" w:afterLines="0" w:line="600" w:lineRule="exact"/>
        <w:jc w:val="center"/>
        <w:outlineLvl w:val="0"/>
        <w:rPr>
          <w:rFonts w:hint="eastAsia" w:ascii="黑体" w:hAnsi="黑体" w:eastAsia="黑体"/>
          <w:color w:val="auto"/>
          <w:sz w:val="44"/>
          <w:szCs w:val="44"/>
        </w:rPr>
      </w:pPr>
    </w:p>
    <w:p>
      <w:pPr>
        <w:spacing w:beforeLines="0" w:afterLines="0" w:line="600" w:lineRule="exact"/>
        <w:jc w:val="center"/>
        <w:outlineLvl w:val="0"/>
        <w:rPr>
          <w:rFonts w:hint="eastAsia" w:ascii="黑体" w:hAnsi="黑体" w:eastAsia="黑体"/>
          <w:color w:val="auto"/>
          <w:sz w:val="44"/>
          <w:szCs w:val="44"/>
        </w:rPr>
      </w:pPr>
    </w:p>
    <w:p>
      <w:pPr>
        <w:spacing w:beforeLines="0" w:afterLines="0" w:line="600" w:lineRule="exact"/>
        <w:jc w:val="center"/>
        <w:outlineLvl w:val="0"/>
        <w:rPr>
          <w:rFonts w:hint="eastAsia" w:ascii="黑体" w:hAnsi="黑体" w:eastAsia="黑体"/>
          <w:color w:val="auto"/>
          <w:sz w:val="44"/>
          <w:szCs w:val="44"/>
        </w:rPr>
      </w:pPr>
    </w:p>
    <w:p>
      <w:pPr>
        <w:spacing w:beforeLines="0" w:afterLines="0" w:line="600" w:lineRule="exact"/>
        <w:jc w:val="center"/>
        <w:outlineLvl w:val="0"/>
        <w:rPr>
          <w:rFonts w:hint="eastAsia" w:ascii="黑体" w:hAnsi="黑体" w:eastAsia="黑体"/>
          <w:color w:val="auto"/>
          <w:sz w:val="44"/>
          <w:szCs w:val="44"/>
        </w:rPr>
      </w:pPr>
    </w:p>
    <w:p>
      <w:pPr>
        <w:spacing w:beforeLines="0" w:afterLines="0" w:line="600" w:lineRule="exact"/>
        <w:jc w:val="center"/>
        <w:outlineLvl w:val="0"/>
        <w:rPr>
          <w:rStyle w:val="23"/>
          <w:rFonts w:hint="eastAsia" w:ascii="黑体" w:hAnsi="黑体" w:eastAsia="黑体"/>
          <w:b w:val="0"/>
          <w:color w:val="auto"/>
          <w:sz w:val="44"/>
          <w:szCs w:val="24"/>
        </w:rPr>
      </w:pPr>
      <w:bookmarkStart w:id="163" w:name="_Toc5679"/>
      <w:r>
        <w:rPr>
          <w:rFonts w:hint="eastAsia" w:ascii="黑体" w:hAnsi="黑体" w:eastAsia="黑体"/>
          <w:color w:val="auto"/>
          <w:sz w:val="44"/>
          <w:szCs w:val="44"/>
        </w:rPr>
        <w:t>第</w:t>
      </w:r>
      <w:r>
        <w:rPr>
          <w:rStyle w:val="23"/>
          <w:rFonts w:hint="eastAsia" w:ascii="黑体" w:hAnsi="黑体" w:eastAsia="黑体"/>
          <w:b w:val="0"/>
          <w:color w:val="auto"/>
          <w:sz w:val="44"/>
          <w:szCs w:val="24"/>
        </w:rPr>
        <w:t>四部分 附件</w:t>
      </w:r>
      <w:bookmarkEnd w:id="160"/>
      <w:bookmarkEnd w:id="163"/>
    </w:p>
    <w:p>
      <w:pPr>
        <w:spacing w:beforeLines="0" w:afterLines="0" w:line="572" w:lineRule="exact"/>
        <w:jc w:val="left"/>
        <w:rPr>
          <w:rFonts w:hint="eastAsia" w:ascii="仿宋_GB2312" w:hAnsi="仿宋_GB2312" w:eastAsia="仿宋_GB2312" w:cs="仿宋_GB2312"/>
          <w:color w:val="auto"/>
          <w:sz w:val="32"/>
          <w:szCs w:val="32"/>
        </w:rPr>
      </w:pPr>
    </w:p>
    <w:p>
      <w:pPr>
        <w:spacing w:beforeLines="0" w:afterLines="0" w:line="600" w:lineRule="exact"/>
        <w:jc w:val="center"/>
        <w:outlineLvl w:val="1"/>
        <w:rPr>
          <w:rFonts w:hint="default" w:ascii="宋体" w:hAnsi="宋体" w:cs="宋体"/>
          <w:color w:val="auto"/>
          <w:kern w:val="0"/>
          <w:sz w:val="32"/>
          <w:szCs w:val="32"/>
        </w:rPr>
      </w:pPr>
      <w:bookmarkStart w:id="164" w:name="_Toc7478"/>
      <w:bookmarkStart w:id="165" w:name="_Toc12890"/>
      <w:bookmarkStart w:id="166" w:name="_Toc1743"/>
      <w:bookmarkStart w:id="167" w:name="_Toc21060"/>
      <w:r>
        <w:rPr>
          <w:rFonts w:hint="default" w:ascii="宋体" w:hAnsi="宋体" w:cs="宋体"/>
          <w:color w:val="auto"/>
          <w:kern w:val="0"/>
          <w:sz w:val="32"/>
          <w:szCs w:val="32"/>
        </w:rPr>
        <w:t>部门预算项目支出绩效自评表（202</w:t>
      </w:r>
      <w:r>
        <w:rPr>
          <w:rFonts w:hint="eastAsia" w:ascii="宋体" w:hAnsi="宋体" w:cs="宋体"/>
          <w:color w:val="auto"/>
          <w:kern w:val="0"/>
          <w:sz w:val="32"/>
          <w:szCs w:val="32"/>
          <w:lang w:val="en-US" w:eastAsia="zh-CN"/>
        </w:rPr>
        <w:t>4</w:t>
      </w:r>
      <w:r>
        <w:rPr>
          <w:rFonts w:hint="default" w:ascii="宋体" w:hAnsi="宋体" w:cs="宋体"/>
          <w:color w:val="auto"/>
          <w:kern w:val="0"/>
          <w:sz w:val="32"/>
          <w:szCs w:val="32"/>
        </w:rPr>
        <w:t>年度）</w:t>
      </w:r>
      <w:bookmarkEnd w:id="164"/>
      <w:bookmarkEnd w:id="165"/>
      <w:bookmarkEnd w:id="166"/>
      <w:bookmarkEnd w:id="167"/>
    </w:p>
    <w:tbl>
      <w:tblPr>
        <w:tblStyle w:val="19"/>
        <w:tblW w:w="898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33"/>
        <w:gridCol w:w="441"/>
        <w:gridCol w:w="601"/>
        <w:gridCol w:w="1737"/>
        <w:gridCol w:w="226"/>
        <w:gridCol w:w="1188"/>
        <w:gridCol w:w="226"/>
        <w:gridCol w:w="1613"/>
        <w:gridCol w:w="304"/>
        <w:gridCol w:w="482"/>
        <w:gridCol w:w="1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提高预算编制质量，严格执行预算，保障单位日常运转。</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严格按照资金下达文件及支付流程进行支付。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10.50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10.50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10.50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10.50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10.50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10.50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科目调整次数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次</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质量指标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预算编制准确率（计算方法为：∣（执行数-预算数）/预算数∣）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经济效益指标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运转保障率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自评得分100分，完成了预期绩效目标，达到了资金使用效益。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项目负责人：彭海燕</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严格按照资金下达文件及支付流程进行支付。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5.60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12.03</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12.03</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5.60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12.03</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12.03</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发放（缴纳）覆盖率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足额保障率（参保率）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自评得分100分，完成了预期绩效目标，达到了资金使用效益。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项目负责人：彭海燕</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51080023T000008230901-乡村振兴帮扶工作经费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持续巩固朝天区羊木镇新山村和曾家镇毛坝村“脱贫攻坚”成果，保障工作力量，着力以夯实基础、发展产业、丰富文化为主要目标，培育造血功能，提高居民收入，整体提升生活水平。有效实现脱贫攻坚与乡村振兴的有效衔接。</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一是帮扶力量持续稳定。新选派驻村第一书记1人、充实1名选调生到帮扶村任职。二是产业发展促增收。两村全年实现产值300余万元，发放劳务费40余万元，带动村内50余人在家务工，人均增收0.8万元，协助争取项目资金610余万元，新建民宿3家，开展民宿服务培训2次，全年集体经济收入7.1万元，同比增长69%。三是抓实服务暖民心。聚焦三保障和饮水安全，及时排查预警返贫风险，全覆盖走访排查2次，慰问困难党员、留守儿童等60余人次。持续开展“以购代扶”活动2次。常态化开展社保认证、养老保险领取、医疗保险缴费人居环境整治等工作提升群众生活幸福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市发改委坚持机关党委负责乡村振兴定点帮扶工作，常态选派6名干部组建驻羊木镇新山村、曾家镇毛坝村工作队，配合市、区组织部和所在乡镇开展驻村工作队队员管理保障服务工作。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1.82</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1.82</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1.82</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1.82</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1.82</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1.82</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居民人均收入有提升，脱贫人口脱贫成果进一步巩固。脱贫户人均收入提升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9</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76"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质量指标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公共基础和服务设施进一步完善，提升居民生活质量。</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全村交通更加便利，生态环境持续好转，精神文化生活更加丰富。村道入户、农田基础设施齐全、有相对丰富地文化体育活动。道入户、农田基础设施齐全、有相对丰富地文化体育活动。</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曾家镇毛坝村发展乡村旅游，持续打造优美人居环境，硬化通村入户道路，交通更加便利，结合避暑、滑雪等时机，开展丰富的民俗文化活动，居民精神文化生活更加丰富；羊木镇新山村以水毁基础设施重建为契机，持续硬化通组入户路，完善农村公共基础设施，持续开展好家风好榜样评选活动，丰富群众精神文化生活。</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时效指标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完成时间</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12</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月</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12</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26"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经济效益指标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持续发展产业，培育主导产业，集体经济持续巩固，提升造血功能</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根据帮扶村实际，持续推进产业发展，培育一项主导产业；巩固村集体经济。脱贫户有增收产业项目、村有集体经济收入，环境，培育一项主导产业。</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根据帮扶村实际，曾家镇毛坝村培玄育以乡村游泳、民宿、高山蔬菜为主导产业经济。。羊木镇新山村以山茶油、大棚蔬菜、生猪养殖为主导产业。农户收入得到提高，造血功能进一步加强。</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满意度指标</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满意度指标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指标2：县区政府满意度</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指标1：帮扶村村民满意度；</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成本指标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经济成本指标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为2个驻村帮扶工作队6人提供较完备的工作生活保障</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1.82</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万元</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1.82</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自评得分100分，完成了预期绩效目标，达到了资金使用效益。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项目负责人：何其</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51080023T000008230928-粮食质量安全检验监测工作经费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026"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根据国家、省粮食和物资储备局和市委市政府等相关文件要求，并结合我站职能职责，承担全市政策性储备粮食、新收获粮食、应急粮食、军供粮食质量安全监测、重金属专项监测和粮食风险监测等任务，计划共检样品1360份，其中政策性库存粮食、新收获粮食、应急粮食、军供粮食样品200份，重金属污染监测样品1000份，产新粮食村级样品160份。我站将切实履行职能职责，一是做好全市储备粮食、新收获粮食、应急粮食、军供粮食质量安全监测出入库监测、专项监测和日常抽查监测工作；二是根据市政府主要领导批示要求，持续对本辖区产新稻谷及小麦中重金属含量进行动态监测，摸清重金属污染粮食严格按照资金下达文件及支付流程进行支付。分布规律并进行风险等级评估，维护本地粮食安全；</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认真落实2024年度粮食监督抽检、风险监测、专项监测等工作，把好粮食质量安全关，全年共检样品752批次；同年8月取得省市场监督管理局颁发的检验检测机构资质认定证书，资质认证检测能力284项，较往年提高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认真落实2024年度粮食监督抽检、风险监测、专项监测等工作，把好粮食质量安全关，全年共检样品752批次；其中完成市级政策性储备和应急小包装监督、军粮、县级储备及加工企业委托检验105批次；产新粮食质量安全风险监测抽检样品241批次，粮食重金属专项监测样品406批次，同年8月取得省市场监督管理局颁发的检验检测机构资质认定证书，资质认证检测能力284项，较往年提高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22.57</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22.57</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22.57</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22.57</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22.57</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22.57</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1"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我市常年粮食产量约160万吨，按照不少于主要粮食产量每万吨抽检不少于1个样品进行质量调查和质量安全监测、有针对性的选择优质品种开展品质测报的要求，预计抽检农户、专业合作社、家庭农场等产新粮食样品</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份</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241</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51"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指标1：全市政策性储备粮食、应急粮食、军供粮食质量安全监测，包括出库监测、入库监测、专项监测、应急监测和日常监督监测等；</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150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份</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105</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801"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指标3：预计全年抽检重金属专项监测（镉）指标样品400份。致力三年努力,对全市142 个产粮的乡级行政区划单位产新粮食重金属指标（镉）进行全覆盖监测，摸清全市粮食质量情况</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400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份</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406</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质量指标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指标1：抽检样品完成率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时效指标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指标1：完成时间</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12</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月</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12</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1"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经济效益指标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指标2：提高企业粮食质量合格率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为企业轮换粮食质量把关，提高企业购进粮食质量合格率，并根据质量情况实时指导企业科学储粮，避免粮食不合格、霉变等造成经济损失。</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为企业轮换粮食质量把关，提高企业购进粮食质量合格率，完成市、县级政策性储备和应急小包装、军粮、“好粮油”监督抽检70批次，合格率89%。</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26"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指标1：提高优质粮油收购价格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指导全市优质粮油基地和粮食合作社建设，通过优质优价，将优质粮油收购市场价提高到4.0元以上，努力将我市建设成为成渝地区优质粮油产品供给地。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指导全市优质粮油基地和粮食合作社建设</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51"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指标1：提升市县级粮食储备管理</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加强地方粮食储备管理,提升地方粮食储备市场调控和应对突发事件能力,保障区域粮食安全。</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提升地方粮食储备市场调控和应对突发事件能力,保障区域粮食安全。</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66"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指标2：强化源头污染防控，确保粮食质量安全</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全面贯彻党中央和省、市政府关于粮食安全工作的决策部署，严格落实粮食安全和食品安全党政同责，将粮食安全保障向前推进一公里，守住粮食质量安全的第一道屏障，切实加强全市范围内产新粮食质量安全监测，强化源头污染防控，确保粮食质量安全</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持续加强全市范围内产新粮食质量安全监测，强化源头污染防控，确保粮食质量安全。</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801"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指标3：为粮食生产绿色发展提供技术支持</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助力增加本地优质粮油产量，提升本地绿色优势，保障粮食生产安全，增强农业可持续发展能力，加强生态建设和修复，打好污染防治攻坚战。</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提供技术支持</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76"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生态效益指标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指标2：调查研究粮食重金属污染分布规律并进行风险等级评估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通过对本地粮食重金属污染分布规律进行研究，建立粮食安全风险等级评估方案，根据研究结果将本地粮食产区分为轻度污染区、中度污染区和重度污染区，判断其是否适宜种植并及时修复。</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对重金属污染严重的地方进行加大监测</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26"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指标1：引导企业合理选择储粮方式</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引导企业合理选择储粮方式、合理施药防虫，有效保障粮食质量安全，减少农药残留等的危害。严禁不符合食品安全标准粮食流入口粮市场或用于食品生产。</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引导企业合理选择储粮方式、合理施药防虫，有效保障粮食质量安全，减少农药残留等的危害。</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可持续影响指标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指标1：降低企业储粮成本</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通过日常监督监测，降低企业储粮成本，切实为企业办实事。</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通过日常监督监测，降低企业储粮成本，切实为企业办实事。</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576"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指标2：维护本地粮食安全</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通过动态监测，掌握本地重金属污染实际情况，为重金属防治工作提供指导，防止我市发生粮食安全事故，维护本地粮食安全。</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指导农民调整生产结构，种植优良品种</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2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指标3：指导农民调整生产结构，种植优良品种，科学储粮</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通过每年产新粮食质量调查，积极指导农民调整生产结构，种植优良品种，为农民增收。</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通过三年时间，对全市142 个产粮的乡级行政区划单位产新粮食重金属指标（镉）进行全覆盖监测，本年度重金属专项监测样品503批次，持续维护本地粮食安全。</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满意度指标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服务对象满意度指标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指标1：被检粮食企业及农户满意度</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95</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成本指标</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经济成本指标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指标2：产新粮食质量调查及聘用检测人员工作经费</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7</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万元</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7</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2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指标1：政策性粮食和产新粮食品质测报检验、实验室运行支出情况的预算。检测药品试剂、耗材及抽检样品购买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15.57</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万元</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15.57</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一、项目基本概况。工作经费资金共计22.57万元。二、效果及评价结论。（一）效果。认真落实2024年度粮食监督抽检、风险监测、专项监测等工作，把好粮食质量安全关，全年共检样品752批次，一是完成了全市储备粮食、新收获粮食、应急粮食、军供粮食质量安全监测出入库监测、专项监测和日常抽查监测工作，并在在上半年全省粮食质量安全形势分析会议上的作经验交流发言；二是根据市政府主要领导批示要求，持续对本辖区产新小麦中重金属含量进行动态监测，摸清重金属污染粮食分布规律并进行风险等级评估，维护本地粮食安全。（二）评价结果和评价结论。本项目自评分为97.4分，评价等级为优秀，达到预期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一是监督检测的食品安全指标增加，消耗的试剂、药品及耗材也越来越多，导致经费不足。二是在预算编制环节，预期支出项目金额和实际支出的存在差异，这是由于预算编制经验不足导致。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进一步加强对单位编制预算绩效目标项目设计的科学性、合理性，加大对绩效项目的管理力度，实施进度跟踪，合理支出预算资金，使其最大效益化。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项目负责人：彭海燕</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51080023T000008230945-实验室基础设施及仪器设备运行维护费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 xml:space="preserve">  2024年计划完成仪器设备的检定、校准、期间核查、维护维修，及时维修维护实验室基础设施和检验检测仪器设备，保证实验环境条件满足检验检测工作要求，保证仪器设备稳定保证检验检测数据准确可靠。</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已完成实验室专用设备仪器设备的检定、校准、期间核查、维护维修，保证了实验环境条件满足检验检测工作要求，确保仪器设备稳定及检验检测数据准确可靠。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已完成实验室专用设备仪器设备的检定、校准、期间核查、维护维修，保证了实验环境条件满足检验检测工作要求，确保仪器设备稳定及检验检测数据准确可靠。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指标2：仪器设备维护数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151</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台/套</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151</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指标1：仪器设备检定/校准数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71</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台/套</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71</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指标2：实验室废液废物处理</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批</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质量指标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指标1：仪器设备检定/校准合格率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指标2：仪器设备维护正常使用率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时效指标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指标1：完成时间</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12</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月</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12</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可持续影响指标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指标1：检验检测能力提升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长期</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确保全市粮油食品安全。</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满意度指标</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满意度指标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指标1：检验人员对仪器设备检定/校准合格率满意度</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90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指标2：检验人员仪器设备维护正常使用率满意度</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90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90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成本指标</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经济成本指标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指标3：实验检测用水电费</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1.5</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万元</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1.5</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指标2：实验室基础设施、仪器设备维护维修实验室废液处理及改造升级运行费</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万元</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6</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指标1：仪器设备检定/校准费</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2.5</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万元</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2.5</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一、项目基本概况。工作经费资金共计10万元。二、效果及评价结论。（一）效果。1.确保测量和检测结果的准确性；2.保障设备的正常运行。定期的维护可以及时发现并解决潜在的故障隐患，降低设备突发故障的概率，确保仪器设备能够稳定、持续地工作，从而提高工作效率。3.延长设备的使用寿命（二）评价结果和评价结论。本项目自评分为98分，评价等级为优秀，达到预期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一是部分设备年代已久，功能下降，达不到工作要求；二是实验室搬迁后运行成本增加较多，水电气都较往年大幅增加，特别是水电费增加了约10倍左右，而财政预算基本维持不变，难以维持基本运转。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增加设备维护频率，及时更换磨损的零配件，建议财政追加经费，添置新的设备及配件。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 xml:space="preserve">项目负责人：彭海燕  </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51080023T000008231113-2023年救灾物资采购资金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做好全年市级救灾物资的采购、储备和管理，确保储备救灾物资的安全完整，为全市受灾困难群众基本生活提供保障。</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做好全年市级救灾物资的采购、储备和管理，确保储备救灾物资的安全完整，为全市受灾困难群众基本生活提供保障。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2.21</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2.21</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2.21</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2.21</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指标1：完成救灾物资单帐篷（8㎡）采购。</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张</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200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指标2：完成救灾物资棉被采购</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1700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床</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1700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质量指标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确保救灾储备物资完好</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时效指标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完成时间</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11</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月</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11</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完成救灾物资采购、储备和管理。</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确保市级救灾物资安全完整，以保障受灾困难群众基本生活</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确保市级救灾物资安全完整，以保障受灾困难群众基本生活</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可持续影响指标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救灾物资储备管理工作的开展将持续发挥良好的社会效益。</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及时有效提高应急处突能力，确保社会稳定。</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确保市级救灾物资安全完整，以保障受灾困难群众基本生活</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满意度指标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满意度指标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受灾群众满意率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成本指标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经济成本指标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指标2：完成救灾物资棉被采购1700床</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2.21</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万元</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70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为21年救灾物资采购结余资金。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项目负责人：马小懿</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严格按照资金下达文件及支付流程进行支付。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25.88</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28.16</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28.16</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25.88</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28.16</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28.16</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发放（缴纳）覆盖率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足额保障率（参保率）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自评得分100分，完成了预期绩效目标，达到了资金使用效益。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项目负责人：彭海燕</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严格按照资金下达文件及支付流程进行支付。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50.49</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50.49</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50.49</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50.49</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50.49</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50.49</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发放（缴纳）覆盖率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足额保障率（参保率）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自评得分100分，完成了预期绩效目标，达到了资金使用效益。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项目负责人：彭海燕</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严格按照资金下达文件及支付流程进行支付。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23.89</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23.89</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23.89</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23.89</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23.89</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23.89</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发放（缴纳）覆盖率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足额保障率（参保率）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自评得分100分，完成了预期绩效目标，达到了资金使用效益。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项目负责人：彭海燕</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严格按照资金下达文件及支付流程进行支付。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10.08</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10.08</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10.08</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10.08</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10.08</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10.08</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发放（缴纳）覆盖率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60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足额保障率（参保率）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自评得分100分，完成了预期绩效目标，达到了资金使用效益。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项目负责人：彭海燕</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shd w:val="clear" w:color="auto" w:fill="auto"/>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提高预算编制质量，严格执行预算，保障单位日常运转。</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严格按照资金下达文件及支付流程进行支付。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1.46</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1.46</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1.46</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1.46</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1.46</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1.46</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科目调整次数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次</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质量指标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预算编制准确率（计算方法为：∣（执行数-预算数）/预算数∣）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经济效益指标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运转保障率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自评得分100分，完成了预期绩效目标，达到了资金使用效益。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项目负责人：彭海燕</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广元市发展和改革委员会部门</w:t>
            </w:r>
          </w:p>
        </w:tc>
        <w:tc>
          <w:tcPr>
            <w:tcW w:w="1613"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广元市粮油质量监测站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提高预算编制质量，严格执行预算，保障单位日常运转。</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严格按照资金下达文件及支付流程进行支付。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1.65</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1.65</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1.65</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1.65</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1.65</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1.65</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产出指标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科目调整次数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次</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质量指标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预算编制准确率（计算方法为：∣（执行数-预算数）/预算数∣）</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5</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30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经济效益指标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运转保障率</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100</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20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100</w:t>
            </w:r>
          </w:p>
        </w:tc>
        <w:tc>
          <w:tcPr>
            <w:tcW w:w="1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自评得分100分，完成了预期绩效目标，达到了资金使用效益。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color w:val="000000"/>
                <w:sz w:val="18"/>
                <w:szCs w:val="18"/>
                <w:u w:val="none"/>
              </w:rPr>
            </w:pPr>
            <w:r>
              <w:rPr>
                <w:rFonts w:hint="default" w:ascii="宋体" w:hAnsi="宋体" w:eastAsia="宋体" w:cs="宋体"/>
                <w:i w:val="0"/>
                <w:color w:val="000000"/>
                <w:kern w:val="0"/>
                <w:sz w:val="18"/>
                <w:szCs w:val="18"/>
                <w:u w:val="none"/>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项目负责人：彭海燕</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财务负责人：赵静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3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4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601"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7"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188"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226"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613"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304"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482"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c>
          <w:tcPr>
            <w:tcW w:w="1730" w:type="dxa"/>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color w:val="000000"/>
                <w:sz w:val="18"/>
                <w:szCs w:val="18"/>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900" w:hRule="atLeast"/>
        </w:trPr>
        <w:tc>
          <w:tcPr>
            <w:tcW w:w="8981"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b/>
                <w:bCs w:val="0"/>
                <w:color w:val="000000"/>
                <w:sz w:val="30"/>
                <w:szCs w:val="30"/>
                <w:lang w:val="en-US"/>
              </w:rPr>
            </w:pPr>
            <w:r>
              <w:rPr>
                <w:rFonts w:hint="eastAsia" w:ascii="黑体" w:hAnsi="宋体" w:eastAsia="黑体" w:cs="黑体"/>
                <w:b/>
                <w:bCs w:val="0"/>
                <w:color w:val="000000"/>
                <w:kern w:val="0"/>
                <w:sz w:val="30"/>
                <w:szCs w:val="30"/>
                <w:lang w:val="en-US" w:eastAsia="zh-CN" w:bidi="ar"/>
              </w:rPr>
              <w:t>部门预算项目支出绩效自评表（2024年度）</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6"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项目名称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51080025T000012842406-粮食质量安全检验监测能力提升项目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1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主管部门</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广元市发展和改革委员会部门</w:t>
            </w:r>
          </w:p>
        </w:tc>
        <w:tc>
          <w:tcPr>
            <w:tcW w:w="1613" w:type="dxa"/>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黑体" w:hAnsi="宋体" w:eastAsia="黑体" w:cs="黑体"/>
                <w:color w:val="000000"/>
                <w:sz w:val="18"/>
                <w:szCs w:val="18"/>
                <w:lang w:val="en-US"/>
              </w:rPr>
            </w:pPr>
            <w:r>
              <w:rPr>
                <w:rFonts w:hint="eastAsia" w:ascii="黑体" w:hAnsi="宋体" w:eastAsia="黑体" w:cs="黑体"/>
                <w:color w:val="000000"/>
                <w:kern w:val="0"/>
                <w:sz w:val="18"/>
                <w:szCs w:val="18"/>
                <w:lang w:val="en-US" w:eastAsia="zh-CN" w:bidi="ar"/>
              </w:rPr>
              <w:t>实施单位 （盖章）</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广元市粮油质量监测站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6"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项目基本情况</w:t>
            </w: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1.项目年度目标完成情况</w:t>
            </w: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项目年度目标</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宋体" w:eastAsia="黑体" w:cs="黑体"/>
                <w:color w:val="000000"/>
                <w:sz w:val="18"/>
                <w:szCs w:val="18"/>
                <w:lang w:val="en-US"/>
              </w:rPr>
            </w:pPr>
            <w:r>
              <w:rPr>
                <w:rFonts w:hint="eastAsia" w:ascii="黑体" w:hAnsi="宋体" w:eastAsia="黑体" w:cs="黑体"/>
                <w:color w:val="000000"/>
                <w:kern w:val="0"/>
                <w:sz w:val="18"/>
                <w:szCs w:val="18"/>
                <w:lang w:val="en-US" w:eastAsia="zh-CN" w:bidi="ar"/>
              </w:rPr>
              <w:t>年度目标完成情况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112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97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一是通过辅助设备购置和更新，减少化学试剂的直接接触，保护实验室技术人员的身体健康及心理健康；二是通过检验检测仪器设备，主要实现检测我市小麦及小麦粉品质指标的全覆盖检测，有力支撑建成成渝地区粮食保障基地建设，保障优质粮食生产、购销、流通；三是提升粮食质量安全监管信息化能力。</w:t>
            </w:r>
          </w:p>
        </w:tc>
        <w:tc>
          <w:tcPr>
            <w:tcW w:w="412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黑体" w:hAnsi="宋体" w:eastAsia="黑体" w:cs="黑体"/>
                <w:color w:val="000000"/>
                <w:sz w:val="18"/>
                <w:szCs w:val="18"/>
                <w:lang w:val="en-US"/>
              </w:rPr>
            </w:pPr>
            <w:r>
              <w:rPr>
                <w:rFonts w:hint="eastAsia" w:ascii="黑体" w:hAnsi="宋体" w:eastAsia="黑体" w:cs="黑体"/>
                <w:color w:val="000000"/>
                <w:kern w:val="0"/>
                <w:sz w:val="18"/>
                <w:szCs w:val="18"/>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2.项目实施内容及过程概述</w:t>
            </w:r>
          </w:p>
        </w:tc>
        <w:tc>
          <w:tcPr>
            <w:tcW w:w="81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预算执行情况（10分）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年度预算数（万元）</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年初预算</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调整后预算数</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预算执行数</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预算执行率</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原因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34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总额</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131.20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黑体" w:hAnsi="宋体" w:eastAsia="黑体" w:cs="黑体"/>
                <w:i/>
                <w:iCs w:val="0"/>
                <w:color w:val="000000"/>
                <w:sz w:val="18"/>
                <w:szCs w:val="18"/>
                <w:lang w:val="en-US"/>
              </w:rPr>
            </w:pPr>
            <w:r>
              <w:rPr>
                <w:rFonts w:hint="eastAsia" w:ascii="黑体" w:hAnsi="宋体" w:eastAsia="黑体" w:cs="黑体"/>
                <w:i/>
                <w:iCs w:val="0"/>
                <w:color w:val="000000"/>
                <w:kern w:val="0"/>
                <w:sz w:val="18"/>
                <w:szCs w:val="18"/>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其中：财政资金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131.20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405"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财政专户管理资金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单位资金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0.00%</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其他资金</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164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450" w:hRule="atLeast"/>
        </w:trPr>
        <w:tc>
          <w:tcPr>
            <w:tcW w:w="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绩效指标（90分）</w:t>
            </w: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一级指标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二级指标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三级指标</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指标性质</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指标值</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度量单位</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完成值</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权重</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得分</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未完成原因分析</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产出指标</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数量指标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指标1：仪器设备</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30</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台</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为2024年年底下达资金，待25年使为2024年年底下达资金，待25年使用。用。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指标3：实验室专用气路改造</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套</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指标2：粮食质量安全信息化平台建设</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套</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质量指标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指标2：严格执行政府采购程序</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100</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0</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指标1：实验室检验检测能力</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得到验证和提高</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 w:val="18"/>
                <w:szCs w:val="18"/>
                <w:lang w:val="en-US"/>
              </w:rPr>
            </w:pP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时效指标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指标1：完成时间</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12</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月</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效益指标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经济效益指标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指标1：提高企业粮食质量合格</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优</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级</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社会效益指标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指标1：助理粮食产业高质量发展</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优</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级</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可持续影响指标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指标1：检验检测能力提升</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定性</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优</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级</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5</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满意度指标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满意度指标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专业技术检测人员仪器使用满意度</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95</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10</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 w:val="18"/>
                <w:szCs w:val="18"/>
                <w:lang w:val="en-US"/>
              </w:rPr>
            </w:pPr>
            <w:r>
              <w:rPr>
                <w:rFonts w:hint="eastAsia" w:ascii="宋体" w:hAnsi="宋体" w:cs="宋体"/>
                <w:color w:val="000000"/>
                <w:kern w:val="0"/>
                <w:sz w:val="18"/>
                <w:szCs w:val="18"/>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trPr>
        <w:tc>
          <w:tcPr>
            <w:tcW w:w="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成本指标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经济成本指标</w:t>
            </w:r>
          </w:p>
        </w:tc>
        <w:tc>
          <w:tcPr>
            <w:tcW w:w="1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项目预算控制数</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131.2</w:t>
            </w:r>
          </w:p>
        </w:tc>
        <w:tc>
          <w:tcPr>
            <w:tcW w:w="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万元</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val="0"/>
              <w:suppressLineNumbers w:val="0"/>
              <w:spacing w:before="0" w:beforeAutospacing="0" w:after="0" w:afterAutospacing="0"/>
              <w:ind w:left="0" w:right="0"/>
              <w:jc w:val="center"/>
              <w:rPr>
                <w:rFonts w:hint="eastAsia" w:ascii="微软雅黑" w:hAnsi="微软雅黑" w:eastAsia="微软雅黑" w:cs="微软雅黑"/>
                <w:i/>
                <w:iCs w:val="0"/>
                <w:color w:val="000000"/>
                <w:sz w:val="16"/>
                <w:szCs w:val="16"/>
                <w:lang w:val="en-US"/>
              </w:rPr>
            </w:pP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20</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286" w:hRule="atLeast"/>
        </w:trPr>
        <w:tc>
          <w:tcPr>
            <w:tcW w:w="646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合计</w:t>
            </w:r>
          </w:p>
        </w:tc>
        <w:tc>
          <w:tcPr>
            <w:tcW w:w="3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100</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sz w:val="18"/>
                <w:szCs w:val="18"/>
                <w:lang w:val="en-US"/>
              </w:rPr>
            </w:pPr>
            <w:r>
              <w:rPr>
                <w:rFonts w:hint="eastAsia" w:ascii="宋体" w:hAnsi="宋体" w:cs="宋体"/>
                <w:color w:val="000000"/>
                <w:kern w:val="0"/>
                <w:sz w:val="18"/>
                <w:szCs w:val="18"/>
                <w:lang w:val="en-US" w:eastAsia="zh-CN" w:bidi="ar"/>
              </w:rPr>
              <w:t>10</w:t>
            </w:r>
          </w:p>
        </w:tc>
        <w:tc>
          <w:tcPr>
            <w:tcW w:w="1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为2024年年底下达资金，待25年使用。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60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评价结论</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项目的实施和专项经费的使用，提高了我市粮食质量检验监测能力，保障了政策性储备质量安全，指导全市粮食质量安全监测体系建设，服务优质粮油企业，推动我市粮食产业高质量发展。</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7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存在问题</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资金计划下达时间较晚，项目跨年度实施，导致2024年度预算执行时间慢。</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30" w:hRule="atLeast"/>
        </w:trPr>
        <w:tc>
          <w:tcPr>
            <w:tcW w:w="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18"/>
                <w:szCs w:val="18"/>
                <w:lang w:val="en-US"/>
              </w:rPr>
            </w:pPr>
            <w:r>
              <w:rPr>
                <w:rFonts w:hint="eastAsia" w:ascii="宋体" w:hAnsi="宋体" w:eastAsia="宋体" w:cs="宋体"/>
                <w:color w:val="000000"/>
                <w:kern w:val="0"/>
                <w:sz w:val="18"/>
                <w:szCs w:val="18"/>
                <w:lang w:val="en-US" w:eastAsia="zh-CN" w:bidi="ar"/>
              </w:rPr>
              <w:t>改进措施</w:t>
            </w:r>
          </w:p>
        </w:tc>
        <w:tc>
          <w:tcPr>
            <w:tcW w:w="8548"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微软雅黑" w:hAnsi="微软雅黑" w:eastAsia="微软雅黑" w:cs="微软雅黑"/>
                <w:i/>
                <w:iCs w:val="0"/>
                <w:color w:val="000000"/>
                <w:sz w:val="16"/>
                <w:szCs w:val="16"/>
                <w:lang w:val="en-US"/>
              </w:rPr>
            </w:pPr>
            <w:r>
              <w:rPr>
                <w:rFonts w:hint="eastAsia" w:ascii="微软雅黑" w:hAnsi="微软雅黑" w:eastAsia="微软雅黑" w:cs="微软雅黑"/>
                <w:i/>
                <w:iCs w:val="0"/>
                <w:color w:val="000000"/>
                <w:kern w:val="0"/>
                <w:sz w:val="16"/>
                <w:szCs w:val="16"/>
                <w:lang w:val="en-US" w:eastAsia="zh-CN" w:bidi="ar"/>
              </w:rPr>
              <w:t>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rHeight w:val="286" w:hRule="atLeast"/>
        </w:trPr>
        <w:tc>
          <w:tcPr>
            <w:tcW w:w="343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黑体" w:hAnsi="宋体" w:eastAsia="黑体" w:cs="黑体"/>
                <w:color w:val="000000"/>
                <w:sz w:val="18"/>
                <w:szCs w:val="18"/>
                <w:lang w:val="en-US"/>
              </w:rPr>
            </w:pPr>
            <w:r>
              <w:rPr>
                <w:rFonts w:hint="eastAsia" w:ascii="黑体" w:hAnsi="宋体" w:eastAsia="黑体" w:cs="黑体"/>
                <w:color w:val="000000"/>
                <w:kern w:val="0"/>
                <w:sz w:val="18"/>
                <w:szCs w:val="18"/>
                <w:lang w:val="en-US" w:eastAsia="zh-CN" w:bidi="ar"/>
              </w:rPr>
              <w:t>项目负责人：彭海燕</w:t>
            </w:r>
          </w:p>
        </w:tc>
        <w:tc>
          <w:tcPr>
            <w:tcW w:w="5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黑体" w:hAnsi="宋体" w:eastAsia="黑体" w:cs="黑体"/>
                <w:color w:val="000000"/>
                <w:sz w:val="18"/>
                <w:szCs w:val="18"/>
                <w:lang w:val="en-US"/>
              </w:rPr>
            </w:pPr>
            <w:r>
              <w:rPr>
                <w:rFonts w:hint="eastAsia" w:ascii="黑体" w:hAnsi="宋体" w:eastAsia="黑体" w:cs="黑体"/>
                <w:color w:val="000000"/>
                <w:kern w:val="0"/>
                <w:sz w:val="18"/>
                <w:szCs w:val="18"/>
                <w:lang w:val="en-US" w:eastAsia="zh-CN" w:bidi="ar"/>
              </w:rPr>
              <w:t>财务负责人：赵静</w:t>
            </w:r>
          </w:p>
        </w:tc>
      </w:tr>
    </w:tbl>
    <w:p>
      <w:pPr>
        <w:spacing w:line="600" w:lineRule="exact"/>
        <w:jc w:val="center"/>
        <w:outlineLvl w:val="0"/>
        <w:rPr>
          <w:rFonts w:hint="eastAsia" w:ascii="黑体" w:hAnsi="黑体" w:eastAsia="黑体"/>
          <w:color w:val="auto"/>
          <w:sz w:val="44"/>
          <w:szCs w:val="44"/>
        </w:rPr>
      </w:pPr>
    </w:p>
    <w:p>
      <w:pPr>
        <w:spacing w:line="600" w:lineRule="exact"/>
        <w:jc w:val="center"/>
        <w:outlineLvl w:val="0"/>
        <w:rPr>
          <w:rFonts w:hint="eastAsia" w:ascii="黑体" w:hAnsi="黑体" w:eastAsia="黑体"/>
          <w:color w:val="auto"/>
          <w:sz w:val="44"/>
          <w:szCs w:val="44"/>
        </w:rPr>
      </w:pPr>
    </w:p>
    <w:p>
      <w:pPr>
        <w:spacing w:line="600" w:lineRule="exact"/>
        <w:jc w:val="center"/>
        <w:outlineLvl w:val="0"/>
        <w:rPr>
          <w:rFonts w:hint="eastAsia" w:ascii="黑体" w:hAnsi="黑体" w:eastAsia="黑体"/>
          <w:color w:val="auto"/>
          <w:sz w:val="44"/>
          <w:szCs w:val="44"/>
        </w:rPr>
      </w:pPr>
    </w:p>
    <w:p>
      <w:pPr>
        <w:spacing w:line="600" w:lineRule="exact"/>
        <w:jc w:val="center"/>
        <w:outlineLvl w:val="0"/>
        <w:rPr>
          <w:rFonts w:hint="eastAsia" w:ascii="黑体" w:hAnsi="黑体" w:eastAsia="黑体"/>
          <w:color w:val="auto"/>
          <w:sz w:val="44"/>
          <w:szCs w:val="44"/>
        </w:rPr>
      </w:pPr>
    </w:p>
    <w:p>
      <w:pPr>
        <w:spacing w:line="600" w:lineRule="exact"/>
        <w:jc w:val="center"/>
        <w:outlineLvl w:val="0"/>
        <w:rPr>
          <w:rFonts w:hint="eastAsia" w:ascii="黑体" w:hAnsi="黑体" w:eastAsia="黑体"/>
          <w:color w:val="auto"/>
          <w:sz w:val="44"/>
          <w:szCs w:val="44"/>
        </w:rPr>
      </w:pPr>
    </w:p>
    <w:p>
      <w:pPr>
        <w:spacing w:line="600" w:lineRule="exact"/>
        <w:jc w:val="center"/>
        <w:outlineLvl w:val="0"/>
        <w:rPr>
          <w:rFonts w:hint="eastAsia" w:ascii="黑体" w:hAnsi="黑体" w:eastAsia="黑体"/>
          <w:color w:val="auto"/>
          <w:sz w:val="44"/>
          <w:szCs w:val="44"/>
        </w:rPr>
      </w:pPr>
    </w:p>
    <w:p>
      <w:pPr>
        <w:spacing w:line="600" w:lineRule="exact"/>
        <w:jc w:val="center"/>
        <w:outlineLvl w:val="0"/>
        <w:rPr>
          <w:rFonts w:ascii="仿宋" w:hAnsi="仿宋" w:eastAsia="仿宋"/>
          <w:color w:val="auto"/>
        </w:rPr>
      </w:pPr>
      <w:bookmarkStart w:id="168" w:name="_Toc14896"/>
      <w:r>
        <w:rPr>
          <w:rFonts w:hint="eastAsia" w:ascii="黑体" w:hAnsi="黑体" w:eastAsia="黑体"/>
          <w:color w:val="auto"/>
          <w:sz w:val="44"/>
          <w:szCs w:val="44"/>
        </w:rPr>
        <w:t>第</w:t>
      </w:r>
      <w:r>
        <w:rPr>
          <w:rStyle w:val="23"/>
          <w:rFonts w:hint="eastAsia" w:ascii="黑体" w:hAnsi="黑体" w:eastAsia="黑体"/>
          <w:b w:val="0"/>
          <w:color w:val="auto"/>
        </w:rPr>
        <w:t>五部分 附表</w:t>
      </w:r>
      <w:bookmarkEnd w:id="159"/>
      <w:bookmarkEnd w:id="161"/>
      <w:bookmarkEnd w:id="162"/>
      <w:bookmarkEnd w:id="168"/>
      <w:bookmarkStart w:id="169" w:name="_Toc15396619"/>
    </w:p>
    <w:bookmarkEnd w:id="169"/>
    <w:p>
      <w:pPr>
        <w:pStyle w:val="4"/>
        <w:rPr>
          <w:rFonts w:ascii="仿宋" w:hAnsi="仿宋" w:eastAsia="仿宋"/>
          <w:color w:val="auto"/>
          <w:highlight w:val="none"/>
        </w:rPr>
      </w:pPr>
      <w:bookmarkStart w:id="170" w:name="_Toc32266"/>
      <w:bookmarkStart w:id="171" w:name="_Toc12036"/>
      <w:r>
        <w:rPr>
          <w:rFonts w:hint="eastAsia" w:ascii="仿宋" w:hAnsi="仿宋" w:eastAsia="仿宋"/>
          <w:b w:val="0"/>
          <w:color w:val="auto"/>
          <w:highlight w:val="none"/>
        </w:rPr>
        <w:t>一、收</w:t>
      </w:r>
      <w:r>
        <w:rPr>
          <w:rStyle w:val="24"/>
          <w:rFonts w:hint="eastAsia" w:ascii="仿宋" w:hAnsi="仿宋" w:eastAsia="仿宋"/>
          <w:b w:val="0"/>
          <w:bCs w:val="0"/>
          <w:color w:val="auto"/>
          <w:highlight w:val="none"/>
        </w:rPr>
        <w:t>入支出决算总表</w:t>
      </w:r>
      <w:bookmarkEnd w:id="170"/>
      <w:bookmarkEnd w:id="171"/>
    </w:p>
    <w:p>
      <w:pPr>
        <w:pStyle w:val="4"/>
        <w:rPr>
          <w:rFonts w:ascii="仿宋" w:hAnsi="仿宋" w:eastAsia="仿宋"/>
          <w:color w:val="auto"/>
          <w:highlight w:val="none"/>
        </w:rPr>
      </w:pPr>
      <w:bookmarkStart w:id="172" w:name="_Toc1909"/>
      <w:bookmarkStart w:id="173" w:name="_Toc15396620"/>
      <w:bookmarkStart w:id="174" w:name="_Toc32648"/>
      <w:r>
        <w:rPr>
          <w:rFonts w:hint="eastAsia" w:ascii="仿宋" w:hAnsi="仿宋" w:eastAsia="仿宋"/>
          <w:b w:val="0"/>
          <w:color w:val="auto"/>
          <w:highlight w:val="none"/>
        </w:rPr>
        <w:t>二、收</w:t>
      </w:r>
      <w:r>
        <w:rPr>
          <w:rStyle w:val="24"/>
          <w:rFonts w:hint="eastAsia" w:ascii="仿宋" w:hAnsi="仿宋" w:eastAsia="仿宋"/>
          <w:b w:val="0"/>
          <w:bCs w:val="0"/>
          <w:color w:val="auto"/>
          <w:highlight w:val="none"/>
        </w:rPr>
        <w:t>入决算表</w:t>
      </w:r>
      <w:bookmarkEnd w:id="172"/>
      <w:bookmarkEnd w:id="173"/>
      <w:bookmarkEnd w:id="174"/>
    </w:p>
    <w:p>
      <w:pPr>
        <w:pStyle w:val="4"/>
        <w:rPr>
          <w:rFonts w:ascii="仿宋" w:hAnsi="仿宋" w:eastAsia="仿宋"/>
          <w:color w:val="auto"/>
          <w:highlight w:val="none"/>
        </w:rPr>
      </w:pPr>
      <w:bookmarkStart w:id="175" w:name="_Toc19145"/>
      <w:bookmarkStart w:id="176" w:name="_Toc5183"/>
      <w:bookmarkStart w:id="177" w:name="_Toc15396621"/>
      <w:r>
        <w:rPr>
          <w:rStyle w:val="24"/>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4"/>
          <w:rFonts w:hint="eastAsia" w:ascii="仿宋" w:hAnsi="仿宋" w:eastAsia="仿宋"/>
          <w:b w:val="0"/>
          <w:bCs w:val="0"/>
          <w:color w:val="auto"/>
          <w:highlight w:val="none"/>
        </w:rPr>
        <w:t>出决算表</w:t>
      </w:r>
      <w:bookmarkEnd w:id="175"/>
      <w:bookmarkEnd w:id="176"/>
      <w:bookmarkEnd w:id="177"/>
    </w:p>
    <w:p>
      <w:pPr>
        <w:pStyle w:val="4"/>
        <w:rPr>
          <w:rFonts w:ascii="仿宋" w:hAnsi="仿宋" w:eastAsia="仿宋"/>
          <w:b w:val="0"/>
          <w:color w:val="auto"/>
          <w:highlight w:val="none"/>
        </w:rPr>
      </w:pPr>
      <w:bookmarkStart w:id="178" w:name="_Toc1669"/>
      <w:bookmarkStart w:id="179" w:name="_Toc15396622"/>
      <w:bookmarkStart w:id="180" w:name="_Toc29113"/>
      <w:r>
        <w:rPr>
          <w:rStyle w:val="24"/>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4"/>
          <w:rFonts w:hint="eastAsia" w:ascii="仿宋" w:hAnsi="仿宋" w:eastAsia="仿宋"/>
          <w:b w:val="0"/>
          <w:bCs w:val="0"/>
          <w:color w:val="auto"/>
          <w:highlight w:val="none"/>
        </w:rPr>
        <w:t>政拨款收入支出决算总表</w:t>
      </w:r>
      <w:bookmarkEnd w:id="178"/>
      <w:bookmarkEnd w:id="179"/>
      <w:bookmarkEnd w:id="180"/>
    </w:p>
    <w:p>
      <w:pPr>
        <w:pStyle w:val="4"/>
        <w:rPr>
          <w:rStyle w:val="24"/>
          <w:rFonts w:ascii="仿宋" w:hAnsi="仿宋" w:eastAsia="仿宋"/>
          <w:b w:val="0"/>
          <w:bCs w:val="0"/>
          <w:color w:val="auto"/>
          <w:highlight w:val="none"/>
        </w:rPr>
      </w:pPr>
      <w:bookmarkStart w:id="181" w:name="_Toc4315"/>
      <w:bookmarkStart w:id="182" w:name="_Toc15396623"/>
      <w:bookmarkStart w:id="183" w:name="_Toc16146"/>
      <w:r>
        <w:rPr>
          <w:rStyle w:val="24"/>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4"/>
          <w:rFonts w:hint="eastAsia" w:ascii="仿宋" w:hAnsi="仿宋" w:eastAsia="仿宋"/>
          <w:b w:val="0"/>
          <w:bCs w:val="0"/>
          <w:color w:val="auto"/>
          <w:highlight w:val="none"/>
        </w:rPr>
        <w:t>政拨款支出决算明细表</w:t>
      </w:r>
      <w:bookmarkEnd w:id="181"/>
      <w:bookmarkEnd w:id="182"/>
      <w:bookmarkEnd w:id="183"/>
      <w:bookmarkStart w:id="184" w:name="_Toc15396624"/>
    </w:p>
    <w:p>
      <w:pPr>
        <w:pStyle w:val="4"/>
        <w:rPr>
          <w:rFonts w:ascii="仿宋" w:hAnsi="仿宋" w:eastAsia="仿宋"/>
          <w:color w:val="auto"/>
          <w:highlight w:val="none"/>
        </w:rPr>
      </w:pPr>
      <w:bookmarkStart w:id="185" w:name="_Toc11634"/>
      <w:bookmarkStart w:id="186" w:name="_Toc7003"/>
      <w:r>
        <w:rPr>
          <w:rStyle w:val="24"/>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4"/>
          <w:rFonts w:hint="eastAsia" w:ascii="仿宋" w:hAnsi="仿宋" w:eastAsia="仿宋"/>
          <w:b w:val="0"/>
          <w:bCs w:val="0"/>
          <w:color w:val="auto"/>
          <w:highlight w:val="none"/>
        </w:rPr>
        <w:t>般公共预算财政拨款支出决算表</w:t>
      </w:r>
      <w:bookmarkEnd w:id="184"/>
      <w:bookmarkEnd w:id="185"/>
      <w:bookmarkEnd w:id="186"/>
    </w:p>
    <w:p>
      <w:pPr>
        <w:pStyle w:val="4"/>
        <w:rPr>
          <w:rFonts w:ascii="仿宋" w:hAnsi="仿宋" w:eastAsia="仿宋"/>
          <w:color w:val="auto"/>
          <w:highlight w:val="none"/>
        </w:rPr>
      </w:pPr>
      <w:bookmarkStart w:id="187" w:name="_Toc15396625"/>
      <w:bookmarkStart w:id="188" w:name="_Toc18337"/>
      <w:bookmarkStart w:id="189" w:name="_Toc22822"/>
      <w:r>
        <w:rPr>
          <w:rStyle w:val="24"/>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4"/>
          <w:rFonts w:hint="eastAsia" w:ascii="仿宋" w:hAnsi="仿宋" w:eastAsia="仿宋"/>
          <w:b w:val="0"/>
          <w:bCs w:val="0"/>
          <w:color w:val="auto"/>
          <w:highlight w:val="none"/>
        </w:rPr>
        <w:t>般公共预算财政拨款支出决算明细表</w:t>
      </w:r>
      <w:bookmarkEnd w:id="187"/>
      <w:bookmarkEnd w:id="188"/>
      <w:bookmarkEnd w:id="189"/>
    </w:p>
    <w:p>
      <w:pPr>
        <w:pStyle w:val="4"/>
        <w:rPr>
          <w:rFonts w:ascii="仿宋" w:hAnsi="仿宋" w:eastAsia="仿宋"/>
          <w:color w:val="auto"/>
          <w:highlight w:val="none"/>
        </w:rPr>
      </w:pPr>
      <w:bookmarkStart w:id="190" w:name="_Toc20329"/>
      <w:bookmarkStart w:id="191" w:name="_Toc14982"/>
      <w:bookmarkStart w:id="192" w:name="_Toc15396626"/>
      <w:r>
        <w:rPr>
          <w:rStyle w:val="24"/>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4"/>
          <w:rFonts w:hint="eastAsia" w:ascii="仿宋" w:hAnsi="仿宋" w:eastAsia="仿宋"/>
          <w:b w:val="0"/>
          <w:bCs w:val="0"/>
          <w:color w:val="auto"/>
          <w:highlight w:val="none"/>
        </w:rPr>
        <w:t>般公共预算财政拨款基本支出决算表</w:t>
      </w:r>
      <w:bookmarkEnd w:id="190"/>
      <w:bookmarkEnd w:id="191"/>
      <w:bookmarkEnd w:id="192"/>
    </w:p>
    <w:p>
      <w:pPr>
        <w:pStyle w:val="4"/>
        <w:rPr>
          <w:rFonts w:ascii="仿宋" w:hAnsi="仿宋" w:eastAsia="仿宋"/>
          <w:color w:val="auto"/>
          <w:highlight w:val="none"/>
        </w:rPr>
      </w:pPr>
      <w:bookmarkStart w:id="193" w:name="_Toc19985"/>
      <w:bookmarkStart w:id="194" w:name="_Toc15396627"/>
      <w:bookmarkStart w:id="195" w:name="_Toc644"/>
      <w:r>
        <w:rPr>
          <w:rStyle w:val="24"/>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4"/>
          <w:rFonts w:hint="eastAsia" w:ascii="仿宋" w:hAnsi="仿宋" w:eastAsia="仿宋"/>
          <w:b w:val="0"/>
          <w:bCs w:val="0"/>
          <w:color w:val="auto"/>
          <w:highlight w:val="none"/>
        </w:rPr>
        <w:t>般公共预算财政拨款项目支出决算表</w:t>
      </w:r>
      <w:bookmarkEnd w:id="193"/>
      <w:bookmarkEnd w:id="194"/>
      <w:bookmarkEnd w:id="195"/>
    </w:p>
    <w:p>
      <w:pPr>
        <w:pStyle w:val="4"/>
        <w:rPr>
          <w:rFonts w:ascii="仿宋" w:hAnsi="仿宋" w:eastAsia="仿宋"/>
          <w:color w:val="auto"/>
          <w:highlight w:val="none"/>
        </w:rPr>
      </w:pPr>
      <w:bookmarkStart w:id="196" w:name="_Toc15396628"/>
      <w:bookmarkStart w:id="197" w:name="_Toc24973"/>
      <w:bookmarkStart w:id="198" w:name="_Toc5276"/>
      <w:r>
        <w:rPr>
          <w:rStyle w:val="24"/>
          <w:rFonts w:hint="eastAsia" w:ascii="仿宋" w:hAnsi="仿宋" w:eastAsia="仿宋"/>
          <w:b w:val="0"/>
          <w:bCs w:val="0"/>
          <w:color w:val="auto"/>
          <w:highlight w:val="none"/>
        </w:rPr>
        <w:t>十、</w:t>
      </w:r>
      <w:bookmarkEnd w:id="196"/>
      <w:r>
        <w:rPr>
          <w:rFonts w:hint="eastAsia" w:ascii="仿宋" w:hAnsi="仿宋" w:eastAsia="仿宋"/>
          <w:b w:val="0"/>
          <w:color w:val="auto"/>
          <w:highlight w:val="none"/>
        </w:rPr>
        <w:t>政</w:t>
      </w:r>
      <w:r>
        <w:rPr>
          <w:rStyle w:val="24"/>
          <w:rFonts w:hint="eastAsia" w:ascii="仿宋" w:hAnsi="仿宋" w:eastAsia="仿宋"/>
          <w:b w:val="0"/>
          <w:bCs w:val="0"/>
          <w:color w:val="auto"/>
          <w:highlight w:val="none"/>
        </w:rPr>
        <w:t>府性基金预算财政拨款收入支出决算表</w:t>
      </w:r>
      <w:bookmarkEnd w:id="197"/>
      <w:bookmarkEnd w:id="198"/>
    </w:p>
    <w:p>
      <w:pPr>
        <w:pStyle w:val="4"/>
        <w:rPr>
          <w:rFonts w:ascii="仿宋" w:hAnsi="仿宋" w:eastAsia="仿宋"/>
          <w:color w:val="auto"/>
          <w:highlight w:val="none"/>
        </w:rPr>
      </w:pPr>
      <w:bookmarkStart w:id="199" w:name="_Toc15396629"/>
      <w:bookmarkStart w:id="200" w:name="_Toc5206"/>
      <w:bookmarkStart w:id="201" w:name="_Toc1258"/>
      <w:r>
        <w:rPr>
          <w:rStyle w:val="24"/>
          <w:rFonts w:hint="eastAsia" w:ascii="仿宋" w:hAnsi="仿宋" w:eastAsia="仿宋"/>
          <w:b w:val="0"/>
          <w:bCs w:val="0"/>
          <w:color w:val="auto"/>
          <w:highlight w:val="none"/>
        </w:rPr>
        <w:t>十一、</w:t>
      </w:r>
      <w:bookmarkEnd w:id="199"/>
      <w:r>
        <w:rPr>
          <w:rFonts w:hint="eastAsia" w:ascii="仿宋" w:hAnsi="仿宋" w:eastAsia="仿宋"/>
          <w:b w:val="0"/>
          <w:color w:val="auto"/>
          <w:highlight w:val="none"/>
        </w:rPr>
        <w:t>国</w:t>
      </w:r>
      <w:r>
        <w:rPr>
          <w:rStyle w:val="24"/>
          <w:rFonts w:hint="eastAsia" w:ascii="仿宋" w:hAnsi="仿宋" w:eastAsia="仿宋"/>
          <w:b w:val="0"/>
          <w:bCs w:val="0"/>
          <w:color w:val="auto"/>
          <w:highlight w:val="none"/>
        </w:rPr>
        <w:t>有资本经营预算</w:t>
      </w:r>
      <w:r>
        <w:rPr>
          <w:rStyle w:val="24"/>
          <w:rFonts w:hint="eastAsia" w:ascii="仿宋" w:hAnsi="仿宋" w:eastAsia="仿宋"/>
          <w:b w:val="0"/>
          <w:bCs w:val="0"/>
          <w:color w:val="auto"/>
          <w:highlight w:val="none"/>
          <w:lang w:eastAsia="zh-CN"/>
        </w:rPr>
        <w:t>财政拨款收入</w:t>
      </w:r>
      <w:r>
        <w:rPr>
          <w:rStyle w:val="24"/>
          <w:rFonts w:hint="eastAsia" w:ascii="仿宋" w:hAnsi="仿宋" w:eastAsia="仿宋"/>
          <w:b w:val="0"/>
          <w:bCs w:val="0"/>
          <w:color w:val="auto"/>
          <w:highlight w:val="none"/>
        </w:rPr>
        <w:t>支出决算表</w:t>
      </w:r>
      <w:bookmarkEnd w:id="200"/>
      <w:bookmarkEnd w:id="201"/>
    </w:p>
    <w:p>
      <w:pPr>
        <w:pStyle w:val="4"/>
        <w:rPr>
          <w:rFonts w:ascii="仿宋" w:hAnsi="仿宋" w:eastAsia="仿宋"/>
          <w:color w:val="auto"/>
          <w:highlight w:val="none"/>
        </w:rPr>
      </w:pPr>
      <w:bookmarkStart w:id="202" w:name="_Toc15396630"/>
      <w:bookmarkStart w:id="203" w:name="_Toc8575"/>
      <w:bookmarkStart w:id="204" w:name="_Toc20964"/>
      <w:r>
        <w:rPr>
          <w:rStyle w:val="24"/>
          <w:rFonts w:hint="eastAsia" w:ascii="仿宋" w:hAnsi="仿宋" w:eastAsia="仿宋"/>
          <w:b w:val="0"/>
          <w:bCs w:val="0"/>
          <w:color w:val="auto"/>
          <w:highlight w:val="none"/>
        </w:rPr>
        <w:t>十二、</w:t>
      </w:r>
      <w:bookmarkEnd w:id="202"/>
      <w:r>
        <w:rPr>
          <w:rStyle w:val="24"/>
          <w:rFonts w:hint="eastAsia" w:ascii="仿宋" w:hAnsi="仿宋" w:eastAsia="仿宋"/>
          <w:b w:val="0"/>
          <w:bCs w:val="0"/>
          <w:color w:val="auto"/>
          <w:highlight w:val="none"/>
          <w:lang w:eastAsia="zh-CN"/>
        </w:rPr>
        <w:t>国有资本经营预算财政拨款支出决算表</w:t>
      </w:r>
      <w:bookmarkEnd w:id="203"/>
      <w:bookmarkEnd w:id="204"/>
    </w:p>
    <w:p>
      <w:pPr>
        <w:pStyle w:val="4"/>
        <w:rPr>
          <w:rFonts w:hint="eastAsia" w:eastAsia="仿宋"/>
          <w:color w:val="auto"/>
          <w:highlight w:val="none"/>
          <w:lang w:eastAsia="zh-CN"/>
        </w:rPr>
      </w:pPr>
      <w:bookmarkStart w:id="205" w:name="_Toc15396631"/>
      <w:bookmarkStart w:id="206" w:name="_Toc5177"/>
      <w:bookmarkStart w:id="207" w:name="_Toc2533"/>
      <w:r>
        <w:rPr>
          <w:rStyle w:val="24"/>
          <w:rFonts w:hint="eastAsia" w:ascii="仿宋" w:hAnsi="仿宋" w:eastAsia="仿宋"/>
          <w:b w:val="0"/>
          <w:bCs w:val="0"/>
          <w:color w:val="auto"/>
          <w:highlight w:val="none"/>
        </w:rPr>
        <w:t>十三、</w:t>
      </w:r>
      <w:bookmarkEnd w:id="205"/>
      <w:r>
        <w:rPr>
          <w:rStyle w:val="24"/>
          <w:rFonts w:hint="eastAsia" w:ascii="仿宋" w:hAnsi="仿宋" w:eastAsia="仿宋"/>
          <w:b w:val="0"/>
          <w:bCs w:val="0"/>
          <w:color w:val="auto"/>
          <w:highlight w:val="none"/>
          <w:lang w:eastAsia="zh-CN"/>
        </w:rPr>
        <w:t>财政拨款“三公”经费支出决算表</w:t>
      </w:r>
      <w:bookmarkEnd w:id="206"/>
      <w:bookmarkEnd w:id="207"/>
    </w:p>
    <w:p>
      <w:pPr>
        <w:rPr>
          <w:rFonts w:eastAsia="仿宋"/>
          <w:color w:val="auto"/>
        </w:rPr>
      </w:pP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AR PL UKai CN">
    <w:altName w:val="宋体"/>
    <w:panose1 w:val="02000503000000000000"/>
    <w:charset w:val="86"/>
    <w:family w:val="script"/>
    <w:pitch w:val="default"/>
    <w:sig w:usb0="00000000" w:usb1="00000000" w:usb2="00000036" w:usb3="00000000" w:csb0="2016009F" w:csb1="DFD7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小标宋简体">
    <w:altName w:val="仿宋_GB2312"/>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3"/>
          <w:jc w:val="center"/>
        </w:pPr>
        <w:r>
          <w:fldChar w:fldCharType="begin"/>
        </w:r>
        <w:r>
          <w:instrText xml:space="preserve">PAGE   \* MERGEFORMAT</w:instrText>
        </w:r>
        <w:r>
          <w:fldChar w:fldCharType="separate"/>
        </w:r>
        <w:r>
          <w:rPr>
            <w:lang w:val="zh-CN"/>
          </w:rPr>
          <w:t>28</w:t>
        </w:r>
        <w:r>
          <w:rPr>
            <w:lang w:val="zh-CN"/>
          </w:rP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7EFE03C1"/>
    <w:multiLevelType w:val="singleLevel"/>
    <w:tmpl w:val="7EFE03C1"/>
    <w:lvl w:ilvl="0" w:tentative="0">
      <w:start w:val="1"/>
      <w:numFmt w:val="decimal"/>
      <w:lvlText w:val="%1."/>
      <w:lvlJc w:val="left"/>
      <w:pPr>
        <w:tabs>
          <w:tab w:val="left" w:pos="425"/>
        </w:tabs>
        <w:ind w:left="425" w:leftChars="0" w:hanging="425" w:firstLineChars="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YzgzMzBmOWIyYjc5MzNkYTMyZmUxYmZmNDJkY2EyY2MifQ=="/>
  </w:docVars>
  <w:rsids>
    <w:rsidRoot w:val="00172A27"/>
    <w:rsid w:val="000222C6"/>
    <w:rsid w:val="0002549F"/>
    <w:rsid w:val="000468DB"/>
    <w:rsid w:val="0006487A"/>
    <w:rsid w:val="00065F8F"/>
    <w:rsid w:val="00070A43"/>
    <w:rsid w:val="000768F2"/>
    <w:rsid w:val="00080CD3"/>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03C16"/>
    <w:rsid w:val="00114E9B"/>
    <w:rsid w:val="00142216"/>
    <w:rsid w:val="00144D6A"/>
    <w:rsid w:val="0014729F"/>
    <w:rsid w:val="00157BAB"/>
    <w:rsid w:val="001654D1"/>
    <w:rsid w:val="00174518"/>
    <w:rsid w:val="001757B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74CA2"/>
    <w:rsid w:val="00280496"/>
    <w:rsid w:val="00294DC9"/>
    <w:rsid w:val="00295495"/>
    <w:rsid w:val="002A31DE"/>
    <w:rsid w:val="002B2613"/>
    <w:rsid w:val="002D6D05"/>
    <w:rsid w:val="002F1818"/>
    <w:rsid w:val="002F567B"/>
    <w:rsid w:val="00313ABE"/>
    <w:rsid w:val="003216A9"/>
    <w:rsid w:val="00335A74"/>
    <w:rsid w:val="0036561B"/>
    <w:rsid w:val="0037013F"/>
    <w:rsid w:val="00380C92"/>
    <w:rsid w:val="00390F17"/>
    <w:rsid w:val="003A484F"/>
    <w:rsid w:val="003A4883"/>
    <w:rsid w:val="003B0BE0"/>
    <w:rsid w:val="003B0C1B"/>
    <w:rsid w:val="003B688C"/>
    <w:rsid w:val="003C0291"/>
    <w:rsid w:val="003C39AE"/>
    <w:rsid w:val="003C7B60"/>
    <w:rsid w:val="003D0C0F"/>
    <w:rsid w:val="003D1FB2"/>
    <w:rsid w:val="003D66DA"/>
    <w:rsid w:val="003E1310"/>
    <w:rsid w:val="003E6F55"/>
    <w:rsid w:val="003F01EB"/>
    <w:rsid w:val="00406254"/>
    <w:rsid w:val="00412FC7"/>
    <w:rsid w:val="004223DE"/>
    <w:rsid w:val="00434489"/>
    <w:rsid w:val="00437085"/>
    <w:rsid w:val="00443880"/>
    <w:rsid w:val="004464F4"/>
    <w:rsid w:val="00471401"/>
    <w:rsid w:val="00473F31"/>
    <w:rsid w:val="0048263A"/>
    <w:rsid w:val="00487E5D"/>
    <w:rsid w:val="004A711F"/>
    <w:rsid w:val="004B199D"/>
    <w:rsid w:val="004B4690"/>
    <w:rsid w:val="004C7ECA"/>
    <w:rsid w:val="004E0A2D"/>
    <w:rsid w:val="004E206B"/>
    <w:rsid w:val="004E6DF7"/>
    <w:rsid w:val="004F0FBD"/>
    <w:rsid w:val="00505A47"/>
    <w:rsid w:val="00512FDA"/>
    <w:rsid w:val="00520DA0"/>
    <w:rsid w:val="00546091"/>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467"/>
    <w:rsid w:val="006748A4"/>
    <w:rsid w:val="00681A31"/>
    <w:rsid w:val="00683E73"/>
    <w:rsid w:val="006A3141"/>
    <w:rsid w:val="006A5E34"/>
    <w:rsid w:val="006B2422"/>
    <w:rsid w:val="006B2B9A"/>
    <w:rsid w:val="006C1937"/>
    <w:rsid w:val="006F020C"/>
    <w:rsid w:val="006F2665"/>
    <w:rsid w:val="007127B7"/>
    <w:rsid w:val="0071798E"/>
    <w:rsid w:val="007416B6"/>
    <w:rsid w:val="00746F48"/>
    <w:rsid w:val="0075404D"/>
    <w:rsid w:val="00757040"/>
    <w:rsid w:val="0076182A"/>
    <w:rsid w:val="00763FD0"/>
    <w:rsid w:val="00767B7E"/>
    <w:rsid w:val="007770C3"/>
    <w:rsid w:val="0078013A"/>
    <w:rsid w:val="00784D24"/>
    <w:rsid w:val="00785FBA"/>
    <w:rsid w:val="00786E4A"/>
    <w:rsid w:val="007875EB"/>
    <w:rsid w:val="0079426B"/>
    <w:rsid w:val="007949A3"/>
    <w:rsid w:val="007B1976"/>
    <w:rsid w:val="007D1682"/>
    <w:rsid w:val="007D312A"/>
    <w:rsid w:val="007D3F19"/>
    <w:rsid w:val="007D41C4"/>
    <w:rsid w:val="007E23B0"/>
    <w:rsid w:val="007E23E5"/>
    <w:rsid w:val="007F1991"/>
    <w:rsid w:val="007F2C2F"/>
    <w:rsid w:val="007F55FC"/>
    <w:rsid w:val="007F5665"/>
    <w:rsid w:val="00800112"/>
    <w:rsid w:val="00813348"/>
    <w:rsid w:val="008253BB"/>
    <w:rsid w:val="0083706E"/>
    <w:rsid w:val="008408F6"/>
    <w:rsid w:val="00841A05"/>
    <w:rsid w:val="008423A5"/>
    <w:rsid w:val="008437A9"/>
    <w:rsid w:val="00847117"/>
    <w:rsid w:val="00850625"/>
    <w:rsid w:val="00853718"/>
    <w:rsid w:val="00855221"/>
    <w:rsid w:val="00860645"/>
    <w:rsid w:val="00871F71"/>
    <w:rsid w:val="00872FD8"/>
    <w:rsid w:val="00885AF4"/>
    <w:rsid w:val="008939CD"/>
    <w:rsid w:val="008B09D9"/>
    <w:rsid w:val="008B768C"/>
    <w:rsid w:val="008C4DB1"/>
    <w:rsid w:val="008C4EAF"/>
    <w:rsid w:val="008C5176"/>
    <w:rsid w:val="008C7FD0"/>
    <w:rsid w:val="008E1DE7"/>
    <w:rsid w:val="008E707C"/>
    <w:rsid w:val="00900B08"/>
    <w:rsid w:val="00902155"/>
    <w:rsid w:val="00902FA3"/>
    <w:rsid w:val="00923564"/>
    <w:rsid w:val="0092392E"/>
    <w:rsid w:val="00925C50"/>
    <w:rsid w:val="009315F9"/>
    <w:rsid w:val="00933499"/>
    <w:rsid w:val="00935C98"/>
    <w:rsid w:val="009419AF"/>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2A4F"/>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E82"/>
    <w:rsid w:val="00A45BB7"/>
    <w:rsid w:val="00A56DF2"/>
    <w:rsid w:val="00A56E6E"/>
    <w:rsid w:val="00A570DA"/>
    <w:rsid w:val="00A67AB5"/>
    <w:rsid w:val="00A733B2"/>
    <w:rsid w:val="00A741C2"/>
    <w:rsid w:val="00A91760"/>
    <w:rsid w:val="00A93B00"/>
    <w:rsid w:val="00A93C21"/>
    <w:rsid w:val="00AB64C9"/>
    <w:rsid w:val="00AC3C6A"/>
    <w:rsid w:val="00AD5620"/>
    <w:rsid w:val="00AD656B"/>
    <w:rsid w:val="00AD7C1B"/>
    <w:rsid w:val="00AE16BA"/>
    <w:rsid w:val="00AE183B"/>
    <w:rsid w:val="00AE1EBE"/>
    <w:rsid w:val="00B03C9D"/>
    <w:rsid w:val="00B060AE"/>
    <w:rsid w:val="00B10517"/>
    <w:rsid w:val="00B13BE0"/>
    <w:rsid w:val="00B14E76"/>
    <w:rsid w:val="00B161B8"/>
    <w:rsid w:val="00B2048C"/>
    <w:rsid w:val="00B310B9"/>
    <w:rsid w:val="00B35F3F"/>
    <w:rsid w:val="00B36CBB"/>
    <w:rsid w:val="00B425E0"/>
    <w:rsid w:val="00B440AA"/>
    <w:rsid w:val="00B44B70"/>
    <w:rsid w:val="00B53C56"/>
    <w:rsid w:val="00B5415E"/>
    <w:rsid w:val="00B57DAF"/>
    <w:rsid w:val="00B77EA6"/>
    <w:rsid w:val="00B81598"/>
    <w:rsid w:val="00B841F1"/>
    <w:rsid w:val="00B944D6"/>
    <w:rsid w:val="00BB4DF0"/>
    <w:rsid w:val="00BC13DA"/>
    <w:rsid w:val="00BC289F"/>
    <w:rsid w:val="00BC2D50"/>
    <w:rsid w:val="00BC5361"/>
    <w:rsid w:val="00BC5460"/>
    <w:rsid w:val="00BC6B50"/>
    <w:rsid w:val="00BD0E25"/>
    <w:rsid w:val="00BF5BD6"/>
    <w:rsid w:val="00C03E31"/>
    <w:rsid w:val="00C33E72"/>
    <w:rsid w:val="00C354B2"/>
    <w:rsid w:val="00C35554"/>
    <w:rsid w:val="00C42709"/>
    <w:rsid w:val="00C45283"/>
    <w:rsid w:val="00C533CC"/>
    <w:rsid w:val="00C5751C"/>
    <w:rsid w:val="00C61BFC"/>
    <w:rsid w:val="00C62B85"/>
    <w:rsid w:val="00C65438"/>
    <w:rsid w:val="00C87FD8"/>
    <w:rsid w:val="00C91381"/>
    <w:rsid w:val="00C91CBB"/>
    <w:rsid w:val="00CA01FF"/>
    <w:rsid w:val="00CB4E70"/>
    <w:rsid w:val="00CC09B6"/>
    <w:rsid w:val="00CC666F"/>
    <w:rsid w:val="00CD0B30"/>
    <w:rsid w:val="00CD1E3F"/>
    <w:rsid w:val="00CE44F6"/>
    <w:rsid w:val="00CE49DA"/>
    <w:rsid w:val="00CE7B61"/>
    <w:rsid w:val="00CF7156"/>
    <w:rsid w:val="00D00095"/>
    <w:rsid w:val="00D114F0"/>
    <w:rsid w:val="00D14F0E"/>
    <w:rsid w:val="00D20620"/>
    <w:rsid w:val="00D254F7"/>
    <w:rsid w:val="00D26091"/>
    <w:rsid w:val="00D2685C"/>
    <w:rsid w:val="00D34E7C"/>
    <w:rsid w:val="00D35489"/>
    <w:rsid w:val="00D36AFE"/>
    <w:rsid w:val="00D51276"/>
    <w:rsid w:val="00D7035F"/>
    <w:rsid w:val="00DA634F"/>
    <w:rsid w:val="00DA65AC"/>
    <w:rsid w:val="00DB1913"/>
    <w:rsid w:val="00DC096D"/>
    <w:rsid w:val="00DC31E8"/>
    <w:rsid w:val="00DC410D"/>
    <w:rsid w:val="00DC5A81"/>
    <w:rsid w:val="00DC68CA"/>
    <w:rsid w:val="00DC7CBA"/>
    <w:rsid w:val="00DD73B7"/>
    <w:rsid w:val="00DF28BC"/>
    <w:rsid w:val="00DF34B9"/>
    <w:rsid w:val="00E01053"/>
    <w:rsid w:val="00E07ACF"/>
    <w:rsid w:val="00E13486"/>
    <w:rsid w:val="00E331A1"/>
    <w:rsid w:val="00E33202"/>
    <w:rsid w:val="00E336A9"/>
    <w:rsid w:val="00E472B1"/>
    <w:rsid w:val="00E50624"/>
    <w:rsid w:val="00E568DF"/>
    <w:rsid w:val="00E64269"/>
    <w:rsid w:val="00E649D2"/>
    <w:rsid w:val="00E727DA"/>
    <w:rsid w:val="00E82267"/>
    <w:rsid w:val="00E841AC"/>
    <w:rsid w:val="00E853CE"/>
    <w:rsid w:val="00E867B6"/>
    <w:rsid w:val="00EA010F"/>
    <w:rsid w:val="00ED1B63"/>
    <w:rsid w:val="00ED3C1F"/>
    <w:rsid w:val="00ED4085"/>
    <w:rsid w:val="00ED420E"/>
    <w:rsid w:val="00ED6FBE"/>
    <w:rsid w:val="00EE2F57"/>
    <w:rsid w:val="00EF4C34"/>
    <w:rsid w:val="00EF77C6"/>
    <w:rsid w:val="00F05438"/>
    <w:rsid w:val="00F1361C"/>
    <w:rsid w:val="00F149C1"/>
    <w:rsid w:val="00F156F0"/>
    <w:rsid w:val="00F160C7"/>
    <w:rsid w:val="00F2408F"/>
    <w:rsid w:val="00F240E9"/>
    <w:rsid w:val="00F36D8F"/>
    <w:rsid w:val="00F417B1"/>
    <w:rsid w:val="00F45853"/>
    <w:rsid w:val="00F602DF"/>
    <w:rsid w:val="00F64D04"/>
    <w:rsid w:val="00F754A1"/>
    <w:rsid w:val="00F81FD9"/>
    <w:rsid w:val="00F841AA"/>
    <w:rsid w:val="00F84A94"/>
    <w:rsid w:val="00F87E96"/>
    <w:rsid w:val="00FA23E8"/>
    <w:rsid w:val="00FC20D8"/>
    <w:rsid w:val="00FD3CC1"/>
    <w:rsid w:val="00FF1E02"/>
    <w:rsid w:val="00FF30B4"/>
    <w:rsid w:val="015D63FC"/>
    <w:rsid w:val="016D4D19"/>
    <w:rsid w:val="01844AF1"/>
    <w:rsid w:val="01873E91"/>
    <w:rsid w:val="01922F86"/>
    <w:rsid w:val="01935533"/>
    <w:rsid w:val="01B52B38"/>
    <w:rsid w:val="01E5254B"/>
    <w:rsid w:val="020E02AA"/>
    <w:rsid w:val="025B6445"/>
    <w:rsid w:val="030177CC"/>
    <w:rsid w:val="034121F3"/>
    <w:rsid w:val="037C1244"/>
    <w:rsid w:val="03D86515"/>
    <w:rsid w:val="03FB340F"/>
    <w:rsid w:val="040E2E90"/>
    <w:rsid w:val="045753F3"/>
    <w:rsid w:val="049F3574"/>
    <w:rsid w:val="04C33E81"/>
    <w:rsid w:val="04D36998"/>
    <w:rsid w:val="04FC43EA"/>
    <w:rsid w:val="05090B6A"/>
    <w:rsid w:val="05F41C2F"/>
    <w:rsid w:val="06A92350"/>
    <w:rsid w:val="06B94BFD"/>
    <w:rsid w:val="07B471FE"/>
    <w:rsid w:val="07DF13ED"/>
    <w:rsid w:val="07F83069"/>
    <w:rsid w:val="089B7F9C"/>
    <w:rsid w:val="08E12275"/>
    <w:rsid w:val="091D7F95"/>
    <w:rsid w:val="09355DF4"/>
    <w:rsid w:val="0A1C108A"/>
    <w:rsid w:val="0A2032A3"/>
    <w:rsid w:val="0AE630D8"/>
    <w:rsid w:val="0B057D70"/>
    <w:rsid w:val="0B8A37D8"/>
    <w:rsid w:val="0CC655AA"/>
    <w:rsid w:val="0CE73BD2"/>
    <w:rsid w:val="0D006A41"/>
    <w:rsid w:val="0D514291"/>
    <w:rsid w:val="0D57674A"/>
    <w:rsid w:val="0DBD777D"/>
    <w:rsid w:val="0F055BCD"/>
    <w:rsid w:val="0F0767AD"/>
    <w:rsid w:val="0F2C75EB"/>
    <w:rsid w:val="0F874721"/>
    <w:rsid w:val="0F9E420B"/>
    <w:rsid w:val="0FF33EE9"/>
    <w:rsid w:val="10085EFA"/>
    <w:rsid w:val="108F6797"/>
    <w:rsid w:val="10C055FF"/>
    <w:rsid w:val="112F5204"/>
    <w:rsid w:val="118107EC"/>
    <w:rsid w:val="11A42091"/>
    <w:rsid w:val="11DD6519"/>
    <w:rsid w:val="12244F80"/>
    <w:rsid w:val="12372F05"/>
    <w:rsid w:val="125E3532"/>
    <w:rsid w:val="12C0114D"/>
    <w:rsid w:val="13BA1693"/>
    <w:rsid w:val="14101C48"/>
    <w:rsid w:val="147A6BB3"/>
    <w:rsid w:val="149C111C"/>
    <w:rsid w:val="14D40EDF"/>
    <w:rsid w:val="152A7FDF"/>
    <w:rsid w:val="153C6FB3"/>
    <w:rsid w:val="16400127"/>
    <w:rsid w:val="16BB723D"/>
    <w:rsid w:val="17055077"/>
    <w:rsid w:val="173B2E25"/>
    <w:rsid w:val="18015F3F"/>
    <w:rsid w:val="18933149"/>
    <w:rsid w:val="19C05391"/>
    <w:rsid w:val="19C61E08"/>
    <w:rsid w:val="1A5F56EF"/>
    <w:rsid w:val="1ACF04EF"/>
    <w:rsid w:val="1B2F50C2"/>
    <w:rsid w:val="1B882A24"/>
    <w:rsid w:val="1BE8440E"/>
    <w:rsid w:val="1D155CEE"/>
    <w:rsid w:val="1E1962EB"/>
    <w:rsid w:val="1E421900"/>
    <w:rsid w:val="1E864F13"/>
    <w:rsid w:val="1EAE5386"/>
    <w:rsid w:val="1ECF707B"/>
    <w:rsid w:val="1F164E23"/>
    <w:rsid w:val="1FF933AB"/>
    <w:rsid w:val="20604CE1"/>
    <w:rsid w:val="209E49AA"/>
    <w:rsid w:val="20DF4EBD"/>
    <w:rsid w:val="20F57F95"/>
    <w:rsid w:val="22020DD5"/>
    <w:rsid w:val="220D4B66"/>
    <w:rsid w:val="23147A0B"/>
    <w:rsid w:val="232D49D1"/>
    <w:rsid w:val="235D2F55"/>
    <w:rsid w:val="240371BF"/>
    <w:rsid w:val="241702A3"/>
    <w:rsid w:val="24FB6014"/>
    <w:rsid w:val="250645A0"/>
    <w:rsid w:val="25C741E6"/>
    <w:rsid w:val="26A338B2"/>
    <w:rsid w:val="27807B81"/>
    <w:rsid w:val="27842671"/>
    <w:rsid w:val="27CE2F4F"/>
    <w:rsid w:val="27FA118F"/>
    <w:rsid w:val="280451E0"/>
    <w:rsid w:val="282D2989"/>
    <w:rsid w:val="28DD386A"/>
    <w:rsid w:val="29476528"/>
    <w:rsid w:val="29BD5F8E"/>
    <w:rsid w:val="29CC63E6"/>
    <w:rsid w:val="29FD04D3"/>
    <w:rsid w:val="2A710990"/>
    <w:rsid w:val="2A922F77"/>
    <w:rsid w:val="2AAF35DE"/>
    <w:rsid w:val="2ABE7A3E"/>
    <w:rsid w:val="2B4D7AEF"/>
    <w:rsid w:val="2C012879"/>
    <w:rsid w:val="2DEA7E32"/>
    <w:rsid w:val="2E141EF5"/>
    <w:rsid w:val="2E542F04"/>
    <w:rsid w:val="2E6106C9"/>
    <w:rsid w:val="2E6764C9"/>
    <w:rsid w:val="2E6C73E5"/>
    <w:rsid w:val="2EC66938"/>
    <w:rsid w:val="2EDC352E"/>
    <w:rsid w:val="2EEE00C7"/>
    <w:rsid w:val="2EFA178C"/>
    <w:rsid w:val="2F124686"/>
    <w:rsid w:val="2FA411F2"/>
    <w:rsid w:val="2FDF5BEB"/>
    <w:rsid w:val="30314FE0"/>
    <w:rsid w:val="3035391E"/>
    <w:rsid w:val="307873EA"/>
    <w:rsid w:val="308912DA"/>
    <w:rsid w:val="309F63EE"/>
    <w:rsid w:val="30B46D73"/>
    <w:rsid w:val="30D75275"/>
    <w:rsid w:val="312A67F9"/>
    <w:rsid w:val="319E6421"/>
    <w:rsid w:val="319F7F4E"/>
    <w:rsid w:val="31AD298A"/>
    <w:rsid w:val="32425CB4"/>
    <w:rsid w:val="329648EA"/>
    <w:rsid w:val="32D3412D"/>
    <w:rsid w:val="32ED6BDD"/>
    <w:rsid w:val="33A538E2"/>
    <w:rsid w:val="33B533E4"/>
    <w:rsid w:val="33D04B10"/>
    <w:rsid w:val="34B543D6"/>
    <w:rsid w:val="35507BF0"/>
    <w:rsid w:val="357F38AE"/>
    <w:rsid w:val="365612FD"/>
    <w:rsid w:val="36DF7544"/>
    <w:rsid w:val="3768578B"/>
    <w:rsid w:val="37774BB9"/>
    <w:rsid w:val="379E73FF"/>
    <w:rsid w:val="38606463"/>
    <w:rsid w:val="39AE70AB"/>
    <w:rsid w:val="39DF0585"/>
    <w:rsid w:val="39E76C3E"/>
    <w:rsid w:val="3A5FC74E"/>
    <w:rsid w:val="3AB14628"/>
    <w:rsid w:val="3ACC55F3"/>
    <w:rsid w:val="3C0C0783"/>
    <w:rsid w:val="3C144C4F"/>
    <w:rsid w:val="3C37572C"/>
    <w:rsid w:val="3CF719D1"/>
    <w:rsid w:val="3DA02DDB"/>
    <w:rsid w:val="3E5B1307"/>
    <w:rsid w:val="3EEF22EE"/>
    <w:rsid w:val="3EF314ED"/>
    <w:rsid w:val="3F0B507C"/>
    <w:rsid w:val="3F3F12CA"/>
    <w:rsid w:val="3F795B0E"/>
    <w:rsid w:val="3F9F3A96"/>
    <w:rsid w:val="3FA3319B"/>
    <w:rsid w:val="3FBF5C03"/>
    <w:rsid w:val="401726DE"/>
    <w:rsid w:val="40194ED9"/>
    <w:rsid w:val="401B18A0"/>
    <w:rsid w:val="401F586B"/>
    <w:rsid w:val="40350D30"/>
    <w:rsid w:val="413F5DD0"/>
    <w:rsid w:val="418E0940"/>
    <w:rsid w:val="418F02B6"/>
    <w:rsid w:val="425B4D8B"/>
    <w:rsid w:val="42D87A6C"/>
    <w:rsid w:val="43C353A5"/>
    <w:rsid w:val="4412002D"/>
    <w:rsid w:val="44713000"/>
    <w:rsid w:val="44FC39BB"/>
    <w:rsid w:val="459B41E6"/>
    <w:rsid w:val="45E06E35"/>
    <w:rsid w:val="46F5430B"/>
    <w:rsid w:val="471825FE"/>
    <w:rsid w:val="47434B02"/>
    <w:rsid w:val="47E04ECA"/>
    <w:rsid w:val="48FC723A"/>
    <w:rsid w:val="491E2A22"/>
    <w:rsid w:val="4921332C"/>
    <w:rsid w:val="493C27E9"/>
    <w:rsid w:val="494D6749"/>
    <w:rsid w:val="49531B59"/>
    <w:rsid w:val="496F39ED"/>
    <w:rsid w:val="49DB4D4B"/>
    <w:rsid w:val="49FF41D3"/>
    <w:rsid w:val="4A185DC8"/>
    <w:rsid w:val="4A346512"/>
    <w:rsid w:val="4AF40C8C"/>
    <w:rsid w:val="4AFA468E"/>
    <w:rsid w:val="4B102CAE"/>
    <w:rsid w:val="4B576328"/>
    <w:rsid w:val="4BE068DB"/>
    <w:rsid w:val="4BF6002B"/>
    <w:rsid w:val="4C2F3B2D"/>
    <w:rsid w:val="4CD609DC"/>
    <w:rsid w:val="4D8649B9"/>
    <w:rsid w:val="4DDF79D2"/>
    <w:rsid w:val="4E05221B"/>
    <w:rsid w:val="4ECE2238"/>
    <w:rsid w:val="4F6F0072"/>
    <w:rsid w:val="50871369"/>
    <w:rsid w:val="508A2527"/>
    <w:rsid w:val="50A827C8"/>
    <w:rsid w:val="510B381C"/>
    <w:rsid w:val="51B446F3"/>
    <w:rsid w:val="51DB4B86"/>
    <w:rsid w:val="51F85506"/>
    <w:rsid w:val="526C728C"/>
    <w:rsid w:val="528D72DA"/>
    <w:rsid w:val="52B94C95"/>
    <w:rsid w:val="52D54317"/>
    <w:rsid w:val="53326345"/>
    <w:rsid w:val="53392CB0"/>
    <w:rsid w:val="53AC0356"/>
    <w:rsid w:val="53C02053"/>
    <w:rsid w:val="541E2C15"/>
    <w:rsid w:val="542E520F"/>
    <w:rsid w:val="5467116A"/>
    <w:rsid w:val="54754BEC"/>
    <w:rsid w:val="552A52AE"/>
    <w:rsid w:val="55333C3E"/>
    <w:rsid w:val="557A76C6"/>
    <w:rsid w:val="55A20CA7"/>
    <w:rsid w:val="567C03AE"/>
    <w:rsid w:val="56A67494"/>
    <w:rsid w:val="56CD0D7E"/>
    <w:rsid w:val="57F35983"/>
    <w:rsid w:val="587656E2"/>
    <w:rsid w:val="59835B2E"/>
    <w:rsid w:val="5B555777"/>
    <w:rsid w:val="5BC5D3B2"/>
    <w:rsid w:val="5C0158F6"/>
    <w:rsid w:val="5C11169E"/>
    <w:rsid w:val="5C3749D1"/>
    <w:rsid w:val="5C962531"/>
    <w:rsid w:val="5D015FFE"/>
    <w:rsid w:val="5D6A2C17"/>
    <w:rsid w:val="5D8D3BC6"/>
    <w:rsid w:val="5E763EB9"/>
    <w:rsid w:val="5ECB5DB2"/>
    <w:rsid w:val="5F49114F"/>
    <w:rsid w:val="601E7AF2"/>
    <w:rsid w:val="60502867"/>
    <w:rsid w:val="61C86514"/>
    <w:rsid w:val="61CB5C4E"/>
    <w:rsid w:val="623B7B94"/>
    <w:rsid w:val="62E521E8"/>
    <w:rsid w:val="6343411C"/>
    <w:rsid w:val="637D6B7E"/>
    <w:rsid w:val="63A46980"/>
    <w:rsid w:val="64CA39A1"/>
    <w:rsid w:val="64EF5B20"/>
    <w:rsid w:val="659C46CE"/>
    <w:rsid w:val="66653FA2"/>
    <w:rsid w:val="668B029F"/>
    <w:rsid w:val="668C60C1"/>
    <w:rsid w:val="668F1B3D"/>
    <w:rsid w:val="66B37D2B"/>
    <w:rsid w:val="66F1064C"/>
    <w:rsid w:val="674072DB"/>
    <w:rsid w:val="67475D77"/>
    <w:rsid w:val="6761336A"/>
    <w:rsid w:val="680F3EC9"/>
    <w:rsid w:val="68346CC2"/>
    <w:rsid w:val="690776FC"/>
    <w:rsid w:val="6A7C6FAE"/>
    <w:rsid w:val="6A941A4E"/>
    <w:rsid w:val="6AAA0AF6"/>
    <w:rsid w:val="6B24496B"/>
    <w:rsid w:val="6B721F20"/>
    <w:rsid w:val="6C4A05C8"/>
    <w:rsid w:val="6C8773BF"/>
    <w:rsid w:val="6D393EB5"/>
    <w:rsid w:val="6DE50F9D"/>
    <w:rsid w:val="6DFF752C"/>
    <w:rsid w:val="6E1A554E"/>
    <w:rsid w:val="6E490C25"/>
    <w:rsid w:val="6E5D40D2"/>
    <w:rsid w:val="6E712470"/>
    <w:rsid w:val="6EB14A65"/>
    <w:rsid w:val="6EDF0229"/>
    <w:rsid w:val="6F715543"/>
    <w:rsid w:val="6F983459"/>
    <w:rsid w:val="6FCB0329"/>
    <w:rsid w:val="707F181E"/>
    <w:rsid w:val="70A935FE"/>
    <w:rsid w:val="70D788F5"/>
    <w:rsid w:val="70EA7653"/>
    <w:rsid w:val="71332DB0"/>
    <w:rsid w:val="71FC0DCA"/>
    <w:rsid w:val="72734D90"/>
    <w:rsid w:val="72C312B2"/>
    <w:rsid w:val="72D43000"/>
    <w:rsid w:val="72F21DBC"/>
    <w:rsid w:val="73283346"/>
    <w:rsid w:val="733811B3"/>
    <w:rsid w:val="73674370"/>
    <w:rsid w:val="74CD350C"/>
    <w:rsid w:val="7597611B"/>
    <w:rsid w:val="76381B3A"/>
    <w:rsid w:val="76A33BA3"/>
    <w:rsid w:val="76D025F8"/>
    <w:rsid w:val="77023A68"/>
    <w:rsid w:val="771542E1"/>
    <w:rsid w:val="77763CE3"/>
    <w:rsid w:val="77860D3A"/>
    <w:rsid w:val="77FC664F"/>
    <w:rsid w:val="77FE796C"/>
    <w:rsid w:val="78482494"/>
    <w:rsid w:val="78AA3036"/>
    <w:rsid w:val="78E33874"/>
    <w:rsid w:val="799563CE"/>
    <w:rsid w:val="79D55FA9"/>
    <w:rsid w:val="79E7B28D"/>
    <w:rsid w:val="7A037876"/>
    <w:rsid w:val="7A232421"/>
    <w:rsid w:val="7A7845A4"/>
    <w:rsid w:val="7AB0765C"/>
    <w:rsid w:val="7B6D653C"/>
    <w:rsid w:val="7B8B2DC3"/>
    <w:rsid w:val="7BC613EA"/>
    <w:rsid w:val="7BFF2F11"/>
    <w:rsid w:val="7C5C5ADB"/>
    <w:rsid w:val="7C775BAB"/>
    <w:rsid w:val="7DA61581"/>
    <w:rsid w:val="7E9842E4"/>
    <w:rsid w:val="7EDC02F9"/>
    <w:rsid w:val="7F9F20EE"/>
    <w:rsid w:val="9E3A10E2"/>
    <w:rsid w:val="9EBD182C"/>
    <w:rsid w:val="CFEF14F3"/>
    <w:rsid w:val="D9F3411F"/>
    <w:rsid w:val="DDFF551A"/>
    <w:rsid w:val="F2BF1C1C"/>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5"/>
    <w:unhideWhenUsed/>
    <w:qFormat/>
    <w:uiPriority w:val="9"/>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31"/>
    <w:qFormat/>
    <w:uiPriority w:val="99"/>
    <w:pPr>
      <w:spacing w:beforeLines="30"/>
    </w:pPr>
    <w:rPr>
      <w:rFonts w:ascii="仿宋_GB2312" w:eastAsia="仿宋_GB2312"/>
      <w:kern w:val="0"/>
      <w:sz w:val="30"/>
    </w:rPr>
  </w:style>
  <w:style w:type="paragraph" w:styleId="6">
    <w:name w:val="index 5"/>
    <w:next w:val="1"/>
    <w:qFormat/>
    <w:uiPriority w:val="0"/>
    <w:pPr>
      <w:widowControl w:val="0"/>
      <w:spacing w:line="576" w:lineRule="exact"/>
      <w:ind w:firstLine="200" w:firstLineChars="200"/>
      <w:jc w:val="both"/>
    </w:pPr>
    <w:rPr>
      <w:rFonts w:ascii="仿宋_GB2312" w:hAnsi="AR PL UKai CN" w:eastAsia="仿宋_GB2312" w:cs="Times New Roman"/>
      <w:bCs/>
      <w:kern w:val="2"/>
      <w:sz w:val="32"/>
      <w:szCs w:val="32"/>
      <w:lang w:val="en-US" w:eastAsia="zh-CN" w:bidi="ar-SA"/>
    </w:rPr>
  </w:style>
  <w:style w:type="paragraph" w:styleId="7">
    <w:name w:val="Salutation"/>
    <w:basedOn w:val="1"/>
    <w:next w:val="1"/>
    <w:qFormat/>
    <w:uiPriority w:val="0"/>
    <w:rPr>
      <w:rFonts w:ascii="Times New Roman" w:hAnsi="Times New Roman" w:cs="Times New Roman"/>
    </w:rPr>
  </w:style>
  <w:style w:type="paragraph" w:styleId="8">
    <w:name w:val="Body Text Indent"/>
    <w:basedOn w:val="1"/>
    <w:next w:val="9"/>
    <w:qFormat/>
    <w:uiPriority w:val="0"/>
    <w:pPr>
      <w:ind w:left="200" w:leftChars="200"/>
    </w:pPr>
  </w:style>
  <w:style w:type="paragraph" w:styleId="9">
    <w:name w:val="Body Text First Indent 2"/>
    <w:basedOn w:val="8"/>
    <w:next w:val="1"/>
    <w:qFormat/>
    <w:uiPriority w:val="0"/>
    <w:pPr>
      <w:ind w:firstLine="420"/>
    </w:pPr>
  </w:style>
  <w:style w:type="paragraph" w:styleId="10">
    <w:name w:val="List 2"/>
    <w:basedOn w:val="1"/>
    <w:qFormat/>
    <w:uiPriority w:val="0"/>
    <w:pPr>
      <w:ind w:left="100" w:leftChars="200" w:hanging="200" w:hangingChars="200"/>
      <w:contextualSpacing/>
    </w:pPr>
  </w:style>
  <w:style w:type="paragraph" w:styleId="11">
    <w:name w:val="toc 3"/>
    <w:basedOn w:val="1"/>
    <w:next w:val="1"/>
    <w:unhideWhenUsed/>
    <w:qFormat/>
    <w:uiPriority w:val="39"/>
    <w:pPr>
      <w:tabs>
        <w:tab w:val="right" w:leader="dot" w:pos="8296"/>
      </w:tabs>
      <w:ind w:left="840" w:leftChars="400"/>
    </w:pPr>
  </w:style>
  <w:style w:type="paragraph" w:styleId="12">
    <w:name w:val="Balloon Text"/>
    <w:basedOn w:val="1"/>
    <w:link w:val="35"/>
    <w:semiHidden/>
    <w:unhideWhenUsed/>
    <w:qFormat/>
    <w:uiPriority w:val="99"/>
    <w:rPr>
      <w:sz w:val="18"/>
      <w:szCs w:val="18"/>
    </w:rPr>
  </w:style>
  <w:style w:type="paragraph" w:styleId="13">
    <w:name w:val="footer"/>
    <w:basedOn w:val="1"/>
    <w:link w:val="29"/>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2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table of figures"/>
    <w:basedOn w:val="1"/>
    <w:next w:val="1"/>
    <w:qFormat/>
    <w:uiPriority w:val="0"/>
    <w:pPr>
      <w:ind w:left="200" w:leftChars="200" w:hanging="200" w:hangingChars="200"/>
    </w:pPr>
  </w:style>
  <w:style w:type="paragraph" w:styleId="17">
    <w:name w:val="toc 2"/>
    <w:basedOn w:val="1"/>
    <w:next w:val="1"/>
    <w:unhideWhenUsed/>
    <w:qFormat/>
    <w:uiPriority w:val="39"/>
    <w:pPr>
      <w:tabs>
        <w:tab w:val="right" w:leader="dot" w:pos="8296"/>
      </w:tabs>
      <w:ind w:left="420" w:leftChars="200"/>
    </w:pPr>
  </w:style>
  <w:style w:type="paragraph" w:styleId="1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21">
    <w:name w:val="Strong"/>
    <w:basedOn w:val="20"/>
    <w:qFormat/>
    <w:uiPriority w:val="99"/>
    <w:rPr>
      <w:b/>
    </w:rPr>
  </w:style>
  <w:style w:type="character" w:styleId="22">
    <w:name w:val="Hyperlink"/>
    <w:basedOn w:val="20"/>
    <w:unhideWhenUsed/>
    <w:qFormat/>
    <w:uiPriority w:val="99"/>
    <w:rPr>
      <w:color w:val="0000FF" w:themeColor="hyperlink"/>
      <w:u w:val="single"/>
    </w:rPr>
  </w:style>
  <w:style w:type="character" w:customStyle="1" w:styleId="23">
    <w:name w:val="标题 1 Char"/>
    <w:basedOn w:val="20"/>
    <w:link w:val="3"/>
    <w:qFormat/>
    <w:uiPriority w:val="9"/>
    <w:rPr>
      <w:rFonts w:ascii="Times New Roman" w:hAnsi="Times New Roman"/>
      <w:b/>
      <w:bCs/>
      <w:kern w:val="44"/>
      <w:sz w:val="44"/>
      <w:szCs w:val="44"/>
    </w:rPr>
  </w:style>
  <w:style w:type="character" w:customStyle="1" w:styleId="24">
    <w:name w:val="标题 2 Char"/>
    <w:basedOn w:val="20"/>
    <w:link w:val="4"/>
    <w:qFormat/>
    <w:uiPriority w:val="9"/>
    <w:rPr>
      <w:rFonts w:asciiTheme="majorHAnsi" w:hAnsiTheme="majorHAnsi" w:eastAsiaTheme="majorEastAsia" w:cstheme="majorBidi"/>
      <w:b/>
      <w:bCs/>
      <w:kern w:val="2"/>
      <w:sz w:val="32"/>
      <w:szCs w:val="32"/>
    </w:rPr>
  </w:style>
  <w:style w:type="character" w:customStyle="1" w:styleId="25">
    <w:name w:val="标题 3 Char"/>
    <w:basedOn w:val="20"/>
    <w:link w:val="5"/>
    <w:qFormat/>
    <w:uiPriority w:val="9"/>
    <w:rPr>
      <w:rFonts w:ascii="Times New Roman" w:hAnsi="Times New Roman"/>
      <w:b/>
      <w:bCs/>
      <w:kern w:val="2"/>
      <w:sz w:val="32"/>
      <w:szCs w:val="32"/>
    </w:rPr>
  </w:style>
  <w:style w:type="character" w:customStyle="1" w:styleId="26">
    <w:name w:val="Header Char"/>
    <w:basedOn w:val="20"/>
    <w:semiHidden/>
    <w:qFormat/>
    <w:uiPriority w:val="99"/>
    <w:rPr>
      <w:rFonts w:ascii="Times New Roman" w:hAnsi="Times New Roman"/>
      <w:sz w:val="18"/>
      <w:szCs w:val="18"/>
    </w:rPr>
  </w:style>
  <w:style w:type="character" w:customStyle="1" w:styleId="27">
    <w:name w:val="页眉 Char"/>
    <w:link w:val="14"/>
    <w:semiHidden/>
    <w:qFormat/>
    <w:locked/>
    <w:uiPriority w:val="99"/>
    <w:rPr>
      <w:sz w:val="18"/>
    </w:rPr>
  </w:style>
  <w:style w:type="character" w:customStyle="1" w:styleId="28">
    <w:name w:val="Footer Char"/>
    <w:basedOn w:val="20"/>
    <w:semiHidden/>
    <w:qFormat/>
    <w:uiPriority w:val="99"/>
    <w:rPr>
      <w:rFonts w:ascii="Times New Roman" w:hAnsi="Times New Roman"/>
      <w:sz w:val="18"/>
      <w:szCs w:val="18"/>
    </w:rPr>
  </w:style>
  <w:style w:type="character" w:customStyle="1" w:styleId="29">
    <w:name w:val="页脚 Char"/>
    <w:link w:val="13"/>
    <w:qFormat/>
    <w:locked/>
    <w:uiPriority w:val="99"/>
    <w:rPr>
      <w:sz w:val="18"/>
    </w:rPr>
  </w:style>
  <w:style w:type="character" w:customStyle="1" w:styleId="30">
    <w:name w:val="Body Text Char"/>
    <w:basedOn w:val="20"/>
    <w:semiHidden/>
    <w:qFormat/>
    <w:uiPriority w:val="99"/>
    <w:rPr>
      <w:rFonts w:ascii="Times New Roman" w:hAnsi="Times New Roman"/>
      <w:szCs w:val="24"/>
    </w:rPr>
  </w:style>
  <w:style w:type="character" w:customStyle="1" w:styleId="31">
    <w:name w:val="正文文本 Char"/>
    <w:link w:val="2"/>
    <w:qFormat/>
    <w:locked/>
    <w:uiPriority w:val="99"/>
    <w:rPr>
      <w:rFonts w:ascii="仿宋_GB2312" w:hAnsi="Times New Roman" w:eastAsia="仿宋_GB2312"/>
      <w:sz w:val="24"/>
    </w:rPr>
  </w:style>
  <w:style w:type="paragraph" w:customStyle="1" w:styleId="3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3">
    <w:name w:val="List Paragraph"/>
    <w:basedOn w:val="1"/>
    <w:qFormat/>
    <w:uiPriority w:val="34"/>
    <w:pPr>
      <w:ind w:firstLine="420" w:firstLineChars="200"/>
    </w:pPr>
  </w:style>
  <w:style w:type="paragraph" w:customStyle="1" w:styleId="34">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5">
    <w:name w:val="批注框文本 Char"/>
    <w:basedOn w:val="20"/>
    <w:link w:val="12"/>
    <w:semiHidden/>
    <w:qFormat/>
    <w:uiPriority w:val="99"/>
    <w:rPr>
      <w:rFonts w:ascii="Times New Roman" w:hAnsi="Times New Roman"/>
      <w:kern w:val="2"/>
      <w:sz w:val="18"/>
      <w:szCs w:val="18"/>
    </w:rPr>
  </w:style>
  <w:style w:type="paragraph" w:customStyle="1" w:styleId="3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7">
    <w:name w:val="List Paragraph1"/>
    <w:basedOn w:val="1"/>
    <w:qFormat/>
    <w:uiPriority w:val="34"/>
    <w:pPr>
      <w:ind w:firstLine="420" w:firstLineChars="200"/>
    </w:p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 w:type="character" w:customStyle="1" w:styleId="41">
    <w:name w:val="font01"/>
    <w:basedOn w:val="20"/>
    <w:qFormat/>
    <w:uiPriority w:val="0"/>
    <w:rPr>
      <w:rFonts w:hint="eastAsia" w:ascii="宋体" w:hAnsi="宋体" w:eastAsia="宋体" w:cs="宋体"/>
      <w:color w:val="000000"/>
      <w:sz w:val="24"/>
      <w:szCs w:val="24"/>
      <w:u w:val="none"/>
    </w:rPr>
  </w:style>
  <w:style w:type="character" w:customStyle="1" w:styleId="42">
    <w:name w:val="font51"/>
    <w:basedOn w:val="20"/>
    <w:qFormat/>
    <w:uiPriority w:val="0"/>
    <w:rPr>
      <w:rFonts w:hint="default" w:ascii="Times New Roman" w:hAnsi="Times New Roman" w:cs="Times New Roman"/>
      <w:color w:val="000000"/>
      <w:sz w:val="24"/>
      <w:szCs w:val="24"/>
      <w:u w:val="none"/>
    </w:rPr>
  </w:style>
  <w:style w:type="character" w:customStyle="1" w:styleId="43">
    <w:name w:val="font41"/>
    <w:basedOn w:val="20"/>
    <w:qFormat/>
    <w:uiPriority w:val="0"/>
    <w:rPr>
      <w:rFonts w:hint="eastAsia" w:ascii="宋体" w:hAnsi="宋体" w:eastAsia="宋体" w:cs="宋体"/>
      <w:color w:val="000000"/>
      <w:sz w:val="16"/>
      <w:szCs w:val="16"/>
      <w:u w:val="none"/>
    </w:rPr>
  </w:style>
  <w:style w:type="character" w:customStyle="1" w:styleId="44">
    <w:name w:val="font31"/>
    <w:basedOn w:val="20"/>
    <w:qFormat/>
    <w:uiPriority w:val="0"/>
    <w:rPr>
      <w:rFonts w:hint="eastAsia" w:ascii="宋体" w:hAnsi="宋体" w:eastAsia="宋体" w:cs="宋体"/>
      <w:color w:val="000000"/>
      <w:sz w:val="16"/>
      <w:szCs w:val="16"/>
      <w:u w:val="none"/>
    </w:rPr>
  </w:style>
  <w:style w:type="character" w:customStyle="1" w:styleId="45">
    <w:name w:val="NormalCharacter"/>
    <w:semiHidden/>
    <w:qFormat/>
    <w:uiPriority w:val="0"/>
  </w:style>
  <w:style w:type="paragraph" w:customStyle="1" w:styleId="46">
    <w:name w:val="No Spacing1"/>
    <w:qFormat/>
    <w:uiPriority w:val="0"/>
    <w:pPr>
      <w:widowControl w:val="0"/>
      <w:jc w:val="both"/>
    </w:pPr>
    <w:rPr>
      <w:rFonts w:ascii="Calibri" w:hAnsi="Calibri" w:eastAsia="宋体" w:cs="黑体"/>
      <w:kern w:val="2"/>
      <w:sz w:val="21"/>
      <w:szCs w:val="22"/>
      <w:lang w:val="en-US" w:eastAsia="zh-CN" w:bidi="ar-SA"/>
    </w:rPr>
  </w:style>
  <w:style w:type="character" w:customStyle="1" w:styleId="47">
    <w:name w:val="font101"/>
    <w:basedOn w:val="20"/>
    <w:qFormat/>
    <w:uiPriority w:val="0"/>
    <w:rPr>
      <w:rFonts w:hint="eastAsia" w:ascii="宋体" w:hAnsi="宋体" w:eastAsia="宋体" w:cs="宋体"/>
      <w:color w:val="000000"/>
      <w:sz w:val="18"/>
      <w:szCs w:val="18"/>
      <w:u w:val="none"/>
    </w:rPr>
  </w:style>
  <w:style w:type="paragraph" w:customStyle="1" w:styleId="48">
    <w:name w:val="WPSOffice手动目录 3"/>
    <w:qFormat/>
    <w:uiPriority w:val="0"/>
    <w:pPr>
      <w:ind w:leftChars="400"/>
    </w:pPr>
    <w:rPr>
      <w:rFonts w:ascii="Times New Roman" w:hAnsi="Times New Roman" w:eastAsia="宋体" w:cs="Times New Roman"/>
      <w:sz w:val="20"/>
      <w:szCs w:val="20"/>
    </w:rPr>
  </w:style>
  <w:style w:type="character" w:customStyle="1" w:styleId="49">
    <w:name w:val="font141"/>
    <w:basedOn w:val="20"/>
    <w:qFormat/>
    <w:uiPriority w:val="0"/>
    <w:rPr>
      <w:rFonts w:hint="eastAsia" w:ascii="宋体" w:hAnsi="宋体" w:eastAsia="宋体" w:cs="宋体"/>
      <w:i/>
      <w:iCs/>
      <w:color w:val="000000"/>
      <w:sz w:val="16"/>
      <w:szCs w:val="16"/>
      <w:u w:val="none"/>
    </w:rPr>
  </w:style>
  <w:style w:type="character" w:customStyle="1" w:styleId="50">
    <w:name w:val="font121"/>
    <w:basedOn w:val="20"/>
    <w:qFormat/>
    <w:uiPriority w:val="0"/>
    <w:rPr>
      <w:rFonts w:hint="eastAsia" w:ascii="微软雅黑" w:hAnsi="微软雅黑" w:eastAsia="微软雅黑" w:cs="微软雅黑"/>
      <w:color w:val="000000"/>
      <w:sz w:val="16"/>
      <w:szCs w:val="16"/>
      <w:u w:val="none"/>
    </w:rPr>
  </w:style>
  <w:style w:type="character" w:customStyle="1" w:styleId="51">
    <w:name w:val="font151"/>
    <w:basedOn w:val="20"/>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52</Pages>
  <Words>20222</Words>
  <Characters>23142</Characters>
  <Lines>1</Lines>
  <Paragraphs>1</Paragraphs>
  <TotalTime>1</TotalTime>
  <ScaleCrop>false</ScaleCrop>
  <LinksUpToDate>false</LinksUpToDate>
  <CharactersWithSpaces>23395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Administrator</cp:lastModifiedBy>
  <cp:lastPrinted>2022-08-07T02:23:00Z</cp:lastPrinted>
  <dcterms:modified xsi:type="dcterms:W3CDTF">2025-09-24T09:26:55Z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18C4299B72334D3095585539B3212D20</vt:lpwstr>
  </property>
</Properties>
</file>