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9"/>
        <w:rPr>
          <w:rFonts w:ascii="方正小标宋简体" w:hAnsi="宋体" w:eastAsia="方正小标宋简体"/>
          <w:color w:val="auto"/>
          <w:sz w:val="72"/>
          <w:szCs w:val="72"/>
          <w:highlight w:val="none"/>
        </w:rPr>
      </w:pPr>
      <w:bookmarkStart w:id="0" w:name="_Toc15377425"/>
      <w:bookmarkStart w:id="1" w:name="_Toc15396475"/>
      <w:bookmarkStart w:id="2" w:name="_Toc15377193"/>
      <w:bookmarkStart w:id="3" w:name="_Toc15378441"/>
      <w:bookmarkStart w:id="4" w:name="_Toc15306267"/>
      <w:bookmarkStart w:id="5" w:name="_Toc1539659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bookmarkEnd w:id="0"/>
    <w:bookmarkEnd w:id="1"/>
    <w:bookmarkEnd w:id="2"/>
    <w:bookmarkEnd w:id="3"/>
    <w:bookmarkEnd w:id="4"/>
    <w:bookmarkEnd w:id="5"/>
    <w:p>
      <w:pPr>
        <w:pStyle w:val="2"/>
        <w:suppressAutoHyphens/>
        <w:bidi w:val="0"/>
        <w:spacing w:before="0" w:beforeLines="-2147483648" w:after="140" w:line="276" w:lineRule="auto"/>
        <w:jc w:val="center"/>
        <w:rPr>
          <w:rFonts w:hint="eastAsia" w:ascii="方正小标宋简体" w:hAnsi="宋体" w:eastAsia="方正小标宋简体" w:cs="Times New Roman"/>
          <w:color w:val="auto"/>
          <w:kern w:val="2"/>
          <w:sz w:val="44"/>
          <w:szCs w:val="44"/>
          <w:highlight w:val="none"/>
          <w:lang w:val="en-US" w:eastAsia="zh-CN" w:bidi="ar-SA"/>
        </w:rPr>
      </w:pPr>
    </w:p>
    <w:p>
      <w:pPr>
        <w:pStyle w:val="2"/>
        <w:suppressAutoHyphens/>
        <w:bidi w:val="0"/>
        <w:spacing w:before="0" w:beforeLines="-2147483648" w:after="140" w:line="276" w:lineRule="auto"/>
        <w:jc w:val="center"/>
        <w:rPr>
          <w:rFonts w:hint="eastAsia" w:ascii="方正小标宋简体" w:hAnsi="宋体" w:eastAsia="方正小标宋简体" w:cs="Times New Roman"/>
          <w:color w:val="auto"/>
          <w:kern w:val="2"/>
          <w:sz w:val="56"/>
          <w:szCs w:val="56"/>
          <w:highlight w:val="none"/>
          <w:lang w:val="en-US" w:eastAsia="zh-CN" w:bidi="ar-SA"/>
        </w:rPr>
      </w:pPr>
    </w:p>
    <w:p>
      <w:pPr>
        <w:pStyle w:val="2"/>
        <w:suppressAutoHyphens/>
        <w:bidi w:val="0"/>
        <w:spacing w:before="0" w:beforeLines="-2147483648" w:after="140" w:line="276" w:lineRule="auto"/>
        <w:jc w:val="center"/>
        <w:rPr>
          <w:rFonts w:hint="eastAsia" w:ascii="方正小标宋简体" w:hAnsi="宋体" w:eastAsia="方正小标宋简体" w:cs="Times New Roman"/>
          <w:color w:val="auto"/>
          <w:kern w:val="2"/>
          <w:sz w:val="56"/>
          <w:szCs w:val="56"/>
          <w:highlight w:val="none"/>
          <w:lang w:val="en-US" w:eastAsia="zh-CN" w:bidi="ar-SA"/>
        </w:rPr>
      </w:pPr>
      <w:r>
        <w:rPr>
          <w:rFonts w:hint="eastAsia" w:ascii="方正小标宋简体" w:hAnsi="宋体" w:eastAsia="方正小标宋简体" w:cs="Times New Roman"/>
          <w:color w:val="auto"/>
          <w:kern w:val="2"/>
          <w:sz w:val="56"/>
          <w:szCs w:val="56"/>
          <w:highlight w:val="none"/>
          <w:lang w:val="en-US" w:eastAsia="zh-CN" w:bidi="ar-SA"/>
        </w:rPr>
        <w:t>2024年度</w:t>
      </w:r>
    </w:p>
    <w:p>
      <w:pPr>
        <w:pStyle w:val="2"/>
        <w:suppressAutoHyphens/>
        <w:bidi w:val="0"/>
        <w:spacing w:before="0" w:beforeLines="-2147483648" w:after="140" w:line="276" w:lineRule="auto"/>
        <w:jc w:val="center"/>
        <w:outlineLvl w:val="0"/>
        <w:rPr>
          <w:rFonts w:hint="eastAsia" w:ascii="方正小标宋简体" w:hAnsi="宋体" w:eastAsia="方正小标宋简体" w:cs="Times New Roman"/>
          <w:color w:val="auto"/>
          <w:kern w:val="2"/>
          <w:sz w:val="56"/>
          <w:szCs w:val="56"/>
          <w:highlight w:val="none"/>
          <w:lang w:val="en-US" w:eastAsia="zh-CN" w:bidi="ar-SA"/>
        </w:rPr>
      </w:pPr>
      <w:bookmarkStart w:id="6" w:name="_Toc13633"/>
      <w:r>
        <w:rPr>
          <w:rFonts w:hint="eastAsia" w:ascii="方正小标宋简体" w:hAnsi="宋体" w:eastAsia="方正小标宋简体" w:cs="Times New Roman"/>
          <w:color w:val="auto"/>
          <w:kern w:val="2"/>
          <w:sz w:val="56"/>
          <w:szCs w:val="56"/>
          <w:highlight w:val="none"/>
          <w:lang w:val="en-US" w:eastAsia="zh-CN" w:bidi="ar-SA"/>
        </w:rPr>
        <w:t>中国民主促进会广元市委员会</w:t>
      </w:r>
    </w:p>
    <w:p>
      <w:pPr>
        <w:pStyle w:val="2"/>
        <w:suppressAutoHyphens/>
        <w:bidi w:val="0"/>
        <w:spacing w:before="0" w:beforeLines="-2147483648" w:after="140" w:line="276" w:lineRule="auto"/>
        <w:jc w:val="center"/>
        <w:outlineLvl w:val="0"/>
        <w:rPr>
          <w:rFonts w:hint="eastAsia" w:ascii="方正小标宋简体" w:hAnsi="宋体" w:eastAsia="方正小标宋简体" w:cs="Times New Roman"/>
          <w:color w:val="auto"/>
          <w:kern w:val="2"/>
          <w:sz w:val="56"/>
          <w:szCs w:val="56"/>
          <w:highlight w:val="none"/>
          <w:lang w:val="en-US" w:eastAsia="zh-CN" w:bidi="ar-SA"/>
        </w:rPr>
      </w:pPr>
      <w:r>
        <w:rPr>
          <w:rFonts w:hint="eastAsia" w:ascii="方正小标宋简体" w:hAnsi="宋体" w:eastAsia="方正小标宋简体" w:cs="Times New Roman"/>
          <w:color w:val="auto"/>
          <w:kern w:val="2"/>
          <w:sz w:val="56"/>
          <w:szCs w:val="56"/>
          <w:highlight w:val="none"/>
          <w:lang w:val="en-US" w:eastAsia="zh-CN" w:bidi="ar-SA"/>
        </w:rPr>
        <w:t>单 位 决 算</w:t>
      </w:r>
      <w:bookmarkEnd w:id="6"/>
    </w:p>
    <w:p>
      <w:pPr>
        <w:keepNext w:val="0"/>
        <w:keepLines w:val="0"/>
        <w:pageBreakBefore w:val="0"/>
        <w:widowControl/>
        <w:kinsoku/>
        <w:wordWrap/>
        <w:overflowPunct/>
        <w:topLinePunct w:val="0"/>
        <w:autoSpaceDE/>
        <w:autoSpaceDN/>
        <w:bidi w:val="0"/>
        <w:spacing w:line="580" w:lineRule="exact"/>
        <w:jc w:val="center"/>
        <w:textAlignment w:val="auto"/>
        <w:rPr>
          <w:rFonts w:ascii="黑体" w:hAnsi="黑体" w:eastAsia="黑体" w:cstheme="minorBidi"/>
          <w:color w:val="auto"/>
          <w:sz w:val="28"/>
          <w:szCs w:val="2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4"/>
          <w:szCs w:val="44"/>
          <w:highlight w:val="none"/>
        </w:rPr>
        <w:t>目</w:t>
      </w:r>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录</w:t>
      </w:r>
    </w:p>
    <w:p>
      <w:pPr>
        <w:pStyle w:val="12"/>
        <w:keepNext w:val="0"/>
        <w:keepLines w:val="0"/>
        <w:pageBreakBefore w:val="0"/>
        <w:kinsoku/>
        <w:wordWrap/>
        <w:overflowPunct/>
        <w:topLinePunct w:val="0"/>
        <w:autoSpaceDE/>
        <w:autoSpaceDN/>
        <w:bidi w:val="0"/>
        <w:spacing w:before="0" w:line="580" w:lineRule="exact"/>
        <w:textAlignment w:val="auto"/>
        <w:rPr>
          <w:rFonts w:hint="eastAsia" w:ascii="楷体_GB2312" w:hAnsi="楷体_GB2312" w:eastAsia="楷体_GB2312" w:cs="楷体_GB2312"/>
          <w:color w:val="auto"/>
          <w:highlight w:val="none"/>
        </w:rPr>
      </w:pPr>
    </w:p>
    <w:p>
      <w:pPr>
        <w:pStyle w:val="12"/>
        <w:keepNext w:val="0"/>
        <w:keepLines w:val="0"/>
        <w:pageBreakBefore w:val="0"/>
        <w:kinsoku/>
        <w:wordWrap/>
        <w:overflowPunct/>
        <w:topLinePunct w:val="0"/>
        <w:autoSpaceDE/>
        <w:autoSpaceDN/>
        <w:bidi w:val="0"/>
        <w:spacing w:before="0" w:line="580" w:lineRule="exact"/>
        <w:textAlignment w:val="auto"/>
        <w:rPr>
          <w:rFonts w:hint="eastAsia" w:ascii="楷体_GB2312" w:hAnsi="楷体_GB2312" w:eastAsia="楷体_GB2312" w:cs="楷体_GB2312"/>
          <w:color w:val="auto"/>
          <w:highlight w:val="none"/>
        </w:rPr>
      </w:pPr>
      <w:r>
        <w:rPr>
          <w:rFonts w:hint="eastAsia" w:ascii="楷体_GB2312" w:hAnsi="楷体_GB2312" w:eastAsia="楷体_GB2312" w:cs="楷体_GB2312"/>
          <w:color w:val="auto"/>
          <w:highlight w:val="none"/>
        </w:rPr>
        <w:t>公开时间：20</w:t>
      </w:r>
      <w:r>
        <w:rPr>
          <w:rFonts w:hint="eastAsia" w:ascii="楷体_GB2312" w:hAnsi="楷体_GB2312" w:eastAsia="楷体_GB2312" w:cs="楷体_GB2312"/>
          <w:color w:val="auto"/>
          <w:highlight w:val="none"/>
          <w:lang w:val="en-US" w:eastAsia="zh-CN"/>
        </w:rPr>
        <w:t>25</w:t>
      </w:r>
      <w:r>
        <w:rPr>
          <w:rFonts w:hint="eastAsia" w:ascii="楷体_GB2312" w:hAnsi="楷体_GB2312" w:eastAsia="楷体_GB2312" w:cs="楷体_GB2312"/>
          <w:color w:val="auto"/>
          <w:highlight w:val="none"/>
        </w:rPr>
        <w:t>年</w:t>
      </w:r>
      <w:r>
        <w:rPr>
          <w:rFonts w:hint="eastAsia" w:ascii="楷体_GB2312" w:hAnsi="楷体_GB2312" w:eastAsia="楷体_GB2312" w:cs="楷体_GB2312"/>
          <w:color w:val="auto"/>
          <w:highlight w:val="none"/>
          <w:lang w:val="en-US" w:eastAsia="zh-CN"/>
        </w:rPr>
        <w:t>10</w:t>
      </w:r>
      <w:r>
        <w:rPr>
          <w:rFonts w:hint="eastAsia" w:ascii="楷体_GB2312" w:hAnsi="楷体_GB2312" w:eastAsia="楷体_GB2312" w:cs="楷体_GB2312"/>
          <w:color w:val="auto"/>
          <w:highlight w:val="none"/>
        </w:rPr>
        <w:t>月</w:t>
      </w:r>
      <w:r>
        <w:rPr>
          <w:rFonts w:hint="eastAsia" w:ascii="楷体_GB2312" w:hAnsi="楷体_GB2312" w:eastAsia="楷体_GB2312" w:cs="楷体_GB2312"/>
          <w:color w:val="auto"/>
          <w:highlight w:val="none"/>
          <w:lang w:val="en-US" w:eastAsia="zh-CN"/>
        </w:rPr>
        <w:t>14</w:t>
      </w:r>
      <w:r>
        <w:rPr>
          <w:rFonts w:hint="eastAsia" w:ascii="楷体_GB2312" w:hAnsi="楷体_GB2312" w:eastAsia="楷体_GB2312" w:cs="楷体_GB2312"/>
          <w:color w:val="auto"/>
          <w:highlight w:val="none"/>
        </w:rPr>
        <w:t>日</w:t>
      </w:r>
    </w:p>
    <w:sdt>
      <w:sdtPr>
        <w:rPr>
          <w:rFonts w:ascii="宋体" w:hAnsi="宋体" w:eastAsia="宋体" w:cs="Times New Roman"/>
          <w:kern w:val="2"/>
          <w:sz w:val="21"/>
          <w:szCs w:val="24"/>
          <w:lang w:val="en-US" w:eastAsia="zh-CN" w:bidi="ar-SA"/>
        </w:rPr>
        <w:id w:val="147458065"/>
        <w15:color w:val="DBDBDB"/>
        <w:docPartObj>
          <w:docPartGallery w:val="Table of Contents"/>
          <w:docPartUnique/>
        </w:docPartObj>
      </w:sdtPr>
      <w:sdtEndPr>
        <w:rPr>
          <w:rFonts w:hint="eastAsia" w:asciiTheme="minorEastAsia" w:hAnsiTheme="minorEastAsia" w:eastAsiaTheme="minorEastAsia" w:cstheme="minorEastAsia"/>
          <w:b/>
          <w:color w:val="auto"/>
          <w:kern w:val="2"/>
          <w:sz w:val="21"/>
          <w:szCs w:val="24"/>
          <w:highlight w:val="none"/>
          <w:lang w:val="en-US" w:eastAsia="zh-CN" w:bidi="ar-SA"/>
        </w:rPr>
      </w:sdtEndPr>
      <w:sdtContent>
        <w:p>
          <w:pPr>
            <w:keepNext w:val="0"/>
            <w:keepLines w:val="0"/>
            <w:pageBreakBefore w:val="0"/>
            <w:kinsoku/>
            <w:wordWrap/>
            <w:overflowPunct/>
            <w:topLinePunct w:val="0"/>
            <w:autoSpaceDE/>
            <w:autoSpaceDN/>
            <w:bidi w:val="0"/>
            <w:spacing w:after="0" w:line="580" w:lineRule="exact"/>
            <w:ind w:left="0" w:leftChars="0" w:right="0" w:rightChars="0" w:firstLine="0" w:firstLineChars="0"/>
            <w:jc w:val="center"/>
            <w:textAlignment w:val="auto"/>
          </w:pPr>
        </w:p>
        <w:p>
          <w:pPr>
            <w:pStyle w:val="39"/>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color w:val="auto"/>
              <w:sz w:val="24"/>
              <w:highlight w:val="none"/>
              <w:lang w:val="en-US" w:eastAsia="zh-CN"/>
            </w:rPr>
            <w:fldChar w:fldCharType="begin"/>
          </w:r>
          <w:r>
            <w:rPr>
              <w:rFonts w:hint="eastAsia" w:asciiTheme="minorEastAsia" w:hAnsiTheme="minorEastAsia" w:eastAsiaTheme="minorEastAsia" w:cstheme="minorEastAsia"/>
              <w:color w:val="auto"/>
              <w:sz w:val="24"/>
              <w:highlight w:val="none"/>
              <w:lang w:val="en-US" w:eastAsia="zh-CN"/>
            </w:rPr>
            <w:instrText xml:space="preserve">TOC \o "1-2" \h \u </w:instrText>
          </w:r>
          <w:r>
            <w:rPr>
              <w:rFonts w:hint="eastAsia" w:asciiTheme="minorEastAsia" w:hAnsiTheme="minorEastAsia" w:eastAsiaTheme="minorEastAsia" w:cstheme="minorEastAsia"/>
              <w:color w:val="auto"/>
              <w:sz w:val="24"/>
              <w:highlight w:val="none"/>
              <w:lang w:val="en-US" w:eastAsia="zh-CN"/>
            </w:rPr>
            <w:fldChar w:fldCharType="separate"/>
          </w:r>
          <w:r>
            <w:rPr>
              <w:rFonts w:hint="eastAsia" w:asciiTheme="minorEastAsia" w:hAnsiTheme="minorEastAsia" w:eastAsiaTheme="minorEastAsia" w:cstheme="minorEastAsia"/>
              <w:b/>
              <w:color w:val="auto"/>
              <w:sz w:val="24"/>
              <w:szCs w:val="24"/>
              <w:highlight w:val="none"/>
              <w:lang w:val="en-US" w:eastAsia="zh-CN"/>
            </w:rPr>
            <w:fldChar w:fldCharType="begin"/>
          </w:r>
          <w:r>
            <w:rPr>
              <w:rFonts w:hint="eastAsia" w:asciiTheme="minorEastAsia" w:hAnsiTheme="minorEastAsia" w:eastAsiaTheme="minorEastAsia" w:cstheme="minorEastAsia"/>
              <w:b/>
              <w:sz w:val="24"/>
              <w:szCs w:val="24"/>
              <w:highlight w:val="none"/>
              <w:lang w:val="en-US" w:eastAsia="zh-CN"/>
            </w:rPr>
            <w:instrText xml:space="preserve"> HYPERLINK \l _Toc18980 </w:instrText>
          </w:r>
          <w:r>
            <w:rPr>
              <w:rFonts w:hint="eastAsia" w:asciiTheme="minorEastAsia" w:hAnsiTheme="minorEastAsia" w:eastAsiaTheme="minorEastAsia" w:cstheme="minorEastAsia"/>
              <w:b/>
              <w:sz w:val="24"/>
              <w:szCs w:val="24"/>
              <w:highlight w:val="none"/>
              <w:lang w:val="en-US" w:eastAsia="zh-CN"/>
            </w:rPr>
            <w:fldChar w:fldCharType="separate"/>
          </w:r>
          <w:r>
            <w:rPr>
              <w:rFonts w:hint="eastAsia" w:asciiTheme="minorEastAsia" w:hAnsiTheme="minorEastAsia" w:eastAsiaTheme="minorEastAsia" w:cstheme="minorEastAsia"/>
              <w:b/>
              <w:bCs/>
              <w:sz w:val="24"/>
              <w:szCs w:val="24"/>
              <w:highlight w:val="none"/>
            </w:rPr>
            <w:t xml:space="preserve">第一部分 </w:t>
          </w:r>
          <w:r>
            <w:rPr>
              <w:rFonts w:hint="eastAsia" w:asciiTheme="minorEastAsia" w:hAnsiTheme="minorEastAsia" w:eastAsiaTheme="minorEastAsia" w:cstheme="minorEastAsia"/>
              <w:b/>
              <w:bCs/>
              <w:sz w:val="24"/>
              <w:szCs w:val="24"/>
              <w:highlight w:val="none"/>
              <w:lang w:eastAsia="zh-CN"/>
            </w:rPr>
            <w:t>单位</w:t>
          </w:r>
          <w:r>
            <w:rPr>
              <w:rFonts w:hint="eastAsia" w:asciiTheme="minorEastAsia" w:hAnsiTheme="minorEastAsia" w:eastAsiaTheme="minorEastAsia" w:cstheme="minorEastAsia"/>
              <w:b/>
              <w:bCs/>
              <w:sz w:val="24"/>
              <w:szCs w:val="24"/>
              <w:highlight w:val="none"/>
            </w:rPr>
            <w:t>概况</w:t>
          </w:r>
          <w:r>
            <w:rPr>
              <w:rFonts w:hint="eastAsia" w:asciiTheme="minorEastAsia" w:hAnsiTheme="minorEastAsia" w:eastAsiaTheme="minorEastAsia" w:cstheme="minorEastAsia"/>
              <w:b/>
              <w:sz w:val="24"/>
              <w:szCs w:val="24"/>
            </w:rPr>
            <w:tab/>
          </w:r>
          <w:r>
            <w:rPr>
              <w:rFonts w:hint="eastAsia" w:asciiTheme="minorEastAsia" w:hAnsiTheme="minorEastAsia" w:eastAsiaTheme="minorEastAsia" w:cstheme="minorEastAsia"/>
              <w:b/>
              <w:sz w:val="24"/>
              <w:szCs w:val="24"/>
            </w:rPr>
            <w:fldChar w:fldCharType="begin"/>
          </w:r>
          <w:r>
            <w:rPr>
              <w:rFonts w:hint="eastAsia" w:asciiTheme="minorEastAsia" w:hAnsiTheme="minorEastAsia" w:eastAsiaTheme="minorEastAsia" w:cstheme="minorEastAsia"/>
              <w:b/>
              <w:sz w:val="24"/>
              <w:szCs w:val="24"/>
            </w:rPr>
            <w:instrText xml:space="preserve"> PAGEREF _Toc18980 \h </w:instrText>
          </w:r>
          <w:r>
            <w:rPr>
              <w:rFonts w:hint="eastAsia" w:asciiTheme="minorEastAsia" w:hAnsiTheme="minorEastAsia" w:eastAsiaTheme="minorEastAsia" w:cstheme="minorEastAsia"/>
              <w:b/>
              <w:sz w:val="24"/>
              <w:szCs w:val="24"/>
            </w:rPr>
            <w:fldChar w:fldCharType="separate"/>
          </w:r>
          <w:r>
            <w:rPr>
              <w:rFonts w:hint="eastAsia" w:asciiTheme="minorEastAsia" w:hAnsiTheme="minorEastAsia" w:eastAsiaTheme="minorEastAsia" w:cstheme="minorEastAsia"/>
              <w:b/>
              <w:sz w:val="24"/>
              <w:szCs w:val="24"/>
            </w:rPr>
            <w:t>1</w:t>
          </w:r>
          <w:r>
            <w:rPr>
              <w:rFonts w:hint="eastAsia" w:asciiTheme="minorEastAsia" w:hAnsiTheme="minorEastAsia" w:eastAsiaTheme="minorEastAsia" w:cstheme="minorEastAsia"/>
              <w:b/>
              <w:sz w:val="24"/>
              <w:szCs w:val="24"/>
            </w:rPr>
            <w:fldChar w:fldCharType="end"/>
          </w:r>
          <w:r>
            <w:rPr>
              <w:rFonts w:hint="eastAsia" w:asciiTheme="minorEastAsia" w:hAnsiTheme="minorEastAsia" w:eastAsiaTheme="minorEastAsia" w:cstheme="minorEastAsia"/>
              <w:b/>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_Toc777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bCs w:val="0"/>
              <w:kern w:val="2"/>
              <w:sz w:val="24"/>
              <w:szCs w:val="24"/>
              <w:lang w:val="en-US" w:eastAsia="zh-CN" w:bidi="ar-SA"/>
            </w:rPr>
            <w:t>一、</w:t>
          </w:r>
          <w:r>
            <w:rPr>
              <w:rFonts w:hint="eastAsia" w:asciiTheme="minorEastAsia" w:hAnsiTheme="minorEastAsia" w:eastAsiaTheme="minorEastAsia" w:cstheme="minorEastAsia"/>
              <w:bCs w:val="0"/>
              <w:kern w:val="2"/>
              <w:sz w:val="24"/>
              <w:szCs w:val="24"/>
              <w:highlight w:val="none"/>
              <w:lang w:val="en-US" w:eastAsia="zh-CN" w:bidi="ar-SA"/>
            </w:rPr>
            <w:t>主要职责</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_Toc777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_Toc23391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bCs/>
              <w:sz w:val="24"/>
              <w:szCs w:val="24"/>
              <w:highlight w:val="none"/>
              <w:lang w:val="en-US" w:eastAsia="zh-CN" w:bidi="ar-SA"/>
            </w:rPr>
            <w:t>二、机构设置</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_Toc23391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39"/>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color w:val="auto"/>
              <w:sz w:val="24"/>
              <w:szCs w:val="24"/>
              <w:highlight w:val="none"/>
              <w:lang w:val="en-US" w:eastAsia="zh-CN"/>
            </w:rPr>
            <w:fldChar w:fldCharType="begin"/>
          </w:r>
          <w:r>
            <w:rPr>
              <w:rFonts w:hint="eastAsia" w:asciiTheme="minorEastAsia" w:hAnsiTheme="minorEastAsia" w:eastAsiaTheme="minorEastAsia" w:cstheme="minorEastAsia"/>
              <w:b/>
              <w:sz w:val="24"/>
              <w:szCs w:val="24"/>
              <w:highlight w:val="none"/>
              <w:lang w:val="en-US" w:eastAsia="zh-CN"/>
            </w:rPr>
            <w:instrText xml:space="preserve"> HYPERLINK \l _Toc19520 </w:instrText>
          </w:r>
          <w:r>
            <w:rPr>
              <w:rFonts w:hint="eastAsia" w:asciiTheme="minorEastAsia" w:hAnsiTheme="minorEastAsia" w:eastAsiaTheme="minorEastAsia" w:cstheme="minorEastAsia"/>
              <w:b/>
              <w:sz w:val="24"/>
              <w:szCs w:val="24"/>
              <w:highlight w:val="none"/>
              <w:lang w:val="en-US" w:eastAsia="zh-CN"/>
            </w:rPr>
            <w:fldChar w:fldCharType="separate"/>
          </w:r>
          <w:r>
            <w:rPr>
              <w:rFonts w:hint="eastAsia" w:asciiTheme="minorEastAsia" w:hAnsiTheme="minorEastAsia" w:eastAsiaTheme="minorEastAsia" w:cstheme="minorEastAsia"/>
              <w:b/>
              <w:bCs/>
              <w:sz w:val="24"/>
              <w:szCs w:val="24"/>
              <w:highlight w:val="none"/>
            </w:rPr>
            <w:t xml:space="preserve">第二部分 </w:t>
          </w:r>
          <w:r>
            <w:rPr>
              <w:rFonts w:hint="eastAsia" w:asciiTheme="minorEastAsia" w:hAnsiTheme="minorEastAsia" w:eastAsiaTheme="minorEastAsia" w:cstheme="minorEastAsia"/>
              <w:b/>
              <w:bCs/>
              <w:sz w:val="24"/>
              <w:szCs w:val="24"/>
              <w:highlight w:val="none"/>
              <w:lang w:val="en-US" w:eastAsia="zh-CN"/>
            </w:rPr>
            <w:t>2024年度</w:t>
          </w:r>
          <w:r>
            <w:rPr>
              <w:rFonts w:hint="eastAsia" w:asciiTheme="minorEastAsia" w:hAnsiTheme="minorEastAsia" w:eastAsiaTheme="minorEastAsia" w:cstheme="minorEastAsia"/>
              <w:b/>
              <w:bCs/>
              <w:sz w:val="24"/>
              <w:szCs w:val="24"/>
              <w:highlight w:val="none"/>
            </w:rPr>
            <w:t>部门决算情况说明</w:t>
          </w:r>
          <w:r>
            <w:rPr>
              <w:rFonts w:hint="eastAsia" w:asciiTheme="minorEastAsia" w:hAnsiTheme="minorEastAsia" w:eastAsiaTheme="minorEastAsia" w:cstheme="minorEastAsia"/>
              <w:b/>
              <w:sz w:val="24"/>
              <w:szCs w:val="24"/>
            </w:rPr>
            <w:tab/>
          </w:r>
          <w:r>
            <w:rPr>
              <w:rFonts w:hint="eastAsia" w:asciiTheme="minorEastAsia" w:hAnsiTheme="minorEastAsia" w:eastAsiaTheme="minorEastAsia" w:cstheme="minorEastAsia"/>
              <w:b/>
              <w:sz w:val="24"/>
              <w:szCs w:val="24"/>
              <w:lang w:val="en-US" w:eastAsia="zh-CN"/>
            </w:rPr>
            <w:t>2</w:t>
          </w:r>
          <w:r>
            <w:rPr>
              <w:rFonts w:hint="eastAsia" w:asciiTheme="minorEastAsia" w:hAnsiTheme="minorEastAsia" w:eastAsiaTheme="minorEastAsia" w:cstheme="minorEastAsia"/>
              <w:b/>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_Toc17184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sz w:val="24"/>
              <w:szCs w:val="24"/>
            </w:rPr>
            <w:t>一、</w:t>
          </w:r>
          <w:r>
            <w:rPr>
              <w:rFonts w:hint="eastAsia" w:asciiTheme="minorEastAsia" w:hAnsiTheme="minorEastAsia" w:eastAsiaTheme="minorEastAsia" w:cstheme="minorEastAsia"/>
              <w:sz w:val="24"/>
              <w:szCs w:val="24"/>
              <w:highlight w:val="none"/>
            </w:rPr>
            <w:t>收入支出决算总体情况说明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_Toc17184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_Toc7270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sz w:val="24"/>
              <w:szCs w:val="24"/>
            </w:rPr>
            <w:t>二、</w:t>
          </w:r>
          <w:r>
            <w:rPr>
              <w:rFonts w:hint="eastAsia" w:asciiTheme="minorEastAsia" w:hAnsiTheme="minorEastAsia" w:eastAsiaTheme="minorEastAsia" w:cstheme="minorEastAsia"/>
              <w:sz w:val="24"/>
              <w:szCs w:val="24"/>
              <w:highlight w:val="none"/>
            </w:rPr>
            <w:t>收入决算情况说明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_Toc7270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_Toc3820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sz w:val="24"/>
              <w:szCs w:val="24"/>
            </w:rPr>
            <w:t>三、</w:t>
          </w:r>
          <w:r>
            <w:rPr>
              <w:rFonts w:hint="eastAsia" w:asciiTheme="minorEastAsia" w:hAnsiTheme="minorEastAsia" w:eastAsiaTheme="minorEastAsia" w:cstheme="minorEastAsia"/>
              <w:sz w:val="24"/>
              <w:szCs w:val="24"/>
              <w:highlight w:val="none"/>
            </w:rPr>
            <w:t>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_Toc3820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_Toc3845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sz w:val="24"/>
              <w:szCs w:val="24"/>
              <w:highlight w:val="none"/>
            </w:rPr>
            <w:t>四、财政拨款收入支出决算总体情况说明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_Toc3845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_Toc26045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sz w:val="24"/>
              <w:szCs w:val="24"/>
              <w:highlight w:val="none"/>
            </w:rPr>
            <w:t>五、一般公共预算财政拨款支出决算情况说明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_Toc26045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_Toc18890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sz w:val="24"/>
              <w:szCs w:val="24"/>
              <w:highlight w:val="none"/>
            </w:rPr>
            <w:t>六、一般公共预算财政拨款基本支出决算情况说明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_Toc18890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7</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_Toc28451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sz w:val="24"/>
              <w:szCs w:val="24"/>
              <w:highlight w:val="none"/>
            </w:rPr>
            <w:t>七、财政拨款“三公”经费支出决算情况说明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_Toc28451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7</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_Toc20909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sz w:val="24"/>
              <w:szCs w:val="24"/>
              <w:highlight w:val="none"/>
            </w:rPr>
            <w:t>八、政府性基金预算支出决算情况说明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_Toc20909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8</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_Toc17986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sz w:val="24"/>
              <w:szCs w:val="24"/>
            </w:rPr>
            <w:t>九、</w:t>
          </w:r>
          <w:r>
            <w:rPr>
              <w:rFonts w:hint="eastAsia" w:asciiTheme="minorEastAsia" w:hAnsiTheme="minorEastAsia" w:eastAsiaTheme="minorEastAsia" w:cstheme="minorEastAsia"/>
              <w:sz w:val="24"/>
              <w:szCs w:val="24"/>
              <w:highlight w:val="none"/>
            </w:rPr>
            <w:t>国有资本经营预算支出决算情况说明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_Toc17986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8</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_Toc6168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sz w:val="24"/>
              <w:szCs w:val="24"/>
            </w:rPr>
            <w:t>十、</w:t>
          </w:r>
          <w:r>
            <w:rPr>
              <w:rFonts w:hint="eastAsia" w:asciiTheme="minorEastAsia" w:hAnsiTheme="minorEastAsia" w:eastAsiaTheme="minorEastAsia" w:cstheme="minorEastAsia"/>
              <w:sz w:val="24"/>
              <w:szCs w:val="24"/>
              <w:highlight w:val="none"/>
            </w:rPr>
            <w:t>其他重要事项的情况说明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_Toc6168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8</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39"/>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color w:val="auto"/>
              <w:sz w:val="24"/>
              <w:szCs w:val="24"/>
              <w:highlight w:val="none"/>
              <w:lang w:val="en-US" w:eastAsia="zh-CN"/>
            </w:rPr>
            <w:fldChar w:fldCharType="begin"/>
          </w:r>
          <w:r>
            <w:rPr>
              <w:rFonts w:hint="eastAsia" w:asciiTheme="minorEastAsia" w:hAnsiTheme="minorEastAsia" w:eastAsiaTheme="minorEastAsia" w:cstheme="minorEastAsia"/>
              <w:b/>
              <w:sz w:val="24"/>
              <w:szCs w:val="24"/>
              <w:highlight w:val="none"/>
              <w:lang w:val="en-US" w:eastAsia="zh-CN"/>
            </w:rPr>
            <w:instrText xml:space="preserve"> HYPERLINK \l _Toc18244 </w:instrText>
          </w:r>
          <w:r>
            <w:rPr>
              <w:rFonts w:hint="eastAsia" w:asciiTheme="minorEastAsia" w:hAnsiTheme="minorEastAsia" w:eastAsiaTheme="minorEastAsia" w:cstheme="minorEastAsia"/>
              <w:b/>
              <w:sz w:val="24"/>
              <w:szCs w:val="24"/>
              <w:highlight w:val="none"/>
              <w:lang w:val="en-US" w:eastAsia="zh-CN"/>
            </w:rPr>
            <w:fldChar w:fldCharType="separate"/>
          </w:r>
          <w:r>
            <w:rPr>
              <w:rFonts w:hint="eastAsia" w:asciiTheme="minorEastAsia" w:hAnsiTheme="minorEastAsia" w:eastAsiaTheme="minorEastAsia" w:cstheme="minorEastAsia"/>
              <w:b/>
              <w:sz w:val="24"/>
              <w:szCs w:val="24"/>
            </w:rPr>
            <w:t xml:space="preserve">第三部分 </w:t>
          </w:r>
          <w:r>
            <w:rPr>
              <w:rFonts w:hint="eastAsia" w:asciiTheme="minorEastAsia" w:hAnsiTheme="minorEastAsia" w:eastAsiaTheme="minorEastAsia" w:cstheme="minorEastAsia"/>
              <w:b/>
              <w:sz w:val="24"/>
              <w:szCs w:val="24"/>
              <w:highlight w:val="none"/>
            </w:rPr>
            <w:t>名词解释</w:t>
          </w:r>
          <w:r>
            <w:rPr>
              <w:rFonts w:hint="eastAsia" w:asciiTheme="minorEastAsia" w:hAnsiTheme="minorEastAsia" w:eastAsiaTheme="minorEastAsia" w:cstheme="minorEastAsia"/>
              <w:b/>
              <w:sz w:val="24"/>
              <w:szCs w:val="24"/>
            </w:rPr>
            <w:tab/>
          </w:r>
          <w:r>
            <w:rPr>
              <w:rFonts w:hint="eastAsia" w:asciiTheme="minorEastAsia" w:hAnsiTheme="minorEastAsia" w:eastAsiaTheme="minorEastAsia" w:cstheme="minorEastAsia"/>
              <w:b/>
              <w:sz w:val="24"/>
              <w:szCs w:val="24"/>
            </w:rPr>
            <w:fldChar w:fldCharType="begin"/>
          </w:r>
          <w:r>
            <w:rPr>
              <w:rFonts w:hint="eastAsia" w:asciiTheme="minorEastAsia" w:hAnsiTheme="minorEastAsia" w:eastAsiaTheme="minorEastAsia" w:cstheme="minorEastAsia"/>
              <w:b/>
              <w:sz w:val="24"/>
              <w:szCs w:val="24"/>
            </w:rPr>
            <w:instrText xml:space="preserve"> PAGEREF _Toc18244 \h </w:instrText>
          </w:r>
          <w:r>
            <w:rPr>
              <w:rFonts w:hint="eastAsia" w:asciiTheme="minorEastAsia" w:hAnsiTheme="minorEastAsia" w:eastAsiaTheme="minorEastAsia" w:cstheme="minorEastAsia"/>
              <w:b/>
              <w:sz w:val="24"/>
              <w:szCs w:val="24"/>
            </w:rPr>
            <w:fldChar w:fldCharType="separate"/>
          </w:r>
          <w:r>
            <w:rPr>
              <w:rFonts w:hint="eastAsia" w:asciiTheme="minorEastAsia" w:hAnsiTheme="minorEastAsia" w:eastAsiaTheme="minorEastAsia" w:cstheme="minorEastAsia"/>
              <w:b/>
              <w:sz w:val="24"/>
              <w:szCs w:val="24"/>
            </w:rPr>
            <w:t>10</w:t>
          </w:r>
          <w:r>
            <w:rPr>
              <w:rFonts w:hint="eastAsia" w:asciiTheme="minorEastAsia" w:hAnsiTheme="minorEastAsia" w:eastAsiaTheme="minorEastAsia" w:cstheme="minorEastAsia"/>
              <w:b/>
              <w:sz w:val="24"/>
              <w:szCs w:val="24"/>
            </w:rPr>
            <w:fldChar w:fldCharType="end"/>
          </w:r>
          <w:r>
            <w:rPr>
              <w:rFonts w:hint="eastAsia" w:asciiTheme="minorEastAsia" w:hAnsiTheme="minorEastAsia" w:eastAsiaTheme="minorEastAsia" w:cstheme="minorEastAsia"/>
              <w:b/>
              <w:color w:val="auto"/>
              <w:sz w:val="24"/>
              <w:szCs w:val="24"/>
              <w:highlight w:val="none"/>
              <w:lang w:val="en-US" w:eastAsia="zh-CN"/>
            </w:rPr>
            <w:fldChar w:fldCharType="end"/>
          </w:r>
        </w:p>
        <w:p>
          <w:pPr>
            <w:pStyle w:val="39"/>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color w:val="auto"/>
              <w:sz w:val="24"/>
              <w:szCs w:val="24"/>
              <w:highlight w:val="none"/>
              <w:lang w:val="en-US" w:eastAsia="zh-CN"/>
            </w:rPr>
            <w:fldChar w:fldCharType="begin"/>
          </w:r>
          <w:r>
            <w:rPr>
              <w:rFonts w:hint="eastAsia" w:asciiTheme="minorEastAsia" w:hAnsiTheme="minorEastAsia" w:eastAsiaTheme="minorEastAsia" w:cstheme="minorEastAsia"/>
              <w:b/>
              <w:sz w:val="24"/>
              <w:szCs w:val="24"/>
              <w:highlight w:val="none"/>
              <w:lang w:val="en-US" w:eastAsia="zh-CN"/>
            </w:rPr>
            <w:instrText xml:space="preserve"> HYPERLINK \l _Toc6901 </w:instrText>
          </w:r>
          <w:r>
            <w:rPr>
              <w:rFonts w:hint="eastAsia" w:asciiTheme="minorEastAsia" w:hAnsiTheme="minorEastAsia" w:eastAsiaTheme="minorEastAsia" w:cstheme="minorEastAsia"/>
              <w:b/>
              <w:sz w:val="24"/>
              <w:szCs w:val="24"/>
              <w:highlight w:val="none"/>
              <w:lang w:val="en-US" w:eastAsia="zh-CN"/>
            </w:rPr>
            <w:fldChar w:fldCharType="separate"/>
          </w:r>
          <w:r>
            <w:rPr>
              <w:rFonts w:hint="eastAsia" w:asciiTheme="minorEastAsia" w:hAnsiTheme="minorEastAsia" w:eastAsiaTheme="minorEastAsia" w:cstheme="minorEastAsia"/>
              <w:b/>
              <w:sz w:val="24"/>
              <w:szCs w:val="24"/>
              <w:highlight w:val="none"/>
            </w:rPr>
            <w:t>第四部分 附件</w:t>
          </w:r>
          <w:r>
            <w:rPr>
              <w:rFonts w:hint="eastAsia" w:asciiTheme="minorEastAsia" w:hAnsiTheme="minorEastAsia" w:eastAsiaTheme="minorEastAsia" w:cstheme="minorEastAsia"/>
              <w:b/>
              <w:sz w:val="24"/>
              <w:szCs w:val="24"/>
            </w:rPr>
            <w:tab/>
          </w:r>
          <w:r>
            <w:rPr>
              <w:rFonts w:hint="eastAsia" w:asciiTheme="minorEastAsia" w:hAnsiTheme="minorEastAsia" w:eastAsiaTheme="minorEastAsia" w:cstheme="minorEastAsia"/>
              <w:b/>
              <w:sz w:val="24"/>
              <w:szCs w:val="24"/>
            </w:rPr>
            <w:fldChar w:fldCharType="begin"/>
          </w:r>
          <w:r>
            <w:rPr>
              <w:rFonts w:hint="eastAsia" w:asciiTheme="minorEastAsia" w:hAnsiTheme="minorEastAsia" w:eastAsiaTheme="minorEastAsia" w:cstheme="minorEastAsia"/>
              <w:b/>
              <w:sz w:val="24"/>
              <w:szCs w:val="24"/>
            </w:rPr>
            <w:instrText xml:space="preserve"> PAGEREF _Toc6901 \h </w:instrText>
          </w:r>
          <w:r>
            <w:rPr>
              <w:rFonts w:hint="eastAsia" w:asciiTheme="minorEastAsia" w:hAnsiTheme="minorEastAsia" w:eastAsiaTheme="minorEastAsia" w:cstheme="minorEastAsia"/>
              <w:b/>
              <w:sz w:val="24"/>
              <w:szCs w:val="24"/>
            </w:rPr>
            <w:fldChar w:fldCharType="separate"/>
          </w:r>
          <w:r>
            <w:rPr>
              <w:rFonts w:hint="eastAsia" w:asciiTheme="minorEastAsia" w:hAnsiTheme="minorEastAsia" w:eastAsiaTheme="minorEastAsia" w:cstheme="minorEastAsia"/>
              <w:b/>
              <w:sz w:val="24"/>
              <w:szCs w:val="24"/>
            </w:rPr>
            <w:t>10</w:t>
          </w:r>
          <w:r>
            <w:rPr>
              <w:rFonts w:hint="eastAsia" w:asciiTheme="minorEastAsia" w:hAnsiTheme="minorEastAsia" w:eastAsiaTheme="minorEastAsia" w:cstheme="minorEastAsia"/>
              <w:b/>
              <w:sz w:val="24"/>
              <w:szCs w:val="24"/>
            </w:rPr>
            <w:fldChar w:fldCharType="end"/>
          </w:r>
          <w:r>
            <w:rPr>
              <w:rFonts w:hint="eastAsia" w:asciiTheme="minorEastAsia" w:hAnsiTheme="minorEastAsia" w:eastAsiaTheme="minorEastAsia" w:cstheme="minorEastAsia"/>
              <w:b/>
              <w:color w:val="auto"/>
              <w:sz w:val="24"/>
              <w:szCs w:val="24"/>
              <w:highlight w:val="none"/>
              <w:lang w:val="en-US" w:eastAsia="zh-CN"/>
            </w:rPr>
            <w:fldChar w:fldCharType="end"/>
          </w:r>
        </w:p>
        <w:p>
          <w:pPr>
            <w:pStyle w:val="39"/>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color w:val="auto"/>
              <w:sz w:val="24"/>
              <w:szCs w:val="24"/>
              <w:highlight w:val="none"/>
              <w:lang w:val="en-US" w:eastAsia="zh-CN"/>
            </w:rPr>
            <w:fldChar w:fldCharType="begin"/>
          </w:r>
          <w:r>
            <w:rPr>
              <w:rFonts w:hint="eastAsia" w:asciiTheme="minorEastAsia" w:hAnsiTheme="minorEastAsia" w:eastAsiaTheme="minorEastAsia" w:cstheme="minorEastAsia"/>
              <w:b/>
              <w:sz w:val="24"/>
              <w:szCs w:val="24"/>
              <w:highlight w:val="none"/>
              <w:lang w:val="en-US" w:eastAsia="zh-CN"/>
            </w:rPr>
            <w:instrText xml:space="preserve"> HYPERLINK \l _Toc4727 </w:instrText>
          </w:r>
          <w:r>
            <w:rPr>
              <w:rFonts w:hint="eastAsia" w:asciiTheme="minorEastAsia" w:hAnsiTheme="minorEastAsia" w:eastAsiaTheme="minorEastAsia" w:cstheme="minorEastAsia"/>
              <w:b/>
              <w:sz w:val="24"/>
              <w:szCs w:val="24"/>
              <w:highlight w:val="none"/>
              <w:lang w:val="en-US" w:eastAsia="zh-CN"/>
            </w:rPr>
            <w:fldChar w:fldCharType="separate"/>
          </w:r>
          <w:r>
            <w:rPr>
              <w:rFonts w:hint="eastAsia" w:asciiTheme="minorEastAsia" w:hAnsiTheme="minorEastAsia" w:eastAsiaTheme="minorEastAsia" w:cstheme="minorEastAsia"/>
              <w:b/>
              <w:sz w:val="24"/>
              <w:szCs w:val="24"/>
              <w:highlight w:val="none"/>
            </w:rPr>
            <w:t>第五部分 附表</w:t>
          </w:r>
          <w:r>
            <w:rPr>
              <w:rFonts w:hint="eastAsia" w:asciiTheme="minorEastAsia" w:hAnsiTheme="minorEastAsia" w:eastAsiaTheme="minorEastAsia" w:cstheme="minorEastAsia"/>
              <w:b/>
              <w:sz w:val="24"/>
              <w:szCs w:val="24"/>
            </w:rPr>
            <w:tab/>
          </w:r>
          <w:r>
            <w:rPr>
              <w:rFonts w:hint="eastAsia" w:asciiTheme="minorEastAsia" w:hAnsiTheme="minorEastAsia" w:eastAsiaTheme="minorEastAsia" w:cstheme="minorEastAsia"/>
              <w:b/>
              <w:sz w:val="24"/>
              <w:szCs w:val="24"/>
            </w:rPr>
            <w:fldChar w:fldCharType="begin"/>
          </w:r>
          <w:r>
            <w:rPr>
              <w:rFonts w:hint="eastAsia" w:asciiTheme="minorEastAsia" w:hAnsiTheme="minorEastAsia" w:eastAsiaTheme="minorEastAsia" w:cstheme="minorEastAsia"/>
              <w:b/>
              <w:sz w:val="24"/>
              <w:szCs w:val="24"/>
            </w:rPr>
            <w:instrText xml:space="preserve"> PAGEREF _Toc4727 \h </w:instrText>
          </w:r>
          <w:r>
            <w:rPr>
              <w:rFonts w:hint="eastAsia" w:asciiTheme="minorEastAsia" w:hAnsiTheme="minorEastAsia" w:eastAsiaTheme="minorEastAsia" w:cstheme="minorEastAsia"/>
              <w:b/>
              <w:sz w:val="24"/>
              <w:szCs w:val="24"/>
            </w:rPr>
            <w:fldChar w:fldCharType="separate"/>
          </w:r>
          <w:r>
            <w:rPr>
              <w:rFonts w:hint="eastAsia" w:asciiTheme="minorEastAsia" w:hAnsiTheme="minorEastAsia" w:eastAsiaTheme="minorEastAsia" w:cstheme="minorEastAsia"/>
              <w:b/>
              <w:sz w:val="24"/>
              <w:szCs w:val="24"/>
            </w:rPr>
            <w:t>12</w:t>
          </w:r>
          <w:r>
            <w:rPr>
              <w:rFonts w:hint="eastAsia" w:asciiTheme="minorEastAsia" w:hAnsiTheme="minorEastAsia" w:eastAsiaTheme="minorEastAsia" w:cstheme="minorEastAsia"/>
              <w:b/>
              <w:sz w:val="24"/>
              <w:szCs w:val="24"/>
            </w:rPr>
            <w:fldChar w:fldCharType="end"/>
          </w:r>
          <w:r>
            <w:rPr>
              <w:rFonts w:hint="eastAsia" w:asciiTheme="minorEastAsia" w:hAnsiTheme="minorEastAsia" w:eastAsiaTheme="minorEastAsia" w:cstheme="minorEastAsia"/>
              <w:b/>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_Toc5714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sz w:val="24"/>
              <w:szCs w:val="24"/>
              <w:highlight w:val="none"/>
            </w:rPr>
            <w:t>一、收</w:t>
          </w:r>
          <w:r>
            <w:rPr>
              <w:rFonts w:hint="eastAsia" w:asciiTheme="minorEastAsia" w:hAnsiTheme="minorEastAsia" w:eastAsiaTheme="minorEastAsia" w:cstheme="minorEastAsia"/>
              <w:bCs w:val="0"/>
              <w:sz w:val="24"/>
              <w:szCs w:val="24"/>
              <w:highlight w:val="none"/>
            </w:rPr>
            <w:t>入支出决算总表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_Toc5714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_Toc6383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sz w:val="24"/>
              <w:szCs w:val="24"/>
              <w:highlight w:val="none"/>
            </w:rPr>
            <w:t>二、收</w:t>
          </w:r>
          <w:r>
            <w:rPr>
              <w:rFonts w:hint="eastAsia" w:asciiTheme="minorEastAsia" w:hAnsiTheme="minorEastAsia" w:eastAsiaTheme="minorEastAsia" w:cstheme="minorEastAsia"/>
              <w:bCs w:val="0"/>
              <w:sz w:val="24"/>
              <w:szCs w:val="24"/>
              <w:highlight w:val="none"/>
            </w:rPr>
            <w:t>入决算表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_Toc6383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_Toc14524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bCs w:val="0"/>
              <w:sz w:val="24"/>
              <w:szCs w:val="24"/>
              <w:highlight w:val="none"/>
            </w:rPr>
            <w:t>三、</w:t>
          </w:r>
          <w:r>
            <w:rPr>
              <w:rFonts w:hint="eastAsia" w:asciiTheme="minorEastAsia" w:hAnsiTheme="minorEastAsia" w:eastAsiaTheme="minorEastAsia" w:cstheme="minorEastAsia"/>
              <w:sz w:val="24"/>
              <w:szCs w:val="24"/>
              <w:highlight w:val="none"/>
            </w:rPr>
            <w:t>支</w:t>
          </w:r>
          <w:r>
            <w:rPr>
              <w:rFonts w:hint="eastAsia" w:asciiTheme="minorEastAsia" w:hAnsiTheme="minorEastAsia" w:eastAsiaTheme="minorEastAsia" w:cstheme="minorEastAsia"/>
              <w:bCs w:val="0"/>
              <w:sz w:val="24"/>
              <w:szCs w:val="24"/>
              <w:highlight w:val="none"/>
            </w:rPr>
            <w:t>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_Toc14524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_Toc11227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bCs w:val="0"/>
              <w:sz w:val="24"/>
              <w:szCs w:val="24"/>
              <w:highlight w:val="none"/>
            </w:rPr>
            <w:t>四、</w:t>
          </w:r>
          <w:r>
            <w:rPr>
              <w:rFonts w:hint="eastAsia" w:asciiTheme="minorEastAsia" w:hAnsiTheme="minorEastAsia" w:eastAsiaTheme="minorEastAsia" w:cstheme="minorEastAsia"/>
              <w:sz w:val="24"/>
              <w:szCs w:val="24"/>
              <w:highlight w:val="none"/>
            </w:rPr>
            <w:t>财</w:t>
          </w:r>
          <w:r>
            <w:rPr>
              <w:rFonts w:hint="eastAsia" w:asciiTheme="minorEastAsia" w:hAnsiTheme="minorEastAsia" w:eastAsiaTheme="minorEastAsia" w:cstheme="minorEastAsia"/>
              <w:bCs w:val="0"/>
              <w:sz w:val="24"/>
              <w:szCs w:val="24"/>
              <w:highlight w:val="none"/>
            </w:rPr>
            <w:t>政拨款收入支出决算总表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_Toc11227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_Toc16030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bCs w:val="0"/>
              <w:sz w:val="24"/>
              <w:szCs w:val="24"/>
              <w:highlight w:val="none"/>
            </w:rPr>
            <w:t>五、</w:t>
          </w:r>
          <w:r>
            <w:rPr>
              <w:rFonts w:hint="eastAsia" w:asciiTheme="minorEastAsia" w:hAnsiTheme="minorEastAsia" w:eastAsiaTheme="minorEastAsia" w:cstheme="minorEastAsia"/>
              <w:sz w:val="24"/>
              <w:szCs w:val="24"/>
              <w:highlight w:val="none"/>
            </w:rPr>
            <w:t>财</w:t>
          </w:r>
          <w:r>
            <w:rPr>
              <w:rFonts w:hint="eastAsia" w:asciiTheme="minorEastAsia" w:hAnsiTheme="minorEastAsia" w:eastAsiaTheme="minorEastAsia" w:cstheme="minorEastAsia"/>
              <w:bCs w:val="0"/>
              <w:sz w:val="24"/>
              <w:szCs w:val="24"/>
              <w:highlight w:val="none"/>
            </w:rPr>
            <w:t>政拨款支出决算明细表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_Toc16030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_Toc22244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bCs w:val="0"/>
              <w:sz w:val="24"/>
              <w:szCs w:val="24"/>
              <w:highlight w:val="none"/>
            </w:rPr>
            <w:t>六、</w:t>
          </w:r>
          <w:r>
            <w:rPr>
              <w:rFonts w:hint="eastAsia" w:asciiTheme="minorEastAsia" w:hAnsiTheme="minorEastAsia" w:eastAsiaTheme="minorEastAsia" w:cstheme="minorEastAsia"/>
              <w:sz w:val="24"/>
              <w:szCs w:val="24"/>
              <w:highlight w:val="none"/>
            </w:rPr>
            <w:t>一</w:t>
          </w:r>
          <w:r>
            <w:rPr>
              <w:rFonts w:hint="eastAsia" w:asciiTheme="minorEastAsia" w:hAnsiTheme="minorEastAsia" w:eastAsiaTheme="minorEastAsia" w:cstheme="minorEastAsia"/>
              <w:bCs w:val="0"/>
              <w:sz w:val="24"/>
              <w:szCs w:val="24"/>
              <w:highlight w:val="none"/>
            </w:rPr>
            <w:t>般公共预算财政拨款支出决算表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_Toc22244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_Toc7574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bCs w:val="0"/>
              <w:sz w:val="24"/>
              <w:szCs w:val="24"/>
              <w:highlight w:val="none"/>
            </w:rPr>
            <w:t>七、</w:t>
          </w:r>
          <w:r>
            <w:rPr>
              <w:rFonts w:hint="eastAsia" w:asciiTheme="minorEastAsia" w:hAnsiTheme="minorEastAsia" w:eastAsiaTheme="minorEastAsia" w:cstheme="minorEastAsia"/>
              <w:sz w:val="24"/>
              <w:szCs w:val="24"/>
              <w:highlight w:val="none"/>
            </w:rPr>
            <w:t>一</w:t>
          </w:r>
          <w:r>
            <w:rPr>
              <w:rFonts w:hint="eastAsia" w:asciiTheme="minorEastAsia" w:hAnsiTheme="minorEastAsia" w:eastAsiaTheme="minorEastAsia" w:cstheme="minorEastAsia"/>
              <w:bCs w:val="0"/>
              <w:sz w:val="24"/>
              <w:szCs w:val="24"/>
              <w:highlight w:val="none"/>
            </w:rPr>
            <w:t>般公共预算财政拨款支出决算明细表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_Toc7574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_Toc22370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bCs w:val="0"/>
              <w:sz w:val="24"/>
              <w:szCs w:val="24"/>
              <w:highlight w:val="none"/>
            </w:rPr>
            <w:t>八、</w:t>
          </w:r>
          <w:r>
            <w:rPr>
              <w:rFonts w:hint="eastAsia" w:asciiTheme="minorEastAsia" w:hAnsiTheme="minorEastAsia" w:eastAsiaTheme="minorEastAsia" w:cstheme="minorEastAsia"/>
              <w:sz w:val="24"/>
              <w:szCs w:val="24"/>
              <w:highlight w:val="none"/>
            </w:rPr>
            <w:t>一</w:t>
          </w:r>
          <w:r>
            <w:rPr>
              <w:rFonts w:hint="eastAsia" w:asciiTheme="minorEastAsia" w:hAnsiTheme="minorEastAsia" w:eastAsiaTheme="minorEastAsia" w:cstheme="minorEastAsia"/>
              <w:bCs w:val="0"/>
              <w:sz w:val="24"/>
              <w:szCs w:val="24"/>
              <w:highlight w:val="none"/>
            </w:rPr>
            <w:t>般公共预算财政拨款基本支出决算表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_Toc22370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_Toc2822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bCs w:val="0"/>
              <w:sz w:val="24"/>
              <w:szCs w:val="24"/>
              <w:highlight w:val="none"/>
            </w:rPr>
            <w:t>九、</w:t>
          </w:r>
          <w:r>
            <w:rPr>
              <w:rFonts w:hint="eastAsia" w:asciiTheme="minorEastAsia" w:hAnsiTheme="minorEastAsia" w:eastAsiaTheme="minorEastAsia" w:cstheme="minorEastAsia"/>
              <w:sz w:val="24"/>
              <w:szCs w:val="24"/>
              <w:highlight w:val="none"/>
            </w:rPr>
            <w:t>一</w:t>
          </w:r>
          <w:r>
            <w:rPr>
              <w:rFonts w:hint="eastAsia" w:asciiTheme="minorEastAsia" w:hAnsiTheme="minorEastAsia" w:eastAsiaTheme="minorEastAsia" w:cstheme="minorEastAsia"/>
              <w:bCs w:val="0"/>
              <w:sz w:val="24"/>
              <w:szCs w:val="24"/>
              <w:highlight w:val="none"/>
            </w:rPr>
            <w:t>般公共预算财政拨款项目支出决算表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_Toc2822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_Toc27892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bCs w:val="0"/>
              <w:sz w:val="24"/>
              <w:szCs w:val="24"/>
              <w:highlight w:val="none"/>
            </w:rPr>
            <w:t>十、</w:t>
          </w:r>
          <w:r>
            <w:rPr>
              <w:rFonts w:hint="eastAsia" w:asciiTheme="minorEastAsia" w:hAnsiTheme="minorEastAsia" w:eastAsiaTheme="minorEastAsia" w:cstheme="minorEastAsia"/>
              <w:sz w:val="24"/>
              <w:szCs w:val="24"/>
              <w:highlight w:val="none"/>
            </w:rPr>
            <w:t>政</w:t>
          </w:r>
          <w:r>
            <w:rPr>
              <w:rFonts w:hint="eastAsia" w:asciiTheme="minorEastAsia" w:hAnsiTheme="minorEastAsia" w:eastAsiaTheme="minorEastAsia" w:cstheme="minorEastAsia"/>
              <w:bCs w:val="0"/>
              <w:sz w:val="24"/>
              <w:szCs w:val="24"/>
              <w:highlight w:val="none"/>
            </w:rPr>
            <w:t>府性基金预算财政拨款收入支出决算表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_Toc27892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_Toc12490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bCs w:val="0"/>
              <w:sz w:val="24"/>
              <w:szCs w:val="24"/>
              <w:highlight w:val="none"/>
            </w:rPr>
            <w:t>十一、</w:t>
          </w:r>
          <w:r>
            <w:rPr>
              <w:rFonts w:hint="eastAsia" w:asciiTheme="minorEastAsia" w:hAnsiTheme="minorEastAsia" w:eastAsiaTheme="minorEastAsia" w:cstheme="minorEastAsia"/>
              <w:sz w:val="24"/>
              <w:szCs w:val="24"/>
              <w:highlight w:val="none"/>
            </w:rPr>
            <w:t>国</w:t>
          </w:r>
          <w:r>
            <w:rPr>
              <w:rFonts w:hint="eastAsia" w:asciiTheme="minorEastAsia" w:hAnsiTheme="minorEastAsia" w:eastAsiaTheme="minorEastAsia" w:cstheme="minorEastAsia"/>
              <w:bCs w:val="0"/>
              <w:sz w:val="24"/>
              <w:szCs w:val="24"/>
              <w:highlight w:val="none"/>
            </w:rPr>
            <w:t>有资本经营预算</w:t>
          </w:r>
          <w:r>
            <w:rPr>
              <w:rFonts w:hint="eastAsia" w:asciiTheme="minorEastAsia" w:hAnsiTheme="minorEastAsia" w:eastAsiaTheme="minorEastAsia" w:cstheme="minorEastAsia"/>
              <w:bCs w:val="0"/>
              <w:sz w:val="24"/>
              <w:szCs w:val="24"/>
              <w:highlight w:val="none"/>
              <w:lang w:eastAsia="zh-CN"/>
            </w:rPr>
            <w:t>财政拨款收入</w:t>
          </w:r>
          <w:r>
            <w:rPr>
              <w:rFonts w:hint="eastAsia" w:asciiTheme="minorEastAsia" w:hAnsiTheme="minorEastAsia" w:eastAsiaTheme="minorEastAsia" w:cstheme="minorEastAsia"/>
              <w:bCs w:val="0"/>
              <w:sz w:val="24"/>
              <w:szCs w:val="24"/>
              <w:highlight w:val="none"/>
            </w:rPr>
            <w:t>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_Toc12490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_Toc18389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bCs w:val="0"/>
              <w:sz w:val="24"/>
              <w:szCs w:val="24"/>
              <w:highlight w:val="none"/>
            </w:rPr>
            <w:t>十二、</w:t>
          </w:r>
          <w:r>
            <w:rPr>
              <w:rFonts w:hint="eastAsia" w:asciiTheme="minorEastAsia" w:hAnsiTheme="minorEastAsia" w:eastAsiaTheme="minorEastAsia" w:cstheme="minorEastAsia"/>
              <w:bCs w:val="0"/>
              <w:sz w:val="24"/>
              <w:szCs w:val="24"/>
              <w:highlight w:val="none"/>
              <w:lang w:eastAsia="zh-CN"/>
            </w:rPr>
            <w:t>国有资本经营预算财政拨款支出决算表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_Toc18389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40"/>
            <w:keepNext w:val="0"/>
            <w:keepLines w:val="0"/>
            <w:pageBreakBefore w:val="0"/>
            <w:widowControl/>
            <w:tabs>
              <w:tab w:val="right" w:leader="dot" w:pos="8306"/>
            </w:tabs>
            <w:kinsoku/>
            <w:wordWrap/>
            <w:overflowPunct/>
            <w:topLinePunct w:val="0"/>
            <w:autoSpaceDE/>
            <w:autoSpaceDN/>
            <w:bidi w:val="0"/>
            <w:adjustRightInd/>
            <w:snapToGrid/>
            <w:spacing w:line="580" w:lineRule="exact"/>
            <w:textAlignment w:val="auto"/>
          </w:pPr>
          <w:r>
            <w:rPr>
              <w:rFonts w:hint="eastAsia" w:asciiTheme="minorEastAsia" w:hAnsiTheme="minorEastAsia" w:eastAsiaTheme="minorEastAsia" w:cstheme="minorEastAsia"/>
              <w:color w:val="auto"/>
              <w:sz w:val="24"/>
              <w:szCs w:val="24"/>
              <w:highlight w:val="none"/>
              <w:lang w:val="en-US" w:eastAsia="zh-CN"/>
            </w:rPr>
            <w:fldChar w:fldCharType="begin"/>
          </w:r>
          <w:r>
            <w:rPr>
              <w:rFonts w:hint="eastAsia" w:asciiTheme="minorEastAsia" w:hAnsiTheme="minorEastAsia" w:eastAsiaTheme="minorEastAsia" w:cstheme="minorEastAsia"/>
              <w:sz w:val="24"/>
              <w:szCs w:val="24"/>
              <w:highlight w:val="none"/>
              <w:lang w:val="en-US" w:eastAsia="zh-CN"/>
            </w:rPr>
            <w:instrText xml:space="preserve"> HYPERLINK \l _Toc15551 </w:instrText>
          </w:r>
          <w:r>
            <w:rPr>
              <w:rFonts w:hint="eastAsia" w:asciiTheme="minorEastAsia" w:hAnsiTheme="minorEastAsia" w:eastAsiaTheme="minorEastAsia" w:cstheme="minorEastAsia"/>
              <w:sz w:val="24"/>
              <w:szCs w:val="24"/>
              <w:highlight w:val="none"/>
              <w:lang w:val="en-US" w:eastAsia="zh-CN"/>
            </w:rPr>
            <w:fldChar w:fldCharType="separate"/>
          </w:r>
          <w:r>
            <w:rPr>
              <w:rFonts w:hint="eastAsia" w:asciiTheme="minorEastAsia" w:hAnsiTheme="minorEastAsia" w:eastAsiaTheme="minorEastAsia" w:cstheme="minorEastAsia"/>
              <w:bCs w:val="0"/>
              <w:sz w:val="24"/>
              <w:szCs w:val="24"/>
              <w:highlight w:val="none"/>
            </w:rPr>
            <w:t>十三、</w:t>
          </w:r>
          <w:r>
            <w:rPr>
              <w:rFonts w:hint="eastAsia" w:asciiTheme="minorEastAsia" w:hAnsiTheme="minorEastAsia" w:eastAsiaTheme="minorEastAsia" w:cstheme="minorEastAsia"/>
              <w:bCs w:val="0"/>
              <w:sz w:val="24"/>
              <w:szCs w:val="24"/>
              <w:highlight w:val="none"/>
              <w:lang w:eastAsia="zh-CN"/>
            </w:rPr>
            <w:t>财政拨款“三公”经费支出决算表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_Toc15551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lang w:val="en-US" w:eastAsia="zh-CN"/>
            </w:rPr>
            <w:fldChar w:fldCharType="end"/>
          </w:r>
        </w:p>
        <w:p>
          <w:pPr>
            <w:pStyle w:val="13"/>
            <w:keepNext w:val="0"/>
            <w:keepLines w:val="0"/>
            <w:pageBreakBefore w:val="0"/>
            <w:kinsoku/>
            <w:wordWrap/>
            <w:overflowPunct/>
            <w:topLinePunct w:val="0"/>
            <w:autoSpaceDE/>
            <w:autoSpaceDN/>
            <w:bidi w:val="0"/>
            <w:adjustRightInd w:val="0"/>
            <w:snapToGrid w:val="0"/>
            <w:spacing w:line="580" w:lineRule="exact"/>
            <w:jc w:val="left"/>
            <w:textAlignment w:val="auto"/>
            <w:rPr>
              <w:rFonts w:hint="eastAsia" w:asciiTheme="minorEastAsia" w:hAnsiTheme="minorEastAsia" w:eastAsiaTheme="minorEastAsia" w:cstheme="minorEastAsia"/>
              <w:b/>
              <w:color w:val="auto"/>
              <w:kern w:val="2"/>
              <w:sz w:val="21"/>
              <w:szCs w:val="24"/>
              <w:highlight w:val="none"/>
              <w:lang w:val="en-US" w:eastAsia="zh-CN" w:bidi="ar-SA"/>
            </w:rPr>
          </w:pPr>
          <w:r>
            <w:rPr>
              <w:rFonts w:hint="eastAsia" w:asciiTheme="minorEastAsia" w:hAnsiTheme="minorEastAsia" w:eastAsiaTheme="minorEastAsia" w:cstheme="minorEastAsia"/>
              <w:b/>
              <w:color w:val="auto"/>
              <w:highlight w:val="none"/>
              <w:lang w:val="en-US" w:eastAsia="zh-CN"/>
            </w:rPr>
            <w:fldChar w:fldCharType="end"/>
          </w:r>
        </w:p>
      </w:sdtContent>
    </w:sdt>
    <w:p>
      <w:pPr>
        <w:rPr>
          <w:rFonts w:hint="eastAsia"/>
          <w:lang w:val="en-US" w:eastAsia="zh-CN"/>
        </w:rPr>
      </w:pPr>
    </w:p>
    <w:p>
      <w:pPr>
        <w:pStyle w:val="3"/>
        <w:ind w:right="440"/>
        <w:jc w:val="center"/>
        <w:outlineLvl w:val="9"/>
        <w:rPr>
          <w:rFonts w:hint="eastAsia" w:ascii="黑体" w:hAnsi="黑体" w:eastAsia="黑体"/>
          <w:b w:val="0"/>
          <w:bCs/>
          <w:color w:val="auto"/>
          <w:highlight w:val="none"/>
        </w:rPr>
        <w:sectPr>
          <w:footerReference r:id="rId5" w:type="first"/>
          <w:headerReference r:id="rId3" w:type="default"/>
          <w:footerReference r:id="rId4" w:type="default"/>
          <w:pgSz w:w="11906" w:h="16838"/>
          <w:pgMar w:top="1701" w:right="1587" w:bottom="1587" w:left="1587" w:header="851" w:footer="992" w:gutter="0"/>
          <w:pgNumType w:fmt="decimal" w:start="1"/>
          <w:cols w:space="0" w:num="1"/>
          <w:titlePg/>
          <w:rtlGutter w:val="0"/>
          <w:docGrid w:type="lines" w:linePitch="312" w:charSpace="0"/>
        </w:sectPr>
      </w:pPr>
      <w:bookmarkStart w:id="7" w:name="_Toc15396599"/>
      <w:bookmarkStart w:id="8" w:name="_Toc15377196"/>
    </w:p>
    <w:p>
      <w:pPr>
        <w:pStyle w:val="3"/>
        <w:pageBreakBefore w:val="0"/>
        <w:kinsoku/>
        <w:wordWrap/>
        <w:overflowPunct/>
        <w:topLinePunct w:val="0"/>
        <w:autoSpaceDE/>
        <w:autoSpaceDN/>
        <w:bidi w:val="0"/>
        <w:adjustRightInd/>
        <w:snapToGrid/>
        <w:spacing w:before="0" w:after="0" w:line="580" w:lineRule="exact"/>
        <w:ind w:right="440"/>
        <w:jc w:val="center"/>
        <w:textAlignment w:val="auto"/>
        <w:rPr>
          <w:rFonts w:hint="eastAsia" w:ascii="黑体" w:hAnsi="黑体" w:eastAsia="黑体"/>
          <w:b w:val="0"/>
          <w:bCs/>
          <w:color w:val="auto"/>
          <w:highlight w:val="none"/>
        </w:rPr>
      </w:pPr>
      <w:bookmarkStart w:id="9" w:name="_Toc18980"/>
      <w:r>
        <w:rPr>
          <w:rFonts w:hint="eastAsia" w:ascii="黑体" w:hAnsi="黑体" w:eastAsia="黑体"/>
          <w:b w:val="0"/>
          <w:bCs/>
          <w:color w:val="auto"/>
          <w:highlight w:val="none"/>
        </w:rPr>
        <w:t>第一部分</w:t>
      </w:r>
      <w:r>
        <w:rPr>
          <w:rFonts w:hint="eastAsia" w:ascii="黑体" w:hAnsi="黑体" w:eastAsia="黑体"/>
          <w:b w:val="0"/>
          <w:bCs/>
          <w:color w:val="auto"/>
          <w:highlight w:val="none"/>
          <w:lang w:val="en-US" w:eastAsia="zh-CN"/>
        </w:rPr>
        <w:t xml:space="preserve">  </w:t>
      </w:r>
      <w:r>
        <w:rPr>
          <w:rFonts w:hint="eastAsia" w:ascii="黑体" w:hAnsi="黑体" w:eastAsia="黑体"/>
          <w:b w:val="0"/>
          <w:bCs/>
          <w:color w:val="auto"/>
          <w:highlight w:val="none"/>
          <w:lang w:eastAsia="zh-CN"/>
        </w:rPr>
        <w:t>单位</w:t>
      </w:r>
      <w:r>
        <w:rPr>
          <w:rFonts w:hint="eastAsia" w:ascii="黑体" w:hAnsi="黑体" w:eastAsia="黑体"/>
          <w:b w:val="0"/>
          <w:bCs/>
          <w:color w:val="auto"/>
          <w:highlight w:val="none"/>
        </w:rPr>
        <w:t>概况</w:t>
      </w:r>
      <w:bookmarkEnd w:id="7"/>
      <w:bookmarkEnd w:id="8"/>
      <w:bookmarkEnd w:id="9"/>
    </w:p>
    <w:p>
      <w:pPr>
        <w:pStyle w:val="2"/>
        <w:rPr>
          <w:rFonts w:hint="eastAsia"/>
        </w:rPr>
      </w:pPr>
    </w:p>
    <w:p>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80" w:lineRule="exact"/>
        <w:ind w:firstLine="640" w:firstLineChars="200"/>
        <w:jc w:val="both"/>
        <w:textAlignment w:val="auto"/>
        <w:rPr>
          <w:rFonts w:hint="eastAsia" w:ascii="黑体" w:hAnsi="黑体" w:eastAsia="黑体" w:cs="Times New Roman"/>
          <w:b w:val="0"/>
          <w:bCs w:val="0"/>
          <w:color w:val="auto"/>
          <w:kern w:val="2"/>
          <w:sz w:val="32"/>
          <w:szCs w:val="32"/>
          <w:highlight w:val="none"/>
          <w:lang w:val="en-US" w:eastAsia="zh-CN" w:bidi="ar-SA"/>
        </w:rPr>
      </w:pPr>
      <w:bookmarkStart w:id="10" w:name="_Toc777"/>
      <w:r>
        <w:rPr>
          <w:rFonts w:hint="eastAsia" w:ascii="黑体" w:hAnsi="黑体" w:eastAsia="黑体" w:cs="Times New Roman"/>
          <w:b w:val="0"/>
          <w:bCs w:val="0"/>
          <w:color w:val="auto"/>
          <w:kern w:val="2"/>
          <w:sz w:val="32"/>
          <w:szCs w:val="32"/>
          <w:highlight w:val="none"/>
          <w:lang w:val="en-US" w:eastAsia="zh-CN" w:bidi="ar-SA"/>
        </w:rPr>
        <w:t>主要职责</w:t>
      </w:r>
      <w:bookmarkEnd w:id="10"/>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80" w:lineRule="exact"/>
        <w:ind w:left="0" w:right="0" w:firstLine="640" w:firstLineChars="200"/>
        <w:jc w:val="both"/>
        <w:textAlignment w:val="auto"/>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中国民主促进会（简称民进）是以从事教育文化出版传媒以及相关科学技术领域工作的高中级知识分子为主、具有政治联盟性质的政党，是接受中国共产党领导、同中国共产党通力合作的中国特色社会主义参政党，是爱国统一战线的组成部分。中国民主促进会</w:t>
      </w:r>
      <w:r>
        <w:rPr>
          <w:rFonts w:hint="eastAsia" w:ascii="仿宋_GB2312" w:eastAsia="仿宋_GB2312" w:cs="仿宋_GB2312"/>
          <w:i w:val="0"/>
          <w:caps w:val="0"/>
          <w:color w:val="auto"/>
          <w:spacing w:val="0"/>
          <w:kern w:val="0"/>
          <w:sz w:val="32"/>
          <w:szCs w:val="32"/>
          <w:shd w:val="clear" w:color="auto" w:fill="FFFFFF"/>
          <w:lang w:val="en-US" w:eastAsia="zh-CN" w:bidi="ar"/>
        </w:rPr>
        <w:t>广元市</w:t>
      </w: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委员会（简称民进</w:t>
      </w:r>
      <w:r>
        <w:rPr>
          <w:rFonts w:hint="eastAsia" w:ascii="仿宋_GB2312" w:eastAsia="仿宋_GB2312" w:cs="仿宋_GB2312"/>
          <w:i w:val="0"/>
          <w:caps w:val="0"/>
          <w:color w:val="auto"/>
          <w:spacing w:val="0"/>
          <w:kern w:val="0"/>
          <w:sz w:val="32"/>
          <w:szCs w:val="32"/>
          <w:shd w:val="clear" w:color="auto" w:fill="FFFFFF"/>
          <w:lang w:val="en-US" w:eastAsia="zh-CN" w:bidi="ar"/>
        </w:rPr>
        <w:t>广元市</w:t>
      </w: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委会），主要职能是思想建设、组织建设、参政议政、民主监督，参加中国共产党领导的政治协商，社会服务</w:t>
      </w:r>
      <w:r>
        <w:rPr>
          <w:rFonts w:hint="eastAsia" w:ascii="仿宋_GB2312" w:eastAsia="仿宋_GB2312" w:cs="仿宋_GB2312"/>
          <w:i w:val="0"/>
          <w:caps w:val="0"/>
          <w:color w:val="auto"/>
          <w:spacing w:val="0"/>
          <w:kern w:val="0"/>
          <w:sz w:val="32"/>
          <w:szCs w:val="32"/>
          <w:shd w:val="clear" w:color="auto" w:fill="FFFFFF"/>
          <w:lang w:val="en-US" w:eastAsia="zh-CN" w:bidi="ar"/>
        </w:rPr>
        <w:t>。</w:t>
      </w:r>
    </w:p>
    <w:p>
      <w:pPr>
        <w:pStyle w:val="4"/>
        <w:keepNext w:val="0"/>
        <w:keepLines w:val="0"/>
        <w:pageBreakBefore w:val="0"/>
        <w:widowControl w:val="0"/>
        <w:kinsoku/>
        <w:wordWrap/>
        <w:overflowPunct/>
        <w:topLinePunct w:val="0"/>
        <w:autoSpaceDE/>
        <w:autoSpaceDN/>
        <w:bidi w:val="0"/>
        <w:adjustRightInd/>
        <w:snapToGrid/>
        <w:spacing w:before="0" w:after="0" w:line="580" w:lineRule="exact"/>
        <w:ind w:firstLine="640" w:firstLineChars="200"/>
        <w:jc w:val="both"/>
        <w:textAlignment w:val="auto"/>
        <w:rPr>
          <w:rStyle w:val="20"/>
          <w:rFonts w:hint="eastAsia" w:ascii="黑体" w:hAnsi="黑体" w:eastAsia="黑体"/>
          <w:b w:val="0"/>
          <w:bCs/>
          <w:color w:val="auto"/>
          <w:highlight w:val="none"/>
          <w:lang w:val="en-US" w:eastAsia="zh-CN" w:bidi="ar-SA"/>
        </w:rPr>
      </w:pPr>
      <w:bookmarkStart w:id="11" w:name="_Toc15396601"/>
      <w:bookmarkStart w:id="12" w:name="_Toc15377200"/>
      <w:bookmarkStart w:id="13" w:name="_Toc23391"/>
      <w:r>
        <w:rPr>
          <w:rStyle w:val="20"/>
          <w:rFonts w:hint="eastAsia" w:ascii="黑体" w:hAnsi="黑体" w:eastAsia="黑体"/>
          <w:b w:val="0"/>
          <w:bCs/>
          <w:color w:val="auto"/>
          <w:highlight w:val="none"/>
          <w:lang w:val="en-US" w:eastAsia="zh-CN" w:bidi="ar-SA"/>
        </w:rPr>
        <w:t>二、机构设置</w:t>
      </w:r>
      <w:bookmarkEnd w:id="11"/>
      <w:bookmarkEnd w:id="12"/>
      <w:bookmarkEnd w:id="13"/>
    </w:p>
    <w:p>
      <w:pPr>
        <w:pStyle w:val="2"/>
        <w:pageBreakBefore w:val="0"/>
        <w:kinsoku/>
        <w:wordWrap/>
        <w:overflowPunct/>
        <w:topLinePunct w:val="0"/>
        <w:autoSpaceDE/>
        <w:autoSpaceDN/>
        <w:bidi w:val="0"/>
        <w:adjustRightInd/>
        <w:snapToGrid/>
        <w:spacing w:beforeLines="0" w:line="580" w:lineRule="exact"/>
        <w:ind w:firstLine="640" w:firstLineChars="200"/>
        <w:jc w:val="both"/>
        <w:textAlignment w:val="auto"/>
        <w:rPr>
          <w:rFonts w:hint="eastAsia"/>
          <w:sz w:val="32"/>
          <w:szCs w:val="32"/>
          <w:highlight w:val="none"/>
        </w:rPr>
      </w:pPr>
      <w:bookmarkStart w:id="14" w:name="_Toc15377204"/>
      <w:bookmarkStart w:id="15" w:name="_Toc15396602"/>
      <w:r>
        <w:rPr>
          <w:rFonts w:hint="eastAsia" w:cs="仿宋_GB2312"/>
          <w:i w:val="0"/>
          <w:caps w:val="0"/>
          <w:color w:val="auto"/>
          <w:spacing w:val="0"/>
          <w:kern w:val="0"/>
          <w:sz w:val="32"/>
          <w:szCs w:val="32"/>
          <w:highlight w:val="none"/>
          <w:shd w:val="clear" w:color="auto" w:fill="FFFFFF"/>
          <w:lang w:val="en-US" w:eastAsia="zh-CN" w:bidi="ar"/>
        </w:rPr>
        <w:t>我单位为</w:t>
      </w:r>
      <w:r>
        <w:rPr>
          <w:rFonts w:hint="eastAsia" w:ascii="仿宋_GB2312" w:hAnsi="Times New Roman" w:eastAsia="仿宋_GB2312" w:cs="仿宋_GB2312"/>
          <w:i w:val="0"/>
          <w:caps w:val="0"/>
          <w:color w:val="auto"/>
          <w:spacing w:val="0"/>
          <w:kern w:val="0"/>
          <w:sz w:val="32"/>
          <w:szCs w:val="32"/>
          <w:highlight w:val="none"/>
          <w:shd w:val="clear" w:color="auto" w:fill="FFFFFF"/>
          <w:lang w:val="en-US" w:eastAsia="zh-CN" w:bidi="ar"/>
        </w:rPr>
        <w:t>中共广元市委统战部</w:t>
      </w:r>
      <w:r>
        <w:rPr>
          <w:rFonts w:hint="eastAsia" w:cs="仿宋_GB2312"/>
          <w:i w:val="0"/>
          <w:caps w:val="0"/>
          <w:color w:val="auto"/>
          <w:spacing w:val="0"/>
          <w:kern w:val="0"/>
          <w:sz w:val="32"/>
          <w:szCs w:val="32"/>
          <w:highlight w:val="none"/>
          <w:shd w:val="clear" w:color="auto" w:fill="FFFFFF"/>
          <w:lang w:val="en-US" w:eastAsia="zh-CN" w:bidi="ar"/>
        </w:rPr>
        <w:t>下属二级预算单位，本单位无下属机构，设有内设机构1个。</w:t>
      </w:r>
    </w:p>
    <w:p>
      <w:pPr>
        <w:pStyle w:val="3"/>
        <w:keepNext/>
        <w:keepLines/>
        <w:pageBreakBefore w:val="0"/>
        <w:widowControl w:val="0"/>
        <w:kinsoku/>
        <w:wordWrap/>
        <w:overflowPunct/>
        <w:topLinePunct w:val="0"/>
        <w:autoSpaceDE/>
        <w:autoSpaceDN/>
        <w:bidi w:val="0"/>
        <w:adjustRightInd/>
        <w:snapToGrid/>
        <w:spacing w:before="0" w:after="0" w:line="580" w:lineRule="exact"/>
        <w:ind w:right="0"/>
        <w:jc w:val="both"/>
        <w:textAlignment w:val="auto"/>
        <w:rPr>
          <w:rFonts w:hint="eastAsia" w:ascii="黑体" w:hAnsi="黑体" w:eastAsia="黑体"/>
          <w:b w:val="0"/>
          <w:bCs/>
          <w:color w:val="auto"/>
          <w:highlight w:val="none"/>
        </w:rPr>
      </w:pPr>
      <w:bookmarkStart w:id="16" w:name="_Toc19520"/>
    </w:p>
    <w:p>
      <w:pPr>
        <w:pStyle w:val="3"/>
        <w:keepNext/>
        <w:keepLines/>
        <w:pageBreakBefore w:val="0"/>
        <w:widowControl w:val="0"/>
        <w:kinsoku/>
        <w:wordWrap/>
        <w:overflowPunct/>
        <w:topLinePunct w:val="0"/>
        <w:autoSpaceDE/>
        <w:autoSpaceDN/>
        <w:bidi w:val="0"/>
        <w:adjustRightInd/>
        <w:snapToGrid/>
        <w:spacing w:before="0" w:after="0" w:line="580" w:lineRule="exact"/>
        <w:ind w:right="0"/>
        <w:jc w:val="both"/>
        <w:textAlignment w:val="auto"/>
        <w:rPr>
          <w:rFonts w:hint="eastAsia" w:ascii="黑体" w:hAnsi="黑体" w:eastAsia="黑体"/>
          <w:b w:val="0"/>
          <w:bCs/>
          <w:color w:val="auto"/>
          <w:highlight w:val="none"/>
        </w:rPr>
      </w:pPr>
    </w:p>
    <w:p>
      <w:pPr>
        <w:pStyle w:val="3"/>
        <w:keepNext/>
        <w:keepLines/>
        <w:pageBreakBefore w:val="0"/>
        <w:widowControl w:val="0"/>
        <w:kinsoku/>
        <w:wordWrap/>
        <w:overflowPunct/>
        <w:topLinePunct w:val="0"/>
        <w:autoSpaceDE/>
        <w:autoSpaceDN/>
        <w:bidi w:val="0"/>
        <w:adjustRightInd/>
        <w:snapToGrid/>
        <w:spacing w:before="0" w:after="0" w:line="580" w:lineRule="exact"/>
        <w:ind w:right="0"/>
        <w:jc w:val="both"/>
        <w:textAlignment w:val="auto"/>
        <w:rPr>
          <w:rFonts w:hint="eastAsia" w:ascii="黑体" w:hAnsi="黑体" w:eastAsia="黑体"/>
          <w:b w:val="0"/>
          <w:bCs/>
          <w:color w:val="auto"/>
          <w:highlight w:val="none"/>
        </w:rPr>
      </w:pPr>
    </w:p>
    <w:p>
      <w:pPr>
        <w:pStyle w:val="3"/>
        <w:keepNext/>
        <w:keepLines/>
        <w:pageBreakBefore w:val="0"/>
        <w:widowControl w:val="0"/>
        <w:kinsoku/>
        <w:wordWrap/>
        <w:overflowPunct/>
        <w:topLinePunct w:val="0"/>
        <w:autoSpaceDE/>
        <w:autoSpaceDN/>
        <w:bidi w:val="0"/>
        <w:adjustRightInd/>
        <w:snapToGrid/>
        <w:spacing w:before="0" w:after="0" w:line="580" w:lineRule="exact"/>
        <w:ind w:right="0"/>
        <w:jc w:val="both"/>
        <w:textAlignment w:val="auto"/>
        <w:rPr>
          <w:rFonts w:hint="eastAsia" w:ascii="黑体" w:hAnsi="黑体" w:eastAsia="黑体"/>
          <w:b w:val="0"/>
          <w:bCs/>
          <w:color w:val="auto"/>
          <w:highlight w:val="none"/>
        </w:rPr>
      </w:pPr>
    </w:p>
    <w:p>
      <w:pPr>
        <w:pStyle w:val="3"/>
        <w:keepNext/>
        <w:keepLines/>
        <w:pageBreakBefore w:val="0"/>
        <w:widowControl w:val="0"/>
        <w:kinsoku/>
        <w:wordWrap/>
        <w:overflowPunct/>
        <w:topLinePunct w:val="0"/>
        <w:autoSpaceDE/>
        <w:autoSpaceDN/>
        <w:bidi w:val="0"/>
        <w:adjustRightInd/>
        <w:snapToGrid/>
        <w:spacing w:before="0" w:after="0" w:line="580" w:lineRule="exact"/>
        <w:ind w:right="0"/>
        <w:jc w:val="both"/>
        <w:textAlignment w:val="auto"/>
        <w:rPr>
          <w:rFonts w:hint="eastAsia" w:ascii="黑体" w:hAnsi="黑体" w:eastAsia="黑体"/>
          <w:b w:val="0"/>
          <w:bCs/>
          <w:color w:val="auto"/>
          <w:highlight w:val="none"/>
        </w:rPr>
      </w:pPr>
    </w:p>
    <w:p>
      <w:pPr>
        <w:pStyle w:val="3"/>
        <w:keepNext/>
        <w:keepLines/>
        <w:pageBreakBefore w:val="0"/>
        <w:widowControl w:val="0"/>
        <w:kinsoku/>
        <w:wordWrap/>
        <w:overflowPunct/>
        <w:topLinePunct w:val="0"/>
        <w:autoSpaceDE/>
        <w:autoSpaceDN/>
        <w:bidi w:val="0"/>
        <w:adjustRightInd/>
        <w:snapToGrid/>
        <w:spacing w:before="0" w:after="0" w:line="580" w:lineRule="exact"/>
        <w:ind w:right="0"/>
        <w:jc w:val="both"/>
        <w:textAlignment w:val="auto"/>
        <w:rPr>
          <w:rFonts w:hint="eastAsia" w:ascii="黑体" w:hAnsi="黑体" w:eastAsia="黑体"/>
          <w:b w:val="0"/>
          <w:bCs/>
          <w:color w:val="auto"/>
          <w:highlight w:val="none"/>
        </w:rPr>
      </w:pPr>
    </w:p>
    <w:p>
      <w:pPr>
        <w:pStyle w:val="3"/>
        <w:keepNext/>
        <w:keepLines/>
        <w:pageBreakBefore w:val="0"/>
        <w:widowControl w:val="0"/>
        <w:kinsoku/>
        <w:wordWrap/>
        <w:overflowPunct/>
        <w:topLinePunct w:val="0"/>
        <w:autoSpaceDE/>
        <w:autoSpaceDN/>
        <w:bidi w:val="0"/>
        <w:adjustRightInd/>
        <w:snapToGrid/>
        <w:spacing w:before="0" w:after="0" w:line="580" w:lineRule="exact"/>
        <w:ind w:right="0"/>
        <w:jc w:val="both"/>
        <w:textAlignment w:val="auto"/>
        <w:rPr>
          <w:rFonts w:hint="eastAsia" w:ascii="黑体" w:hAnsi="黑体" w:eastAsia="黑体"/>
          <w:b w:val="0"/>
          <w:bCs/>
          <w:color w:val="auto"/>
          <w:highlight w:val="none"/>
        </w:rPr>
      </w:pPr>
    </w:p>
    <w:p>
      <w:pPr>
        <w:pStyle w:val="3"/>
        <w:keepNext/>
        <w:keepLines/>
        <w:pageBreakBefore w:val="0"/>
        <w:widowControl w:val="0"/>
        <w:kinsoku/>
        <w:wordWrap/>
        <w:overflowPunct/>
        <w:topLinePunct w:val="0"/>
        <w:autoSpaceDE/>
        <w:autoSpaceDN/>
        <w:bidi w:val="0"/>
        <w:adjustRightInd/>
        <w:snapToGrid/>
        <w:spacing w:before="0" w:after="0" w:line="580" w:lineRule="exact"/>
        <w:ind w:right="0"/>
        <w:jc w:val="both"/>
        <w:textAlignment w:val="auto"/>
        <w:rPr>
          <w:rFonts w:hint="eastAsia" w:ascii="黑体" w:hAnsi="黑体" w:eastAsia="黑体"/>
          <w:b w:val="0"/>
          <w:bCs/>
          <w:color w:val="auto"/>
          <w:highlight w:val="none"/>
        </w:rPr>
      </w:pPr>
    </w:p>
    <w:p>
      <w:pPr>
        <w:pStyle w:val="3"/>
        <w:keepNext w:val="0"/>
        <w:keepLines w:val="0"/>
        <w:pageBreakBefore w:val="0"/>
        <w:widowControl w:val="0"/>
        <w:kinsoku/>
        <w:wordWrap/>
        <w:overflowPunct/>
        <w:topLinePunct w:val="0"/>
        <w:autoSpaceDE/>
        <w:autoSpaceDN/>
        <w:bidi w:val="0"/>
        <w:adjustRightInd/>
        <w:snapToGrid/>
        <w:spacing w:before="0" w:after="0" w:line="580" w:lineRule="exact"/>
        <w:ind w:right="0"/>
        <w:jc w:val="both"/>
        <w:textAlignment w:val="auto"/>
        <w:rPr>
          <w:rFonts w:hint="eastAsia" w:ascii="黑体" w:hAnsi="黑体" w:eastAsia="黑体"/>
          <w:b w:val="0"/>
          <w:bCs/>
          <w:color w:val="auto"/>
          <w:highlight w:val="none"/>
        </w:rPr>
      </w:pPr>
    </w:p>
    <w:p>
      <w:pPr>
        <w:pStyle w:val="3"/>
        <w:keepNext w:val="0"/>
        <w:keepLines w:val="0"/>
        <w:pageBreakBefore w:val="0"/>
        <w:widowControl w:val="0"/>
        <w:kinsoku/>
        <w:wordWrap/>
        <w:overflowPunct/>
        <w:topLinePunct w:val="0"/>
        <w:autoSpaceDE/>
        <w:autoSpaceDN/>
        <w:bidi w:val="0"/>
        <w:adjustRightInd/>
        <w:snapToGrid/>
        <w:spacing w:before="0" w:after="0" w:line="580" w:lineRule="exact"/>
        <w:ind w:right="0"/>
        <w:jc w:val="center"/>
        <w:textAlignment w:val="auto"/>
        <w:rPr>
          <w:rStyle w:val="21"/>
          <w:rFonts w:ascii="黑体" w:hAnsi="黑体" w:eastAsia="黑体"/>
          <w:b w:val="0"/>
          <w:bCs/>
          <w:color w:val="auto"/>
          <w:highlight w:val="none"/>
        </w:rPr>
      </w:pPr>
      <w:r>
        <w:rPr>
          <w:rFonts w:hint="eastAsia" w:ascii="黑体" w:hAnsi="黑体" w:eastAsia="黑体"/>
          <w:b w:val="0"/>
          <w:bCs/>
          <w:color w:val="auto"/>
          <w:highlight w:val="none"/>
        </w:rPr>
        <w:t>第二部分</w:t>
      </w:r>
      <w:r>
        <w:rPr>
          <w:rFonts w:hint="eastAsia" w:ascii="黑体" w:hAnsi="黑体" w:eastAsia="黑体"/>
          <w:b w:val="0"/>
          <w:bCs/>
          <w:color w:val="auto"/>
          <w:highlight w:val="none"/>
          <w:lang w:val="en-US" w:eastAsia="zh-CN"/>
        </w:rPr>
        <w:t xml:space="preserve">  2024年度</w:t>
      </w:r>
      <w:r>
        <w:rPr>
          <w:rStyle w:val="21"/>
          <w:rFonts w:hint="eastAsia" w:ascii="黑体" w:hAnsi="黑体" w:eastAsia="黑体"/>
          <w:b w:val="0"/>
          <w:bCs/>
          <w:color w:val="auto"/>
          <w:highlight w:val="none"/>
        </w:rPr>
        <w:t>部门决算情况说明</w:t>
      </w:r>
      <w:bookmarkEnd w:id="14"/>
      <w:bookmarkEnd w:id="15"/>
      <w:bookmarkEnd w:id="16"/>
    </w:p>
    <w:p>
      <w:pPr>
        <w:pageBreakBefore w:val="0"/>
        <w:kinsoku/>
        <w:wordWrap/>
        <w:overflowPunct/>
        <w:topLinePunct w:val="0"/>
        <w:autoSpaceDE/>
        <w:autoSpaceDN/>
        <w:bidi w:val="0"/>
        <w:adjustRightInd/>
        <w:snapToGrid/>
        <w:spacing w:line="580" w:lineRule="exact"/>
        <w:jc w:val="both"/>
        <w:textAlignment w:val="auto"/>
        <w:rPr>
          <w:color w:val="auto"/>
          <w:highlight w:val="none"/>
        </w:rPr>
      </w:pPr>
    </w:p>
    <w:p>
      <w:pPr>
        <w:pStyle w:val="34"/>
        <w:pageBreakBefore w:val="0"/>
        <w:numPr>
          <w:ilvl w:val="0"/>
          <w:numId w:val="2"/>
        </w:numPr>
        <w:kinsoku/>
        <w:wordWrap/>
        <w:overflowPunct/>
        <w:topLinePunct w:val="0"/>
        <w:autoSpaceDE/>
        <w:autoSpaceDN/>
        <w:bidi w:val="0"/>
        <w:adjustRightInd/>
        <w:snapToGrid/>
        <w:spacing w:line="580" w:lineRule="exact"/>
        <w:ind w:firstLineChars="0"/>
        <w:jc w:val="both"/>
        <w:textAlignment w:val="auto"/>
        <w:outlineLvl w:val="1"/>
        <w:rPr>
          <w:rStyle w:val="20"/>
          <w:rFonts w:ascii="黑体" w:hAnsi="黑体" w:eastAsia="黑体"/>
          <w:b w:val="0"/>
          <w:color w:val="auto"/>
          <w:highlight w:val="none"/>
        </w:rPr>
      </w:pPr>
      <w:bookmarkStart w:id="17" w:name="_Toc15377205"/>
      <w:bookmarkStart w:id="18" w:name="_Toc17184"/>
      <w:bookmarkStart w:id="19" w:name="_Toc15396603"/>
      <w:r>
        <w:rPr>
          <w:rFonts w:hint="eastAsia" w:ascii="黑体" w:hAnsi="黑体" w:eastAsia="黑体"/>
          <w:color w:val="auto"/>
          <w:sz w:val="32"/>
          <w:szCs w:val="32"/>
          <w:highlight w:val="none"/>
        </w:rPr>
        <w:t>收</w:t>
      </w:r>
      <w:r>
        <w:rPr>
          <w:rStyle w:val="20"/>
          <w:rFonts w:hint="eastAsia" w:ascii="黑体" w:hAnsi="黑体" w:eastAsia="黑体"/>
          <w:b w:val="0"/>
          <w:color w:val="auto"/>
          <w:highlight w:val="none"/>
        </w:rPr>
        <w:t>入支出决算总体情况说明</w:t>
      </w:r>
      <w:bookmarkEnd w:id="17"/>
      <w:bookmarkEnd w:id="18"/>
      <w:bookmarkEnd w:id="19"/>
    </w:p>
    <w:p>
      <w:pPr>
        <w:spacing w:line="600" w:lineRule="exact"/>
        <w:ind w:firstLine="640" w:firstLineChars="200"/>
        <w:outlineLvl w:val="1"/>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2024年度收、支总计87.39万元。与2023年度相比，收、支总计各增加2.28万元，增加2.68%。主要变动原因是人员工资正常变动。</w:t>
      </w:r>
    </w:p>
    <w:p>
      <w:pPr>
        <w:pStyle w:val="2"/>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object>
          <v:shape id="_x0000_i1025" o:spt="75" type="#_x0000_t75" style="height:346.3pt;width:402.2pt;" o:ole="t" filled="f" o:preferrelative="t" stroked="f" coordsize="21600,21600">
            <v:path/>
            <v:fill on="f" focussize="0,0"/>
            <v:stroke on="f"/>
            <v:imagedata r:id="rId10" o:title=""/>
            <o:lock v:ext="edit" aspectratio="t"/>
            <w10:wrap type="none"/>
            <w10:anchorlock/>
          </v:shape>
          <o:OLEObject Type="Embed" ProgID="Excel.Chart.8" ShapeID="_x0000_i1025" DrawAspect="Content" ObjectID="_1468075725" r:id="rId9">
            <o:LockedField>false</o:LockedField>
          </o:OLEObject>
        </w:object>
      </w:r>
    </w:p>
    <w:p>
      <w:pPr>
        <w:spacing w:line="600" w:lineRule="exact"/>
        <w:ind w:firstLine="1600" w:firstLineChars="500"/>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pPr>
        <w:spacing w:line="600" w:lineRule="exact"/>
        <w:ind w:firstLine="640" w:firstLineChars="200"/>
        <w:jc w:val="left"/>
        <w:rPr>
          <w:rFonts w:ascii="仿宋_GB2312" w:eastAsia="仿宋_GB2312"/>
          <w:color w:val="auto"/>
          <w:sz w:val="32"/>
          <w:szCs w:val="32"/>
          <w:highlight w:val="none"/>
        </w:rPr>
      </w:pPr>
    </w:p>
    <w:p>
      <w:pPr>
        <w:pStyle w:val="34"/>
        <w:numPr>
          <w:ilvl w:val="0"/>
          <w:numId w:val="2"/>
        </w:numPr>
        <w:spacing w:line="600" w:lineRule="exact"/>
        <w:ind w:firstLineChars="0"/>
        <w:outlineLvl w:val="1"/>
        <w:rPr>
          <w:rStyle w:val="20"/>
          <w:rFonts w:ascii="黑体" w:hAnsi="黑体" w:eastAsia="黑体"/>
          <w:b w:val="0"/>
          <w:color w:val="auto"/>
          <w:highlight w:val="none"/>
        </w:rPr>
      </w:pPr>
      <w:bookmarkStart w:id="20" w:name="_Toc15377206"/>
      <w:bookmarkStart w:id="21" w:name="_Toc7270"/>
      <w:bookmarkStart w:id="22" w:name="_Toc15396604"/>
      <w:r>
        <w:rPr>
          <w:rFonts w:hint="eastAsia" w:ascii="黑体" w:hAnsi="黑体" w:eastAsia="黑体"/>
          <w:color w:val="auto"/>
          <w:sz w:val="32"/>
          <w:szCs w:val="32"/>
          <w:highlight w:val="none"/>
        </w:rPr>
        <w:t>收</w:t>
      </w:r>
      <w:r>
        <w:rPr>
          <w:rStyle w:val="20"/>
          <w:rFonts w:hint="eastAsia" w:ascii="黑体" w:hAnsi="黑体" w:eastAsia="黑体"/>
          <w:b w:val="0"/>
          <w:color w:val="auto"/>
          <w:highlight w:val="none"/>
        </w:rPr>
        <w:t>入决算情况说明</w:t>
      </w:r>
      <w:bookmarkEnd w:id="20"/>
      <w:bookmarkEnd w:id="21"/>
      <w:bookmarkEnd w:id="22"/>
    </w:p>
    <w:p>
      <w:pPr>
        <w:spacing w:line="600" w:lineRule="exact"/>
        <w:ind w:firstLine="640" w:firstLineChars="200"/>
        <w:outlineLvl w:val="1"/>
        <w:rPr>
          <w:rFonts w:ascii="仿宋" w:hAnsi="仿宋" w:eastAsia="仿宋"/>
          <w:color w:val="auto"/>
          <w:sz w:val="32"/>
          <w:szCs w:val="32"/>
          <w:highlight w:val="none"/>
        </w:rPr>
      </w:pPr>
      <w:bookmarkStart w:id="23" w:name="_Toc18326"/>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本年收入合计</w:t>
      </w:r>
      <w:r>
        <w:rPr>
          <w:rFonts w:hint="eastAsia" w:ascii="仿宋" w:hAnsi="仿宋" w:eastAsia="仿宋"/>
          <w:color w:val="auto"/>
          <w:sz w:val="32"/>
          <w:szCs w:val="32"/>
          <w:highlight w:val="none"/>
          <w:lang w:val="en-US" w:eastAsia="zh-CN"/>
        </w:rPr>
        <w:t>87.39</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87.39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23"/>
    </w:p>
    <w:p>
      <w:pPr>
        <w:pStyle w:val="2"/>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031105" cy="2405380"/>
            <wp:effectExtent l="4445" t="4445" r="12700"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jc w:val="center"/>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（图2：收入决算结构图）</w:t>
      </w:r>
    </w:p>
    <w:p>
      <w:pPr>
        <w:pStyle w:val="2"/>
      </w:pPr>
    </w:p>
    <w:p>
      <w:pPr>
        <w:pStyle w:val="34"/>
        <w:numPr>
          <w:ilvl w:val="0"/>
          <w:numId w:val="2"/>
        </w:numPr>
        <w:spacing w:line="600" w:lineRule="exact"/>
        <w:ind w:firstLineChars="0"/>
        <w:outlineLvl w:val="1"/>
        <w:rPr>
          <w:rStyle w:val="20"/>
          <w:rFonts w:ascii="黑体" w:hAnsi="黑体" w:eastAsia="黑体"/>
          <w:b w:val="0"/>
          <w:color w:val="auto"/>
          <w:highlight w:val="none"/>
        </w:rPr>
      </w:pPr>
      <w:bookmarkStart w:id="24" w:name="_Toc15377207"/>
      <w:bookmarkStart w:id="25" w:name="_Toc15396605"/>
      <w:bookmarkStart w:id="26" w:name="_Toc3820"/>
      <w:r>
        <w:rPr>
          <w:rFonts w:hint="eastAsia" w:ascii="黑体" w:hAnsi="黑体" w:eastAsia="黑体"/>
          <w:color w:val="auto"/>
          <w:sz w:val="32"/>
          <w:szCs w:val="32"/>
          <w:highlight w:val="none"/>
        </w:rPr>
        <w:t>支</w:t>
      </w:r>
      <w:r>
        <w:rPr>
          <w:rStyle w:val="20"/>
          <w:rFonts w:hint="eastAsia" w:ascii="黑体" w:hAnsi="黑体" w:eastAsia="黑体"/>
          <w:b w:val="0"/>
          <w:color w:val="auto"/>
          <w:highlight w:val="none"/>
        </w:rPr>
        <w:t>出决算情况说明</w:t>
      </w:r>
      <w:bookmarkEnd w:id="24"/>
      <w:bookmarkEnd w:id="25"/>
      <w:bookmarkEnd w:id="26"/>
    </w:p>
    <w:p>
      <w:pPr>
        <w:spacing w:line="600" w:lineRule="exact"/>
        <w:ind w:firstLine="640" w:firstLineChars="200"/>
        <w:outlineLvl w:val="1"/>
        <w:rPr>
          <w:rFonts w:ascii="仿宋" w:hAnsi="仿宋" w:eastAsia="仿宋"/>
          <w:color w:val="auto"/>
          <w:sz w:val="32"/>
          <w:szCs w:val="32"/>
          <w:highlight w:val="none"/>
        </w:rPr>
      </w:pPr>
      <w:bookmarkStart w:id="27" w:name="_Toc21603"/>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本年支出合计</w:t>
      </w:r>
      <w:r>
        <w:rPr>
          <w:rFonts w:hint="eastAsia" w:ascii="仿宋" w:hAnsi="仿宋" w:eastAsia="仿宋"/>
          <w:color w:val="auto"/>
          <w:sz w:val="32"/>
          <w:szCs w:val="32"/>
          <w:highlight w:val="none"/>
          <w:lang w:val="en-US" w:eastAsia="zh-CN"/>
        </w:rPr>
        <w:t>87.39</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67.04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76.7</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20.35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23.3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27"/>
    </w:p>
    <w:p>
      <w:pPr>
        <w:spacing w:line="600" w:lineRule="exact"/>
        <w:ind w:firstLine="640"/>
        <w:rPr>
          <w:rFonts w:ascii="仿宋" w:hAnsi="仿宋" w:eastAsia="仿宋"/>
          <w:color w:val="auto"/>
          <w:sz w:val="32"/>
          <w:szCs w:val="32"/>
          <w:highlight w:val="none"/>
          <w:shd w:val="pct10" w:color="auto" w:fill="FFFFFF"/>
        </w:rPr>
      </w:pPr>
    </w:p>
    <w:p>
      <w:pPr>
        <w:pStyle w:val="2"/>
        <w:rPr>
          <w:rFonts w:ascii="仿宋" w:hAnsi="仿宋" w:eastAsia="仿宋"/>
          <w:color w:val="auto"/>
          <w:sz w:val="32"/>
          <w:szCs w:val="32"/>
          <w:highlight w:val="none"/>
          <w:shd w:val="pct10" w:color="auto" w:fill="FFFFFF"/>
        </w:rPr>
      </w:pPr>
      <w:r>
        <w:drawing>
          <wp:inline distT="0" distB="0" distL="114300" distR="114300">
            <wp:extent cx="4823460" cy="2743200"/>
            <wp:effectExtent l="4445" t="4445" r="10795" b="14605"/>
            <wp:docPr id="12"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1600" w:firstLineChars="500"/>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pPr>
        <w:spacing w:line="600" w:lineRule="exact"/>
        <w:ind w:firstLine="640" w:firstLineChars="200"/>
        <w:outlineLvl w:val="1"/>
        <w:rPr>
          <w:rStyle w:val="20"/>
          <w:rFonts w:ascii="黑体" w:hAnsi="黑体" w:eastAsia="黑体"/>
          <w:b w:val="0"/>
          <w:color w:val="auto"/>
          <w:highlight w:val="none"/>
        </w:rPr>
      </w:pPr>
      <w:bookmarkStart w:id="28" w:name="_Toc3845"/>
      <w:bookmarkStart w:id="29" w:name="_Toc15396606"/>
      <w:bookmarkStart w:id="30" w:name="_Toc15377208"/>
      <w:r>
        <w:rPr>
          <w:rFonts w:hint="eastAsia" w:ascii="黑体" w:hAnsi="黑体" w:eastAsia="黑体"/>
          <w:color w:val="auto"/>
          <w:sz w:val="32"/>
          <w:szCs w:val="32"/>
          <w:highlight w:val="none"/>
        </w:rPr>
        <w:t>四、财</w:t>
      </w:r>
      <w:r>
        <w:rPr>
          <w:rStyle w:val="20"/>
          <w:rFonts w:hint="eastAsia" w:ascii="黑体" w:hAnsi="黑体" w:eastAsia="黑体"/>
          <w:b w:val="0"/>
          <w:color w:val="auto"/>
          <w:highlight w:val="none"/>
        </w:rPr>
        <w:t>政拨款收入支出决算总体情况说明</w:t>
      </w:r>
      <w:bookmarkEnd w:id="28"/>
      <w:bookmarkEnd w:id="29"/>
      <w:bookmarkEnd w:id="30"/>
    </w:p>
    <w:p>
      <w:pPr>
        <w:spacing w:line="600" w:lineRule="exact"/>
        <w:ind w:firstLine="64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财政拨款收、支总计</w:t>
      </w:r>
      <w:r>
        <w:rPr>
          <w:rFonts w:hint="eastAsia" w:ascii="仿宋" w:hAnsi="仿宋" w:eastAsia="仿宋"/>
          <w:color w:val="auto"/>
          <w:sz w:val="32"/>
          <w:szCs w:val="32"/>
          <w:highlight w:val="none"/>
          <w:lang w:val="en-US" w:eastAsia="zh-CN"/>
        </w:rPr>
        <w:t>87.39</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年相比，财政拨款收、支总计各</w:t>
      </w:r>
      <w:r>
        <w:rPr>
          <w:rFonts w:hint="eastAsia" w:ascii="仿宋" w:hAnsi="仿宋" w:eastAsia="仿宋"/>
          <w:color w:val="auto"/>
          <w:sz w:val="32"/>
          <w:szCs w:val="32"/>
          <w:highlight w:val="none"/>
          <w:lang w:eastAsia="zh-CN"/>
        </w:rPr>
        <w:t>增加</w:t>
      </w:r>
      <w:r>
        <w:rPr>
          <w:rFonts w:hint="eastAsia" w:ascii="仿宋" w:hAnsi="仿宋" w:eastAsia="仿宋"/>
          <w:color w:val="auto"/>
          <w:sz w:val="32"/>
          <w:szCs w:val="32"/>
          <w:highlight w:val="none"/>
          <w:lang w:val="en-US" w:eastAsia="zh-CN"/>
        </w:rPr>
        <w:t>2.28</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增加</w:t>
      </w:r>
      <w:r>
        <w:rPr>
          <w:rFonts w:hint="eastAsia" w:ascii="仿宋" w:hAnsi="仿宋" w:eastAsia="仿宋"/>
          <w:color w:val="auto"/>
          <w:sz w:val="32"/>
          <w:szCs w:val="32"/>
          <w:highlight w:val="none"/>
          <w:lang w:val="en-US" w:eastAsia="zh-CN"/>
        </w:rPr>
        <w:t>2.68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人员正常工资变动。</w:t>
      </w:r>
    </w:p>
    <w:p>
      <w:pPr>
        <w:spacing w:line="600" w:lineRule="exact"/>
        <w:rPr>
          <w:rFonts w:ascii="仿宋" w:hAnsi="仿宋" w:eastAsia="仿宋"/>
          <w:color w:val="auto"/>
          <w:sz w:val="32"/>
          <w:szCs w:val="32"/>
          <w:highlight w:val="none"/>
        </w:rPr>
      </w:pPr>
    </w:p>
    <w:p>
      <w:pPr>
        <w:pStyle w:val="2"/>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pict>
          <v:shape id="Object 3" o:spid="_x0000_s1026" o:spt="75" type="#_x0000_t75" style="position:absolute;left:0pt;margin-left:28.25pt;margin-top:-27.8pt;height:346.3pt;width:402.2pt;z-index:251659264;mso-width-relative:page;mso-height-relative:page;" o:ole="t" filled="f" o:preferrelative="t" stroked="f" coordsize="21600,21600">
            <v:path/>
            <v:fill on="f" focussize="0,0"/>
            <v:stroke on="f"/>
            <v:imagedata r:id="rId14" o:title=""/>
            <o:lock v:ext="edit" aspectratio="t"/>
          </v:shape>
          <o:OLEObject Type="Embed" ProgID="Excel.Chart.8" ShapeID="Object 3" DrawAspect="Content" ObjectID="_1468075726" r:id="rId13">
            <o:LockedField>false</o:LockedField>
          </o:OLEObject>
        </w:pict>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pPr>
        <w:spacing w:line="600" w:lineRule="exact"/>
        <w:ind w:firstLine="640"/>
        <w:rPr>
          <w:rFonts w:ascii="仿宋" w:hAnsi="仿宋" w:eastAsia="仿宋"/>
          <w:b/>
          <w:color w:val="auto"/>
          <w:sz w:val="32"/>
          <w:szCs w:val="32"/>
          <w:highlight w:val="none"/>
        </w:rPr>
      </w:pPr>
    </w:p>
    <w:p>
      <w:pPr>
        <w:pStyle w:val="2"/>
        <w:rPr>
          <w:rFonts w:ascii="仿宋" w:hAnsi="仿宋" w:eastAsia="仿宋"/>
          <w:b/>
          <w:color w:val="auto"/>
          <w:sz w:val="32"/>
          <w:szCs w:val="32"/>
          <w:highlight w:val="none"/>
        </w:rPr>
      </w:pPr>
    </w:p>
    <w:p>
      <w:pPr>
        <w:pStyle w:val="2"/>
        <w:rPr>
          <w:rFonts w:ascii="仿宋" w:hAnsi="仿宋" w:eastAsia="仿宋"/>
          <w:b/>
          <w:color w:val="auto"/>
          <w:sz w:val="32"/>
          <w:szCs w:val="32"/>
          <w:highlight w:val="none"/>
        </w:rPr>
      </w:pPr>
    </w:p>
    <w:p>
      <w:pPr>
        <w:pStyle w:val="2"/>
        <w:rPr>
          <w:rFonts w:ascii="仿宋" w:hAnsi="仿宋" w:eastAsia="仿宋"/>
          <w:b/>
          <w:color w:val="auto"/>
          <w:sz w:val="32"/>
          <w:szCs w:val="32"/>
          <w:highlight w:val="none"/>
        </w:rPr>
      </w:pPr>
    </w:p>
    <w:p>
      <w:pPr>
        <w:pStyle w:val="2"/>
        <w:rPr>
          <w:rFonts w:ascii="仿宋" w:hAnsi="仿宋" w:eastAsia="仿宋"/>
          <w:b/>
          <w:color w:val="auto"/>
          <w:sz w:val="32"/>
          <w:szCs w:val="32"/>
          <w:highlight w:val="none"/>
        </w:rPr>
      </w:pPr>
    </w:p>
    <w:p>
      <w:pPr>
        <w:pStyle w:val="2"/>
        <w:rPr>
          <w:rFonts w:ascii="仿宋" w:hAnsi="仿宋" w:eastAsia="仿宋"/>
          <w:b/>
          <w:color w:val="auto"/>
          <w:sz w:val="32"/>
          <w:szCs w:val="32"/>
          <w:highlight w:val="none"/>
        </w:rPr>
      </w:pPr>
    </w:p>
    <w:p>
      <w:pPr>
        <w:pStyle w:val="2"/>
        <w:rPr>
          <w:rFonts w:ascii="仿宋" w:hAnsi="仿宋" w:eastAsia="仿宋"/>
          <w:b/>
          <w:color w:val="auto"/>
          <w:sz w:val="32"/>
          <w:szCs w:val="32"/>
          <w:highlight w:val="none"/>
        </w:rPr>
      </w:pPr>
    </w:p>
    <w:p>
      <w:pPr>
        <w:pStyle w:val="2"/>
        <w:jc w:val="center"/>
        <w:rPr>
          <w:rFonts w:hint="eastAsia" w:ascii="仿宋" w:hAnsi="仿宋" w:eastAsia="仿宋"/>
          <w:b/>
          <w:color w:val="auto"/>
          <w:sz w:val="32"/>
          <w:szCs w:val="32"/>
          <w:highlight w:val="red"/>
          <w:lang w:val="en-US" w:eastAsia="zh-CN"/>
        </w:rPr>
      </w:pPr>
      <w:r>
        <w:rPr>
          <w:rFonts w:hint="eastAsia" w:ascii="仿宋" w:hAnsi="仿宋" w:eastAsia="仿宋"/>
          <w:color w:val="auto"/>
          <w:sz w:val="32"/>
          <w:szCs w:val="32"/>
          <w:highlight w:val="none"/>
          <w:lang w:val="en-US" w:eastAsia="zh-CN"/>
        </w:rPr>
        <w:t>(</w:t>
      </w:r>
      <w:r>
        <w:rPr>
          <w:rFonts w:hint="eastAsia" w:ascii="仿宋" w:hAnsi="仿宋" w:eastAsia="仿宋"/>
          <w:color w:val="auto"/>
          <w:sz w:val="32"/>
          <w:szCs w:val="32"/>
          <w:highlight w:val="none"/>
        </w:rPr>
        <w:t>图4：财政拨款收、支决算总计变动情况</w:t>
      </w:r>
      <w:r>
        <w:rPr>
          <w:rFonts w:hint="eastAsia" w:ascii="仿宋" w:hAnsi="仿宋" w:eastAsia="仿宋"/>
          <w:color w:val="auto"/>
          <w:sz w:val="32"/>
          <w:szCs w:val="32"/>
          <w:highlight w:val="none"/>
          <w:lang w:val="en-US" w:eastAsia="zh-CN"/>
        </w:rPr>
        <w:t>)</w:t>
      </w:r>
    </w:p>
    <w:p>
      <w:pPr>
        <w:spacing w:line="600" w:lineRule="exact"/>
        <w:ind w:firstLine="640" w:firstLineChars="200"/>
        <w:outlineLvl w:val="1"/>
        <w:rPr>
          <w:rStyle w:val="20"/>
          <w:rFonts w:ascii="黑体" w:hAnsi="黑体" w:eastAsia="黑体"/>
          <w:b w:val="0"/>
          <w:color w:val="auto"/>
          <w:highlight w:val="none"/>
        </w:rPr>
      </w:pPr>
      <w:bookmarkStart w:id="31" w:name="_Toc26045"/>
      <w:bookmarkStart w:id="32" w:name="_Toc15396607"/>
      <w:bookmarkStart w:id="33"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0"/>
          <w:rFonts w:hint="eastAsia" w:ascii="黑体" w:hAnsi="黑体" w:eastAsia="黑体"/>
          <w:b w:val="0"/>
          <w:color w:val="auto"/>
          <w:highlight w:val="none"/>
        </w:rPr>
        <w:t>般公共预算财政拨款支出决算情况说明</w:t>
      </w:r>
      <w:bookmarkEnd w:id="31"/>
      <w:bookmarkEnd w:id="32"/>
      <w:bookmarkEnd w:id="33"/>
    </w:p>
    <w:p>
      <w:pPr>
        <w:spacing w:line="600" w:lineRule="exact"/>
        <w:ind w:firstLine="642" w:firstLineChars="200"/>
        <w:outlineLvl w:val="2"/>
        <w:rPr>
          <w:rFonts w:ascii="仿宋" w:hAnsi="仿宋" w:eastAsia="仿宋"/>
          <w:b/>
          <w:color w:val="auto"/>
          <w:sz w:val="32"/>
          <w:szCs w:val="32"/>
          <w:highlight w:val="none"/>
        </w:rPr>
      </w:pPr>
      <w:bookmarkStart w:id="34" w:name="_Toc15377210"/>
      <w:r>
        <w:rPr>
          <w:rFonts w:hint="eastAsia" w:ascii="仿宋" w:hAnsi="仿宋" w:eastAsia="仿宋"/>
          <w:b/>
          <w:color w:val="auto"/>
          <w:sz w:val="32"/>
          <w:szCs w:val="32"/>
          <w:highlight w:val="none"/>
        </w:rPr>
        <w:t>（一）一般公共预算财政拨款支出决算总体情况</w:t>
      </w:r>
      <w:bookmarkEnd w:id="34"/>
    </w:p>
    <w:p>
      <w:pPr>
        <w:spacing w:line="600" w:lineRule="exact"/>
        <w:ind w:firstLine="640" w:firstLineChars="20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val="en-US" w:eastAsia="zh-CN"/>
        </w:rPr>
        <w:t>87.39</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相比，一般公共预算财政拨款</w:t>
      </w:r>
      <w:r>
        <w:rPr>
          <w:rFonts w:hint="eastAsia" w:ascii="仿宋" w:hAnsi="仿宋" w:eastAsia="仿宋"/>
          <w:color w:val="auto"/>
          <w:sz w:val="32"/>
          <w:szCs w:val="32"/>
          <w:highlight w:val="none"/>
          <w:lang w:eastAsia="zh-CN"/>
        </w:rPr>
        <w:t>支出增加</w:t>
      </w:r>
      <w:r>
        <w:rPr>
          <w:rFonts w:hint="eastAsia" w:ascii="仿宋" w:hAnsi="仿宋" w:eastAsia="仿宋"/>
          <w:color w:val="auto"/>
          <w:sz w:val="32"/>
          <w:szCs w:val="32"/>
          <w:highlight w:val="none"/>
          <w:lang w:val="en-US" w:eastAsia="zh-CN"/>
        </w:rPr>
        <w:t>2.28</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增长</w:t>
      </w:r>
      <w:r>
        <w:rPr>
          <w:rFonts w:hint="eastAsia" w:ascii="仿宋" w:hAnsi="仿宋" w:eastAsia="仿宋"/>
          <w:color w:val="auto"/>
          <w:sz w:val="32"/>
          <w:szCs w:val="32"/>
          <w:highlight w:val="none"/>
          <w:lang w:val="en-US" w:eastAsia="zh-CN"/>
        </w:rPr>
        <w:t>2.68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。主要变动原因是正常人员</w:t>
      </w:r>
      <w:r>
        <w:rPr>
          <w:rFonts w:hint="eastAsia" w:ascii="仿宋" w:hAnsi="仿宋" w:eastAsia="仿宋"/>
          <w:color w:val="auto"/>
          <w:sz w:val="32"/>
          <w:szCs w:val="32"/>
          <w:highlight w:val="none"/>
          <w:lang w:eastAsia="zh-CN"/>
        </w:rPr>
        <w:t>工作变动</w:t>
      </w:r>
      <w:r>
        <w:rPr>
          <w:rFonts w:hint="eastAsia" w:ascii="仿宋" w:hAnsi="仿宋" w:eastAsia="仿宋"/>
          <w:color w:val="auto"/>
          <w:sz w:val="32"/>
          <w:szCs w:val="32"/>
          <w:highlight w:val="none"/>
        </w:rPr>
        <w:t>。</w:t>
      </w:r>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pict>
          <v:shape id="_x0000_s1027" o:spid="_x0000_s1027" o:spt="75" type="#_x0000_t75" style="position:absolute;left:0pt;margin-left:23.55pt;margin-top:0.3pt;height:346.3pt;width:402.2pt;z-index:251660288;mso-width-relative:page;mso-height-relative:page;" o:ole="t" filled="f" o:preferrelative="t" stroked="f" coordsize="21600,21600">
            <v:path/>
            <v:fill on="f" focussize="0,0"/>
            <v:stroke on="f"/>
            <v:imagedata r:id="rId16" o:title=""/>
            <o:lock v:ext="edit" aspectratio="t"/>
          </v:shape>
          <o:OLEObject Type="Embed" ProgID="Excel.Chart.8" ShapeID="_x0000_s1027" DrawAspect="Content" ObjectID="_1468075727" r:id="rId15">
            <o:LockedField>false</o:LockedField>
          </o:OLEObject>
        </w:pict>
      </w: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pPr>
        <w:spacing w:line="600" w:lineRule="exact"/>
        <w:ind w:firstLine="642" w:firstLineChars="200"/>
        <w:outlineLvl w:val="2"/>
        <w:rPr>
          <w:rFonts w:hint="eastAsia" w:ascii="仿宋" w:hAnsi="仿宋" w:eastAsia="仿宋"/>
          <w:b/>
          <w:color w:val="auto"/>
          <w:sz w:val="32"/>
          <w:szCs w:val="32"/>
          <w:highlight w:val="none"/>
        </w:rPr>
      </w:pPr>
      <w:bookmarkStart w:id="35" w:name="_Toc15377211"/>
    </w:p>
    <w:p>
      <w:pPr>
        <w:spacing w:line="600" w:lineRule="exact"/>
        <w:ind w:firstLine="642" w:firstLineChars="200"/>
        <w:outlineLvl w:val="2"/>
        <w:rPr>
          <w:rFonts w:hint="eastAsia" w:ascii="仿宋" w:hAnsi="仿宋" w:eastAsia="仿宋"/>
          <w:b/>
          <w:color w:val="auto"/>
          <w:sz w:val="32"/>
          <w:szCs w:val="32"/>
          <w:highlight w:val="none"/>
        </w:rPr>
      </w:pPr>
    </w:p>
    <w:p>
      <w:pPr>
        <w:spacing w:line="600" w:lineRule="exact"/>
        <w:ind w:firstLine="642" w:firstLineChars="200"/>
        <w:outlineLvl w:val="2"/>
        <w:rPr>
          <w:rFonts w:hint="eastAsia" w:ascii="仿宋" w:hAnsi="仿宋" w:eastAsia="仿宋"/>
          <w:b/>
          <w:color w:val="auto"/>
          <w:sz w:val="32"/>
          <w:szCs w:val="32"/>
          <w:highlight w:val="none"/>
        </w:rPr>
      </w:pPr>
    </w:p>
    <w:p>
      <w:pPr>
        <w:spacing w:line="600" w:lineRule="exact"/>
        <w:ind w:firstLine="642" w:firstLineChars="200"/>
        <w:outlineLvl w:val="2"/>
        <w:rPr>
          <w:rFonts w:hint="eastAsia" w:ascii="仿宋" w:hAnsi="仿宋" w:eastAsia="仿宋"/>
          <w:b/>
          <w:color w:val="auto"/>
          <w:sz w:val="32"/>
          <w:szCs w:val="32"/>
          <w:highlight w:val="none"/>
        </w:rPr>
      </w:pPr>
    </w:p>
    <w:p>
      <w:pPr>
        <w:spacing w:line="600" w:lineRule="exact"/>
        <w:ind w:firstLine="960" w:firstLineChars="300"/>
        <w:rPr>
          <w:rFonts w:hint="eastAsia" w:ascii="仿宋" w:hAnsi="仿宋" w:eastAsia="仿宋"/>
          <w:color w:val="auto"/>
          <w:sz w:val="32"/>
          <w:szCs w:val="32"/>
          <w:highlight w:val="none"/>
        </w:rPr>
      </w:pPr>
    </w:p>
    <w:p>
      <w:pPr>
        <w:spacing w:line="600" w:lineRule="exact"/>
        <w:ind w:firstLine="960" w:firstLineChars="3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pPr>
        <w:spacing w:line="600" w:lineRule="exact"/>
        <w:ind w:firstLine="642"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（二）一般公共预算财政拨款支出决算结构情况</w:t>
      </w:r>
      <w:bookmarkEnd w:id="35"/>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val="en-US" w:eastAsia="zh-CN"/>
        </w:rPr>
        <w:t>87.39</w:t>
      </w:r>
      <w:r>
        <w:rPr>
          <w:rFonts w:hint="eastAsia" w:ascii="仿宋" w:hAnsi="仿宋" w:eastAsia="仿宋"/>
          <w:color w:val="auto"/>
          <w:sz w:val="32"/>
          <w:szCs w:val="32"/>
          <w:highlight w:val="none"/>
        </w:rPr>
        <w:t>万元，主要用于以下方面</w:t>
      </w:r>
      <w:r>
        <w:rPr>
          <w:rFonts w:hint="eastAsia" w:ascii="仿宋" w:hAnsi="仿宋" w:eastAsia="仿宋"/>
          <w:color w:val="auto"/>
          <w:sz w:val="32"/>
          <w:szCs w:val="32"/>
          <w:highlight w:val="none"/>
          <w:lang w:eastAsia="zh-CN"/>
        </w:rPr>
        <w:t>：</w:t>
      </w:r>
      <w:r>
        <w:rPr>
          <w:rFonts w:hint="eastAsia" w:ascii="仿宋" w:hAnsi="仿宋" w:eastAsia="仿宋"/>
          <w:b/>
          <w:color w:val="auto"/>
          <w:sz w:val="32"/>
          <w:szCs w:val="32"/>
          <w:highlight w:val="none"/>
        </w:rPr>
        <w:t>一般公共服务</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74.93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85.7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5.74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 xml:space="preserve">6.6 </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1.91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4.81</w:t>
      </w:r>
      <w:r>
        <w:rPr>
          <w:rFonts w:hint="eastAsia" w:ascii="仿宋" w:hAnsi="仿宋" w:eastAsia="仿宋"/>
          <w:color w:val="auto"/>
          <w:sz w:val="32"/>
          <w:szCs w:val="32"/>
          <w:highlight w:val="none"/>
        </w:rPr>
        <w:t>元，占</w:t>
      </w:r>
      <w:r>
        <w:rPr>
          <w:rFonts w:hint="eastAsia" w:ascii="仿宋" w:hAnsi="仿宋" w:eastAsia="仿宋"/>
          <w:color w:val="auto"/>
          <w:sz w:val="32"/>
          <w:szCs w:val="32"/>
          <w:highlight w:val="none"/>
          <w:lang w:val="en-US" w:eastAsia="zh-CN"/>
        </w:rPr>
        <w:t>5.5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rPr>
          <w:rFonts w:ascii="仿宋" w:hAnsi="仿宋" w:eastAsia="仿宋"/>
          <w:color w:val="auto"/>
          <w:sz w:val="32"/>
          <w:szCs w:val="32"/>
          <w:highlight w:val="none"/>
        </w:rPr>
      </w:pPr>
    </w:p>
    <w:p>
      <w:pPr>
        <w:pStyle w:val="2"/>
        <w:rPr>
          <w:rFonts w:ascii="仿宋" w:hAnsi="仿宋" w:eastAsia="仿宋"/>
          <w:color w:val="auto"/>
          <w:sz w:val="32"/>
          <w:szCs w:val="32"/>
          <w:highlight w:val="none"/>
        </w:rPr>
      </w:pPr>
      <w:r>
        <w:drawing>
          <wp:inline distT="0" distB="0" distL="114300" distR="114300">
            <wp:extent cx="4866005" cy="2488565"/>
            <wp:effectExtent l="4445" t="5080" r="6350" b="20955"/>
            <wp:docPr id="14"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spacing w:line="600" w:lineRule="exact"/>
        <w:rPr>
          <w:rFonts w:hint="eastAsia" w:ascii="仿宋" w:hAnsi="仿宋" w:eastAsia="仿宋"/>
          <w:color w:val="auto"/>
          <w:sz w:val="32"/>
          <w:szCs w:val="32"/>
          <w:highlight w:val="none"/>
        </w:rPr>
      </w:pP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pPr>
        <w:keepNext w:val="0"/>
        <w:keepLines w:val="0"/>
        <w:pageBreakBefore w:val="0"/>
        <w:widowControl w:val="0"/>
        <w:kinsoku/>
        <w:wordWrap/>
        <w:overflowPunct/>
        <w:topLinePunct w:val="0"/>
        <w:autoSpaceDE/>
        <w:autoSpaceDN/>
        <w:bidi w:val="0"/>
        <w:snapToGrid/>
        <w:spacing w:line="600" w:lineRule="exact"/>
        <w:ind w:firstLine="642" w:firstLineChars="200"/>
        <w:jc w:val="both"/>
        <w:textAlignment w:val="auto"/>
        <w:outlineLvl w:val="2"/>
        <w:rPr>
          <w:rFonts w:ascii="仿宋" w:hAnsi="仿宋" w:eastAsia="仿宋"/>
          <w:b/>
          <w:color w:val="auto"/>
          <w:sz w:val="32"/>
          <w:szCs w:val="32"/>
          <w:highlight w:val="none"/>
        </w:rPr>
      </w:pPr>
      <w:bookmarkStart w:id="36" w:name="_Toc15377212"/>
      <w:r>
        <w:rPr>
          <w:rFonts w:hint="eastAsia" w:ascii="仿宋" w:hAnsi="仿宋" w:eastAsia="仿宋"/>
          <w:b/>
          <w:color w:val="auto"/>
          <w:sz w:val="32"/>
          <w:szCs w:val="32"/>
          <w:highlight w:val="none"/>
        </w:rPr>
        <w:t>（三）一般公共预算财政拨款支出决算具体情况</w:t>
      </w:r>
      <w:bookmarkEnd w:id="36"/>
    </w:p>
    <w:p>
      <w:pPr>
        <w:keepNext w:val="0"/>
        <w:keepLines w:val="0"/>
        <w:pageBreakBefore w:val="0"/>
        <w:widowControl w:val="0"/>
        <w:kinsoku/>
        <w:wordWrap/>
        <w:overflowPunct/>
        <w:topLinePunct w:val="0"/>
        <w:autoSpaceDE/>
        <w:autoSpaceDN/>
        <w:bidi w:val="0"/>
        <w:snapToGrid/>
        <w:spacing w:line="600" w:lineRule="exact"/>
        <w:ind w:firstLine="642" w:firstLineChars="200"/>
        <w:jc w:val="both"/>
        <w:textAlignment w:val="auto"/>
        <w:outlineLvl w:val="1"/>
        <w:rPr>
          <w:rFonts w:ascii="仿宋" w:hAnsi="仿宋" w:eastAsia="仿宋"/>
          <w:color w:val="auto"/>
          <w:sz w:val="32"/>
          <w:szCs w:val="32"/>
          <w:highlight w:val="none"/>
        </w:rPr>
      </w:pPr>
      <w:bookmarkStart w:id="37" w:name="_Toc15377444"/>
      <w:bookmarkStart w:id="38" w:name="_Toc5804"/>
      <w:bookmarkStart w:id="39" w:name="_Toc15378460"/>
      <w:bookmarkStart w:id="40" w:name="_Toc15377213"/>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24</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度一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87.39</w:t>
      </w:r>
      <w:r>
        <w:rPr>
          <w:rFonts w:hint="eastAsia" w:ascii="仿宋" w:hAnsi="仿宋" w:eastAsia="仿宋"/>
          <w:color w:val="auto"/>
          <w:sz w:val="32"/>
          <w:szCs w:val="32"/>
          <w:highlight w:val="none"/>
        </w:rPr>
        <w:t>，</w:t>
      </w:r>
      <w:r>
        <w:rPr>
          <w:rStyle w:val="18"/>
          <w:rFonts w:hint="eastAsia" w:ascii="仿宋" w:hAnsi="仿宋" w:eastAsia="仿宋"/>
          <w:bCs/>
          <w:color w:val="auto"/>
          <w:sz w:val="32"/>
          <w:szCs w:val="32"/>
          <w:highlight w:val="none"/>
        </w:rPr>
        <w:t>完成预算</w:t>
      </w:r>
      <w:r>
        <w:rPr>
          <w:rStyle w:val="18"/>
          <w:rFonts w:hint="eastAsia" w:ascii="仿宋" w:hAnsi="仿宋" w:eastAsia="仿宋"/>
          <w:bCs/>
          <w:color w:val="auto"/>
          <w:sz w:val="32"/>
          <w:szCs w:val="32"/>
          <w:highlight w:val="none"/>
          <w:lang w:val="en-US" w:eastAsia="zh-CN"/>
        </w:rPr>
        <w:t>100</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。其中：</w:t>
      </w:r>
      <w:bookmarkEnd w:id="37"/>
      <w:bookmarkEnd w:id="38"/>
      <w:bookmarkEnd w:id="39"/>
      <w:bookmarkEnd w:id="40"/>
    </w:p>
    <w:p>
      <w:pPr>
        <w:keepNext w:val="0"/>
        <w:keepLines w:val="0"/>
        <w:pageBreakBefore w:val="0"/>
        <w:widowControl w:val="0"/>
        <w:kinsoku/>
        <w:wordWrap/>
        <w:overflowPunct/>
        <w:topLinePunct w:val="0"/>
        <w:autoSpaceDE/>
        <w:autoSpaceDN/>
        <w:bidi w:val="0"/>
        <w:snapToGrid/>
        <w:spacing w:line="600" w:lineRule="exact"/>
        <w:ind w:firstLine="642" w:firstLineChars="200"/>
        <w:jc w:val="both"/>
        <w:textAlignment w:val="auto"/>
        <w:rPr>
          <w:rFonts w:hint="eastAsia" w:ascii="仿宋" w:hAnsi="仿宋" w:eastAsia="仿宋"/>
          <w:b/>
          <w:color w:val="auto"/>
          <w:sz w:val="32"/>
          <w:szCs w:val="32"/>
          <w:highlight w:val="none"/>
          <w:lang w:val="en-US" w:eastAsia="zh-CN"/>
        </w:rPr>
      </w:pPr>
      <w:r>
        <w:rPr>
          <w:rStyle w:val="18"/>
          <w:rFonts w:ascii="仿宋" w:hAnsi="仿宋" w:eastAsia="仿宋"/>
          <w:bCs/>
          <w:color w:val="auto"/>
          <w:sz w:val="32"/>
          <w:szCs w:val="32"/>
          <w:highlight w:val="none"/>
        </w:rPr>
        <w:t>1.</w:t>
      </w:r>
      <w:r>
        <w:rPr>
          <w:rStyle w:val="18"/>
          <w:rFonts w:hint="eastAsia" w:ascii="仿宋" w:hAnsi="仿宋" w:eastAsia="仿宋"/>
          <w:bCs/>
          <w:color w:val="auto"/>
          <w:sz w:val="32"/>
          <w:szCs w:val="32"/>
          <w:highlight w:val="none"/>
        </w:rPr>
        <w:t>一般公共服务（类）民主党派及工商联事务（款）  行政运行（项）</w:t>
      </w:r>
      <w:r>
        <w:rPr>
          <w:rStyle w:val="18"/>
          <w:rFonts w:hint="eastAsia" w:ascii="仿宋" w:hAnsi="仿宋" w:eastAsia="仿宋"/>
          <w:bCs/>
          <w:color w:val="auto"/>
          <w:sz w:val="32"/>
          <w:szCs w:val="32"/>
          <w:highlight w:val="none"/>
          <w:lang w:eastAsia="zh-CN"/>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54.58</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p>
    <w:p>
      <w:pPr>
        <w:keepNext w:val="0"/>
        <w:keepLines w:val="0"/>
        <w:pageBreakBefore w:val="0"/>
        <w:widowControl w:val="0"/>
        <w:kinsoku/>
        <w:wordWrap/>
        <w:overflowPunct/>
        <w:topLinePunct w:val="0"/>
        <w:autoSpaceDE/>
        <w:autoSpaceDN/>
        <w:bidi w:val="0"/>
        <w:snapToGrid/>
        <w:spacing w:line="600" w:lineRule="exact"/>
        <w:ind w:firstLine="642" w:firstLineChars="200"/>
        <w:jc w:val="both"/>
        <w:textAlignment w:val="auto"/>
        <w:rPr>
          <w:rStyle w:val="18"/>
          <w:rFonts w:ascii="仿宋" w:hAnsi="仿宋" w:eastAsia="仿宋"/>
          <w:bCs/>
          <w:color w:val="auto"/>
          <w:sz w:val="32"/>
          <w:szCs w:val="32"/>
          <w:highlight w:val="none"/>
        </w:rPr>
      </w:pPr>
      <w:r>
        <w:rPr>
          <w:rStyle w:val="18"/>
          <w:rFonts w:ascii="仿宋" w:hAnsi="仿宋" w:eastAsia="仿宋"/>
          <w:bCs/>
          <w:color w:val="auto"/>
          <w:sz w:val="32"/>
          <w:szCs w:val="32"/>
          <w:highlight w:val="none"/>
        </w:rPr>
        <w:t>2.</w:t>
      </w:r>
      <w:r>
        <w:rPr>
          <w:rStyle w:val="18"/>
          <w:rFonts w:hint="eastAsia" w:ascii="仿宋" w:hAnsi="仿宋" w:eastAsia="仿宋"/>
          <w:bCs/>
          <w:color w:val="auto"/>
          <w:sz w:val="32"/>
          <w:szCs w:val="32"/>
          <w:highlight w:val="none"/>
        </w:rPr>
        <w:t>一般公共服务（类）民主党派及工商联事务（款）    一般行政管理事务（项）</w:t>
      </w:r>
      <w:r>
        <w:rPr>
          <w:rStyle w:val="18"/>
          <w:rFonts w:hint="eastAsia" w:ascii="仿宋" w:hAnsi="仿宋" w:eastAsia="仿宋"/>
          <w:bCs/>
          <w:color w:val="auto"/>
          <w:sz w:val="32"/>
          <w:szCs w:val="32"/>
          <w:highlight w:val="none"/>
          <w:lang w:eastAsia="zh-CN"/>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20</w:t>
      </w:r>
      <w:r>
        <w:rPr>
          <w:rStyle w:val="18"/>
          <w:rFonts w:hint="eastAsia"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val="en-US" w:eastAsia="zh-CN"/>
        </w:rPr>
        <w:t>35</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p>
    <w:p>
      <w:pPr>
        <w:keepNext w:val="0"/>
        <w:keepLines w:val="0"/>
        <w:pageBreakBefore w:val="0"/>
        <w:widowControl w:val="0"/>
        <w:kinsoku/>
        <w:wordWrap/>
        <w:overflowPunct/>
        <w:topLinePunct w:val="0"/>
        <w:autoSpaceDE/>
        <w:autoSpaceDN/>
        <w:bidi w:val="0"/>
        <w:snapToGrid/>
        <w:spacing w:line="600" w:lineRule="exact"/>
        <w:ind w:firstLine="642" w:firstLineChars="200"/>
        <w:jc w:val="both"/>
        <w:textAlignment w:val="auto"/>
        <w:rPr>
          <w:rFonts w:ascii="仿宋" w:hAnsi="仿宋" w:eastAsia="仿宋"/>
          <w:b/>
          <w:color w:val="auto"/>
          <w:sz w:val="32"/>
          <w:szCs w:val="32"/>
          <w:highlight w:val="none"/>
        </w:rPr>
      </w:pPr>
      <w:r>
        <w:rPr>
          <w:rStyle w:val="18"/>
          <w:rFonts w:ascii="仿宋" w:hAnsi="仿宋" w:eastAsia="仿宋"/>
          <w:bCs/>
          <w:color w:val="auto"/>
          <w:sz w:val="32"/>
          <w:szCs w:val="32"/>
          <w:highlight w:val="none"/>
        </w:rPr>
        <w:t>3.</w:t>
      </w:r>
      <w:r>
        <w:rPr>
          <w:rStyle w:val="18"/>
          <w:rFonts w:hint="eastAsia" w:ascii="仿宋" w:hAnsi="仿宋" w:eastAsia="仿宋"/>
          <w:bCs/>
          <w:color w:val="auto"/>
          <w:sz w:val="32"/>
          <w:szCs w:val="32"/>
          <w:highlight w:val="none"/>
        </w:rPr>
        <w:t>社会保障和就业支出（类）行政事业单位养老支出（款）机关事业单位基本养老保险缴费支出（项）</w:t>
      </w:r>
      <w:r>
        <w:rPr>
          <w:rStyle w:val="18"/>
          <w:rFonts w:hint="eastAsia" w:ascii="仿宋" w:hAnsi="仿宋" w:eastAsia="仿宋"/>
          <w:bCs/>
          <w:color w:val="auto"/>
          <w:sz w:val="32"/>
          <w:szCs w:val="32"/>
          <w:highlight w:val="none"/>
          <w:lang w:eastAsia="zh-CN"/>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5.74</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keepNext w:val="0"/>
        <w:keepLines w:val="0"/>
        <w:pageBreakBefore w:val="0"/>
        <w:widowControl w:val="0"/>
        <w:kinsoku/>
        <w:wordWrap/>
        <w:overflowPunct/>
        <w:topLinePunct w:val="0"/>
        <w:autoSpaceDE/>
        <w:autoSpaceDN/>
        <w:bidi w:val="0"/>
        <w:snapToGrid/>
        <w:spacing w:line="600" w:lineRule="exact"/>
        <w:ind w:firstLine="642" w:firstLineChars="200"/>
        <w:jc w:val="both"/>
        <w:textAlignment w:val="auto"/>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lang w:val="en-US" w:eastAsia="zh-CN"/>
        </w:rPr>
        <w:t>4</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卫生健康支出（类）行政事业单位医疗（款）  行政单位医疗（项）</w:t>
      </w:r>
      <w:r>
        <w:rPr>
          <w:rStyle w:val="18"/>
          <w:rFonts w:hint="eastAsia" w:ascii="仿宋" w:hAnsi="仿宋" w:eastAsia="仿宋"/>
          <w:bCs/>
          <w:color w:val="auto"/>
          <w:sz w:val="32"/>
          <w:szCs w:val="32"/>
          <w:highlight w:val="none"/>
          <w:lang w:eastAsia="zh-CN"/>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1.91</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keepNext w:val="0"/>
        <w:keepLines w:val="0"/>
        <w:pageBreakBefore w:val="0"/>
        <w:widowControl w:val="0"/>
        <w:kinsoku/>
        <w:wordWrap/>
        <w:overflowPunct/>
        <w:topLinePunct w:val="0"/>
        <w:autoSpaceDE/>
        <w:autoSpaceDN/>
        <w:bidi w:val="0"/>
        <w:snapToGrid/>
        <w:spacing w:line="600" w:lineRule="exact"/>
        <w:ind w:firstLine="642" w:firstLineChars="200"/>
        <w:jc w:val="both"/>
        <w:textAlignment w:val="auto"/>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lang w:val="en-US" w:eastAsia="zh-CN"/>
        </w:rPr>
        <w:t>5</w:t>
      </w:r>
      <w:r>
        <w:rPr>
          <w:rStyle w:val="18"/>
          <w:rFonts w:ascii="仿宋" w:hAnsi="仿宋" w:eastAsia="仿宋"/>
          <w:bCs/>
          <w:color w:val="auto"/>
          <w:sz w:val="32"/>
          <w:szCs w:val="32"/>
          <w:highlight w:val="none"/>
        </w:rPr>
        <w:t>.</w:t>
      </w:r>
      <w:r>
        <w:rPr>
          <w:rFonts w:hint="eastAsia" w:ascii="仿宋" w:hAnsi="仿宋" w:eastAsia="仿宋"/>
          <w:b/>
          <w:bCs/>
          <w:color w:val="auto"/>
          <w:sz w:val="32"/>
          <w:szCs w:val="32"/>
          <w:highlight w:val="none"/>
        </w:rPr>
        <w:t>住房保障支出</w:t>
      </w:r>
      <w:r>
        <w:rPr>
          <w:rStyle w:val="18"/>
          <w:rFonts w:hint="eastAsia" w:ascii="仿宋" w:hAnsi="仿宋" w:eastAsia="仿宋"/>
          <w:bCs/>
          <w:color w:val="auto"/>
          <w:sz w:val="32"/>
          <w:szCs w:val="32"/>
          <w:highlight w:val="none"/>
        </w:rPr>
        <w:t>（类）住房改革支出（款）  住房公积金（项）</w:t>
      </w:r>
      <w:r>
        <w:rPr>
          <w:rStyle w:val="18"/>
          <w:rFonts w:hint="eastAsia" w:ascii="仿宋" w:hAnsi="仿宋" w:eastAsia="仿宋"/>
          <w:bCs/>
          <w:color w:val="auto"/>
          <w:sz w:val="32"/>
          <w:szCs w:val="32"/>
          <w:highlight w:val="none"/>
          <w:lang w:eastAsia="zh-CN"/>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4.81</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keepNext w:val="0"/>
        <w:keepLines w:val="0"/>
        <w:pageBreakBefore w:val="0"/>
        <w:widowControl w:val="0"/>
        <w:tabs>
          <w:tab w:val="right" w:pos="8306"/>
        </w:tabs>
        <w:kinsoku/>
        <w:wordWrap/>
        <w:overflowPunct/>
        <w:topLinePunct w:val="0"/>
        <w:autoSpaceDE/>
        <w:autoSpaceDN/>
        <w:bidi w:val="0"/>
        <w:snapToGrid/>
        <w:spacing w:line="600" w:lineRule="exact"/>
        <w:ind w:firstLine="640"/>
        <w:jc w:val="both"/>
        <w:textAlignment w:val="auto"/>
        <w:outlineLvl w:val="1"/>
        <w:rPr>
          <w:rStyle w:val="20"/>
          <w:color w:val="auto"/>
          <w:highlight w:val="none"/>
        </w:rPr>
      </w:pPr>
      <w:bookmarkStart w:id="41" w:name="_Toc18890"/>
      <w:bookmarkStart w:id="42" w:name="_Toc15377214"/>
      <w:bookmarkStart w:id="43"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0"/>
          <w:rFonts w:hint="eastAsia" w:ascii="黑体" w:hAnsi="黑体" w:eastAsia="黑体"/>
          <w:b w:val="0"/>
          <w:color w:val="auto"/>
          <w:highlight w:val="none"/>
        </w:rPr>
        <w:t>般公共预算财政拨款基本支出决算情况说明</w:t>
      </w:r>
      <w:bookmarkEnd w:id="41"/>
      <w:bookmarkEnd w:id="42"/>
      <w:bookmarkEnd w:id="43"/>
      <w:r>
        <w:rPr>
          <w:rStyle w:val="20"/>
          <w:rFonts w:ascii="黑体" w:hAnsi="黑体" w:eastAsia="黑体"/>
          <w:b w:val="0"/>
          <w:color w:val="auto"/>
          <w:highlight w:val="none"/>
        </w:rPr>
        <w:tab/>
      </w:r>
    </w:p>
    <w:p>
      <w:pPr>
        <w:keepNext w:val="0"/>
        <w:keepLines w:val="0"/>
        <w:pageBreakBefore w:val="0"/>
        <w:widowControl w:val="0"/>
        <w:kinsoku/>
        <w:wordWrap/>
        <w:overflowPunct/>
        <w:topLinePunct w:val="0"/>
        <w:autoSpaceDE/>
        <w:autoSpaceDN/>
        <w:bidi w:val="0"/>
        <w:snapToGrid/>
        <w:spacing w:line="600" w:lineRule="exact"/>
        <w:ind w:firstLine="645"/>
        <w:jc w:val="both"/>
        <w:textAlignment w:val="auto"/>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67.04</w:t>
      </w:r>
      <w:r>
        <w:rPr>
          <w:rFonts w:hint="eastAsia" w:ascii="仿宋" w:hAnsi="仿宋" w:eastAsia="仿宋"/>
          <w:color w:val="auto"/>
          <w:sz w:val="32"/>
          <w:szCs w:val="32"/>
          <w:highlight w:val="none"/>
        </w:rPr>
        <w:t>万元，其中：</w:t>
      </w:r>
    </w:p>
    <w:p>
      <w:pPr>
        <w:keepNext w:val="0"/>
        <w:keepLines w:val="0"/>
        <w:pageBreakBefore w:val="0"/>
        <w:widowControl w:val="0"/>
        <w:kinsoku/>
        <w:wordWrap/>
        <w:overflowPunct/>
        <w:topLinePunct w:val="0"/>
        <w:autoSpaceDE/>
        <w:autoSpaceDN/>
        <w:bidi w:val="0"/>
        <w:snapToGrid/>
        <w:spacing w:line="600" w:lineRule="exact"/>
        <w:ind w:firstLine="645"/>
        <w:jc w:val="both"/>
        <w:textAlignment w:val="auto"/>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58.23</w:t>
      </w:r>
      <w:r>
        <w:rPr>
          <w:rFonts w:hint="eastAsia" w:ascii="仿宋" w:hAnsi="仿宋" w:eastAsia="仿宋"/>
          <w:color w:val="auto"/>
          <w:sz w:val="32"/>
          <w:szCs w:val="32"/>
          <w:highlight w:val="none"/>
        </w:rPr>
        <w:t>万元，主要包括：基本工资、津贴补贴、奖金、机关事业单位基本养老保险缴费、职工基本医疗保险缴费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住房公积金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生活补助。</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8.82</w:t>
      </w:r>
      <w:r>
        <w:rPr>
          <w:rFonts w:hint="eastAsia" w:ascii="仿宋" w:hAnsi="仿宋" w:eastAsia="仿宋"/>
          <w:color w:val="auto"/>
          <w:sz w:val="32"/>
          <w:szCs w:val="32"/>
          <w:highlight w:val="none"/>
        </w:rPr>
        <w:t>万元，主要包括：办公费、水费、电费、邮电费、物业管理费、差旅费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工会经费、福利费、其他交通费</w:t>
      </w:r>
      <w:r>
        <w:rPr>
          <w:rFonts w:hint="eastAsia" w:ascii="仿宋" w:hAnsi="仿宋" w:eastAsia="仿宋"/>
          <w:color w:val="auto"/>
          <w:sz w:val="32"/>
          <w:szCs w:val="32"/>
          <w:highlight w:val="none"/>
          <w:lang w:val="en-US" w:eastAsia="zh-CN"/>
        </w:rPr>
        <w:t>用、其他商品和服务支出</w:t>
      </w:r>
      <w:r>
        <w:rPr>
          <w:rFonts w:hint="eastAsia" w:ascii="仿宋" w:hAnsi="仿宋" w:eastAsia="仿宋"/>
          <w:color w:val="auto"/>
          <w:sz w:val="32"/>
          <w:szCs w:val="32"/>
          <w:highlight w:val="none"/>
        </w:rPr>
        <w:t>。</w:t>
      </w:r>
    </w:p>
    <w:p>
      <w:pPr>
        <w:keepNext w:val="0"/>
        <w:keepLines w:val="0"/>
        <w:pageBreakBefore w:val="0"/>
        <w:widowControl w:val="0"/>
        <w:kinsoku/>
        <w:wordWrap/>
        <w:overflowPunct/>
        <w:topLinePunct w:val="0"/>
        <w:autoSpaceDE/>
        <w:autoSpaceDN/>
        <w:bidi w:val="0"/>
        <w:snapToGrid/>
        <w:spacing w:line="600" w:lineRule="exact"/>
        <w:ind w:firstLine="640"/>
        <w:jc w:val="both"/>
        <w:textAlignment w:val="auto"/>
        <w:outlineLvl w:val="1"/>
        <w:rPr>
          <w:rStyle w:val="20"/>
          <w:rFonts w:ascii="黑体" w:hAnsi="黑体" w:eastAsia="黑体"/>
          <w:b w:val="0"/>
          <w:color w:val="auto"/>
          <w:highlight w:val="none"/>
        </w:rPr>
      </w:pPr>
      <w:bookmarkStart w:id="44" w:name="_Toc15377215"/>
      <w:bookmarkStart w:id="45" w:name="_Toc15396609"/>
      <w:bookmarkStart w:id="46" w:name="_Toc28451"/>
      <w:r>
        <w:rPr>
          <w:rFonts w:hint="eastAsia" w:ascii="黑体" w:eastAsia="黑体"/>
          <w:color w:val="auto"/>
          <w:sz w:val="32"/>
          <w:szCs w:val="32"/>
          <w:highlight w:val="none"/>
        </w:rPr>
        <w:t>七、</w:t>
      </w:r>
      <w:r>
        <w:rPr>
          <w:rStyle w:val="20"/>
          <w:rFonts w:hint="eastAsia" w:ascii="黑体" w:hAnsi="黑体" w:eastAsia="黑体"/>
          <w:b w:val="0"/>
          <w:color w:val="auto"/>
          <w:highlight w:val="none"/>
        </w:rPr>
        <w:t>财政拨款</w:t>
      </w:r>
      <w:r>
        <w:rPr>
          <w:rStyle w:val="20"/>
          <w:rFonts w:hint="eastAsia" w:ascii="黑体" w:hAnsi="黑体" w:eastAsia="黑体"/>
          <w:color w:val="auto"/>
          <w:highlight w:val="none"/>
        </w:rPr>
        <w:t>“</w:t>
      </w:r>
      <w:r>
        <w:rPr>
          <w:rStyle w:val="20"/>
          <w:rFonts w:hint="eastAsia" w:ascii="黑体" w:hAnsi="黑体" w:eastAsia="黑体"/>
          <w:b w:val="0"/>
          <w:color w:val="auto"/>
          <w:highlight w:val="none"/>
        </w:rPr>
        <w:t>三公”经费支出决算情况说明</w:t>
      </w:r>
      <w:bookmarkEnd w:id="44"/>
      <w:bookmarkEnd w:id="45"/>
      <w:bookmarkEnd w:id="46"/>
    </w:p>
    <w:p>
      <w:pPr>
        <w:keepNext w:val="0"/>
        <w:keepLines w:val="0"/>
        <w:pageBreakBefore w:val="0"/>
        <w:widowControl w:val="0"/>
        <w:kinsoku/>
        <w:wordWrap/>
        <w:overflowPunct/>
        <w:topLinePunct w:val="0"/>
        <w:autoSpaceDE/>
        <w:autoSpaceDN/>
        <w:bidi w:val="0"/>
        <w:snapToGrid/>
        <w:spacing w:line="600" w:lineRule="exact"/>
        <w:ind w:firstLine="640"/>
        <w:jc w:val="both"/>
        <w:textAlignment w:val="auto"/>
        <w:outlineLvl w:val="2"/>
        <w:rPr>
          <w:rFonts w:ascii="仿宋" w:hAnsi="仿宋" w:eastAsia="仿宋"/>
          <w:b/>
          <w:color w:val="auto"/>
          <w:sz w:val="32"/>
          <w:szCs w:val="32"/>
          <w:highlight w:val="none"/>
        </w:rPr>
      </w:pPr>
      <w:bookmarkStart w:id="47" w:name="_Toc15377216"/>
      <w:r>
        <w:rPr>
          <w:rFonts w:hint="eastAsia" w:ascii="仿宋" w:hAnsi="仿宋" w:eastAsia="仿宋"/>
          <w:b/>
          <w:color w:val="auto"/>
          <w:sz w:val="32"/>
          <w:szCs w:val="32"/>
          <w:highlight w:val="none"/>
        </w:rPr>
        <w:t>（一）“三公”经费财政拨款支出决算总体情况说明</w:t>
      </w:r>
      <w:bookmarkEnd w:id="47"/>
    </w:p>
    <w:p>
      <w:pPr>
        <w:keepNext w:val="0"/>
        <w:keepLines w:val="0"/>
        <w:pageBreakBefore w:val="0"/>
        <w:widowControl w:val="0"/>
        <w:kinsoku/>
        <w:wordWrap/>
        <w:overflowPunct/>
        <w:topLinePunct w:val="0"/>
        <w:autoSpaceDE/>
        <w:autoSpaceDN/>
        <w:bidi w:val="0"/>
        <w:snapToGrid/>
        <w:spacing w:line="600" w:lineRule="exact"/>
        <w:ind w:firstLine="640"/>
        <w:jc w:val="both"/>
        <w:textAlignment w:val="auto"/>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未安排“三公”经费预算。“三公”经费较上年</w:t>
      </w:r>
      <w:r>
        <w:rPr>
          <w:rFonts w:hint="eastAsia" w:ascii="仿宋" w:hAnsi="仿宋" w:eastAsia="仿宋"/>
          <w:color w:val="auto"/>
          <w:sz w:val="32"/>
          <w:szCs w:val="32"/>
          <w:highlight w:val="none"/>
          <w:lang w:val="en-US" w:eastAsia="zh-CN"/>
        </w:rPr>
        <w:t>减少0.05万元，下降100%。</w:t>
      </w:r>
    </w:p>
    <w:p>
      <w:pPr>
        <w:keepNext w:val="0"/>
        <w:keepLines w:val="0"/>
        <w:pageBreakBefore w:val="0"/>
        <w:widowControl w:val="0"/>
        <w:kinsoku/>
        <w:wordWrap/>
        <w:overflowPunct/>
        <w:topLinePunct w:val="0"/>
        <w:autoSpaceDE/>
        <w:autoSpaceDN/>
        <w:bidi w:val="0"/>
        <w:snapToGrid/>
        <w:spacing w:line="600" w:lineRule="exact"/>
        <w:ind w:firstLine="640"/>
        <w:jc w:val="both"/>
        <w:textAlignment w:val="auto"/>
        <w:outlineLvl w:val="2"/>
        <w:rPr>
          <w:rFonts w:ascii="仿宋" w:hAnsi="仿宋" w:eastAsia="仿宋"/>
          <w:b/>
          <w:color w:val="auto"/>
          <w:sz w:val="32"/>
          <w:szCs w:val="32"/>
          <w:highlight w:val="none"/>
        </w:rPr>
      </w:pPr>
      <w:bookmarkStart w:id="48" w:name="_Toc15377217"/>
      <w:r>
        <w:rPr>
          <w:rFonts w:hint="eastAsia" w:ascii="仿宋" w:hAnsi="仿宋" w:eastAsia="仿宋"/>
          <w:b/>
          <w:color w:val="auto"/>
          <w:sz w:val="32"/>
          <w:szCs w:val="32"/>
          <w:highlight w:val="none"/>
        </w:rPr>
        <w:t>（二）“三公”经费财政拨款支出决算具体情况说明</w:t>
      </w:r>
      <w:bookmarkEnd w:id="48"/>
    </w:p>
    <w:p>
      <w:pPr>
        <w:keepNext w:val="0"/>
        <w:keepLines w:val="0"/>
        <w:pageBreakBefore w:val="0"/>
        <w:widowControl w:val="0"/>
        <w:kinsoku/>
        <w:wordWrap/>
        <w:overflowPunct/>
        <w:topLinePunct w:val="0"/>
        <w:autoSpaceDE/>
        <w:autoSpaceDN/>
        <w:bidi w:val="0"/>
        <w:snapToGrid/>
        <w:spacing w:line="600" w:lineRule="exact"/>
        <w:ind w:firstLine="640"/>
        <w:jc w:val="both"/>
        <w:textAlignment w:val="auto"/>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万元。具体情况如下：</w:t>
      </w:r>
    </w:p>
    <w:p>
      <w:pPr>
        <w:keepNext w:val="0"/>
        <w:keepLines w:val="0"/>
        <w:pageBreakBefore w:val="0"/>
        <w:widowControl w:val="0"/>
        <w:kinsoku/>
        <w:wordWrap/>
        <w:overflowPunct/>
        <w:topLinePunct w:val="0"/>
        <w:autoSpaceDE/>
        <w:autoSpaceDN/>
        <w:bidi w:val="0"/>
        <w:snapToGrid/>
        <w:spacing w:line="600" w:lineRule="exact"/>
        <w:ind w:firstLine="645"/>
        <w:jc w:val="both"/>
        <w:textAlignment w:val="auto"/>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lang w:eastAsia="zh-CN"/>
        </w:rPr>
        <w:t>年初未安排预算，较上年无变化</w:t>
      </w:r>
      <w:r>
        <w:rPr>
          <w:rStyle w:val="18"/>
          <w:rFonts w:hint="eastAsia" w:ascii="仿宋" w:hAnsi="仿宋" w:eastAsia="仿宋"/>
          <w:b w:val="0"/>
          <w:bCs/>
          <w:color w:val="auto"/>
          <w:sz w:val="32"/>
          <w:szCs w:val="32"/>
          <w:highlight w:val="none"/>
        </w:rPr>
        <w:t>。</w:t>
      </w:r>
    </w:p>
    <w:p>
      <w:pPr>
        <w:keepNext w:val="0"/>
        <w:keepLines w:val="0"/>
        <w:pageBreakBefore w:val="0"/>
        <w:widowControl w:val="0"/>
        <w:kinsoku/>
        <w:wordWrap/>
        <w:overflowPunct/>
        <w:topLinePunct w:val="0"/>
        <w:autoSpaceDE/>
        <w:autoSpaceDN/>
        <w:bidi w:val="0"/>
        <w:snapToGrid/>
        <w:spacing w:line="600" w:lineRule="exact"/>
        <w:ind w:firstLine="640"/>
        <w:jc w:val="both"/>
        <w:textAlignment w:val="auto"/>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Style w:val="18"/>
          <w:rFonts w:hint="eastAsia" w:ascii="仿宋" w:hAnsi="仿宋" w:eastAsia="仿宋"/>
          <w:b w:val="0"/>
          <w:bCs/>
          <w:color w:val="auto"/>
          <w:sz w:val="32"/>
          <w:szCs w:val="32"/>
          <w:highlight w:val="none"/>
          <w:lang w:eastAsia="zh-CN"/>
        </w:rPr>
        <w:t>年初未安排预算，较上年无变化</w:t>
      </w:r>
      <w:r>
        <w:rPr>
          <w:rStyle w:val="18"/>
          <w:rFonts w:hint="eastAsia" w:ascii="仿宋" w:hAnsi="仿宋" w:eastAsia="仿宋"/>
          <w:b w:val="0"/>
          <w:bCs/>
          <w:color w:val="auto"/>
          <w:sz w:val="32"/>
          <w:szCs w:val="32"/>
          <w:highlight w:val="none"/>
        </w:rPr>
        <w:t>。</w:t>
      </w:r>
    </w:p>
    <w:p>
      <w:pPr>
        <w:keepNext w:val="0"/>
        <w:keepLines w:val="0"/>
        <w:pageBreakBefore w:val="0"/>
        <w:widowControl w:val="0"/>
        <w:kinsoku/>
        <w:wordWrap/>
        <w:overflowPunct/>
        <w:topLinePunct w:val="0"/>
        <w:autoSpaceDE/>
        <w:autoSpaceDN/>
        <w:bidi w:val="0"/>
        <w:snapToGrid/>
        <w:spacing w:line="600" w:lineRule="exact"/>
        <w:ind w:firstLine="640" w:firstLineChars="200"/>
        <w:jc w:val="both"/>
        <w:textAlignment w:val="auto"/>
        <w:rPr>
          <w:rFonts w:hint="eastAsia" w:ascii="仿宋_GB2312" w:eastAsia="仿宋_GB2312"/>
          <w:b/>
          <w:color w:val="auto"/>
          <w:sz w:val="32"/>
          <w:szCs w:val="32"/>
          <w:highlight w:val="none"/>
          <w:lang w:eastAsia="zh-CN"/>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snapToGrid/>
        <w:spacing w:line="600" w:lineRule="exact"/>
        <w:ind w:firstLine="640"/>
        <w:jc w:val="both"/>
        <w:textAlignment w:val="auto"/>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lang w:eastAsia="zh-CN"/>
        </w:rPr>
        <w:t>年初未安排预算</w:t>
      </w:r>
      <w:r>
        <w:rPr>
          <w:rStyle w:val="18"/>
          <w:rFonts w:hint="eastAsia" w:ascii="仿宋" w:hAnsi="仿宋" w:eastAsia="仿宋"/>
          <w:b w:val="0"/>
          <w:bCs/>
          <w:color w:val="auto"/>
          <w:sz w:val="32"/>
          <w:szCs w:val="32"/>
          <w:highlight w:val="none"/>
        </w:rPr>
        <w:t>。</w:t>
      </w:r>
    </w:p>
    <w:p>
      <w:pPr>
        <w:keepNext w:val="0"/>
        <w:keepLines w:val="0"/>
        <w:pageBreakBefore w:val="0"/>
        <w:widowControl w:val="0"/>
        <w:kinsoku/>
        <w:wordWrap/>
        <w:overflowPunct/>
        <w:topLinePunct w:val="0"/>
        <w:autoSpaceDE/>
        <w:autoSpaceDN/>
        <w:bidi w:val="0"/>
        <w:snapToGrid/>
        <w:spacing w:line="600" w:lineRule="exact"/>
        <w:ind w:firstLine="640"/>
        <w:jc w:val="both"/>
        <w:textAlignment w:val="auto"/>
        <w:rPr>
          <w:rFonts w:ascii="黑体" w:eastAsia="黑体"/>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，年初未安排预算</w:t>
      </w:r>
      <w:r>
        <w:rPr>
          <w:rStyle w:val="18"/>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color w:val="auto"/>
          <w:sz w:val="32"/>
          <w:szCs w:val="32"/>
          <w:highlight w:val="none"/>
        </w:rPr>
        <w:t>公务接待费支出决算</w:t>
      </w:r>
      <w:r>
        <w:rPr>
          <w:rFonts w:hint="eastAsia" w:ascii="仿宋_GB2312" w:hAnsi="仿宋_GB2312" w:eastAsia="仿宋_GB2312" w:cs="仿宋_GB2312"/>
          <w:color w:val="auto"/>
          <w:sz w:val="32"/>
          <w:szCs w:val="32"/>
          <w:highlight w:val="none"/>
          <w:lang w:eastAsia="zh-CN"/>
        </w:rPr>
        <w:t>于202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度相比减少</w:t>
      </w:r>
      <w:r>
        <w:rPr>
          <w:rFonts w:hint="eastAsia" w:ascii="仿宋_GB2312" w:hAnsi="仿宋_GB2312" w:eastAsia="仿宋_GB2312" w:cs="仿宋_GB2312"/>
          <w:color w:val="auto"/>
          <w:sz w:val="32"/>
          <w:szCs w:val="32"/>
          <w:highlight w:val="none"/>
          <w:lang w:val="en-US" w:eastAsia="zh-CN"/>
        </w:rPr>
        <w:t>0.05万元</w:t>
      </w:r>
      <w:r>
        <w:rPr>
          <w:rFonts w:hint="eastAsia" w:ascii="仿宋_GB2312" w:hAnsi="仿宋_GB2312" w:eastAsia="仿宋_GB2312" w:cs="仿宋_GB2312"/>
          <w:color w:val="auto"/>
          <w:sz w:val="32"/>
          <w:szCs w:val="32"/>
          <w:highlight w:val="none"/>
        </w:rPr>
        <w:t>。主要原因是</w:t>
      </w:r>
      <w:r>
        <w:rPr>
          <w:rFonts w:hint="eastAsia" w:ascii="仿宋_GB2312" w:hAnsi="仿宋_GB2312" w:eastAsia="仿宋_GB2312" w:cs="仿宋_GB2312"/>
          <w:color w:val="auto"/>
          <w:sz w:val="32"/>
          <w:szCs w:val="32"/>
          <w:highlight w:val="none"/>
          <w:lang w:eastAsia="zh-CN"/>
        </w:rPr>
        <w:t>厉行节约，未安排公务接待费预算</w:t>
      </w:r>
      <w:r>
        <w:rPr>
          <w:rFonts w:hint="eastAsia" w:ascii="仿宋_GB2312" w:eastAsia="仿宋_GB2312"/>
          <w:color w:val="auto"/>
          <w:sz w:val="32"/>
          <w:szCs w:val="32"/>
          <w:highlight w:val="none"/>
        </w:rPr>
        <w:t>。</w:t>
      </w:r>
      <w:bookmarkStart w:id="49" w:name="_Toc15377218"/>
      <w:bookmarkStart w:id="50" w:name="_Toc15396610"/>
    </w:p>
    <w:p>
      <w:pPr>
        <w:keepNext w:val="0"/>
        <w:keepLines w:val="0"/>
        <w:pageBreakBefore w:val="0"/>
        <w:widowControl w:val="0"/>
        <w:kinsoku/>
        <w:wordWrap/>
        <w:overflowPunct/>
        <w:topLinePunct w:val="0"/>
        <w:autoSpaceDE/>
        <w:autoSpaceDN/>
        <w:bidi w:val="0"/>
        <w:snapToGrid/>
        <w:spacing w:line="600" w:lineRule="exact"/>
        <w:ind w:firstLine="640"/>
        <w:jc w:val="both"/>
        <w:textAlignment w:val="auto"/>
        <w:outlineLvl w:val="1"/>
        <w:rPr>
          <w:rStyle w:val="20"/>
          <w:rFonts w:ascii="黑体" w:hAnsi="黑体" w:eastAsia="黑体"/>
          <w:color w:val="auto"/>
          <w:highlight w:val="none"/>
        </w:rPr>
      </w:pPr>
      <w:bookmarkStart w:id="51" w:name="_Toc20909"/>
      <w:r>
        <w:rPr>
          <w:rFonts w:hint="eastAsia" w:ascii="黑体" w:eastAsia="黑体"/>
          <w:color w:val="auto"/>
          <w:sz w:val="32"/>
          <w:szCs w:val="32"/>
          <w:highlight w:val="none"/>
        </w:rPr>
        <w:t>八、</w:t>
      </w:r>
      <w:r>
        <w:rPr>
          <w:rStyle w:val="20"/>
          <w:rFonts w:hint="eastAsia" w:ascii="黑体" w:hAnsi="黑体" w:eastAsia="黑体"/>
          <w:b w:val="0"/>
          <w:color w:val="auto"/>
          <w:highlight w:val="none"/>
        </w:rPr>
        <w:t>政府性基金预算支出决算情况说明</w:t>
      </w:r>
      <w:bookmarkEnd w:id="49"/>
      <w:bookmarkEnd w:id="50"/>
      <w:bookmarkEnd w:id="51"/>
    </w:p>
    <w:p>
      <w:pPr>
        <w:keepNext w:val="0"/>
        <w:keepLines w:val="0"/>
        <w:pageBreakBefore w:val="0"/>
        <w:widowControl w:val="0"/>
        <w:kinsoku/>
        <w:wordWrap/>
        <w:overflowPunct/>
        <w:topLinePunct w:val="0"/>
        <w:autoSpaceDE/>
        <w:autoSpaceDN/>
        <w:bidi w:val="0"/>
        <w:snapToGrid/>
        <w:spacing w:line="600" w:lineRule="exact"/>
        <w:ind w:firstLine="640"/>
        <w:jc w:val="both"/>
        <w:textAlignment w:val="auto"/>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keepNext w:val="0"/>
        <w:keepLines w:val="0"/>
        <w:pageBreakBefore w:val="0"/>
        <w:widowControl w:val="0"/>
        <w:numPr>
          <w:ilvl w:val="0"/>
          <w:numId w:val="3"/>
        </w:numPr>
        <w:kinsoku/>
        <w:wordWrap/>
        <w:overflowPunct/>
        <w:topLinePunct w:val="0"/>
        <w:autoSpaceDE/>
        <w:autoSpaceDN/>
        <w:bidi w:val="0"/>
        <w:snapToGrid/>
        <w:spacing w:line="600" w:lineRule="exact"/>
        <w:ind w:firstLine="640"/>
        <w:jc w:val="both"/>
        <w:textAlignment w:val="auto"/>
        <w:outlineLvl w:val="1"/>
        <w:rPr>
          <w:rStyle w:val="20"/>
          <w:rFonts w:ascii="黑体" w:hAnsi="黑体" w:eastAsia="黑体"/>
          <w:b w:val="0"/>
          <w:color w:val="auto"/>
          <w:highlight w:val="none"/>
        </w:rPr>
      </w:pPr>
      <w:bookmarkStart w:id="52" w:name="_Toc17986"/>
      <w:bookmarkStart w:id="53" w:name="_Toc15377219"/>
      <w:bookmarkStart w:id="54" w:name="_Toc15396611"/>
      <w:r>
        <w:rPr>
          <w:rStyle w:val="20"/>
          <w:rFonts w:hint="eastAsia" w:ascii="黑体" w:hAnsi="黑体" w:eastAsia="黑体"/>
          <w:b w:val="0"/>
          <w:color w:val="auto"/>
          <w:highlight w:val="none"/>
        </w:rPr>
        <w:t>国有资本经营预算支出决算情况说明</w:t>
      </w:r>
      <w:bookmarkEnd w:id="52"/>
      <w:bookmarkEnd w:id="53"/>
      <w:bookmarkEnd w:id="54"/>
    </w:p>
    <w:p>
      <w:pPr>
        <w:keepNext w:val="0"/>
        <w:keepLines w:val="0"/>
        <w:pageBreakBefore w:val="0"/>
        <w:widowControl w:val="0"/>
        <w:kinsoku/>
        <w:wordWrap/>
        <w:overflowPunct/>
        <w:topLinePunct w:val="0"/>
        <w:autoSpaceDE/>
        <w:autoSpaceDN/>
        <w:bidi w:val="0"/>
        <w:snapToGrid/>
        <w:spacing w:line="600" w:lineRule="exact"/>
        <w:ind w:firstLine="640"/>
        <w:jc w:val="both"/>
        <w:textAlignment w:val="auto"/>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keepNext w:val="0"/>
        <w:keepLines w:val="0"/>
        <w:pageBreakBefore w:val="0"/>
        <w:widowControl w:val="0"/>
        <w:numPr>
          <w:ilvl w:val="0"/>
          <w:numId w:val="3"/>
        </w:numPr>
        <w:kinsoku/>
        <w:wordWrap/>
        <w:overflowPunct/>
        <w:topLinePunct w:val="0"/>
        <w:autoSpaceDE/>
        <w:autoSpaceDN/>
        <w:bidi w:val="0"/>
        <w:snapToGrid/>
        <w:spacing w:line="600" w:lineRule="exact"/>
        <w:ind w:firstLine="640"/>
        <w:jc w:val="both"/>
        <w:textAlignment w:val="auto"/>
        <w:outlineLvl w:val="1"/>
        <w:rPr>
          <w:rStyle w:val="20"/>
          <w:rFonts w:hint="eastAsia" w:ascii="黑体" w:hAnsi="黑体" w:eastAsia="黑体"/>
          <w:b w:val="0"/>
          <w:color w:val="auto"/>
          <w:highlight w:val="none"/>
        </w:rPr>
      </w:pPr>
      <w:bookmarkStart w:id="55" w:name="_Toc6168"/>
      <w:bookmarkStart w:id="56" w:name="_Toc15396612"/>
      <w:bookmarkStart w:id="57" w:name="_Toc15377221"/>
      <w:r>
        <w:rPr>
          <w:rStyle w:val="20"/>
          <w:rFonts w:hint="eastAsia" w:ascii="黑体" w:hAnsi="黑体" w:eastAsia="黑体"/>
          <w:b w:val="0"/>
          <w:color w:val="auto"/>
          <w:highlight w:val="none"/>
        </w:rPr>
        <w:t>其他重要事项的情况说明</w:t>
      </w:r>
      <w:bookmarkEnd w:id="55"/>
      <w:bookmarkEnd w:id="56"/>
      <w:bookmarkEnd w:id="57"/>
    </w:p>
    <w:p>
      <w:pPr>
        <w:keepNext w:val="0"/>
        <w:keepLines w:val="0"/>
        <w:pageBreakBefore w:val="0"/>
        <w:widowControl w:val="0"/>
        <w:kinsoku/>
        <w:wordWrap/>
        <w:overflowPunct/>
        <w:topLinePunct w:val="0"/>
        <w:autoSpaceDE/>
        <w:autoSpaceDN/>
        <w:bidi w:val="0"/>
        <w:snapToGrid/>
        <w:spacing w:line="600" w:lineRule="exact"/>
        <w:ind w:firstLine="642" w:firstLineChars="200"/>
        <w:jc w:val="both"/>
        <w:textAlignment w:val="auto"/>
        <w:outlineLvl w:val="2"/>
        <w:rPr>
          <w:rFonts w:ascii="仿宋" w:hAnsi="仿宋" w:eastAsia="仿宋"/>
          <w:color w:val="auto"/>
          <w:sz w:val="32"/>
          <w:szCs w:val="32"/>
          <w:highlight w:val="none"/>
        </w:rPr>
      </w:pPr>
      <w:bookmarkStart w:id="58" w:name="_Toc15377222"/>
      <w:r>
        <w:rPr>
          <w:rFonts w:hint="eastAsia" w:ascii="仿宋" w:hAnsi="仿宋" w:eastAsia="仿宋"/>
          <w:b/>
          <w:color w:val="auto"/>
          <w:sz w:val="32"/>
          <w:szCs w:val="32"/>
          <w:highlight w:val="none"/>
        </w:rPr>
        <w:t>（一）机关运行经费支出情况</w:t>
      </w:r>
      <w:bookmarkEnd w:id="58"/>
    </w:p>
    <w:p>
      <w:pPr>
        <w:keepNext w:val="0"/>
        <w:keepLines w:val="0"/>
        <w:pageBreakBefore w:val="0"/>
        <w:widowControl w:val="0"/>
        <w:kinsoku/>
        <w:wordWrap/>
        <w:overflowPunct/>
        <w:topLinePunct w:val="0"/>
        <w:autoSpaceDE/>
        <w:autoSpaceDN/>
        <w:bidi w:val="0"/>
        <w:snapToGrid/>
        <w:spacing w:line="600" w:lineRule="exact"/>
        <w:ind w:firstLine="640" w:firstLineChars="200"/>
        <w:jc w:val="both"/>
        <w:textAlignment w:val="auto"/>
        <w:rPr>
          <w:rFonts w:hint="eastAsia" w:ascii="仿宋_GB2312" w:eastAsia="仿宋_GB2312"/>
          <w:color w:val="auto"/>
          <w:sz w:val="32"/>
          <w:szCs w:val="32"/>
          <w:highlight w:val="none"/>
          <w:lang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年，机关运行经费支出</w:t>
      </w:r>
      <w:r>
        <w:rPr>
          <w:rFonts w:hint="eastAsia" w:ascii="仿宋_GB2312" w:eastAsia="仿宋_GB2312"/>
          <w:color w:val="auto"/>
          <w:sz w:val="32"/>
          <w:szCs w:val="32"/>
          <w:highlight w:val="none"/>
          <w:lang w:val="en-US" w:eastAsia="zh-CN"/>
        </w:rPr>
        <w:t>8.82</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减少</w:t>
      </w:r>
      <w:r>
        <w:rPr>
          <w:rFonts w:hint="eastAsia" w:ascii="仿宋_GB2312" w:eastAsia="仿宋_GB2312"/>
          <w:color w:val="auto"/>
          <w:sz w:val="32"/>
          <w:szCs w:val="32"/>
          <w:highlight w:val="none"/>
          <w:lang w:val="en-US" w:eastAsia="zh-CN"/>
        </w:rPr>
        <w:t xml:space="preserve"> 0.22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减少</w:t>
      </w:r>
      <w:r>
        <w:rPr>
          <w:rFonts w:hint="eastAsia" w:ascii="仿宋_GB2312" w:eastAsia="仿宋_GB2312"/>
          <w:color w:val="auto"/>
          <w:sz w:val="32"/>
          <w:szCs w:val="32"/>
          <w:highlight w:val="none"/>
          <w:lang w:val="en-US" w:eastAsia="zh-CN"/>
        </w:rPr>
        <w:t>2.48</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人员变化。</w:t>
      </w:r>
    </w:p>
    <w:p>
      <w:pPr>
        <w:keepNext w:val="0"/>
        <w:keepLines w:val="0"/>
        <w:pageBreakBefore w:val="0"/>
        <w:widowControl w:val="0"/>
        <w:kinsoku/>
        <w:wordWrap/>
        <w:overflowPunct/>
        <w:topLinePunct w:val="0"/>
        <w:autoSpaceDE/>
        <w:autoSpaceDN/>
        <w:bidi w:val="0"/>
        <w:adjustRightInd w:val="0"/>
        <w:snapToGrid/>
        <w:spacing w:line="600" w:lineRule="exact"/>
        <w:ind w:firstLine="642" w:firstLineChars="200"/>
        <w:jc w:val="both"/>
        <w:textAlignment w:val="auto"/>
        <w:outlineLvl w:val="2"/>
        <w:rPr>
          <w:rFonts w:ascii="仿宋" w:hAnsi="仿宋" w:eastAsia="仿宋"/>
          <w:b/>
          <w:color w:val="auto"/>
          <w:sz w:val="32"/>
          <w:szCs w:val="32"/>
          <w:highlight w:val="none"/>
        </w:rPr>
      </w:pPr>
      <w:bookmarkStart w:id="59" w:name="_Toc15377223"/>
      <w:r>
        <w:rPr>
          <w:rFonts w:hint="eastAsia" w:ascii="仿宋" w:hAnsi="仿宋" w:eastAsia="仿宋"/>
          <w:b/>
          <w:color w:val="auto"/>
          <w:sz w:val="32"/>
          <w:szCs w:val="32"/>
          <w:highlight w:val="none"/>
        </w:rPr>
        <w:t>（二）政府采购支出情况</w:t>
      </w:r>
      <w:bookmarkEnd w:id="59"/>
    </w:p>
    <w:p>
      <w:pPr>
        <w:keepNext w:val="0"/>
        <w:keepLines w:val="0"/>
        <w:pageBreakBefore w:val="0"/>
        <w:widowControl w:val="0"/>
        <w:kinsoku/>
        <w:wordWrap/>
        <w:overflowPunct/>
        <w:topLinePunct w:val="0"/>
        <w:autoSpaceDE/>
        <w:autoSpaceDN/>
        <w:bidi w:val="0"/>
        <w:snapToGrid/>
        <w:spacing w:line="600" w:lineRule="exact"/>
        <w:ind w:firstLine="640" w:firstLineChars="200"/>
        <w:jc w:val="both"/>
        <w:textAlignment w:val="auto"/>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val="0"/>
        <w:snapToGrid/>
        <w:spacing w:line="600" w:lineRule="exact"/>
        <w:ind w:firstLine="642" w:firstLineChars="200"/>
        <w:jc w:val="both"/>
        <w:textAlignment w:val="auto"/>
        <w:outlineLvl w:val="2"/>
        <w:rPr>
          <w:rFonts w:ascii="仿宋" w:hAnsi="仿宋" w:eastAsia="仿宋"/>
          <w:b/>
          <w:color w:val="auto"/>
          <w:sz w:val="32"/>
          <w:szCs w:val="32"/>
          <w:highlight w:val="none"/>
        </w:rPr>
      </w:pPr>
      <w:bookmarkStart w:id="60" w:name="_Toc15377224"/>
      <w:r>
        <w:rPr>
          <w:rFonts w:hint="eastAsia" w:ascii="仿宋" w:hAnsi="仿宋" w:eastAsia="仿宋"/>
          <w:b/>
          <w:color w:val="auto"/>
          <w:sz w:val="32"/>
          <w:szCs w:val="32"/>
          <w:highlight w:val="none"/>
        </w:rPr>
        <w:t>（三）国有资产占有使用情况</w:t>
      </w:r>
      <w:bookmarkEnd w:id="60"/>
    </w:p>
    <w:p>
      <w:pPr>
        <w:keepNext w:val="0"/>
        <w:keepLines w:val="0"/>
        <w:pageBreakBefore w:val="0"/>
        <w:widowControl w:val="0"/>
        <w:kinsoku/>
        <w:wordWrap/>
        <w:overflowPunct/>
        <w:topLinePunct w:val="0"/>
        <w:autoSpaceDE/>
        <w:autoSpaceDN/>
        <w:bidi w:val="0"/>
        <w:adjustRightInd w:val="0"/>
        <w:snapToGrid/>
        <w:spacing w:line="600" w:lineRule="exact"/>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keepNext w:val="0"/>
        <w:keepLines w:val="0"/>
        <w:pageBreakBefore w:val="0"/>
        <w:widowControl w:val="0"/>
        <w:kinsoku/>
        <w:wordWrap/>
        <w:overflowPunct/>
        <w:topLinePunct w:val="0"/>
        <w:autoSpaceDE/>
        <w:autoSpaceDN/>
        <w:bidi w:val="0"/>
        <w:adjustRightInd w:val="0"/>
        <w:snapToGrid/>
        <w:spacing w:line="600" w:lineRule="exact"/>
        <w:ind w:firstLine="642" w:firstLineChars="200"/>
        <w:jc w:val="both"/>
        <w:textAlignment w:val="auto"/>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（四）预算绩效管理情况</w:t>
      </w:r>
    </w:p>
    <w:p>
      <w:pPr>
        <w:keepNext w:val="0"/>
        <w:keepLines w:val="0"/>
        <w:pageBreakBefore w:val="0"/>
        <w:widowControl w:val="0"/>
        <w:kinsoku/>
        <w:wordWrap/>
        <w:overflowPunct/>
        <w:topLinePunct w:val="0"/>
        <w:autoSpaceDE/>
        <w:autoSpaceDN/>
        <w:bidi w:val="0"/>
        <w:snapToGrid/>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根据预算绩效管理要求，本部门在202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年度预算编制阶段，组织对</w:t>
      </w:r>
      <w:r>
        <w:rPr>
          <w:rFonts w:hint="eastAsia" w:ascii="仿宋_GB2312" w:hAnsi="仿宋_GB2312" w:eastAsia="仿宋_GB2312" w:cs="仿宋_GB2312"/>
          <w:color w:val="auto"/>
          <w:sz w:val="32"/>
          <w:szCs w:val="32"/>
          <w:highlight w:val="none"/>
          <w:lang w:val="en-US" w:eastAsia="zh-CN"/>
        </w:rPr>
        <w:t>民主党派工作经费</w:t>
      </w:r>
      <w:r>
        <w:rPr>
          <w:rFonts w:hint="eastAsia" w:ascii="仿宋_GB2312" w:hAnsi="仿宋_GB2312" w:eastAsia="仿宋_GB2312" w:cs="仿宋_GB2312"/>
          <w:color w:val="auto"/>
          <w:sz w:val="32"/>
          <w:szCs w:val="32"/>
          <w:highlight w:val="none"/>
        </w:rPr>
        <w:t>项目（项目名称）等</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个项目开展了预算事前绩效评估，对</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个项目编制了绩效目标，预算执行过程中，选取</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个项目开展绩效监控。</w:t>
      </w:r>
    </w:p>
    <w:p>
      <w:pPr>
        <w:keepNext w:val="0"/>
        <w:keepLines w:val="0"/>
        <w:pageBreakBefore w:val="0"/>
        <w:widowControl w:val="0"/>
        <w:kinsoku/>
        <w:wordWrap/>
        <w:overflowPunct/>
        <w:topLinePunct w:val="0"/>
        <w:autoSpaceDE/>
        <w:autoSpaceDN/>
        <w:bidi w:val="0"/>
        <w:snapToGrid/>
        <w:ind w:firstLine="640" w:firstLineChars="200"/>
        <w:jc w:val="both"/>
        <w:textAlignment w:val="auto"/>
        <w:rPr>
          <w:rFonts w:ascii="仿宋_GB2312" w:eastAsia="仿宋_GB2312"/>
          <w:b/>
          <w:color w:val="auto"/>
          <w:sz w:val="32"/>
          <w:szCs w:val="32"/>
          <w:highlight w:val="yellow"/>
        </w:rPr>
      </w:pPr>
      <w:r>
        <w:rPr>
          <w:rFonts w:hint="eastAsia" w:ascii="仿宋_GB2312" w:hAnsi="仿宋_GB2312" w:eastAsia="仿宋_GB2312" w:cs="仿宋_GB2312"/>
          <w:color w:val="auto"/>
          <w:sz w:val="32"/>
          <w:szCs w:val="32"/>
          <w:highlight w:val="none"/>
        </w:rPr>
        <w:t>组织对202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年度一般公共预算全面开展绩效自评，形成部门整体（含部门预算项目）绩效自评报告、专项预算项目绩效自评报告，绩效自评报</w:t>
      </w:r>
      <w:r>
        <w:rPr>
          <w:rFonts w:hint="eastAsia" w:ascii="仿宋_GB2312" w:hAnsi="仿宋_GB2312" w:eastAsia="仿宋_GB2312" w:cs="仿宋_GB2312"/>
          <w:color w:val="auto"/>
          <w:sz w:val="32"/>
          <w:szCs w:val="32"/>
          <w:highlight w:val="none"/>
          <w:lang w:eastAsia="zh-CN"/>
        </w:rPr>
        <w:t>表</w:t>
      </w:r>
      <w:r>
        <w:rPr>
          <w:rFonts w:hint="eastAsia" w:ascii="仿宋_GB2312" w:hAnsi="仿宋_GB2312" w:eastAsia="仿宋_GB2312" w:cs="仿宋_GB2312"/>
          <w:color w:val="auto"/>
          <w:sz w:val="32"/>
          <w:szCs w:val="32"/>
          <w:highlight w:val="none"/>
        </w:rPr>
        <w:t>详见附件。</w:t>
      </w:r>
      <w:r>
        <w:rPr>
          <w:rFonts w:ascii="仿宋_GB2312" w:eastAsia="仿宋_GB2312"/>
          <w:b/>
          <w:color w:val="auto"/>
          <w:sz w:val="32"/>
          <w:szCs w:val="32"/>
          <w:highlight w:val="yellow"/>
        </w:rPr>
        <w:br w:type="page"/>
      </w:r>
    </w:p>
    <w:p>
      <w:pPr>
        <w:numPr>
          <w:ilvl w:val="0"/>
          <w:numId w:val="4"/>
        </w:numPr>
        <w:spacing w:line="600" w:lineRule="exact"/>
        <w:ind w:firstLine="660" w:firstLineChars="150"/>
        <w:jc w:val="center"/>
        <w:outlineLvl w:val="0"/>
        <w:rPr>
          <w:rStyle w:val="21"/>
          <w:rFonts w:ascii="黑体" w:hAnsi="黑体" w:eastAsia="黑体"/>
          <w:b w:val="0"/>
          <w:color w:val="auto"/>
          <w:highlight w:val="none"/>
        </w:rPr>
      </w:pPr>
      <w:bookmarkStart w:id="61" w:name="_Toc15377225"/>
      <w:bookmarkStart w:id="62" w:name="_Toc15396613"/>
      <w:bookmarkStart w:id="63" w:name="_Toc18244"/>
      <w:bookmarkStart w:id="64" w:name="_Toc15396614"/>
      <w:bookmarkStart w:id="65" w:name="_Toc6901"/>
      <w:bookmarkStart w:id="66" w:name="_Toc15377226"/>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名</w:t>
      </w:r>
      <w:r>
        <w:rPr>
          <w:rStyle w:val="21"/>
          <w:rFonts w:hint="eastAsia" w:ascii="黑体" w:hAnsi="黑体" w:eastAsia="黑体"/>
          <w:b w:val="0"/>
          <w:color w:val="auto"/>
          <w:highlight w:val="none"/>
        </w:rPr>
        <w:t>词解释</w:t>
      </w:r>
      <w:bookmarkEnd w:id="61"/>
      <w:bookmarkEnd w:id="62"/>
      <w:bookmarkEnd w:id="63"/>
    </w:p>
    <w:p>
      <w:pPr>
        <w:spacing w:line="600" w:lineRule="exact"/>
        <w:jc w:val="left"/>
        <w:rPr>
          <w:rFonts w:ascii="宋体"/>
          <w:b/>
          <w:color w:val="auto"/>
          <w:sz w:val="44"/>
          <w:szCs w:val="44"/>
          <w:highlight w:val="none"/>
        </w:rPr>
      </w:pPr>
    </w:p>
    <w:p>
      <w:pPr>
        <w:pStyle w:val="33"/>
        <w:keepNext w:val="0"/>
        <w:keepLines w:val="0"/>
        <w:pageBreakBefore w:val="0"/>
        <w:widowControl w:val="0"/>
        <w:numPr>
          <w:ilvl w:val="0"/>
          <w:numId w:val="5"/>
        </w:numPr>
        <w:kinsoku/>
        <w:wordWrap/>
        <w:overflowPunct/>
        <w:topLinePunct w:val="0"/>
        <w:bidi w:val="0"/>
        <w:snapToGrid/>
        <w:spacing w:line="560" w:lineRule="exact"/>
        <w:ind w:left="0" w:leftChars="0" w:firstLine="640" w:firstLineChars="200"/>
        <w:jc w:val="both"/>
        <w:textAlignment w:val="auto"/>
        <w:outlineLvl w:val="1"/>
        <w:rPr>
          <w:rFonts w:hAnsi="仿宋" w:eastAsia="仿宋_GB2312" w:cs="Times New Roman"/>
          <w:sz w:val="32"/>
          <w:szCs w:val="32"/>
        </w:rPr>
      </w:pPr>
      <w:bookmarkStart w:id="67" w:name="_Toc29032"/>
      <w:r>
        <w:rPr>
          <w:rFonts w:hint="eastAsia" w:hAnsi="仿宋" w:eastAsia="仿宋_GB2312"/>
          <w:sz w:val="32"/>
          <w:szCs w:val="32"/>
        </w:rPr>
        <w:t>财政拨款收入：指单位从同级财政部门取得的财政预算资金。</w:t>
      </w:r>
      <w:bookmarkEnd w:id="67"/>
    </w:p>
    <w:p>
      <w:pPr>
        <w:keepNext w:val="0"/>
        <w:keepLines w:val="0"/>
        <w:pageBreakBefore w:val="0"/>
        <w:widowControl w:val="0"/>
        <w:numPr>
          <w:ilvl w:val="0"/>
          <w:numId w:val="5"/>
        </w:numPr>
        <w:kinsoku/>
        <w:wordWrap/>
        <w:overflowPunct/>
        <w:topLinePunct w:val="0"/>
        <w:bidi w:val="0"/>
        <w:snapToGrid/>
        <w:ind w:left="0" w:leftChars="0" w:firstLine="640" w:firstLineChars="200"/>
        <w:jc w:val="both"/>
        <w:textAlignment w:val="auto"/>
        <w:rPr>
          <w:rFonts w:hint="eastAsia" w:ascii="仿宋" w:hAnsi="仿宋" w:eastAsia="仿宋_GB2312" w:cs="仿宋"/>
          <w:color w:val="000000"/>
          <w:sz w:val="32"/>
          <w:szCs w:val="32"/>
        </w:rPr>
      </w:pPr>
      <w:r>
        <w:rPr>
          <w:rStyle w:val="18"/>
          <w:rFonts w:hint="eastAsia" w:ascii="仿宋" w:hAnsi="仿宋" w:eastAsia="仿宋_GB2312" w:cs="仿宋"/>
          <w:b w:val="0"/>
          <w:color w:val="000000"/>
          <w:sz w:val="32"/>
          <w:szCs w:val="32"/>
        </w:rPr>
        <w:t>一般公共服务（类）民主党派及工商联事务（款）行政运行（项）：</w:t>
      </w:r>
      <w:r>
        <w:rPr>
          <w:rFonts w:hint="eastAsia" w:ascii="仿宋" w:hAnsi="仿宋" w:eastAsia="仿宋_GB2312" w:cs="仿宋"/>
          <w:color w:val="000000"/>
          <w:sz w:val="32"/>
          <w:szCs w:val="32"/>
        </w:rPr>
        <w:t>指反映行政单位（包括实行公务员管理的事业单位）的基本支出。</w:t>
      </w:r>
    </w:p>
    <w:p>
      <w:pPr>
        <w:pStyle w:val="15"/>
        <w:keepNext w:val="0"/>
        <w:keepLines w:val="0"/>
        <w:pageBreakBefore w:val="0"/>
        <w:widowControl w:val="0"/>
        <w:numPr>
          <w:ilvl w:val="0"/>
          <w:numId w:val="5"/>
        </w:numPr>
        <w:kinsoku/>
        <w:wordWrap/>
        <w:overflowPunct/>
        <w:topLinePunct w:val="0"/>
        <w:bidi w:val="0"/>
        <w:snapToGrid/>
        <w:ind w:left="0" w:leftChars="0" w:firstLine="640" w:firstLineChars="200"/>
        <w:jc w:val="both"/>
        <w:textAlignment w:val="auto"/>
        <w:rPr>
          <w:rFonts w:hint="eastAsia" w:ascii="宋体" w:hAnsi="宋体" w:eastAsia="仿宋_GB2312" w:cs="仿宋"/>
          <w:color w:val="000000"/>
          <w:kern w:val="2"/>
          <w:sz w:val="32"/>
          <w:szCs w:val="32"/>
          <w:lang w:val="en-US" w:eastAsia="zh-CN" w:bidi="ar-SA"/>
        </w:rPr>
      </w:pPr>
      <w:r>
        <w:rPr>
          <w:rFonts w:hint="eastAsia" w:ascii="宋体" w:hAnsi="宋体" w:eastAsia="仿宋_GB2312" w:cs="仿宋"/>
          <w:color w:val="000000"/>
          <w:kern w:val="2"/>
          <w:sz w:val="32"/>
          <w:szCs w:val="32"/>
          <w:lang w:val="en-US" w:eastAsia="zh-CN" w:bidi="ar-SA"/>
        </w:rPr>
        <w:t>一般公共服务（类）民主党派及工商联事务（款）一般行政管理事务（项）：指反映行政单位（包括实行公务员管理的事业单位）未单独设置项级科目的其他项目支出。</w:t>
      </w:r>
    </w:p>
    <w:p>
      <w:pPr>
        <w:keepNext w:val="0"/>
        <w:keepLines w:val="0"/>
        <w:pageBreakBefore w:val="0"/>
        <w:widowControl w:val="0"/>
        <w:numPr>
          <w:ilvl w:val="0"/>
          <w:numId w:val="5"/>
        </w:numPr>
        <w:kinsoku/>
        <w:wordWrap/>
        <w:overflowPunct/>
        <w:topLinePunct w:val="0"/>
        <w:bidi w:val="0"/>
        <w:snapToGrid/>
        <w:ind w:left="0" w:leftChars="0" w:firstLine="640" w:firstLineChars="200"/>
        <w:jc w:val="both"/>
        <w:textAlignment w:val="auto"/>
        <w:rPr>
          <w:rStyle w:val="18"/>
          <w:rFonts w:hint="eastAsia" w:ascii="仿宋" w:hAnsi="仿宋" w:eastAsia="仿宋_GB2312" w:cs="仿宋"/>
          <w:b w:val="0"/>
          <w:color w:val="000000"/>
          <w:sz w:val="32"/>
          <w:szCs w:val="32"/>
        </w:rPr>
      </w:pPr>
      <w:r>
        <w:rPr>
          <w:rStyle w:val="18"/>
          <w:rFonts w:hint="eastAsia" w:ascii="仿宋" w:hAnsi="仿宋" w:eastAsia="仿宋_GB2312" w:cs="仿宋"/>
          <w:b w:val="0"/>
          <w:color w:val="000000"/>
          <w:sz w:val="32"/>
          <w:szCs w:val="32"/>
        </w:rPr>
        <w:t>社会保障和就业（类）行政事业单位养老支出（款）机关事业单位基本养老保险缴费支出（项）：</w:t>
      </w:r>
      <w:r>
        <w:rPr>
          <w:rFonts w:hint="eastAsia" w:ascii="仿宋" w:hAnsi="仿宋" w:eastAsia="仿宋_GB2312" w:cs="仿宋"/>
          <w:color w:val="000000"/>
          <w:sz w:val="32"/>
          <w:szCs w:val="32"/>
        </w:rPr>
        <w:t>指反映机关事业单位</w:t>
      </w:r>
      <w:r>
        <w:rPr>
          <w:rStyle w:val="18"/>
          <w:rFonts w:hint="eastAsia" w:ascii="仿宋" w:hAnsi="仿宋" w:eastAsia="仿宋_GB2312" w:cs="仿宋"/>
          <w:b w:val="0"/>
          <w:color w:val="000000"/>
          <w:sz w:val="32"/>
          <w:szCs w:val="32"/>
        </w:rPr>
        <w:t>实施养老保险制度由单位缴纳的基本养老保险费支出。</w:t>
      </w:r>
    </w:p>
    <w:p>
      <w:pPr>
        <w:keepNext w:val="0"/>
        <w:keepLines w:val="0"/>
        <w:pageBreakBefore w:val="0"/>
        <w:widowControl w:val="0"/>
        <w:numPr>
          <w:ilvl w:val="0"/>
          <w:numId w:val="0"/>
        </w:numPr>
        <w:kinsoku/>
        <w:wordWrap/>
        <w:overflowPunct/>
        <w:topLinePunct w:val="0"/>
        <w:bidi w:val="0"/>
        <w:snapToGrid/>
        <w:ind w:firstLine="640" w:firstLineChars="200"/>
        <w:jc w:val="both"/>
        <w:textAlignment w:val="auto"/>
        <w:rPr>
          <w:rFonts w:ascii="仿宋" w:hAnsi="仿宋" w:eastAsia="仿宋_GB2312"/>
          <w:color w:val="000000"/>
          <w:sz w:val="32"/>
          <w:szCs w:val="32"/>
        </w:rPr>
      </w:pPr>
      <w:r>
        <w:rPr>
          <w:rStyle w:val="18"/>
          <w:rFonts w:hint="eastAsia" w:ascii="仿宋" w:hAnsi="仿宋" w:eastAsia="仿宋_GB2312" w:cs="仿宋"/>
          <w:b w:val="0"/>
          <w:color w:val="000000"/>
          <w:sz w:val="32"/>
          <w:szCs w:val="32"/>
          <w:lang w:val="en-US" w:eastAsia="zh-CN"/>
        </w:rPr>
        <w:t>5.</w:t>
      </w:r>
      <w:r>
        <w:rPr>
          <w:rStyle w:val="18"/>
          <w:rFonts w:hint="eastAsia" w:ascii="仿宋" w:hAnsi="仿宋" w:eastAsia="仿宋_GB2312" w:cs="仿宋"/>
          <w:b w:val="0"/>
          <w:color w:val="000000"/>
          <w:sz w:val="32"/>
          <w:szCs w:val="32"/>
          <w:lang w:eastAsia="zh-CN"/>
        </w:rPr>
        <w:t>卫生健康支出（类））</w:t>
      </w:r>
      <w:r>
        <w:rPr>
          <w:rStyle w:val="18"/>
          <w:rFonts w:hint="eastAsia" w:ascii="仿宋" w:hAnsi="仿宋" w:eastAsia="仿宋_GB2312" w:cs="仿宋"/>
          <w:b w:val="0"/>
          <w:color w:val="000000"/>
          <w:sz w:val="32"/>
          <w:szCs w:val="32"/>
        </w:rPr>
        <w:t>行政</w:t>
      </w:r>
      <w:r>
        <w:rPr>
          <w:rStyle w:val="18"/>
          <w:rFonts w:hint="eastAsia" w:ascii="仿宋" w:hAnsi="仿宋" w:eastAsia="仿宋_GB2312" w:cs="仿宋"/>
          <w:b w:val="0"/>
          <w:color w:val="000000"/>
          <w:sz w:val="32"/>
          <w:szCs w:val="32"/>
          <w:lang w:eastAsia="zh-CN"/>
        </w:rPr>
        <w:t>事业</w:t>
      </w:r>
      <w:r>
        <w:rPr>
          <w:rStyle w:val="18"/>
          <w:rFonts w:hint="eastAsia" w:ascii="仿宋" w:hAnsi="仿宋" w:eastAsia="仿宋_GB2312" w:cs="仿宋"/>
          <w:b w:val="0"/>
          <w:color w:val="000000"/>
          <w:sz w:val="32"/>
          <w:szCs w:val="32"/>
        </w:rPr>
        <w:t>单位医疗</w:t>
      </w:r>
      <w:r>
        <w:rPr>
          <w:rStyle w:val="18"/>
          <w:rFonts w:hint="eastAsia" w:ascii="仿宋" w:hAnsi="仿宋" w:eastAsia="仿宋_GB2312" w:cs="仿宋"/>
          <w:b w:val="0"/>
          <w:color w:val="000000"/>
          <w:sz w:val="32"/>
          <w:szCs w:val="32"/>
          <w:lang w:eastAsia="zh-CN"/>
        </w:rPr>
        <w:t>（款）行政单位医疗</w:t>
      </w:r>
      <w:r>
        <w:rPr>
          <w:rStyle w:val="18"/>
          <w:rFonts w:hint="eastAsia" w:ascii="仿宋" w:hAnsi="仿宋" w:eastAsia="仿宋_GB2312" w:cs="仿宋"/>
          <w:b w:val="0"/>
          <w:color w:val="000000"/>
          <w:sz w:val="32"/>
          <w:szCs w:val="32"/>
        </w:rPr>
        <w:t>：</w:t>
      </w:r>
      <w:r>
        <w:rPr>
          <w:rFonts w:hint="eastAsia" w:ascii="仿宋" w:hAnsi="仿宋" w:eastAsia="仿宋_GB2312" w:cs="仿宋"/>
          <w:color w:val="000000"/>
          <w:sz w:val="32"/>
          <w:szCs w:val="32"/>
        </w:rPr>
        <w:t>指反映财政部门集中安排的事业单位基本医疗保险缴费经费，未参加医疗保险的行政单位的公费医疗经费，按国家规定享受离休人员待遇的医疗经费。</w:t>
      </w:r>
    </w:p>
    <w:p>
      <w:pPr>
        <w:keepNext w:val="0"/>
        <w:keepLines w:val="0"/>
        <w:pageBreakBefore w:val="0"/>
        <w:widowControl w:val="0"/>
        <w:numPr>
          <w:ilvl w:val="0"/>
          <w:numId w:val="0"/>
        </w:numPr>
        <w:kinsoku/>
        <w:wordWrap/>
        <w:overflowPunct/>
        <w:topLinePunct w:val="0"/>
        <w:bidi w:val="0"/>
        <w:snapToGrid/>
        <w:ind w:firstLine="640" w:firstLineChars="200"/>
        <w:jc w:val="both"/>
        <w:textAlignment w:val="auto"/>
        <w:rPr>
          <w:rFonts w:hint="eastAsia" w:ascii="仿宋" w:hAnsi="仿宋" w:eastAsia="仿宋_GB2312" w:cs="仿宋"/>
          <w:color w:val="000000"/>
          <w:sz w:val="32"/>
          <w:szCs w:val="32"/>
        </w:rPr>
      </w:pPr>
      <w:r>
        <w:rPr>
          <w:rStyle w:val="18"/>
          <w:rFonts w:hint="eastAsia" w:ascii="仿宋" w:hAnsi="仿宋" w:eastAsia="仿宋_GB2312" w:cs="仿宋"/>
          <w:b w:val="0"/>
          <w:color w:val="000000"/>
          <w:sz w:val="32"/>
          <w:szCs w:val="32"/>
          <w:lang w:val="en-US" w:eastAsia="zh-CN"/>
        </w:rPr>
        <w:t>6.</w:t>
      </w:r>
      <w:r>
        <w:rPr>
          <w:rStyle w:val="18"/>
          <w:rFonts w:hint="eastAsia" w:ascii="仿宋" w:hAnsi="仿宋" w:eastAsia="仿宋_GB2312" w:cs="仿宋"/>
          <w:b w:val="0"/>
          <w:color w:val="000000"/>
          <w:sz w:val="32"/>
          <w:szCs w:val="32"/>
        </w:rPr>
        <w:t>住房保障支出（类）住房改革支出（款）住房公积金（项）：</w:t>
      </w:r>
      <w:r>
        <w:rPr>
          <w:rFonts w:hint="eastAsia" w:ascii="仿宋" w:hAnsi="仿宋" w:eastAsia="仿宋_GB2312" w:cs="仿宋"/>
          <w:color w:val="000000"/>
          <w:sz w:val="32"/>
          <w:szCs w:val="32"/>
        </w:rPr>
        <w:t>指反映行政事业单位按人力资源和社会保障部、财政部规定的基本工资和津贴补贴以及规定比例为职工缴纳的住房公积金。</w:t>
      </w:r>
    </w:p>
    <w:p>
      <w:pPr>
        <w:keepNext w:val="0"/>
        <w:keepLines w:val="0"/>
        <w:pageBreakBefore w:val="0"/>
        <w:widowControl w:val="0"/>
        <w:numPr>
          <w:ilvl w:val="0"/>
          <w:numId w:val="0"/>
        </w:numPr>
        <w:kinsoku/>
        <w:wordWrap/>
        <w:overflowPunct/>
        <w:topLinePunct w:val="0"/>
        <w:bidi w:val="0"/>
        <w:snapToGrid/>
        <w:ind w:firstLine="640" w:firstLineChars="200"/>
        <w:jc w:val="both"/>
        <w:textAlignment w:val="auto"/>
        <w:rPr>
          <w:rFonts w:ascii="仿宋" w:hAnsi="仿宋" w:eastAsia="仿宋_GB2312"/>
          <w:color w:val="000000"/>
          <w:sz w:val="32"/>
          <w:szCs w:val="32"/>
        </w:rPr>
      </w:pPr>
      <w:r>
        <w:rPr>
          <w:rFonts w:hint="eastAsia" w:ascii="仿宋" w:hAnsi="仿宋" w:eastAsia="仿宋_GB2312" w:cs="仿宋"/>
          <w:color w:val="000000"/>
          <w:sz w:val="32"/>
          <w:szCs w:val="32"/>
          <w:lang w:val="en-US" w:eastAsia="zh-CN"/>
        </w:rPr>
        <w:t>7.</w:t>
      </w:r>
      <w:r>
        <w:rPr>
          <w:rFonts w:hint="eastAsia" w:ascii="仿宋" w:hAnsi="仿宋" w:eastAsia="仿宋_GB2312" w:cs="仿宋"/>
          <w:color w:val="000000"/>
          <w:sz w:val="32"/>
          <w:szCs w:val="32"/>
        </w:rPr>
        <w:t>基本支出：指为保障机构正常运转、完成日常工作任务而发生的人员支出和公用支出。</w:t>
      </w:r>
    </w:p>
    <w:p>
      <w:pPr>
        <w:keepNext w:val="0"/>
        <w:keepLines w:val="0"/>
        <w:pageBreakBefore w:val="0"/>
        <w:widowControl w:val="0"/>
        <w:numPr>
          <w:ilvl w:val="0"/>
          <w:numId w:val="0"/>
        </w:numPr>
        <w:kinsoku/>
        <w:wordWrap/>
        <w:overflowPunct/>
        <w:topLinePunct w:val="0"/>
        <w:bidi w:val="0"/>
        <w:snapToGrid/>
        <w:ind w:firstLine="640" w:firstLineChars="200"/>
        <w:jc w:val="both"/>
        <w:textAlignment w:val="auto"/>
        <w:rPr>
          <w:rFonts w:ascii="仿宋" w:hAnsi="仿宋" w:eastAsia="仿宋_GB2312"/>
          <w:color w:val="000000"/>
          <w:sz w:val="32"/>
          <w:szCs w:val="32"/>
        </w:rPr>
      </w:pPr>
      <w:r>
        <w:rPr>
          <w:rFonts w:hint="eastAsia" w:ascii="仿宋" w:hAnsi="仿宋" w:eastAsia="仿宋_GB2312" w:cs="仿宋"/>
          <w:color w:val="000000"/>
          <w:sz w:val="32"/>
          <w:szCs w:val="32"/>
          <w:lang w:val="en-US" w:eastAsia="zh-CN"/>
        </w:rPr>
        <w:t>8.</w:t>
      </w:r>
      <w:r>
        <w:rPr>
          <w:rFonts w:hint="eastAsia" w:ascii="仿宋" w:hAnsi="仿宋" w:eastAsia="仿宋_GB2312" w:cs="仿宋"/>
          <w:color w:val="000000"/>
          <w:sz w:val="32"/>
          <w:szCs w:val="32"/>
        </w:rPr>
        <w:t>项目支出：指在基本支出之外为完成特定行政任务和事业发展目标所发生的支出。</w:t>
      </w:r>
    </w:p>
    <w:p>
      <w:pPr>
        <w:pStyle w:val="33"/>
        <w:keepNext w:val="0"/>
        <w:keepLines w:val="0"/>
        <w:pageBreakBefore w:val="0"/>
        <w:widowControl w:val="0"/>
        <w:numPr>
          <w:ilvl w:val="0"/>
          <w:numId w:val="0"/>
        </w:numPr>
        <w:kinsoku/>
        <w:wordWrap/>
        <w:overflowPunct/>
        <w:topLinePunct w:val="0"/>
        <w:bidi w:val="0"/>
        <w:snapToGrid/>
        <w:spacing w:line="560" w:lineRule="exact"/>
        <w:ind w:firstLine="640" w:firstLineChars="200"/>
        <w:jc w:val="both"/>
        <w:textAlignment w:val="auto"/>
        <w:rPr>
          <w:rFonts w:hAnsi="仿宋" w:eastAsia="仿宋_GB2312" w:cs="Times New Roman"/>
          <w:sz w:val="32"/>
          <w:szCs w:val="32"/>
        </w:rPr>
      </w:pPr>
      <w:r>
        <w:rPr>
          <w:rFonts w:hint="eastAsia" w:hAnsi="仿宋" w:eastAsia="仿宋_GB2312"/>
          <w:sz w:val="32"/>
          <w:szCs w:val="32"/>
          <w:lang w:val="en-US" w:eastAsia="zh-CN"/>
        </w:rPr>
        <w:t>9.</w:t>
      </w:r>
      <w:r>
        <w:rPr>
          <w:rFonts w:hint="eastAsia" w:hAnsi="仿宋" w:eastAsia="仿宋_GB2312"/>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3"/>
        <w:keepNext w:val="0"/>
        <w:keepLines w:val="0"/>
        <w:pageBreakBefore w:val="0"/>
        <w:widowControl w:val="0"/>
        <w:numPr>
          <w:ilvl w:val="0"/>
          <w:numId w:val="0"/>
        </w:numPr>
        <w:kinsoku/>
        <w:wordWrap/>
        <w:overflowPunct/>
        <w:topLinePunct w:val="0"/>
        <w:bidi w:val="0"/>
        <w:snapToGrid/>
        <w:spacing w:line="560" w:lineRule="exact"/>
        <w:ind w:firstLine="640" w:firstLineChars="200"/>
        <w:jc w:val="both"/>
        <w:textAlignment w:val="auto"/>
        <w:rPr>
          <w:rFonts w:hAnsi="仿宋" w:eastAsia="仿宋_GB2312" w:cs="Times New Roman"/>
          <w:sz w:val="32"/>
          <w:szCs w:val="32"/>
        </w:rPr>
      </w:pPr>
      <w:r>
        <w:rPr>
          <w:rFonts w:hint="eastAsia" w:hAnsi="仿宋" w:eastAsia="仿宋_GB2312"/>
          <w:sz w:val="32"/>
          <w:szCs w:val="32"/>
          <w:lang w:val="en-US" w:eastAsia="zh-CN"/>
        </w:rPr>
        <w:t>10.</w:t>
      </w:r>
      <w:r>
        <w:rPr>
          <w:rFonts w:hint="eastAsia" w:hAnsi="仿宋"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ind w:firstLine="883" w:firstLineChars="200"/>
        <w:jc w:val="both"/>
        <w:textAlignment w:val="auto"/>
        <w:rPr>
          <w:rFonts w:ascii="宋体"/>
          <w:b/>
          <w:color w:val="FF0000"/>
          <w:sz w:val="44"/>
          <w:szCs w:val="44"/>
          <w:highlight w:val="none"/>
        </w:rPr>
      </w:pPr>
      <w:r>
        <w:rPr>
          <w:rFonts w:ascii="宋体"/>
          <w:b/>
          <w:color w:val="FF0000"/>
          <w:sz w:val="44"/>
          <w:szCs w:val="44"/>
          <w:highlight w:val="none"/>
        </w:rPr>
        <w:br w:type="page"/>
      </w:r>
    </w:p>
    <w:p>
      <w:pPr>
        <w:numPr>
          <w:ilvl w:val="0"/>
          <w:numId w:val="4"/>
        </w:numPr>
        <w:spacing w:line="600" w:lineRule="exact"/>
        <w:ind w:left="0" w:leftChars="0" w:firstLine="660" w:firstLineChars="150"/>
        <w:jc w:val="center"/>
        <w:outlineLvl w:val="0"/>
        <w:rPr>
          <w:rStyle w:val="21"/>
          <w:rFonts w:hint="eastAsia" w:ascii="黑体" w:hAnsi="黑体" w:eastAsia="黑体"/>
          <w:b w:val="0"/>
          <w:color w:val="000000" w:themeColor="text1"/>
          <w:highlight w:val="none"/>
          <w14:textFill>
            <w14:solidFill>
              <w14:schemeClr w14:val="tx1"/>
            </w14:solidFill>
          </w14:textFill>
        </w:rPr>
      </w:pPr>
      <w:r>
        <w:rPr>
          <w:rStyle w:val="21"/>
          <w:rFonts w:hint="eastAsia" w:ascii="黑体" w:hAnsi="黑体" w:eastAsia="黑体"/>
          <w:b w:val="0"/>
          <w:color w:val="000000" w:themeColor="text1"/>
          <w:highlight w:val="none"/>
          <w:lang w:val="en-US" w:eastAsia="zh-CN"/>
          <w14:textFill>
            <w14:solidFill>
              <w14:schemeClr w14:val="tx1"/>
            </w14:solidFill>
          </w14:textFill>
        </w:rPr>
        <w:t xml:space="preserve"> </w:t>
      </w:r>
      <w:r>
        <w:rPr>
          <w:rStyle w:val="21"/>
          <w:rFonts w:hint="eastAsia" w:ascii="黑体" w:hAnsi="黑体" w:eastAsia="黑体"/>
          <w:b w:val="0"/>
          <w:color w:val="000000" w:themeColor="text1"/>
          <w:highlight w:val="none"/>
          <w14:textFill>
            <w14:solidFill>
              <w14:schemeClr w14:val="tx1"/>
            </w14:solidFill>
          </w14:textFill>
        </w:rPr>
        <w:t>附</w:t>
      </w:r>
      <w:r>
        <w:rPr>
          <w:rStyle w:val="21"/>
          <w:rFonts w:hint="eastAsia" w:ascii="黑体" w:hAnsi="黑体" w:eastAsia="黑体"/>
          <w:b w:val="0"/>
          <w:color w:val="000000" w:themeColor="text1"/>
          <w:highlight w:val="none"/>
          <w:lang w:val="en-US" w:eastAsia="zh-CN"/>
          <w14:textFill>
            <w14:solidFill>
              <w14:schemeClr w14:val="tx1"/>
            </w14:solidFill>
          </w14:textFill>
        </w:rPr>
        <w:t xml:space="preserve"> </w:t>
      </w:r>
      <w:r>
        <w:rPr>
          <w:rStyle w:val="21"/>
          <w:rFonts w:hint="eastAsia" w:ascii="黑体" w:hAnsi="黑体" w:eastAsia="黑体"/>
          <w:b w:val="0"/>
          <w:color w:val="000000" w:themeColor="text1"/>
          <w:highlight w:val="none"/>
          <w14:textFill>
            <w14:solidFill>
              <w14:schemeClr w14:val="tx1"/>
            </w14:solidFill>
          </w14:textFill>
        </w:rPr>
        <w:t>件</w:t>
      </w:r>
      <w:bookmarkEnd w:id="64"/>
      <w:bookmarkEnd w:id="65"/>
      <w:bookmarkStart w:id="68" w:name="_Toc15396618"/>
      <w:bookmarkStart w:id="69" w:name="_Toc4727"/>
    </w:p>
    <w:tbl>
      <w:tblPr>
        <w:tblStyle w:val="16"/>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633"/>
        <w:gridCol w:w="671"/>
        <w:gridCol w:w="663"/>
        <w:gridCol w:w="1673"/>
        <w:gridCol w:w="370"/>
        <w:gridCol w:w="592"/>
        <w:gridCol w:w="367"/>
        <w:gridCol w:w="858"/>
        <w:gridCol w:w="408"/>
        <w:gridCol w:w="328"/>
        <w:gridCol w:w="22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6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中国共产党广元市委员会统一战线工作部部门</w:t>
            </w:r>
          </w:p>
        </w:tc>
        <w:tc>
          <w:tcPr>
            <w:tcW w:w="484" w:type="pct"/>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7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中国民主促进会广元市委员会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19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219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bookmarkStart w:id="96" w:name="_GoBack"/>
            <w:bookmarkEnd w:id="96"/>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6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4.59</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4.59</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2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4.59</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4.59</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8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2024年民进广元市委按照年初工作计划及要求完满完成各项目标任务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2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项目负责人：杨琴</w:t>
            </w:r>
          </w:p>
        </w:tc>
        <w:tc>
          <w:tcPr>
            <w:tcW w:w="273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财务负责人：杨伦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4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3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8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30"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8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29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p>
            <w:pPr>
              <w:snapToGrid w:val="0"/>
              <w:rPr>
                <w:rFonts w:hint="eastAsia" w:ascii="宋体" w:hAnsi="宋体" w:eastAsia="宋体" w:cs="宋体"/>
                <w:i w:val="0"/>
                <w:iCs w:val="0"/>
                <w:color w:val="000000"/>
                <w:sz w:val="18"/>
                <w:szCs w:val="18"/>
                <w:u w:val="none"/>
              </w:rPr>
            </w:pPr>
          </w:p>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1061" w:hRule="atLeast"/>
          <w:jc w:val="center"/>
        </w:trPr>
        <w:tc>
          <w:tcPr>
            <w:tcW w:w="35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p>
            <w:pPr>
              <w:snapToGrid w:val="0"/>
              <w:rPr>
                <w:rFonts w:hint="eastAsia" w:ascii="宋体" w:hAnsi="宋体" w:eastAsia="宋体" w:cs="宋体"/>
                <w:i w:val="0"/>
                <w:iCs w:val="0"/>
                <w:color w:val="000000"/>
                <w:sz w:val="18"/>
                <w:szCs w:val="18"/>
                <w:u w:val="none"/>
              </w:rPr>
            </w:pPr>
          </w:p>
          <w:p>
            <w:pPr>
              <w:snapToGrid w:val="0"/>
              <w:rPr>
                <w:rFonts w:hint="eastAsia" w:ascii="宋体" w:hAnsi="宋体" w:eastAsia="宋体" w:cs="宋体"/>
                <w:i w:val="0"/>
                <w:iCs w:val="0"/>
                <w:color w:val="000000"/>
                <w:sz w:val="18"/>
                <w:szCs w:val="18"/>
                <w:u w:val="none"/>
              </w:rPr>
            </w:pPr>
          </w:p>
          <w:p>
            <w:pPr>
              <w:snapToGrid w:val="0"/>
              <w:rPr>
                <w:rFonts w:hint="eastAsia" w:ascii="宋体" w:hAnsi="宋体" w:eastAsia="宋体" w:cs="宋体"/>
                <w:i w:val="0"/>
                <w:iCs w:val="0"/>
                <w:color w:val="000000"/>
                <w:sz w:val="18"/>
                <w:szCs w:val="18"/>
                <w:u w:val="none"/>
              </w:rPr>
            </w:pPr>
          </w:p>
        </w:tc>
        <w:tc>
          <w:tcPr>
            <w:tcW w:w="37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4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3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8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30"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8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29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6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51080024R000010823060-单位缴费（在职人员五险两金）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中国共产党广元市委员会统一战线工作部部门</w:t>
            </w:r>
          </w:p>
        </w:tc>
        <w:tc>
          <w:tcPr>
            <w:tcW w:w="484" w:type="pct"/>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7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中国民主促进会广元市委员会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19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219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6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12.46</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12.46</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12.46</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2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12.46</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12.46</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12.46</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8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2024年民进广元市委按照年初工作计划及要求完满完成各项目标任务。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2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项目负责人：杨琴</w:t>
            </w:r>
          </w:p>
        </w:tc>
        <w:tc>
          <w:tcPr>
            <w:tcW w:w="273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财务负责人：杨伦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4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3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8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30"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8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29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6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51080024R000010824550-公务员基础绩效奖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中国共产党广元市委员会统一战线工作部部门</w:t>
            </w:r>
          </w:p>
        </w:tc>
        <w:tc>
          <w:tcPr>
            <w:tcW w:w="484" w:type="pct"/>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7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中国民主促进会广元市委员会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19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219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6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11.01</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11.01</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11.01</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2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11.01</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11.01</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11.01</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8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2024年民进广元市委按照年初工作计划及要求完满完成各项目标任务。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2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项目负责人：杨琴</w:t>
            </w:r>
          </w:p>
        </w:tc>
        <w:tc>
          <w:tcPr>
            <w:tcW w:w="273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财务负责人：杨伦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4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3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8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30"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8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29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6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51080024R000010825320-退休人员生活补（助）贴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中国共产党广元市委员会统一战线工作部部门</w:t>
            </w:r>
          </w:p>
        </w:tc>
        <w:tc>
          <w:tcPr>
            <w:tcW w:w="484" w:type="pct"/>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7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中国民主促进会广元市委员会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19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219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6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5.04</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5.04</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5.04</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2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5.04</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5.04</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5.04</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8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2024年民进广元市委按照年初工作计划及要求完满完成各项目标任务。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2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项目负责人：杨琴</w:t>
            </w:r>
          </w:p>
        </w:tc>
        <w:tc>
          <w:tcPr>
            <w:tcW w:w="273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财务负责人：杨伦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4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3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8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30"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8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29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6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51080024R000010828112-行政人员工资性支出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中国共产党广元市委员会统一战线工作部部门</w:t>
            </w:r>
          </w:p>
        </w:tc>
        <w:tc>
          <w:tcPr>
            <w:tcW w:w="484" w:type="pct"/>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7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中国民主促进会广元市委员会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19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219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6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25.04</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25.04</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25.04</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2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25.04</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25.04</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25.04</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8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2024年民进广元市委按照年初工作计划及要求完满完成各项目标任务。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2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项目负责人：杨琴</w:t>
            </w:r>
          </w:p>
        </w:tc>
        <w:tc>
          <w:tcPr>
            <w:tcW w:w="273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财务负责人：杨伦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4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3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8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30"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8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29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6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51080024R000010851755-人员其他支出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中国共产党广元市委员会统一战线工作部部门</w:t>
            </w:r>
          </w:p>
        </w:tc>
        <w:tc>
          <w:tcPr>
            <w:tcW w:w="484" w:type="pct"/>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7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中国民主促进会广元市委员会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19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219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6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0.09</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0.09</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0.09</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2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0.09</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0.09</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0.09</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8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2024年民进广元市委按照年初工作计划及要求完满完成各项目标任务。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2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项目负责人：杨琴</w:t>
            </w:r>
          </w:p>
        </w:tc>
        <w:tc>
          <w:tcPr>
            <w:tcW w:w="273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财务负责人：杨伦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4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3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8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30"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8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29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6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中国共产党广元市委员会统一战线工作部部门</w:t>
            </w:r>
          </w:p>
        </w:tc>
        <w:tc>
          <w:tcPr>
            <w:tcW w:w="484" w:type="pct"/>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7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中国民主促进会广元市委员会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19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219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6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0.75</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0.75</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0.75</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2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0.75</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0.75</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0.75</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8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2024年民进广元市委按照年初工作计划及要求完满完成各项目标任务。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2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项目负责人：杨琴</w:t>
            </w:r>
          </w:p>
        </w:tc>
        <w:tc>
          <w:tcPr>
            <w:tcW w:w="273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财务负责人：杨伦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4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3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8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30"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8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29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6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51080024Y000010829138-定额公用经费（行政）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中国共产党广元市委员会统一战线工作部部门</w:t>
            </w:r>
          </w:p>
        </w:tc>
        <w:tc>
          <w:tcPr>
            <w:tcW w:w="484" w:type="pct"/>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7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中国民主促进会广元市委员会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19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219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6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2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8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2024年民进广元市委按照年初工作计划及要求完满完成各项目标任务。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2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项目负责人：杨琴</w:t>
            </w:r>
          </w:p>
        </w:tc>
        <w:tc>
          <w:tcPr>
            <w:tcW w:w="273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财务负责人：杨伦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4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3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8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30"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8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29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6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中国共产党广元市委员会统一战线工作部部门</w:t>
            </w:r>
          </w:p>
        </w:tc>
        <w:tc>
          <w:tcPr>
            <w:tcW w:w="484" w:type="pct"/>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7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中国民主促进会广元市委员会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19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219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6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3.61</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3.61</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3.56</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98.68%</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2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3.61</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3.61</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3.56</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98.68%</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8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2024年民进广元市委按照年初工作计划及要求完满完成各项目标任务。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2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项目负责人：杨琴</w:t>
            </w:r>
          </w:p>
        </w:tc>
        <w:tc>
          <w:tcPr>
            <w:tcW w:w="273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财务负责人：杨伦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4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3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8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30"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8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29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1、报表说明:该报表查询项目信息、绩效目标信息、预算及执行情况，用于预算单位查询导出开展项目自评。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2、取数口径：部门项目绩效目标表信息，包括年初预算、追加预算、结转预算和调整预算的绩效目标（以项目的最终绩效目标为准）。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适用地区：全省范围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适用用户：部门用户、单位用户</w:t>
            </w:r>
          </w:p>
        </w:tc>
      </w:tr>
    </w:tbl>
    <w:p>
      <w:pPr>
        <w:pStyle w:val="2"/>
        <w:rPr>
          <w:rStyle w:val="21"/>
          <w:rFonts w:hint="eastAsia" w:ascii="黑体" w:hAnsi="黑体" w:eastAsia="黑体"/>
          <w:b w:val="0"/>
          <w:color w:val="000000" w:themeColor="text1"/>
          <w:highlight w:val="none"/>
          <w14:textFill>
            <w14:solidFill>
              <w14:schemeClr w14:val="tx1"/>
            </w14:solidFill>
          </w14:textFill>
        </w:rPr>
      </w:pPr>
    </w:p>
    <w:p>
      <w:pPr>
        <w:pStyle w:val="2"/>
        <w:rPr>
          <w:rStyle w:val="21"/>
          <w:rFonts w:hint="eastAsia" w:ascii="黑体" w:hAnsi="黑体" w:eastAsia="黑体"/>
          <w:b w:val="0"/>
          <w:color w:val="000000" w:themeColor="text1"/>
          <w:highlight w:val="none"/>
          <w14:textFill>
            <w14:solidFill>
              <w14:schemeClr w14:val="tx1"/>
            </w14:solidFill>
          </w14:textFill>
        </w:rPr>
      </w:pPr>
    </w:p>
    <w:tbl>
      <w:tblPr>
        <w:tblStyle w:val="16"/>
        <w:tblW w:w="959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9"/>
        <w:gridCol w:w="798"/>
        <w:gridCol w:w="1377"/>
        <w:gridCol w:w="2006"/>
        <w:gridCol w:w="515"/>
        <w:gridCol w:w="861"/>
        <w:gridCol w:w="396"/>
        <w:gridCol w:w="846"/>
        <w:gridCol w:w="504"/>
        <w:gridCol w:w="486"/>
        <w:gridCol w:w="11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959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项目名称</w:t>
            </w:r>
          </w:p>
        </w:tc>
        <w:tc>
          <w:tcPr>
            <w:tcW w:w="811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51080023T000008425900-民主党派专项工作经费(含直属支部工作经费)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主管部门</w:t>
            </w:r>
          </w:p>
        </w:tc>
        <w:tc>
          <w:tcPr>
            <w:tcW w:w="51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中国共产党广元市委员会统一战线工作部部门</w:t>
            </w:r>
          </w:p>
        </w:tc>
        <w:tc>
          <w:tcPr>
            <w:tcW w:w="84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实施单位 （盖章）</w:t>
            </w:r>
          </w:p>
        </w:tc>
        <w:tc>
          <w:tcPr>
            <w:tcW w:w="21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中国民主促进会广元市委员会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项目基本情况</w:t>
            </w:r>
          </w:p>
        </w:tc>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1.项目年度目标完成情况</w:t>
            </w:r>
          </w:p>
        </w:tc>
        <w:tc>
          <w:tcPr>
            <w:tcW w:w="51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项目年度目标</w:t>
            </w:r>
          </w:p>
        </w:tc>
        <w:tc>
          <w:tcPr>
            <w:tcW w:w="29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2"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u w:val="none"/>
              </w:rPr>
            </w:pPr>
          </w:p>
        </w:tc>
        <w:tc>
          <w:tcPr>
            <w:tcW w:w="51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1、履行参政议政职责，开展调查研究，撰写调研报告和社情民意信息，积极建言献策，为广元经济社会发展献计出力。</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2、开展民主监督工作。</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3、履行政治协商职能，深入调研，撰写建言资政报告。</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4、积极开展社会服务工作，开展送文化、送温暖、送教等活动，积极争取社会各界扶贫援助项目等。</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5、协助民进四川省委会在剑阁县乡村振兴帮扶联系点开展相关工作。</w:t>
            </w:r>
          </w:p>
        </w:tc>
        <w:tc>
          <w:tcPr>
            <w:tcW w:w="29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2024年民进广元市委按照年初工作计划及要求圆满完成各项目标任务.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u w:val="none"/>
              </w:rPr>
            </w:pP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2.项目实施内容及过程概述</w:t>
            </w:r>
          </w:p>
        </w:tc>
        <w:tc>
          <w:tcPr>
            <w:tcW w:w="811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一、完成参政议政调研、民主监督、社会服务工作。二、完成建言献策课题调研，形成调研报告和意见建议。三社会服务活动。四、开展主题教育及会员培训活动。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预算执行情况（10分）</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年度预算数（万元）</w:t>
            </w:r>
          </w:p>
        </w:tc>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年初预算</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调整后预算数</w:t>
            </w:r>
          </w:p>
        </w:tc>
        <w:tc>
          <w:tcPr>
            <w:tcW w:w="1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总额</w:t>
            </w:r>
          </w:p>
        </w:tc>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20.35</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20.35</w:t>
            </w:r>
          </w:p>
        </w:tc>
        <w:tc>
          <w:tcPr>
            <w:tcW w:w="1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20.35</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1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其中：财政资金</w:t>
            </w:r>
          </w:p>
        </w:tc>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20.35</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20.35</w:t>
            </w:r>
          </w:p>
        </w:tc>
        <w:tc>
          <w:tcPr>
            <w:tcW w:w="1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20.35</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1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财政专户管理资金</w:t>
            </w:r>
          </w:p>
        </w:tc>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1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单位资金</w:t>
            </w:r>
          </w:p>
        </w:tc>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1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其他资金</w:t>
            </w:r>
          </w:p>
        </w:tc>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1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绩效指标（90分）</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一级指标</w:t>
            </w:r>
          </w:p>
        </w:tc>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二级指标</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指标性质</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指标值</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产出指标</w:t>
            </w:r>
          </w:p>
        </w:tc>
        <w:tc>
          <w:tcPr>
            <w:tcW w:w="13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数量指标</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参加政治协商会议数量</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6</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开展民主监督次数</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完成调研课题数量</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每个</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完成社情民意信息数量</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29</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组织开展社会服务活动场次</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33</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开展主题教育活动场次</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质量指标</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活动社会影响面大，完成省级以上媒体报道率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完成调研成果率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完成社情民意率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完成主题教育活动成果在省级以上媒体报到率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时效指标</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完成时限</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效益指标</w:t>
            </w:r>
          </w:p>
        </w:tc>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经济效益指标</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维护广元市民主党派建言献策积极性</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定性</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优</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级</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优</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可持续发展指标</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可引用年限</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满意度指标</w:t>
            </w:r>
          </w:p>
        </w:tc>
        <w:tc>
          <w:tcPr>
            <w:tcW w:w="13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满意度指标</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党委、政府满意度</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会员、群众满意度</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成本指标</w:t>
            </w:r>
          </w:p>
        </w:tc>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经济成本指标</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民主党派及支部完成党派职责</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20.35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万元</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20.35</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47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评价结论</w:t>
            </w:r>
          </w:p>
        </w:tc>
        <w:tc>
          <w:tcPr>
            <w:tcW w:w="89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2024年民进广元市委在市委、市政府的领导下，顺利完成了各项目标任务，工作中取得以下成绩。1.认真参政履职。2.扎实开展调查研究。形成调研课题18篇。3.积极反映社情民意。全年，向省委会.市政协、市委统战部报送社情民意信息25条。4.整合资源优势，不断增强社会服务质效，在乡村振兴中，发挥了民进能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存在问题</w:t>
            </w:r>
          </w:p>
        </w:tc>
        <w:tc>
          <w:tcPr>
            <w:tcW w:w="89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存在问题和不足：财务制度执行力有待加强，资金使用计划有待细化。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改进措施</w:t>
            </w:r>
          </w:p>
        </w:tc>
        <w:tc>
          <w:tcPr>
            <w:tcW w:w="89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一是进一步加强财务人员业务水平的培训和提高；二是进一步完善财务管理制度，严格资金审批程序，加大资金监管力，确保各项资金正确使用，遵守资金使用制度，杜绝违规违纪现象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项目负责人：杨琴</w:t>
            </w:r>
          </w:p>
        </w:tc>
        <w:tc>
          <w:tcPr>
            <w:tcW w:w="42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财务负责人：杨伦</w:t>
            </w:r>
          </w:p>
        </w:tc>
      </w:tr>
    </w:tbl>
    <w:p>
      <w:pPr>
        <w:spacing w:line="600" w:lineRule="exact"/>
        <w:ind w:firstLine="2640" w:firstLineChars="600"/>
        <w:jc w:val="both"/>
        <w:outlineLvl w:val="0"/>
        <w:rPr>
          <w:rFonts w:hint="eastAsia" w:ascii="仿宋" w:hAnsi="仿宋" w:eastAsia="仿宋"/>
          <w:b w:val="0"/>
          <w:color w:val="auto"/>
          <w:highlight w:val="none"/>
        </w:rPr>
      </w:pPr>
      <w:r>
        <w:rPr>
          <w:rFonts w:hint="eastAsia" w:ascii="黑体" w:hAnsi="黑体" w:eastAsia="黑体"/>
          <w:color w:val="auto"/>
          <w:sz w:val="44"/>
          <w:szCs w:val="44"/>
          <w:highlight w:val="none"/>
        </w:rPr>
        <w:t>第</w:t>
      </w:r>
      <w:r>
        <w:rPr>
          <w:rStyle w:val="21"/>
          <w:rFonts w:hint="eastAsia" w:ascii="黑体" w:hAnsi="黑体" w:eastAsia="黑体"/>
          <w:b w:val="0"/>
          <w:color w:val="auto"/>
          <w:highlight w:val="none"/>
        </w:rPr>
        <w:t xml:space="preserve">五部分 </w:t>
      </w:r>
      <w:r>
        <w:rPr>
          <w:rStyle w:val="21"/>
          <w:rFonts w:hint="eastAsia" w:ascii="黑体" w:hAnsi="黑体" w:eastAsia="黑体"/>
          <w:b w:val="0"/>
          <w:color w:val="auto"/>
          <w:highlight w:val="none"/>
          <w:lang w:val="en-US" w:eastAsia="zh-CN"/>
        </w:rPr>
        <w:t xml:space="preserve"> </w:t>
      </w:r>
      <w:r>
        <w:rPr>
          <w:rStyle w:val="21"/>
          <w:rFonts w:hint="eastAsia" w:ascii="黑体" w:hAnsi="黑体" w:eastAsia="黑体"/>
          <w:b w:val="0"/>
          <w:color w:val="auto"/>
          <w:highlight w:val="none"/>
        </w:rPr>
        <w:t>附</w:t>
      </w:r>
      <w:r>
        <w:rPr>
          <w:rStyle w:val="21"/>
          <w:rFonts w:hint="eastAsia" w:ascii="黑体" w:hAnsi="黑体" w:eastAsia="黑体"/>
          <w:b w:val="0"/>
          <w:color w:val="auto"/>
          <w:highlight w:val="none"/>
          <w:lang w:val="en-US" w:eastAsia="zh-CN"/>
        </w:rPr>
        <w:t xml:space="preserve"> </w:t>
      </w:r>
      <w:r>
        <w:rPr>
          <w:rStyle w:val="21"/>
          <w:rFonts w:hint="eastAsia" w:ascii="黑体" w:hAnsi="黑体" w:eastAsia="黑体"/>
          <w:b w:val="0"/>
          <w:color w:val="auto"/>
          <w:highlight w:val="none"/>
        </w:rPr>
        <w:t>表</w:t>
      </w:r>
      <w:bookmarkEnd w:id="66"/>
      <w:bookmarkEnd w:id="68"/>
      <w:bookmarkEnd w:id="69"/>
      <w:bookmarkStart w:id="70" w:name="_Toc15396619"/>
    </w:p>
    <w:p>
      <w:pPr>
        <w:pStyle w:val="4"/>
        <w:keepNext/>
        <w:keepLines/>
        <w:pageBreakBefore w:val="0"/>
        <w:widowControl w:val="0"/>
        <w:kinsoku/>
        <w:wordWrap/>
        <w:overflowPunct/>
        <w:topLinePunct w:val="0"/>
        <w:autoSpaceDE/>
        <w:autoSpaceDN/>
        <w:bidi w:val="0"/>
        <w:adjustRightInd/>
        <w:snapToGrid/>
        <w:spacing w:before="0" w:after="0" w:line="600" w:lineRule="exact"/>
        <w:textAlignment w:val="auto"/>
        <w:rPr>
          <w:rFonts w:hint="eastAsia" w:ascii="仿宋" w:hAnsi="仿宋" w:eastAsia="仿宋"/>
          <w:b w:val="0"/>
          <w:color w:val="auto"/>
          <w:highlight w:val="none"/>
        </w:rPr>
      </w:pPr>
      <w:bookmarkStart w:id="71" w:name="_Toc5714"/>
    </w:p>
    <w:p>
      <w:pPr>
        <w:pStyle w:val="4"/>
        <w:keepNext/>
        <w:keepLines/>
        <w:pageBreakBefore w:val="0"/>
        <w:widowControl w:val="0"/>
        <w:kinsoku/>
        <w:wordWrap/>
        <w:overflowPunct/>
        <w:topLinePunct w:val="0"/>
        <w:autoSpaceDE/>
        <w:autoSpaceDN/>
        <w:bidi w:val="0"/>
        <w:adjustRightInd/>
        <w:snapToGrid/>
        <w:spacing w:before="0" w:after="0" w:line="600" w:lineRule="exact"/>
        <w:textAlignment w:val="auto"/>
        <w:rPr>
          <w:rFonts w:ascii="仿宋" w:hAnsi="仿宋" w:eastAsia="仿宋"/>
          <w:color w:val="auto"/>
          <w:highlight w:val="none"/>
        </w:rPr>
      </w:pPr>
      <w:r>
        <w:rPr>
          <w:rFonts w:hint="eastAsia" w:ascii="仿宋" w:hAnsi="仿宋" w:eastAsia="仿宋"/>
          <w:b w:val="0"/>
          <w:color w:val="auto"/>
          <w:highlight w:val="none"/>
        </w:rPr>
        <w:t>一、收</w:t>
      </w:r>
      <w:r>
        <w:rPr>
          <w:rStyle w:val="20"/>
          <w:rFonts w:hint="eastAsia" w:ascii="仿宋" w:hAnsi="仿宋" w:eastAsia="仿宋"/>
          <w:b w:val="0"/>
          <w:bCs w:val="0"/>
          <w:color w:val="auto"/>
          <w:highlight w:val="none"/>
        </w:rPr>
        <w:t>入支出决算总表</w:t>
      </w:r>
      <w:bookmarkEnd w:id="70"/>
      <w:bookmarkEnd w:id="71"/>
    </w:p>
    <w:p>
      <w:pPr>
        <w:pStyle w:val="4"/>
        <w:keepNext/>
        <w:keepLines/>
        <w:pageBreakBefore w:val="0"/>
        <w:widowControl w:val="0"/>
        <w:kinsoku/>
        <w:wordWrap/>
        <w:overflowPunct/>
        <w:topLinePunct w:val="0"/>
        <w:autoSpaceDE/>
        <w:autoSpaceDN/>
        <w:bidi w:val="0"/>
        <w:adjustRightInd/>
        <w:snapToGrid/>
        <w:spacing w:before="0" w:after="0" w:line="600" w:lineRule="exact"/>
        <w:textAlignment w:val="auto"/>
        <w:rPr>
          <w:rFonts w:ascii="仿宋" w:hAnsi="仿宋" w:eastAsia="仿宋"/>
          <w:color w:val="auto"/>
          <w:highlight w:val="none"/>
        </w:rPr>
      </w:pPr>
      <w:bookmarkStart w:id="72" w:name="_Toc15396620"/>
      <w:bookmarkStart w:id="73" w:name="_Toc6383"/>
      <w:r>
        <w:rPr>
          <w:rFonts w:hint="eastAsia" w:ascii="仿宋" w:hAnsi="仿宋" w:eastAsia="仿宋"/>
          <w:b w:val="0"/>
          <w:color w:val="auto"/>
          <w:highlight w:val="none"/>
        </w:rPr>
        <w:t>二、收</w:t>
      </w:r>
      <w:r>
        <w:rPr>
          <w:rStyle w:val="20"/>
          <w:rFonts w:hint="eastAsia" w:ascii="仿宋" w:hAnsi="仿宋" w:eastAsia="仿宋"/>
          <w:b w:val="0"/>
          <w:bCs w:val="0"/>
          <w:color w:val="auto"/>
          <w:highlight w:val="none"/>
        </w:rPr>
        <w:t>入决算表</w:t>
      </w:r>
      <w:bookmarkEnd w:id="72"/>
      <w:bookmarkEnd w:id="73"/>
    </w:p>
    <w:p>
      <w:pPr>
        <w:pStyle w:val="4"/>
        <w:keepNext/>
        <w:keepLines/>
        <w:pageBreakBefore w:val="0"/>
        <w:widowControl w:val="0"/>
        <w:kinsoku/>
        <w:wordWrap/>
        <w:overflowPunct/>
        <w:topLinePunct w:val="0"/>
        <w:autoSpaceDE/>
        <w:autoSpaceDN/>
        <w:bidi w:val="0"/>
        <w:adjustRightInd/>
        <w:snapToGrid/>
        <w:spacing w:before="0" w:after="0" w:line="600" w:lineRule="exact"/>
        <w:textAlignment w:val="auto"/>
        <w:rPr>
          <w:rFonts w:ascii="仿宋" w:hAnsi="仿宋" w:eastAsia="仿宋"/>
          <w:color w:val="auto"/>
          <w:highlight w:val="none"/>
        </w:rPr>
      </w:pPr>
      <w:bookmarkStart w:id="74" w:name="_Toc14524"/>
      <w:bookmarkStart w:id="75" w:name="_Toc15396621"/>
      <w:r>
        <w:rPr>
          <w:rStyle w:val="20"/>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0"/>
          <w:rFonts w:hint="eastAsia" w:ascii="仿宋" w:hAnsi="仿宋" w:eastAsia="仿宋"/>
          <w:b w:val="0"/>
          <w:bCs w:val="0"/>
          <w:color w:val="auto"/>
          <w:highlight w:val="none"/>
        </w:rPr>
        <w:t>出决算表</w:t>
      </w:r>
      <w:bookmarkEnd w:id="74"/>
      <w:bookmarkEnd w:id="75"/>
    </w:p>
    <w:p>
      <w:pPr>
        <w:pStyle w:val="4"/>
        <w:keepNext/>
        <w:keepLines/>
        <w:pageBreakBefore w:val="0"/>
        <w:widowControl w:val="0"/>
        <w:kinsoku/>
        <w:wordWrap/>
        <w:overflowPunct/>
        <w:topLinePunct w:val="0"/>
        <w:autoSpaceDE/>
        <w:autoSpaceDN/>
        <w:bidi w:val="0"/>
        <w:adjustRightInd/>
        <w:snapToGrid/>
        <w:spacing w:before="0" w:after="0" w:line="600" w:lineRule="exact"/>
        <w:textAlignment w:val="auto"/>
        <w:rPr>
          <w:rFonts w:ascii="仿宋" w:hAnsi="仿宋" w:eastAsia="仿宋"/>
          <w:b w:val="0"/>
          <w:color w:val="auto"/>
          <w:highlight w:val="none"/>
        </w:rPr>
      </w:pPr>
      <w:bookmarkStart w:id="76" w:name="_Toc15396622"/>
      <w:bookmarkStart w:id="77" w:name="_Toc11227"/>
      <w:r>
        <w:rPr>
          <w:rStyle w:val="20"/>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0"/>
          <w:rFonts w:hint="eastAsia" w:ascii="仿宋" w:hAnsi="仿宋" w:eastAsia="仿宋"/>
          <w:b w:val="0"/>
          <w:bCs w:val="0"/>
          <w:color w:val="auto"/>
          <w:highlight w:val="none"/>
        </w:rPr>
        <w:t>政拨款收入支出决算总表</w:t>
      </w:r>
      <w:bookmarkEnd w:id="76"/>
      <w:bookmarkEnd w:id="77"/>
    </w:p>
    <w:p>
      <w:pPr>
        <w:pStyle w:val="4"/>
        <w:keepNext/>
        <w:keepLines/>
        <w:pageBreakBefore w:val="0"/>
        <w:widowControl w:val="0"/>
        <w:kinsoku/>
        <w:wordWrap/>
        <w:overflowPunct/>
        <w:topLinePunct w:val="0"/>
        <w:autoSpaceDE/>
        <w:autoSpaceDN/>
        <w:bidi w:val="0"/>
        <w:adjustRightInd/>
        <w:snapToGrid/>
        <w:spacing w:before="0" w:after="0" w:line="600" w:lineRule="exact"/>
        <w:textAlignment w:val="auto"/>
        <w:rPr>
          <w:rStyle w:val="20"/>
          <w:rFonts w:ascii="仿宋" w:hAnsi="仿宋" w:eastAsia="仿宋"/>
          <w:b w:val="0"/>
          <w:bCs w:val="0"/>
          <w:color w:val="auto"/>
          <w:highlight w:val="none"/>
        </w:rPr>
      </w:pPr>
      <w:bookmarkStart w:id="78" w:name="_Toc15396623"/>
      <w:bookmarkStart w:id="79" w:name="_Toc16030"/>
      <w:r>
        <w:rPr>
          <w:rStyle w:val="20"/>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0"/>
          <w:rFonts w:hint="eastAsia" w:ascii="仿宋" w:hAnsi="仿宋" w:eastAsia="仿宋"/>
          <w:b w:val="0"/>
          <w:bCs w:val="0"/>
          <w:color w:val="auto"/>
          <w:highlight w:val="none"/>
        </w:rPr>
        <w:t>政拨款支出决算明细表</w:t>
      </w:r>
      <w:bookmarkEnd w:id="78"/>
      <w:bookmarkEnd w:id="79"/>
      <w:bookmarkStart w:id="80" w:name="_Toc15396624"/>
    </w:p>
    <w:p>
      <w:pPr>
        <w:pStyle w:val="4"/>
        <w:keepNext/>
        <w:keepLines/>
        <w:pageBreakBefore w:val="0"/>
        <w:widowControl w:val="0"/>
        <w:kinsoku/>
        <w:wordWrap/>
        <w:overflowPunct/>
        <w:topLinePunct w:val="0"/>
        <w:autoSpaceDE/>
        <w:autoSpaceDN/>
        <w:bidi w:val="0"/>
        <w:adjustRightInd/>
        <w:snapToGrid/>
        <w:spacing w:before="0" w:after="0" w:line="600" w:lineRule="exact"/>
        <w:textAlignment w:val="auto"/>
        <w:rPr>
          <w:rFonts w:ascii="仿宋" w:hAnsi="仿宋" w:eastAsia="仿宋"/>
          <w:color w:val="auto"/>
          <w:highlight w:val="none"/>
        </w:rPr>
      </w:pPr>
      <w:bookmarkStart w:id="81" w:name="_Toc22244"/>
      <w:r>
        <w:rPr>
          <w:rStyle w:val="20"/>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0"/>
          <w:rFonts w:hint="eastAsia" w:ascii="仿宋" w:hAnsi="仿宋" w:eastAsia="仿宋"/>
          <w:b w:val="0"/>
          <w:bCs w:val="0"/>
          <w:color w:val="auto"/>
          <w:highlight w:val="none"/>
        </w:rPr>
        <w:t>般公共预算财政拨款支出决算表</w:t>
      </w:r>
      <w:bookmarkEnd w:id="80"/>
      <w:bookmarkEnd w:id="81"/>
    </w:p>
    <w:p>
      <w:pPr>
        <w:pStyle w:val="4"/>
        <w:keepNext/>
        <w:keepLines/>
        <w:pageBreakBefore w:val="0"/>
        <w:widowControl w:val="0"/>
        <w:kinsoku/>
        <w:wordWrap/>
        <w:overflowPunct/>
        <w:topLinePunct w:val="0"/>
        <w:autoSpaceDE/>
        <w:autoSpaceDN/>
        <w:bidi w:val="0"/>
        <w:adjustRightInd/>
        <w:snapToGrid/>
        <w:spacing w:before="0" w:after="0" w:line="600" w:lineRule="exact"/>
        <w:textAlignment w:val="auto"/>
        <w:rPr>
          <w:rFonts w:ascii="仿宋" w:hAnsi="仿宋" w:eastAsia="仿宋"/>
          <w:color w:val="auto"/>
          <w:highlight w:val="none"/>
        </w:rPr>
      </w:pPr>
      <w:bookmarkStart w:id="82" w:name="_Toc7574"/>
      <w:bookmarkStart w:id="83" w:name="_Toc15396625"/>
      <w:r>
        <w:rPr>
          <w:rStyle w:val="20"/>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0"/>
          <w:rFonts w:hint="eastAsia" w:ascii="仿宋" w:hAnsi="仿宋" w:eastAsia="仿宋"/>
          <w:b w:val="0"/>
          <w:bCs w:val="0"/>
          <w:color w:val="auto"/>
          <w:highlight w:val="none"/>
        </w:rPr>
        <w:t>般公共预算财政拨款支出决算明细表</w:t>
      </w:r>
      <w:bookmarkEnd w:id="82"/>
      <w:bookmarkEnd w:id="83"/>
    </w:p>
    <w:p>
      <w:pPr>
        <w:pStyle w:val="4"/>
        <w:keepNext/>
        <w:keepLines/>
        <w:pageBreakBefore w:val="0"/>
        <w:widowControl w:val="0"/>
        <w:kinsoku/>
        <w:wordWrap/>
        <w:overflowPunct/>
        <w:topLinePunct w:val="0"/>
        <w:autoSpaceDE/>
        <w:autoSpaceDN/>
        <w:bidi w:val="0"/>
        <w:adjustRightInd/>
        <w:snapToGrid/>
        <w:spacing w:before="0" w:after="0" w:line="600" w:lineRule="exact"/>
        <w:textAlignment w:val="auto"/>
        <w:rPr>
          <w:rFonts w:ascii="仿宋" w:hAnsi="仿宋" w:eastAsia="仿宋"/>
          <w:color w:val="auto"/>
          <w:highlight w:val="none"/>
        </w:rPr>
      </w:pPr>
      <w:bookmarkStart w:id="84" w:name="_Toc22370"/>
      <w:bookmarkStart w:id="85" w:name="_Toc15396626"/>
      <w:r>
        <w:rPr>
          <w:rStyle w:val="20"/>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0"/>
          <w:rFonts w:hint="eastAsia" w:ascii="仿宋" w:hAnsi="仿宋" w:eastAsia="仿宋"/>
          <w:b w:val="0"/>
          <w:bCs w:val="0"/>
          <w:color w:val="auto"/>
          <w:highlight w:val="none"/>
        </w:rPr>
        <w:t>般公共预算财政拨款基本支出决算表</w:t>
      </w:r>
      <w:bookmarkEnd w:id="84"/>
      <w:bookmarkEnd w:id="85"/>
    </w:p>
    <w:p>
      <w:pPr>
        <w:pStyle w:val="4"/>
        <w:keepNext/>
        <w:keepLines/>
        <w:pageBreakBefore w:val="0"/>
        <w:widowControl w:val="0"/>
        <w:kinsoku/>
        <w:wordWrap/>
        <w:overflowPunct/>
        <w:topLinePunct w:val="0"/>
        <w:autoSpaceDE/>
        <w:autoSpaceDN/>
        <w:bidi w:val="0"/>
        <w:adjustRightInd/>
        <w:snapToGrid/>
        <w:spacing w:before="0" w:after="0" w:line="600" w:lineRule="exact"/>
        <w:textAlignment w:val="auto"/>
        <w:rPr>
          <w:rFonts w:ascii="仿宋" w:hAnsi="仿宋" w:eastAsia="仿宋"/>
          <w:color w:val="auto"/>
          <w:highlight w:val="none"/>
        </w:rPr>
      </w:pPr>
      <w:bookmarkStart w:id="86" w:name="_Toc2822"/>
      <w:bookmarkStart w:id="87" w:name="_Toc15396627"/>
      <w:r>
        <w:rPr>
          <w:rStyle w:val="20"/>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0"/>
          <w:rFonts w:hint="eastAsia" w:ascii="仿宋" w:hAnsi="仿宋" w:eastAsia="仿宋"/>
          <w:b w:val="0"/>
          <w:bCs w:val="0"/>
          <w:color w:val="auto"/>
          <w:highlight w:val="none"/>
        </w:rPr>
        <w:t>般公共预算财政拨款项目支出决算表</w:t>
      </w:r>
      <w:bookmarkEnd w:id="86"/>
      <w:bookmarkEnd w:id="87"/>
    </w:p>
    <w:p>
      <w:pPr>
        <w:pStyle w:val="4"/>
        <w:keepNext/>
        <w:keepLines/>
        <w:pageBreakBefore w:val="0"/>
        <w:widowControl w:val="0"/>
        <w:kinsoku/>
        <w:wordWrap/>
        <w:overflowPunct/>
        <w:topLinePunct w:val="0"/>
        <w:autoSpaceDE/>
        <w:autoSpaceDN/>
        <w:bidi w:val="0"/>
        <w:adjustRightInd/>
        <w:snapToGrid/>
        <w:spacing w:before="0" w:after="0" w:line="600" w:lineRule="exact"/>
        <w:textAlignment w:val="auto"/>
        <w:rPr>
          <w:rFonts w:ascii="仿宋" w:hAnsi="仿宋" w:eastAsia="仿宋"/>
          <w:color w:val="auto"/>
          <w:highlight w:val="none"/>
        </w:rPr>
      </w:pPr>
      <w:bookmarkStart w:id="88" w:name="_Toc15396628"/>
      <w:bookmarkStart w:id="89" w:name="_Toc27892"/>
      <w:r>
        <w:rPr>
          <w:rStyle w:val="20"/>
          <w:rFonts w:hint="eastAsia" w:ascii="仿宋" w:hAnsi="仿宋" w:eastAsia="仿宋"/>
          <w:b w:val="0"/>
          <w:bCs w:val="0"/>
          <w:color w:val="auto"/>
          <w:highlight w:val="none"/>
        </w:rPr>
        <w:t>十、</w:t>
      </w:r>
      <w:bookmarkEnd w:id="88"/>
      <w:r>
        <w:rPr>
          <w:rFonts w:hint="eastAsia" w:ascii="仿宋" w:hAnsi="仿宋" w:eastAsia="仿宋"/>
          <w:b w:val="0"/>
          <w:color w:val="auto"/>
          <w:highlight w:val="none"/>
        </w:rPr>
        <w:t>政</w:t>
      </w:r>
      <w:r>
        <w:rPr>
          <w:rStyle w:val="20"/>
          <w:rFonts w:hint="eastAsia" w:ascii="仿宋" w:hAnsi="仿宋" w:eastAsia="仿宋"/>
          <w:b w:val="0"/>
          <w:bCs w:val="0"/>
          <w:color w:val="auto"/>
          <w:highlight w:val="none"/>
        </w:rPr>
        <w:t>府性基金预算财政拨款收入支出决算表</w:t>
      </w:r>
      <w:bookmarkEnd w:id="89"/>
    </w:p>
    <w:p>
      <w:pPr>
        <w:pStyle w:val="4"/>
        <w:keepNext/>
        <w:keepLines/>
        <w:pageBreakBefore w:val="0"/>
        <w:widowControl w:val="0"/>
        <w:kinsoku/>
        <w:wordWrap/>
        <w:overflowPunct/>
        <w:topLinePunct w:val="0"/>
        <w:autoSpaceDE/>
        <w:autoSpaceDN/>
        <w:bidi w:val="0"/>
        <w:adjustRightInd/>
        <w:snapToGrid/>
        <w:spacing w:before="0" w:after="0" w:line="600" w:lineRule="exact"/>
        <w:textAlignment w:val="auto"/>
        <w:rPr>
          <w:rFonts w:ascii="仿宋" w:hAnsi="仿宋" w:eastAsia="仿宋"/>
          <w:color w:val="auto"/>
          <w:highlight w:val="none"/>
        </w:rPr>
      </w:pPr>
      <w:bookmarkStart w:id="90" w:name="_Toc15396629"/>
      <w:bookmarkStart w:id="91" w:name="_Toc12490"/>
      <w:r>
        <w:rPr>
          <w:rStyle w:val="20"/>
          <w:rFonts w:hint="eastAsia" w:ascii="仿宋" w:hAnsi="仿宋" w:eastAsia="仿宋"/>
          <w:b w:val="0"/>
          <w:bCs w:val="0"/>
          <w:color w:val="auto"/>
          <w:highlight w:val="none"/>
        </w:rPr>
        <w:t>十一、</w:t>
      </w:r>
      <w:bookmarkEnd w:id="90"/>
      <w:r>
        <w:rPr>
          <w:rFonts w:hint="eastAsia" w:ascii="仿宋" w:hAnsi="仿宋" w:eastAsia="仿宋"/>
          <w:b w:val="0"/>
          <w:color w:val="auto"/>
          <w:highlight w:val="none"/>
        </w:rPr>
        <w:t>国</w:t>
      </w:r>
      <w:r>
        <w:rPr>
          <w:rStyle w:val="20"/>
          <w:rFonts w:hint="eastAsia" w:ascii="仿宋" w:hAnsi="仿宋" w:eastAsia="仿宋"/>
          <w:b w:val="0"/>
          <w:bCs w:val="0"/>
          <w:color w:val="auto"/>
          <w:highlight w:val="none"/>
        </w:rPr>
        <w:t>有资本经营预算</w:t>
      </w:r>
      <w:r>
        <w:rPr>
          <w:rStyle w:val="20"/>
          <w:rFonts w:hint="eastAsia" w:ascii="仿宋" w:hAnsi="仿宋" w:eastAsia="仿宋"/>
          <w:b w:val="0"/>
          <w:bCs w:val="0"/>
          <w:color w:val="auto"/>
          <w:highlight w:val="none"/>
          <w:lang w:eastAsia="zh-CN"/>
        </w:rPr>
        <w:t>财政拨款收入</w:t>
      </w:r>
      <w:r>
        <w:rPr>
          <w:rStyle w:val="20"/>
          <w:rFonts w:hint="eastAsia" w:ascii="仿宋" w:hAnsi="仿宋" w:eastAsia="仿宋"/>
          <w:b w:val="0"/>
          <w:bCs w:val="0"/>
          <w:color w:val="auto"/>
          <w:highlight w:val="none"/>
        </w:rPr>
        <w:t>支出决算表</w:t>
      </w:r>
      <w:bookmarkEnd w:id="91"/>
    </w:p>
    <w:p>
      <w:pPr>
        <w:pStyle w:val="4"/>
        <w:keepNext/>
        <w:keepLines/>
        <w:pageBreakBefore w:val="0"/>
        <w:widowControl w:val="0"/>
        <w:kinsoku/>
        <w:wordWrap/>
        <w:overflowPunct/>
        <w:topLinePunct w:val="0"/>
        <w:autoSpaceDE/>
        <w:autoSpaceDN/>
        <w:bidi w:val="0"/>
        <w:adjustRightInd/>
        <w:snapToGrid/>
        <w:spacing w:before="0" w:after="0" w:line="600" w:lineRule="exact"/>
        <w:textAlignment w:val="auto"/>
        <w:rPr>
          <w:rFonts w:ascii="仿宋" w:hAnsi="仿宋" w:eastAsia="仿宋"/>
          <w:color w:val="auto"/>
          <w:highlight w:val="none"/>
        </w:rPr>
      </w:pPr>
      <w:bookmarkStart w:id="92" w:name="_Toc15396630"/>
      <w:bookmarkStart w:id="93" w:name="_Toc18389"/>
      <w:r>
        <w:rPr>
          <w:rStyle w:val="20"/>
          <w:rFonts w:hint="eastAsia" w:ascii="仿宋" w:hAnsi="仿宋" w:eastAsia="仿宋"/>
          <w:b w:val="0"/>
          <w:bCs w:val="0"/>
          <w:color w:val="auto"/>
          <w:highlight w:val="none"/>
        </w:rPr>
        <w:t>十二、</w:t>
      </w:r>
      <w:bookmarkEnd w:id="92"/>
      <w:r>
        <w:rPr>
          <w:rStyle w:val="20"/>
          <w:rFonts w:hint="eastAsia" w:ascii="仿宋" w:hAnsi="仿宋" w:eastAsia="仿宋"/>
          <w:b w:val="0"/>
          <w:bCs w:val="0"/>
          <w:color w:val="auto"/>
          <w:highlight w:val="none"/>
          <w:lang w:eastAsia="zh-CN"/>
        </w:rPr>
        <w:t>国有资本经营预算财政拨款支出决算表</w:t>
      </w:r>
      <w:bookmarkEnd w:id="93"/>
    </w:p>
    <w:p>
      <w:pPr>
        <w:pStyle w:val="4"/>
        <w:keepNext/>
        <w:keepLines/>
        <w:pageBreakBefore w:val="0"/>
        <w:widowControl w:val="0"/>
        <w:kinsoku/>
        <w:wordWrap/>
        <w:overflowPunct/>
        <w:topLinePunct w:val="0"/>
        <w:autoSpaceDE/>
        <w:autoSpaceDN/>
        <w:bidi w:val="0"/>
        <w:adjustRightInd/>
        <w:snapToGrid/>
        <w:spacing w:before="0" w:after="0" w:line="600" w:lineRule="exact"/>
        <w:textAlignment w:val="auto"/>
        <w:rPr>
          <w:rFonts w:hint="eastAsia" w:eastAsia="仿宋"/>
          <w:color w:val="auto"/>
          <w:highlight w:val="none"/>
          <w:lang w:eastAsia="zh-CN"/>
        </w:rPr>
      </w:pPr>
      <w:bookmarkStart w:id="94" w:name="_Toc15396631"/>
      <w:bookmarkStart w:id="95" w:name="_Toc15551"/>
      <w:r>
        <w:rPr>
          <w:rStyle w:val="20"/>
          <w:rFonts w:hint="eastAsia" w:ascii="仿宋" w:hAnsi="仿宋" w:eastAsia="仿宋"/>
          <w:b w:val="0"/>
          <w:bCs w:val="0"/>
          <w:color w:val="auto"/>
          <w:highlight w:val="none"/>
        </w:rPr>
        <w:t>十三、</w:t>
      </w:r>
      <w:bookmarkEnd w:id="94"/>
      <w:r>
        <w:rPr>
          <w:rStyle w:val="20"/>
          <w:rFonts w:hint="eastAsia" w:ascii="仿宋" w:hAnsi="仿宋" w:eastAsia="仿宋"/>
          <w:b w:val="0"/>
          <w:bCs w:val="0"/>
          <w:color w:val="auto"/>
          <w:highlight w:val="none"/>
          <w:lang w:eastAsia="zh-CN"/>
        </w:rPr>
        <w:t>财政拨款“三公”经费支出决算表</w:t>
      </w:r>
      <w:bookmarkEnd w:id="95"/>
    </w:p>
    <w:sectPr>
      <w:footerReference r:id="rId7" w:type="first"/>
      <w:footerReference r:id="rId6" w:type="default"/>
      <w:pgSz w:w="11906" w:h="16838"/>
      <w:pgMar w:top="1701" w:right="1587" w:bottom="1587" w:left="1587" w:header="851" w:footer="992" w:gutter="0"/>
      <w:pgNumType w:fmt="decimal" w:start="1"/>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
    <w:altName w:val="Mangal"/>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Mangal">
    <w:panose1 w:val="00000400000000000000"/>
    <w:charset w:val="00"/>
    <w:family w:val="auto"/>
    <w:pitch w:val="default"/>
    <w:sig w:usb0="00008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10"/>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10"/>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Ca/cNOGwIAACkEAAAOAAAAAAAAAAEAIAAAADUBAABkcnMvZTJvRG9jLnhtbFBLBQYA&#10;AAAABgAGAFkBAADCBQAAAAA=&#10;">
              <v:fill on="f" focussize="0,0"/>
              <v:stroke on="f" weight="0.5pt"/>
              <v:imagedata o:title=""/>
              <o:lock v:ext="edit" aspectratio="f"/>
              <v:textbox inset="0mm,0mm,0mm,0mm" style="mso-fit-shape-to-text:t;">
                <w:txbxContent>
                  <w:p>
                    <w:pPr>
                      <w:pStyle w:val="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v:textbox>
            </v:shape>
          </w:pict>
        </mc:Fallback>
      </mc:AlternateContent>
    </w:r>
  </w:p>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default"/>
        <w:lang w:val="en-US" w:eastAsia="zh-CN"/>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TBEOMHAIAACkEAAAOAAAAZHJz&#10;L2Uyb0RvYy54bWytU82O0zAQviPxDpbvNGkRu1X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UwRDjBwCAAApBAAADgAAAAAAAAABACAAAAA1AQAAZHJzL2Uyb0RvYy54bWxQSwUG&#10;AAAAAAYABgBZAQAAwwUAAAAA&#10;">
              <v:fill on="f" focussize="0,0"/>
              <v:stroke on="f" weight="0.5pt"/>
              <v:imagedata o:title=""/>
              <o:lock v:ext="edit" aspectratio="f"/>
              <v:textbox inset="0mm,0mm,0mm,0mm" style="mso-fit-shape-to-text:t;">
                <w:txbxContent>
                  <w:p>
                    <w:pPr>
                      <w:pStyle w:val="1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v:textbox>
            </v:shape>
          </w:pict>
        </mc:Fallback>
      </mc:AlternateContent>
    </w:r>
    <w:r>
      <w:rPr>
        <w:rFonts w:hint="eastAsia"/>
        <w:lang w:val="en-US" w:eastAsia="zh-CN"/>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E2A99B"/>
    <w:multiLevelType w:val="singleLevel"/>
    <w:tmpl w:val="A5E2A99B"/>
    <w:lvl w:ilvl="0" w:tentative="0">
      <w:start w:val="1"/>
      <w:numFmt w:val="decimal"/>
      <w:suff w:val="nothing"/>
      <w:lvlText w:val="%1．"/>
      <w:lvlJc w:val="left"/>
      <w:pPr>
        <w:ind w:left="0" w:firstLine="400"/>
      </w:pPr>
      <w:rPr>
        <w:rFonts w:hint="default"/>
      </w:rPr>
    </w:lvl>
  </w:abstractNum>
  <w:abstractNum w:abstractNumId="1">
    <w:nsid w:val="B6099FB6"/>
    <w:multiLevelType w:val="singleLevel"/>
    <w:tmpl w:val="B6099FB6"/>
    <w:lvl w:ilvl="0" w:tentative="0">
      <w:start w:val="1"/>
      <w:numFmt w:val="chineseCounting"/>
      <w:suff w:val="nothing"/>
      <w:lvlText w:val="%1、"/>
      <w:lvlJc w:val="left"/>
      <w:rPr>
        <w:rFonts w:hint="eastAsia"/>
      </w:rPr>
    </w:lvl>
  </w:abstractNum>
  <w:abstractNum w:abstractNumId="2">
    <w:nsid w:val="CF652CEC"/>
    <w:multiLevelType w:val="singleLevel"/>
    <w:tmpl w:val="CF652CEC"/>
    <w:lvl w:ilvl="0" w:tentative="0">
      <w:start w:val="9"/>
      <w:numFmt w:val="chineseCounting"/>
      <w:suff w:val="nothing"/>
      <w:lvlText w:val="%1、"/>
      <w:lvlJc w:val="left"/>
      <w:rPr>
        <w:rFonts w:hint="eastAsia"/>
      </w:rPr>
    </w:lvl>
  </w:abstractNum>
  <w:abstractNum w:abstractNumId="3">
    <w:nsid w:val="E2FA047D"/>
    <w:multiLevelType w:val="singleLevel"/>
    <w:tmpl w:val="E2FA047D"/>
    <w:lvl w:ilvl="0" w:tentative="0">
      <w:start w:val="3"/>
      <w:numFmt w:val="chineseCounting"/>
      <w:suff w:val="space"/>
      <w:lvlText w:val="第%1部分"/>
      <w:lvlJc w:val="left"/>
      <w:rPr>
        <w:rFonts w:hint="eastAsia"/>
      </w:r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0NzRmMDRhOGE0NDkzNGE5YjkzMGIwOTAzYmY4OTA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045E"/>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5975B8"/>
    <w:rsid w:val="02143E91"/>
    <w:rsid w:val="04F3748A"/>
    <w:rsid w:val="054768C7"/>
    <w:rsid w:val="05A70BB0"/>
    <w:rsid w:val="066E0107"/>
    <w:rsid w:val="07996F6E"/>
    <w:rsid w:val="0A2032A3"/>
    <w:rsid w:val="0BFD04D9"/>
    <w:rsid w:val="0D2B0AE5"/>
    <w:rsid w:val="0F98263C"/>
    <w:rsid w:val="101860EC"/>
    <w:rsid w:val="108F5D13"/>
    <w:rsid w:val="10C055FF"/>
    <w:rsid w:val="118107EC"/>
    <w:rsid w:val="138523D6"/>
    <w:rsid w:val="13D50BC4"/>
    <w:rsid w:val="16BB723D"/>
    <w:rsid w:val="186F747C"/>
    <w:rsid w:val="1A271ACC"/>
    <w:rsid w:val="1BE8440E"/>
    <w:rsid w:val="1C3C27AE"/>
    <w:rsid w:val="1CBB5B48"/>
    <w:rsid w:val="1D155CEE"/>
    <w:rsid w:val="1FF35744"/>
    <w:rsid w:val="23391E18"/>
    <w:rsid w:val="237C641B"/>
    <w:rsid w:val="23860B96"/>
    <w:rsid w:val="240371BF"/>
    <w:rsid w:val="26C26CF7"/>
    <w:rsid w:val="29FD04D3"/>
    <w:rsid w:val="2C1C6077"/>
    <w:rsid w:val="2C8A61B5"/>
    <w:rsid w:val="2DF04E50"/>
    <w:rsid w:val="2EDB52CB"/>
    <w:rsid w:val="2F040D46"/>
    <w:rsid w:val="2F1208C7"/>
    <w:rsid w:val="2F262398"/>
    <w:rsid w:val="306D4B10"/>
    <w:rsid w:val="308842FC"/>
    <w:rsid w:val="315851A0"/>
    <w:rsid w:val="319F7F4E"/>
    <w:rsid w:val="32A9493D"/>
    <w:rsid w:val="3304709D"/>
    <w:rsid w:val="36AA5135"/>
    <w:rsid w:val="372627D7"/>
    <w:rsid w:val="376D39B2"/>
    <w:rsid w:val="37E16F03"/>
    <w:rsid w:val="37FA02F1"/>
    <w:rsid w:val="3834749E"/>
    <w:rsid w:val="38D469F0"/>
    <w:rsid w:val="3B070A97"/>
    <w:rsid w:val="3BBA746B"/>
    <w:rsid w:val="3D98207C"/>
    <w:rsid w:val="3E78745D"/>
    <w:rsid w:val="3EE5123E"/>
    <w:rsid w:val="3FFD4BA6"/>
    <w:rsid w:val="41E32594"/>
    <w:rsid w:val="44E268DA"/>
    <w:rsid w:val="466C44D7"/>
    <w:rsid w:val="47282C97"/>
    <w:rsid w:val="4A627F82"/>
    <w:rsid w:val="4B0E749A"/>
    <w:rsid w:val="4B4F25DA"/>
    <w:rsid w:val="4BE068DB"/>
    <w:rsid w:val="4D577224"/>
    <w:rsid w:val="4E166E02"/>
    <w:rsid w:val="4EAB630A"/>
    <w:rsid w:val="4ECE2238"/>
    <w:rsid w:val="51B83623"/>
    <w:rsid w:val="537E6D0A"/>
    <w:rsid w:val="577FA006"/>
    <w:rsid w:val="5A1467C7"/>
    <w:rsid w:val="5AF92295"/>
    <w:rsid w:val="5CD71FC4"/>
    <w:rsid w:val="5D5F28B0"/>
    <w:rsid w:val="60FB1120"/>
    <w:rsid w:val="662F275D"/>
    <w:rsid w:val="666C1180"/>
    <w:rsid w:val="672834C4"/>
    <w:rsid w:val="6A7D3ACB"/>
    <w:rsid w:val="6C4A05C8"/>
    <w:rsid w:val="6E7E3605"/>
    <w:rsid w:val="6F377AF0"/>
    <w:rsid w:val="6F3A54F2"/>
    <w:rsid w:val="6FE5731E"/>
    <w:rsid w:val="6FF5CC65"/>
    <w:rsid w:val="6FFE617B"/>
    <w:rsid w:val="707E05B8"/>
    <w:rsid w:val="715C0E4B"/>
    <w:rsid w:val="72734D90"/>
    <w:rsid w:val="72A77E92"/>
    <w:rsid w:val="72C232B3"/>
    <w:rsid w:val="73AD73D5"/>
    <w:rsid w:val="73B6EB34"/>
    <w:rsid w:val="73D8D744"/>
    <w:rsid w:val="744731E5"/>
    <w:rsid w:val="74B34C7F"/>
    <w:rsid w:val="74F0701C"/>
    <w:rsid w:val="76E3355F"/>
    <w:rsid w:val="778769C8"/>
    <w:rsid w:val="79EE5BA4"/>
    <w:rsid w:val="7A446928"/>
    <w:rsid w:val="7A894339"/>
    <w:rsid w:val="7EEF11D3"/>
    <w:rsid w:val="7F063CA9"/>
    <w:rsid w:val="7FA30C79"/>
    <w:rsid w:val="7FB7269E"/>
    <w:rsid w:val="7FC96657"/>
    <w:rsid w:val="D8D6DB89"/>
    <w:rsid w:val="DB6F4CAB"/>
    <w:rsid w:val="DBDFF1C1"/>
    <w:rsid w:val="DF6F9789"/>
    <w:rsid w:val="EBFD404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2"/>
    <w:unhideWhenUsed/>
    <w:qFormat/>
    <w:uiPriority w:val="9"/>
    <w:pPr>
      <w:keepNext/>
      <w:keepLines/>
      <w:spacing w:before="260" w:after="260" w:line="416" w:lineRule="auto"/>
      <w:outlineLvl w:val="2"/>
    </w:pPr>
    <w:rPr>
      <w:b/>
      <w:bCs/>
      <w:sz w:val="32"/>
      <w:szCs w:val="32"/>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32"/>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6"/>
    <w:semiHidden/>
    <w:unhideWhenUsed/>
    <w:qFormat/>
    <w:uiPriority w:val="99"/>
    <w:rPr>
      <w:sz w:val="18"/>
      <w:szCs w:val="18"/>
    </w:rPr>
  </w:style>
  <w:style w:type="paragraph" w:styleId="10">
    <w:name w:val="footer"/>
    <w:basedOn w:val="1"/>
    <w:link w:val="30"/>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8"/>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2"/>
    <w:basedOn w:val="7"/>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标题 2 Char"/>
    <w:basedOn w:val="17"/>
    <w:link w:val="4"/>
    <w:qFormat/>
    <w:uiPriority w:val="9"/>
    <w:rPr>
      <w:rFonts w:asciiTheme="majorHAnsi" w:hAnsiTheme="majorHAnsi" w:eastAsiaTheme="majorEastAsia" w:cstheme="majorBidi"/>
      <w:b/>
      <w:bCs/>
      <w:kern w:val="2"/>
      <w:sz w:val="32"/>
      <w:szCs w:val="32"/>
    </w:rPr>
  </w:style>
  <w:style w:type="character" w:customStyle="1" w:styleId="21">
    <w:name w:val="标题 1 Char"/>
    <w:basedOn w:val="17"/>
    <w:link w:val="3"/>
    <w:qFormat/>
    <w:uiPriority w:val="9"/>
    <w:rPr>
      <w:rFonts w:ascii="Times New Roman" w:hAnsi="Times New Roman"/>
      <w:b/>
      <w:bCs/>
      <w:kern w:val="44"/>
      <w:sz w:val="44"/>
      <w:szCs w:val="44"/>
    </w:rPr>
  </w:style>
  <w:style w:type="character" w:customStyle="1" w:styleId="22">
    <w:name w:val="标题 3 Char"/>
    <w:basedOn w:val="17"/>
    <w:link w:val="5"/>
    <w:qFormat/>
    <w:uiPriority w:val="9"/>
    <w:rPr>
      <w:rFonts w:ascii="Times New Roman" w:hAnsi="Times New Roman"/>
      <w:b/>
      <w:bCs/>
      <w:kern w:val="2"/>
      <w:sz w:val="32"/>
      <w:szCs w:val="32"/>
    </w:rPr>
  </w:style>
  <w:style w:type="paragraph" w:customStyle="1" w:styleId="23">
    <w:name w:val="BodyText1I2"/>
    <w:basedOn w:val="24"/>
    <w:qFormat/>
    <w:uiPriority w:val="0"/>
    <w:pPr>
      <w:spacing w:before="100" w:beforeAutospacing="1" w:after="100" w:afterAutospacing="1"/>
      <w:ind w:firstLine="420" w:firstLineChars="200"/>
      <w:jc w:val="both"/>
      <w:textAlignment w:val="baseline"/>
    </w:pPr>
  </w:style>
  <w:style w:type="paragraph" w:customStyle="1" w:styleId="24">
    <w:name w:val="BodyTextIndent"/>
    <w:basedOn w:val="1"/>
    <w:qFormat/>
    <w:uiPriority w:val="0"/>
    <w:pPr>
      <w:ind w:firstLine="640" w:firstLineChars="200"/>
      <w:jc w:val="both"/>
      <w:textAlignment w:val="baseline"/>
    </w:pPr>
    <w:rPr>
      <w:rFonts w:ascii="Times New Roman" w:hAnsi="Times New Roman" w:eastAsia="仿宋_GB2312"/>
      <w:kern w:val="2"/>
      <w:sz w:val="32"/>
      <w:szCs w:val="24"/>
      <w:lang w:val="en-US" w:eastAsia="zh-CN" w:bidi="ar-SA"/>
    </w:rPr>
  </w:style>
  <w:style w:type="paragraph" w:customStyle="1" w:styleId="25">
    <w:name w:val="正文-啊"/>
    <w:basedOn w:val="1"/>
    <w:qFormat/>
    <w:uiPriority w:val="0"/>
    <w:pPr>
      <w:spacing w:beforeLines="100" w:line="276" w:lineRule="auto"/>
      <w:ind w:left="210" w:right="210" w:firstLine="600"/>
      <w:contextualSpacing/>
    </w:pPr>
    <w:rPr>
      <w:rFonts w:ascii="微软雅黑" w:hAnsi="微软雅黑"/>
      <w:color w:val="000000"/>
      <w:sz w:val="24"/>
      <w:szCs w:val="21"/>
    </w:rPr>
  </w:style>
  <w:style w:type="paragraph" w:customStyle="1" w:styleId="26">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7">
    <w:name w:val="Header Char"/>
    <w:basedOn w:val="17"/>
    <w:semiHidden/>
    <w:qFormat/>
    <w:uiPriority w:val="99"/>
    <w:rPr>
      <w:rFonts w:ascii="Times New Roman" w:hAnsi="Times New Roman"/>
      <w:sz w:val="18"/>
      <w:szCs w:val="18"/>
    </w:rPr>
  </w:style>
  <w:style w:type="character" w:customStyle="1" w:styleId="28">
    <w:name w:val="页眉 Char"/>
    <w:link w:val="11"/>
    <w:semiHidden/>
    <w:qFormat/>
    <w:locked/>
    <w:uiPriority w:val="99"/>
    <w:rPr>
      <w:sz w:val="18"/>
    </w:rPr>
  </w:style>
  <w:style w:type="character" w:customStyle="1" w:styleId="29">
    <w:name w:val="Footer Char"/>
    <w:basedOn w:val="17"/>
    <w:semiHidden/>
    <w:qFormat/>
    <w:uiPriority w:val="99"/>
    <w:rPr>
      <w:rFonts w:ascii="Times New Roman" w:hAnsi="Times New Roman"/>
      <w:sz w:val="18"/>
      <w:szCs w:val="18"/>
    </w:rPr>
  </w:style>
  <w:style w:type="character" w:customStyle="1" w:styleId="30">
    <w:name w:val="页脚 Char"/>
    <w:link w:val="10"/>
    <w:qFormat/>
    <w:locked/>
    <w:uiPriority w:val="99"/>
    <w:rPr>
      <w:sz w:val="18"/>
    </w:rPr>
  </w:style>
  <w:style w:type="character" w:customStyle="1" w:styleId="31">
    <w:name w:val="Body Text Char"/>
    <w:basedOn w:val="17"/>
    <w:semiHidden/>
    <w:qFormat/>
    <w:uiPriority w:val="99"/>
    <w:rPr>
      <w:rFonts w:ascii="Times New Roman" w:hAnsi="Times New Roman"/>
      <w:szCs w:val="24"/>
    </w:rPr>
  </w:style>
  <w:style w:type="character" w:customStyle="1" w:styleId="32">
    <w:name w:val="正文文本 Char"/>
    <w:link w:val="2"/>
    <w:qFormat/>
    <w:locked/>
    <w:uiPriority w:val="99"/>
    <w:rPr>
      <w:rFonts w:ascii="仿宋_GB2312" w:hAnsi="Times New Roman" w:eastAsia="仿宋_GB2312"/>
      <w:sz w:val="24"/>
    </w:rPr>
  </w:style>
  <w:style w:type="paragraph" w:customStyle="1" w:styleId="3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4">
    <w:name w:val="List Paragraph"/>
    <w:basedOn w:val="1"/>
    <w:qFormat/>
    <w:uiPriority w:val="34"/>
    <w:pPr>
      <w:ind w:firstLine="420" w:firstLineChars="200"/>
    </w:pPr>
  </w:style>
  <w:style w:type="paragraph" w:customStyle="1" w:styleId="35">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6">
    <w:name w:val="批注框文本 Char"/>
    <w:basedOn w:val="17"/>
    <w:link w:val="9"/>
    <w:semiHidden/>
    <w:qFormat/>
    <w:uiPriority w:val="99"/>
    <w:rPr>
      <w:rFonts w:ascii="Times New Roman" w:hAnsi="Times New Roman"/>
      <w:kern w:val="2"/>
      <w:sz w:val="18"/>
      <w:szCs w:val="18"/>
    </w:rPr>
  </w:style>
  <w:style w:type="paragraph" w:customStyle="1" w:styleId="37">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8">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9">
    <w:name w:val="WPSOffice手动目录 1"/>
    <w:qFormat/>
    <w:uiPriority w:val="0"/>
    <w:pPr>
      <w:ind w:leftChars="0"/>
    </w:pPr>
    <w:rPr>
      <w:rFonts w:ascii="Times New Roman" w:hAnsi="Times New Roman" w:eastAsia="宋体" w:cs="Times New Roman"/>
      <w:sz w:val="20"/>
      <w:szCs w:val="20"/>
    </w:rPr>
  </w:style>
  <w:style w:type="paragraph" w:customStyle="1" w:styleId="40">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chart" Target="charts/chart3.xml"/><Relationship Id="rId16" Type="http://schemas.openxmlformats.org/officeDocument/2006/relationships/image" Target="media/image3.emf"/><Relationship Id="rId15" Type="http://schemas.openxmlformats.org/officeDocument/2006/relationships/oleObject" Target="embeddings/oleObject3.bin"/><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chart" Target="charts/chart2.xml"/><Relationship Id="rId11" Type="http://schemas.openxmlformats.org/officeDocument/2006/relationships/chart" Target="charts/chart1.xml"/><Relationship Id="rId10" Type="http://schemas.openxmlformats.org/officeDocument/2006/relationships/image" Target="media/image1.emf"/><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Administrator\Desktop\&#26032;&#24314;%20XLSX%20&#24037;&#20316;&#34920;%20(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Administrator\Desktop\&#26032;&#24314;%20XLSX%20&#24037;&#20316;&#34920;%20(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gradFill>
                <a:gsLst>
                  <a:gs pos="0">
                    <a:schemeClr val="accent1">
                      <a:lumMod val="40000"/>
                      <a:lumOff val="60000"/>
                    </a:schemeClr>
                  </a:gs>
                  <a:gs pos="90000">
                    <a:schemeClr val="accent1"/>
                  </a:gs>
                </a:gsLst>
                <a:lin ang="5400000" scaled="false"/>
              </a:gradFill>
              <a:ln>
                <a:gradFill>
                  <a:gsLst>
                    <a:gs pos="0">
                      <a:schemeClr val="accent1"/>
                    </a:gs>
                    <a:gs pos="100000">
                      <a:schemeClr val="accent1">
                        <a:lumMod val="75000"/>
                      </a:schemeClr>
                    </a:gs>
                  </a:gsLst>
                  <a:lin ang="5400000" scaled="true"/>
                </a:gradFill>
              </a:ln>
              <a:effectLst>
                <a:outerShdw blurRad="76200" dist="25400" dir="2700000" algn="tl" rotWithShape="0">
                  <a:schemeClr val="accent1">
                    <a:lumMod val="50000"/>
                    <a:alpha val="30000"/>
                  </a:schemeClr>
                </a:outerShdw>
              </a:effectLst>
            </c:spPr>
          </c:dPt>
          <c:dLbls>
            <c:dLbl>
              <c:idx val="0"/>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rPr sz="1000"/>
                      <a:t>一般公共预算财政拨款收入</a:t>
                    </a:r>
                    <a:endParaRPr sz="1000"/>
                  </a:p>
                  <a:p>
                    <a:pPr defTabSz="914400">
                      <a:defRPr lang="zh-CN" sz="1000" b="0" i="0" u="none" strike="noStrike" kern="1200" baseline="0">
                        <a:solidFill>
                          <a:schemeClr val="tx1">
                            <a:lumMod val="75000"/>
                            <a:lumOff val="25000"/>
                          </a:schemeClr>
                        </a:solidFill>
                        <a:latin typeface="+mn-lt"/>
                        <a:ea typeface="+mn-ea"/>
                        <a:cs typeface="+mn-cs"/>
                      </a:defRPr>
                    </a:pPr>
                    <a:r>
                      <a:rPr sz="1000"/>
                      <a:t>100%</a:t>
                    </a:r>
                    <a:endParaRPr sz="1000"/>
                  </a:p>
                </c:rich>
              </c:tx>
              <c:dLblPos val="inEnd"/>
              <c:showLegendKey val="false"/>
              <c:showVal val="false"/>
              <c:showCatName val="true"/>
              <c:showSerName val="false"/>
              <c:showPercent val="true"/>
              <c:showBubbleSize val="false"/>
              <c:separator>
</c:separator>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tru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c:formatCode>
                <c:ptCount val="1"/>
                <c:pt idx="0">
                  <c:v>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sz="1000"/>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76.7</a:t>
                    </a:r>
                    <a:r>
                      <a:t>%</a:t>
                    </a:r>
                  </a:p>
                </c:rich>
              </c:tx>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23.3</a:t>
                    </a:r>
                    <a:r>
                      <a:t>%</a:t>
                    </a:r>
                  </a:p>
                </c:rich>
              </c:tx>
              <c:dLblPos val="bestFit"/>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'[新建 XLSX 工作表 (4).xlsx]Sheet1'!$D$35:$D$36</c:f>
              <c:strCache>
                <c:ptCount val="2"/>
                <c:pt idx="0">
                  <c:v>基本支出</c:v>
                </c:pt>
                <c:pt idx="1">
                  <c:v>项目支出</c:v>
                </c:pt>
              </c:strCache>
            </c:strRef>
          </c:cat>
          <c:val>
            <c:numRef>
              <c:f>'[新建 XLSX 工作表 (4).xlsx]Sheet1'!$F$35:$F$36</c:f>
              <c:numCache>
                <c:formatCode>0.0%</c:formatCode>
                <c:ptCount val="2"/>
                <c:pt idx="0">
                  <c:v>0.8158352402746</c:v>
                </c:pt>
                <c:pt idx="1">
                  <c:v>0.1841647597254</c:v>
                </c:pt>
              </c:numCache>
            </c:numRef>
          </c:val>
        </c:ser>
        <c:ser>
          <c:idx val="1"/>
          <c:order val="1"/>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elete val="true"/>
          </c:dLbls>
          <c:cat>
            <c:strRef>
              <c:f>'[新建 XLSX 工作表 (4).xlsx]Sheet1'!$D$35:$D$36</c:f>
              <c:strCache>
                <c:ptCount val="2"/>
                <c:pt idx="0">
                  <c:v>基本支出</c:v>
                </c:pt>
                <c:pt idx="1">
                  <c:v>项目支出</c:v>
                </c:pt>
              </c:strCache>
            </c:strRef>
          </c:cat>
          <c:val>
            <c:numRef>
              <c:f>'[新建 XLSX 工作表 (4).xlsx]Sheet1'!$F$35:$F$36</c:f>
              <c:numCache>
                <c:formatCode>0.0%</c:formatCode>
                <c:ptCount val="2"/>
                <c:pt idx="0">
                  <c:v>0.8158352402746</c:v>
                </c:pt>
                <c:pt idx="1">
                  <c:v>0.1841647597254</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t"/>
      <c:layout>
        <c:manualLayout>
          <c:xMode val="edge"/>
          <c:yMode val="edge"/>
          <c:x val="0.344340245674283"/>
          <c:y val="0.914305949008499"/>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Lbls>
            <c:dLbl>
              <c:idx val="0"/>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85.7</a:t>
                    </a:r>
                    <a:r>
                      <a:t>%</a:t>
                    </a:r>
                  </a:p>
                </c:rich>
              </c:tx>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1"/>
              <c:layout>
                <c:manualLayout>
                  <c:x val="0.0622349876749799"/>
                  <c:y val="0.0901226953681803"/>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6.6</a:t>
                    </a:r>
                    <a:r>
                      <a:t>%</a:t>
                    </a:r>
                  </a:p>
                </c:rich>
              </c:tx>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1.91</a:t>
                    </a:r>
                    <a:r>
                      <a:t>%</a:t>
                    </a:r>
                  </a:p>
                </c:rich>
              </c:tx>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3"/>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5.5</a:t>
                    </a:r>
                    <a:r>
                      <a:t>%</a:t>
                    </a:r>
                  </a:p>
                </c:rich>
              </c:tx>
              <c:dLblPos val="bestFit"/>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'[新建 XLSX 工作表 (4).xlsx]Sheet1'!$D$117:$D$120</c:f>
              <c:strCache>
                <c:ptCount val="4"/>
                <c:pt idx="0">
                  <c:v>一般公共服务支出</c:v>
                </c:pt>
                <c:pt idx="1">
                  <c:v>社会保障和就业支出</c:v>
                </c:pt>
                <c:pt idx="2">
                  <c:v>卫生健康支出</c:v>
                </c:pt>
                <c:pt idx="3">
                  <c:v>住房保障支出</c:v>
                </c:pt>
              </c:strCache>
            </c:strRef>
          </c:cat>
          <c:val>
            <c:numRef>
              <c:f>'[新建 XLSX 工作表 (4).xlsx]Sheet1'!$F$117:$F$120</c:f>
              <c:numCache>
                <c:formatCode>0.0%</c:formatCode>
                <c:ptCount val="4"/>
                <c:pt idx="0">
                  <c:v>0.845308924485126</c:v>
                </c:pt>
                <c:pt idx="1">
                  <c:v>0.0722196796338673</c:v>
                </c:pt>
                <c:pt idx="2">
                  <c:v>0.0225171624713959</c:v>
                </c:pt>
                <c:pt idx="3">
                  <c:v>0.059954233409611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manualLayout>
          <c:xMode val="edge"/>
          <c:yMode val="edge"/>
          <c:x val="0.0986659622242768"/>
          <c:y val="0.915067852129153"/>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5">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0">
      <cs:styleClr val="auto"/>
    </cs:fillRef>
    <cs:effectRef idx="0">
      <cs:styleClr val="auto"/>
    </cs:effectRef>
    <cs:fontRef idx="minor">
      <a:schemeClr val="dk1"/>
    </cs:fontRef>
    <cs:spPr>
      <a:gradFill>
        <a:gsLst>
          <a:gs pos="0">
            <a:schemeClr val="phClr">
              <a:lumMod val="40000"/>
              <a:lumOff val="60000"/>
            </a:schemeClr>
          </a:gs>
          <a:gs pos="90000">
            <a:schemeClr val="phClr"/>
          </a:gs>
        </a:gsLst>
        <a:lin ang="5400000" scaled="false"/>
      </a:gradFill>
      <a:ln>
        <a:gradFill>
          <a:gsLst>
            <a:gs pos="0">
              <a:schemeClr val="phClr"/>
            </a:gs>
            <a:gs pos="100000">
              <a:schemeClr val="phClr">
                <a:lumMod val="75000"/>
              </a:schemeClr>
            </a:gs>
          </a:gsLst>
          <a:lin ang="5400000" scaled="true"/>
        </a:gradFill>
      </a:ln>
      <a:effectLst>
        <a:outerShdw blurRad="76200" dist="25400" dir="2700000" algn="tl" rotWithShape="0">
          <a:schemeClr val="phClr">
            <a:lumMod val="50000"/>
            <a:alpha val="30000"/>
          </a:schemeClr>
        </a:outerShdw>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26</Pages>
  <Words>3547</Words>
  <Characters>3857</Characters>
  <Lines>61</Lines>
  <Paragraphs>17</Paragraphs>
  <TotalTime>11</TotalTime>
  <ScaleCrop>false</ScaleCrop>
  <LinksUpToDate>false</LinksUpToDate>
  <CharactersWithSpaces>3985</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2020-08-06T01:49:00Z</dcterms:created>
  <dc:creator>曹颖</dc:creator>
  <cp:lastModifiedBy> </cp:lastModifiedBy>
  <cp:lastPrinted>2023-08-01T02:35:00Z</cp:lastPrinted>
  <dcterms:modified xsi:type="dcterms:W3CDTF">2025-10-14T11:07:14Z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C5B69DD60D1A4595B9EDB68AB6DA44D3_13</vt:lpwstr>
  </property>
  <property fmtid="{D5CDD505-2E9C-101B-9397-08002B2CF9AE}" pid="4" name="KSOTemplateDocerSaveRecord">
    <vt:lpwstr>eyJoZGlkIjoiZjBhYjRhOTI3ZDgzYWNiYzA2OWE5OTZlNWNlZDQ0ZTEiLCJ1c2VySWQiOiIyMTkxMTQyNzAifQ==</vt:lpwstr>
  </property>
</Properties>
</file>