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ascii="Times New Roman" w:eastAsia="方正小标宋简体"/>
          <w:kern w:val="2"/>
          <w:sz w:val="72"/>
          <w:szCs w:val="72"/>
          <w:highlight w:val="none"/>
        </w:rPr>
      </w:pPr>
      <w:bookmarkStart w:id="0" w:name="_Toc15377193"/>
      <w:bookmarkStart w:id="1" w:name="_Toc15377425"/>
      <w:bookmarkStart w:id="2" w:name="_Toc15396597"/>
      <w:bookmarkStart w:id="3" w:name="_Toc15378441"/>
      <w:bookmarkStart w:id="4" w:name="_Toc15396475"/>
      <w:bookmarkStart w:id="5" w:name="_Toc15306267"/>
    </w:p>
    <w:p>
      <w:pPr>
        <w:pStyle w:val="2"/>
        <w:spacing w:before="93"/>
        <w:rPr>
          <w:rFonts w:ascii="Times New Roman" w:eastAsia="方正小标宋简体"/>
          <w:kern w:val="2"/>
          <w:sz w:val="72"/>
          <w:szCs w:val="72"/>
          <w:highlight w:val="none"/>
        </w:rPr>
      </w:pPr>
    </w:p>
    <w:p>
      <w:pPr>
        <w:pStyle w:val="2"/>
        <w:spacing w:before="93"/>
        <w:rPr>
          <w:rFonts w:ascii="Times New Roman" w:eastAsia="方正小标宋简体"/>
          <w:kern w:val="2"/>
          <w:sz w:val="72"/>
          <w:szCs w:val="72"/>
          <w:highlight w:val="none"/>
        </w:rPr>
      </w:pPr>
    </w:p>
    <w:p>
      <w:pPr>
        <w:pStyle w:val="2"/>
        <w:spacing w:before="93"/>
        <w:jc w:val="center"/>
        <w:rPr>
          <w:rFonts w:hint="eastAsia" w:ascii="方正小标宋简体" w:hAnsi="宋体" w:eastAsia="方正小标宋简体"/>
          <w:kern w:val="2"/>
          <w:sz w:val="44"/>
          <w:szCs w:val="44"/>
          <w:highlight w:val="none"/>
        </w:rPr>
      </w:pPr>
      <w:r>
        <w:rPr>
          <w:rFonts w:hint="eastAsia" w:ascii="方正小标宋简体" w:hAnsi="宋体" w:eastAsia="方正小标宋简体"/>
          <w:kern w:val="2"/>
          <w:sz w:val="44"/>
          <w:szCs w:val="44"/>
          <w:highlight w:val="none"/>
        </w:rPr>
        <w:t>2024年度广元市文化广播电视和旅游局</w:t>
      </w:r>
    </w:p>
    <w:p>
      <w:pPr>
        <w:pStyle w:val="2"/>
        <w:spacing w:before="93"/>
        <w:jc w:val="center"/>
        <w:rPr>
          <w:rFonts w:ascii="Times New Roman"/>
          <w:highlight w:val="none"/>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r>
        <w:rPr>
          <w:rFonts w:hint="eastAsia" w:ascii="方正小标宋简体" w:hAnsi="宋体" w:eastAsia="方正小标宋简体"/>
          <w:kern w:val="2"/>
          <w:sz w:val="44"/>
          <w:szCs w:val="44"/>
          <w:highlight w:val="none"/>
        </w:rPr>
        <w:t>部门决算</w:t>
      </w:r>
    </w:p>
    <w:bookmarkEnd w:id="0"/>
    <w:bookmarkEnd w:id="1"/>
    <w:bookmarkEnd w:id="2"/>
    <w:bookmarkEnd w:id="3"/>
    <w:bookmarkEnd w:id="4"/>
    <w:bookmarkEnd w:id="5"/>
    <w:p>
      <w:pPr>
        <w:widowControl/>
        <w:jc w:val="center"/>
        <w:rPr>
          <w:rFonts w:eastAsia="黑体"/>
          <w:sz w:val="48"/>
          <w:szCs w:val="48"/>
          <w:highlight w:val="none"/>
        </w:rPr>
      </w:pPr>
      <w:r>
        <w:rPr>
          <w:rFonts w:hint="eastAsia" w:eastAsia="黑体"/>
          <w:sz w:val="48"/>
          <w:szCs w:val="48"/>
          <w:highlight w:val="none"/>
        </w:rPr>
        <w:t>目录</w:t>
      </w:r>
    </w:p>
    <w:p>
      <w:pPr>
        <w:pStyle w:val="14"/>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公开时间：202</w:t>
      </w:r>
      <w:r>
        <w:rPr>
          <w:rFonts w:hint="eastAsia" w:ascii="Times New Roman" w:hAnsi="Times New Roman" w:eastAsia="仿宋_GB2312" w:cs="仿宋_GB2312"/>
          <w:sz w:val="32"/>
          <w:szCs w:val="32"/>
          <w:highlight w:val="none"/>
          <w:lang w:val="en-US" w:eastAsia="zh-CN"/>
        </w:rPr>
        <w:t>5</w:t>
      </w:r>
      <w:bookmarkStart w:id="144" w:name="_GoBack"/>
      <w:bookmarkEnd w:id="144"/>
      <w:r>
        <w:rPr>
          <w:rFonts w:hint="eastAsia" w:ascii="Times New Roman" w:hAnsi="Times New Roman" w:eastAsia="仿宋_GB2312" w:cs="仿宋_GB2312"/>
          <w:sz w:val="32"/>
          <w:szCs w:val="32"/>
          <w:highlight w:val="none"/>
        </w:rPr>
        <w:t>年10月2日</w:t>
      </w:r>
    </w:p>
    <w:sdt>
      <w:sdtPr>
        <w:rPr>
          <w:rFonts w:ascii="宋体" w:hAnsi="宋体" w:eastAsia="宋体" w:cs="Times New Roman"/>
          <w:kern w:val="2"/>
          <w:sz w:val="21"/>
          <w:szCs w:val="24"/>
          <w:lang w:val="en-US" w:eastAsia="zh-CN" w:bidi="ar-SA"/>
        </w:rPr>
        <w:id w:val="147479682"/>
        <w15:color w:val="DBDBDB"/>
        <w:docPartObj>
          <w:docPartGallery w:val="Table of Contents"/>
          <w:docPartUnique/>
        </w:docPartObj>
      </w:sdtPr>
      <w:sdtEndPr>
        <w:rPr>
          <w:rFonts w:ascii="Times New Roman" w:hAnsi="Times New Roman" w:eastAsia="黑体" w:cstheme="minorBidi"/>
          <w:kern w:val="2"/>
          <w:sz w:val="21"/>
          <w:szCs w:val="28"/>
          <w:highlight w:val="none"/>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4"/>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TOC \o "1-2" \h \u </w:instrText>
          </w:r>
          <w:r>
            <w:rPr>
              <w:rFonts w:eastAsia="黑体" w:cstheme="minorBidi"/>
              <w:szCs w:val="28"/>
              <w:highlight w:val="none"/>
            </w:rPr>
            <w:fldChar w:fldCharType="separate"/>
          </w:r>
          <w:r>
            <w:rPr>
              <w:rFonts w:eastAsia="黑体" w:cstheme="minorBidi"/>
              <w:szCs w:val="28"/>
              <w:highlight w:val="none"/>
            </w:rPr>
            <w:fldChar w:fldCharType="begin"/>
          </w:r>
          <w:r>
            <w:rPr>
              <w:rFonts w:eastAsia="黑体" w:cstheme="minorBidi"/>
              <w:szCs w:val="28"/>
              <w:highlight w:val="none"/>
            </w:rPr>
            <w:instrText xml:space="preserve"> HYPERLINK \l _Toc1060 </w:instrText>
          </w:r>
          <w:r>
            <w:rPr>
              <w:rFonts w:eastAsia="黑体" w:cstheme="minorBidi"/>
              <w:szCs w:val="28"/>
              <w:highlight w:val="none"/>
            </w:rPr>
            <w:fldChar w:fldCharType="separate"/>
          </w:r>
          <w:r>
            <w:rPr>
              <w:rFonts w:hint="eastAsia" w:eastAsia="方正小标宋简体" w:cs="方正小标宋简体"/>
              <w:highlight w:val="none"/>
            </w:rPr>
            <w:t xml:space="preserve">第一部分  </w:t>
          </w:r>
          <w:r>
            <w:rPr>
              <w:rFonts w:hint="eastAsia" w:eastAsia="方正小标宋简体" w:cs="方正小标宋简体"/>
              <w:bCs w:val="0"/>
              <w:highlight w:val="none"/>
            </w:rPr>
            <w:t>部门概况</w:t>
          </w:r>
          <w:r>
            <w:tab/>
          </w:r>
          <w:r>
            <w:fldChar w:fldCharType="begin"/>
          </w:r>
          <w:r>
            <w:instrText xml:space="preserve"> PAGEREF _Toc1060 \h </w:instrText>
          </w:r>
          <w:r>
            <w:fldChar w:fldCharType="separate"/>
          </w:r>
          <w:r>
            <w:t>1</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_Toc3438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rPr>
            <w:t>一、部门职责</w:t>
          </w:r>
          <w:r>
            <w:tab/>
          </w:r>
          <w:r>
            <w:fldChar w:fldCharType="begin"/>
          </w:r>
          <w:r>
            <w:instrText xml:space="preserve"> PAGEREF _Toc3438 \h </w:instrText>
          </w:r>
          <w:r>
            <w:fldChar w:fldCharType="separate"/>
          </w:r>
          <w:r>
            <w:t>1</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_Toc31055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rPr>
            <w:t>二、机</w:t>
          </w:r>
          <w:r>
            <w:rPr>
              <w:rFonts w:hint="eastAsia" w:ascii="方正黑体简体" w:hAnsi="方正黑体简体" w:eastAsia="方正黑体简体" w:cs="方正黑体简体"/>
              <w:bCs w:val="0"/>
              <w:highlight w:val="none"/>
            </w:rPr>
            <w:t>构设置</w:t>
          </w:r>
          <w:r>
            <w:tab/>
          </w:r>
          <w:r>
            <w:fldChar w:fldCharType="begin"/>
          </w:r>
          <w:r>
            <w:instrText xml:space="preserve"> PAGEREF _Toc31055 \h </w:instrText>
          </w:r>
          <w:r>
            <w:fldChar w:fldCharType="separate"/>
          </w:r>
          <w:r>
            <w:t>3</w:t>
          </w:r>
          <w:r>
            <w:fldChar w:fldCharType="end"/>
          </w:r>
          <w:r>
            <w:rPr>
              <w:rFonts w:eastAsia="黑体" w:cstheme="minorBidi"/>
              <w:szCs w:val="28"/>
              <w:highlight w:val="none"/>
            </w:rPr>
            <w:fldChar w:fldCharType="end"/>
          </w:r>
        </w:p>
        <w:p>
          <w:pPr>
            <w:pStyle w:val="14"/>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_Toc18462 </w:instrText>
          </w:r>
          <w:r>
            <w:rPr>
              <w:rFonts w:eastAsia="黑体" w:cstheme="minorBidi"/>
              <w:szCs w:val="28"/>
              <w:highlight w:val="none"/>
            </w:rPr>
            <w:fldChar w:fldCharType="separate"/>
          </w:r>
          <w:r>
            <w:rPr>
              <w:rFonts w:hint="eastAsia" w:eastAsia="方正小标宋简体" w:cs="方正小标宋简体"/>
              <w:highlight w:val="none"/>
            </w:rPr>
            <w:t>第二部分  2024年度部门决算情况说明</w:t>
          </w:r>
          <w:r>
            <w:tab/>
          </w:r>
          <w:r>
            <w:fldChar w:fldCharType="begin"/>
          </w:r>
          <w:r>
            <w:instrText xml:space="preserve"> PAGEREF _Toc18462 \h </w:instrText>
          </w:r>
          <w:r>
            <w:fldChar w:fldCharType="separate"/>
          </w:r>
          <w:r>
            <w:t>4</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_Toc26438 </w:instrText>
          </w:r>
          <w:r>
            <w:rPr>
              <w:rFonts w:eastAsia="黑体" w:cstheme="minorBidi"/>
              <w:szCs w:val="28"/>
              <w:highlight w:val="none"/>
            </w:rPr>
            <w:fldChar w:fldCharType="separate"/>
          </w:r>
          <w:r>
            <w:rPr>
              <w:rFonts w:hint="eastAsia" w:ascii="方正黑体简体" w:hAnsi="方正黑体简体" w:eastAsia="方正黑体简体" w:cs="方正黑体简体"/>
              <w:szCs w:val="32"/>
              <w:highlight w:val="none"/>
            </w:rPr>
            <w:t>一、收</w:t>
          </w:r>
          <w:r>
            <w:rPr>
              <w:rFonts w:hint="eastAsia" w:ascii="方正黑体简体" w:hAnsi="方正黑体简体" w:eastAsia="方正黑体简体" w:cs="方正黑体简体"/>
              <w:highlight w:val="none"/>
            </w:rPr>
            <w:t>入支出决算总体情况说明</w:t>
          </w:r>
          <w:r>
            <w:tab/>
          </w:r>
          <w:r>
            <w:fldChar w:fldCharType="begin"/>
          </w:r>
          <w:r>
            <w:instrText xml:space="preserve"> PAGEREF _Toc26438 \h </w:instrText>
          </w:r>
          <w:r>
            <w:fldChar w:fldCharType="separate"/>
          </w:r>
          <w:r>
            <w:t>4</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_Toc22111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rPr>
            <w:t>二、收入决算情况说明</w:t>
          </w:r>
          <w:r>
            <w:tab/>
          </w:r>
          <w:r>
            <w:fldChar w:fldCharType="begin"/>
          </w:r>
          <w:r>
            <w:instrText xml:space="preserve"> PAGEREF _Toc22111 \h </w:instrText>
          </w:r>
          <w:r>
            <w:fldChar w:fldCharType="separate"/>
          </w:r>
          <w:r>
            <w:t>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_Toc21945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rPr>
            <w:t>三、支出决算情况说明</w:t>
          </w:r>
          <w:r>
            <w:tab/>
          </w:r>
          <w:r>
            <w:fldChar w:fldCharType="begin"/>
          </w:r>
          <w:r>
            <w:instrText xml:space="preserve"> PAGEREF _Toc21945 \h </w:instrText>
          </w:r>
          <w:r>
            <w:fldChar w:fldCharType="separate"/>
          </w:r>
          <w:r>
            <w:t>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_Toc29054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lang w:val="en-US" w:eastAsia="zh-CN" w:bidi="ar-SA"/>
            </w:rPr>
            <w:t>四、财政拨款收入支出决算总体情况说明</w:t>
          </w:r>
          <w:r>
            <w:tab/>
          </w:r>
          <w:r>
            <w:fldChar w:fldCharType="begin"/>
          </w:r>
          <w:r>
            <w:instrText xml:space="preserve"> PAGEREF _Toc29054 \h </w:instrText>
          </w:r>
          <w:r>
            <w:fldChar w:fldCharType="separate"/>
          </w:r>
          <w:r>
            <w:t>6</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_Toc23668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lang w:val="en-US" w:eastAsia="zh-CN" w:bidi="ar-SA"/>
            </w:rPr>
            <w:t>五、一般公共预算财政拨款支出决算情况说明</w:t>
          </w:r>
          <w:r>
            <w:tab/>
          </w:r>
          <w:r>
            <w:fldChar w:fldCharType="begin"/>
          </w:r>
          <w:r>
            <w:instrText xml:space="preserve"> PAGEREF _Toc23668 \h </w:instrText>
          </w:r>
          <w:r>
            <w:fldChar w:fldCharType="separate"/>
          </w:r>
          <w:r>
            <w:t>7</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_Toc28408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lang w:val="en-US" w:eastAsia="zh-CN" w:bidi="ar-SA"/>
            </w:rPr>
            <w:t>六、一般公共预算财政拨款基本支出决算情况说明</w:t>
          </w:r>
          <w:r>
            <w:tab/>
          </w:r>
          <w:r>
            <w:fldChar w:fldCharType="begin"/>
          </w:r>
          <w:r>
            <w:instrText xml:space="preserve"> PAGEREF _Toc28408 \h </w:instrText>
          </w:r>
          <w:r>
            <w:fldChar w:fldCharType="separate"/>
          </w:r>
          <w:r>
            <w:t>12</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_Toc6272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lang w:val="en-US" w:eastAsia="zh-CN" w:bidi="ar-SA"/>
            </w:rPr>
            <w:t>七、财政拨款“三公”经费支出决算情况说明</w:t>
          </w:r>
          <w:r>
            <w:tab/>
          </w:r>
          <w:r>
            <w:fldChar w:fldCharType="begin"/>
          </w:r>
          <w:r>
            <w:instrText xml:space="preserve"> PAGEREF _Toc6272 \h </w:instrText>
          </w:r>
          <w:r>
            <w:fldChar w:fldCharType="separate"/>
          </w:r>
          <w:r>
            <w:t>13</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_Toc28364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lang w:val="en-US" w:eastAsia="zh-CN" w:bidi="ar-SA"/>
            </w:rPr>
            <w:t>八、政府性基金预算支出决算情况说明</w:t>
          </w:r>
          <w:r>
            <w:tab/>
          </w:r>
          <w:r>
            <w:fldChar w:fldCharType="begin"/>
          </w:r>
          <w:r>
            <w:instrText xml:space="preserve"> PAGEREF _Toc28364 \h </w:instrText>
          </w:r>
          <w:r>
            <w:fldChar w:fldCharType="separate"/>
          </w:r>
          <w:r>
            <w:t>17</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_Toc14191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lang w:val="en-US" w:eastAsia="zh-CN" w:bidi="ar-SA"/>
            </w:rPr>
            <w:t>九、国有资本经营预算支出决算情况说明</w:t>
          </w:r>
          <w:r>
            <w:tab/>
          </w:r>
          <w:r>
            <w:fldChar w:fldCharType="begin"/>
          </w:r>
          <w:r>
            <w:instrText xml:space="preserve"> PAGEREF _Toc14191 \h </w:instrText>
          </w:r>
          <w:r>
            <w:fldChar w:fldCharType="separate"/>
          </w:r>
          <w:r>
            <w:t>17</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_Toc28259 </w:instrText>
          </w:r>
          <w:r>
            <w:rPr>
              <w:rFonts w:eastAsia="黑体" w:cstheme="minorBidi"/>
              <w:szCs w:val="28"/>
              <w:highlight w:val="none"/>
            </w:rPr>
            <w:fldChar w:fldCharType="separate"/>
          </w:r>
          <w:r>
            <w:rPr>
              <w:rFonts w:hint="eastAsia" w:ascii="方正黑体简体" w:hAnsi="方正黑体简体" w:eastAsia="方正黑体简体" w:cs="方正黑体简体"/>
              <w:highlight w:val="none"/>
              <w:lang w:val="en-US" w:eastAsia="zh-CN" w:bidi="ar-SA"/>
            </w:rPr>
            <w:t>十、其他重要事项的情况说明</w:t>
          </w:r>
          <w:r>
            <w:tab/>
          </w:r>
          <w:r>
            <w:fldChar w:fldCharType="begin"/>
          </w:r>
          <w:r>
            <w:instrText xml:space="preserve"> PAGEREF _Toc28259 \h </w:instrText>
          </w:r>
          <w:r>
            <w:fldChar w:fldCharType="separate"/>
          </w:r>
          <w:r>
            <w:t>17</w:t>
          </w:r>
          <w:r>
            <w:fldChar w:fldCharType="end"/>
          </w:r>
          <w:r>
            <w:rPr>
              <w:rFonts w:eastAsia="黑体" w:cstheme="minorBidi"/>
              <w:szCs w:val="28"/>
              <w:highlight w:val="none"/>
            </w:rPr>
            <w:fldChar w:fldCharType="end"/>
          </w:r>
        </w:p>
        <w:p>
          <w:pPr>
            <w:pStyle w:val="14"/>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_Toc31903 </w:instrText>
          </w:r>
          <w:r>
            <w:rPr>
              <w:rFonts w:eastAsia="黑体" w:cstheme="minorBidi"/>
              <w:szCs w:val="28"/>
              <w:highlight w:val="none"/>
            </w:rPr>
            <w:fldChar w:fldCharType="separate"/>
          </w:r>
          <w:r>
            <w:rPr>
              <w:rFonts w:hint="eastAsia" w:ascii="Times New Roman" w:hAnsi="Times New Roman" w:eastAsia="方正小标宋简体" w:cs="方正小标宋简体"/>
              <w:bCs/>
              <w:kern w:val="44"/>
              <w:szCs w:val="44"/>
              <w:highlight w:val="none"/>
              <w:lang w:val="en-US" w:eastAsia="zh-CN" w:bidi="ar-SA"/>
            </w:rPr>
            <w:t>第三部分  名词解释</w:t>
          </w:r>
          <w:r>
            <w:tab/>
          </w:r>
          <w:r>
            <w:fldChar w:fldCharType="begin"/>
          </w:r>
          <w:r>
            <w:instrText xml:space="preserve"> PAGEREF _Toc31903 \h </w:instrText>
          </w:r>
          <w:r>
            <w:fldChar w:fldCharType="separate"/>
          </w:r>
          <w:r>
            <w:t>30</w:t>
          </w:r>
          <w:r>
            <w:fldChar w:fldCharType="end"/>
          </w:r>
          <w:r>
            <w:rPr>
              <w:rFonts w:eastAsia="黑体" w:cstheme="minorBidi"/>
              <w:szCs w:val="28"/>
              <w:highlight w:val="none"/>
            </w:rPr>
            <w:fldChar w:fldCharType="end"/>
          </w:r>
        </w:p>
        <w:p>
          <w:pPr>
            <w:pStyle w:val="14"/>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_Toc18325 </w:instrText>
          </w:r>
          <w:r>
            <w:rPr>
              <w:rFonts w:eastAsia="黑体" w:cstheme="minorBidi"/>
              <w:szCs w:val="28"/>
              <w:highlight w:val="none"/>
            </w:rPr>
            <w:fldChar w:fldCharType="separate"/>
          </w:r>
          <w:r>
            <w:rPr>
              <w:rFonts w:hint="eastAsia" w:ascii="Times New Roman" w:hAnsi="Times New Roman" w:eastAsia="方正小标宋简体" w:cs="方正小标宋简体"/>
              <w:bCs/>
              <w:kern w:val="44"/>
              <w:szCs w:val="44"/>
              <w:highlight w:val="none"/>
              <w:lang w:val="en-US" w:eastAsia="zh-CN" w:bidi="ar-SA"/>
            </w:rPr>
            <w:t>第四部分  附件</w:t>
          </w:r>
          <w:r>
            <w:tab/>
          </w:r>
          <w:r>
            <w:fldChar w:fldCharType="begin"/>
          </w:r>
          <w:r>
            <w:instrText xml:space="preserve"> PAGEREF _Toc18325 \h </w:instrText>
          </w:r>
          <w:r>
            <w:fldChar w:fldCharType="separate"/>
          </w:r>
          <w:r>
            <w:t>35</w:t>
          </w:r>
          <w:r>
            <w:fldChar w:fldCharType="end"/>
          </w:r>
          <w:r>
            <w:rPr>
              <w:rFonts w:eastAsia="黑体" w:cstheme="minorBidi"/>
              <w:szCs w:val="28"/>
              <w:highlight w:val="none"/>
            </w:rPr>
            <w:fldChar w:fldCharType="end"/>
          </w:r>
        </w:p>
        <w:p>
          <w:pPr>
            <w:pStyle w:val="14"/>
            <w:tabs>
              <w:tab w:val="right" w:leader="dot" w:pos="8306"/>
              <w:tab w:val="clear" w:pos="8296"/>
            </w:tabs>
            <w:spacing w:line="360" w:lineRule="auto"/>
            <w:rPr>
              <w:rFonts w:hint="eastAsia" w:ascii="Times New Roman" w:hAnsi="Times New Roman" w:eastAsia="方正小标宋简体" w:cs="方正小标宋简体"/>
              <w:bCs/>
              <w:kern w:val="44"/>
              <w:szCs w:val="44"/>
              <w:highlight w:val="none"/>
              <w:lang w:val="en-US" w:eastAsia="zh-CN" w:bidi="ar-SA"/>
            </w:rPr>
          </w:pPr>
          <w:r>
            <w:rPr>
              <w:rFonts w:hint="eastAsia" w:ascii="Times New Roman" w:hAnsi="Times New Roman" w:eastAsia="方正小标宋简体" w:cs="方正小标宋简体"/>
              <w:bCs/>
              <w:kern w:val="44"/>
              <w:szCs w:val="44"/>
              <w:highlight w:val="none"/>
              <w:lang w:val="en-US" w:eastAsia="zh-CN" w:bidi="ar-SA"/>
            </w:rPr>
            <w:fldChar w:fldCharType="begin"/>
          </w:r>
          <w:r>
            <w:rPr>
              <w:rFonts w:hint="eastAsia" w:ascii="Times New Roman" w:hAnsi="Times New Roman" w:eastAsia="方正小标宋简体" w:cs="方正小标宋简体"/>
              <w:bCs/>
              <w:kern w:val="44"/>
              <w:szCs w:val="44"/>
              <w:highlight w:val="none"/>
              <w:lang w:val="en-US" w:eastAsia="zh-CN" w:bidi="ar-SA"/>
            </w:rPr>
            <w:instrText xml:space="preserve"> HYPERLINK \l _Toc25994 </w:instrText>
          </w:r>
          <w:r>
            <w:rPr>
              <w:rFonts w:hint="eastAsia" w:ascii="Times New Roman" w:hAnsi="Times New Roman" w:eastAsia="方正小标宋简体" w:cs="方正小标宋简体"/>
              <w:bCs/>
              <w:kern w:val="44"/>
              <w:szCs w:val="44"/>
              <w:highlight w:val="none"/>
              <w:lang w:val="en-US" w:eastAsia="zh-CN" w:bidi="ar-SA"/>
            </w:rPr>
            <w:fldChar w:fldCharType="separate"/>
          </w:r>
          <w:r>
            <w:rPr>
              <w:rFonts w:hint="eastAsia" w:ascii="Times New Roman" w:hAnsi="Times New Roman" w:eastAsia="方正小标宋简体" w:cs="方正小标宋简体"/>
              <w:bCs/>
              <w:kern w:val="44"/>
              <w:szCs w:val="44"/>
              <w:highlight w:val="none"/>
              <w:lang w:val="en-US" w:eastAsia="zh-CN" w:bidi="ar-SA"/>
            </w:rPr>
            <w:t>第五部分 附表</w:t>
          </w:r>
          <w:r>
            <w:rPr>
              <w:rFonts w:hint="eastAsia" w:ascii="Times New Roman" w:hAnsi="Times New Roman" w:eastAsia="方正小标宋简体" w:cs="方正小标宋简体"/>
              <w:bCs/>
              <w:kern w:val="44"/>
              <w:szCs w:val="44"/>
              <w:highlight w:val="none"/>
              <w:lang w:val="en-US" w:eastAsia="zh-CN" w:bidi="ar-SA"/>
            </w:rPr>
            <w:tab/>
          </w:r>
          <w:r>
            <w:rPr>
              <w:rFonts w:hint="eastAsia" w:ascii="Times New Roman" w:hAnsi="Times New Roman" w:eastAsia="方正小标宋简体" w:cs="方正小标宋简体"/>
              <w:bCs/>
              <w:kern w:val="44"/>
              <w:szCs w:val="44"/>
              <w:highlight w:val="none"/>
              <w:lang w:val="en-US" w:eastAsia="zh-CN" w:bidi="ar-SA"/>
            </w:rPr>
            <w:fldChar w:fldCharType="begin"/>
          </w:r>
          <w:r>
            <w:rPr>
              <w:rFonts w:hint="eastAsia" w:ascii="Times New Roman" w:hAnsi="Times New Roman" w:eastAsia="方正小标宋简体" w:cs="方正小标宋简体"/>
              <w:bCs/>
              <w:kern w:val="44"/>
              <w:szCs w:val="44"/>
              <w:highlight w:val="none"/>
              <w:lang w:val="en-US" w:eastAsia="zh-CN" w:bidi="ar-SA"/>
            </w:rPr>
            <w:instrText xml:space="preserve"> PAGEREF _Toc25994 \h </w:instrText>
          </w:r>
          <w:r>
            <w:rPr>
              <w:rFonts w:hint="eastAsia" w:ascii="Times New Roman" w:hAnsi="Times New Roman" w:eastAsia="方正小标宋简体" w:cs="方正小标宋简体"/>
              <w:bCs/>
              <w:kern w:val="44"/>
              <w:szCs w:val="44"/>
              <w:highlight w:val="none"/>
              <w:lang w:val="en-US" w:eastAsia="zh-CN" w:bidi="ar-SA"/>
            </w:rPr>
            <w:fldChar w:fldCharType="separate"/>
          </w:r>
          <w:r>
            <w:rPr>
              <w:rFonts w:hint="eastAsia" w:ascii="Times New Roman" w:hAnsi="Times New Roman" w:eastAsia="方正小标宋简体" w:cs="方正小标宋简体"/>
              <w:bCs/>
              <w:kern w:val="44"/>
              <w:szCs w:val="44"/>
              <w:highlight w:val="none"/>
              <w:lang w:val="en-US" w:eastAsia="zh-CN" w:bidi="ar-SA"/>
            </w:rPr>
            <w:t>215</w:t>
          </w:r>
          <w:r>
            <w:rPr>
              <w:rFonts w:hint="eastAsia" w:ascii="Times New Roman" w:hAnsi="Times New Roman" w:eastAsia="方正小标宋简体" w:cs="方正小标宋简体"/>
              <w:bCs/>
              <w:kern w:val="44"/>
              <w:szCs w:val="44"/>
              <w:highlight w:val="none"/>
              <w:lang w:val="en-US" w:eastAsia="zh-CN" w:bidi="ar-SA"/>
            </w:rPr>
            <w:fldChar w:fldCharType="end"/>
          </w:r>
          <w:r>
            <w:rPr>
              <w:rFonts w:hint="eastAsia" w:ascii="Times New Roman" w:hAnsi="Times New Roman" w:eastAsia="方正小标宋简体" w:cs="方正小标宋简体"/>
              <w:bCs/>
              <w:kern w:val="44"/>
              <w:szCs w:val="44"/>
              <w:highlight w:val="none"/>
              <w:lang w:val="en-US" w:eastAsia="zh-CN" w:bidi="ar-SA"/>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_Toc22623 </w:instrText>
          </w:r>
          <w:r>
            <w:rPr>
              <w:rFonts w:eastAsia="黑体" w:cstheme="minorBidi"/>
              <w:szCs w:val="28"/>
              <w:highlight w:val="none"/>
            </w:rPr>
            <w:fldChar w:fldCharType="separate"/>
          </w:r>
          <w:r>
            <w:rPr>
              <w:rFonts w:hint="eastAsia"/>
              <w:bCs w:val="0"/>
              <w:lang w:val="zh-CN" w:eastAsia="zh-CN"/>
            </w:rPr>
            <w:t>一、收入支出决算总表</w:t>
          </w:r>
          <w:r>
            <w:tab/>
          </w:r>
          <w:r>
            <w:fldChar w:fldCharType="begin"/>
          </w:r>
          <w:r>
            <w:instrText xml:space="preserve"> PAGEREF _Toc22623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_Toc3220 </w:instrText>
          </w:r>
          <w:r>
            <w:rPr>
              <w:rFonts w:eastAsia="黑体" w:cstheme="minorBidi"/>
              <w:szCs w:val="28"/>
              <w:highlight w:val="none"/>
            </w:rPr>
            <w:fldChar w:fldCharType="separate"/>
          </w:r>
          <w:r>
            <w:rPr>
              <w:rFonts w:hint="eastAsia"/>
              <w:bCs w:val="0"/>
              <w:lang w:val="zh-CN" w:eastAsia="zh-CN"/>
            </w:rPr>
            <w:t>二、收入决算表</w:t>
          </w:r>
          <w:r>
            <w:tab/>
          </w:r>
          <w:r>
            <w:fldChar w:fldCharType="begin"/>
          </w:r>
          <w:r>
            <w:instrText xml:space="preserve"> PAGEREF _Toc3220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_Toc28038 </w:instrText>
          </w:r>
          <w:r>
            <w:rPr>
              <w:rFonts w:eastAsia="黑体" w:cstheme="minorBidi"/>
              <w:szCs w:val="28"/>
              <w:highlight w:val="none"/>
            </w:rPr>
            <w:fldChar w:fldCharType="separate"/>
          </w:r>
          <w:r>
            <w:rPr>
              <w:rFonts w:hint="eastAsia"/>
              <w:bCs w:val="0"/>
              <w:lang w:val="zh-CN" w:eastAsia="zh-CN"/>
            </w:rPr>
            <w:t>三、支出决算表</w:t>
          </w:r>
          <w:r>
            <w:tab/>
          </w:r>
          <w:r>
            <w:fldChar w:fldCharType="begin"/>
          </w:r>
          <w:r>
            <w:instrText xml:space="preserve"> PAGEREF _Toc28038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_Toc9967 </w:instrText>
          </w:r>
          <w:r>
            <w:rPr>
              <w:rFonts w:eastAsia="黑体" w:cstheme="minorBidi"/>
              <w:szCs w:val="28"/>
              <w:highlight w:val="none"/>
            </w:rPr>
            <w:fldChar w:fldCharType="separate"/>
          </w:r>
          <w:r>
            <w:rPr>
              <w:rFonts w:hint="eastAsia"/>
              <w:bCs w:val="0"/>
              <w:lang w:val="zh-CN" w:eastAsia="zh-CN"/>
            </w:rPr>
            <w:t>四、财政拨款收入支出决算总表</w:t>
          </w:r>
          <w:r>
            <w:tab/>
          </w:r>
          <w:r>
            <w:fldChar w:fldCharType="begin"/>
          </w:r>
          <w:r>
            <w:instrText xml:space="preserve"> PAGEREF _Toc9967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_Toc10025 </w:instrText>
          </w:r>
          <w:r>
            <w:rPr>
              <w:rFonts w:eastAsia="黑体" w:cstheme="minorBidi"/>
              <w:szCs w:val="28"/>
              <w:highlight w:val="none"/>
            </w:rPr>
            <w:fldChar w:fldCharType="separate"/>
          </w:r>
          <w:r>
            <w:rPr>
              <w:rFonts w:hint="eastAsia"/>
              <w:bCs w:val="0"/>
              <w:lang w:val="zh-CN" w:eastAsia="zh-CN"/>
            </w:rPr>
            <w:t>五、财政拨款支出决算明细表</w:t>
          </w:r>
          <w:r>
            <w:tab/>
          </w:r>
          <w:r>
            <w:fldChar w:fldCharType="begin"/>
          </w:r>
          <w:r>
            <w:instrText xml:space="preserve"> PAGEREF _Toc10025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_Toc7564 </w:instrText>
          </w:r>
          <w:r>
            <w:rPr>
              <w:rFonts w:eastAsia="黑体" w:cstheme="minorBidi"/>
              <w:szCs w:val="28"/>
              <w:highlight w:val="none"/>
            </w:rPr>
            <w:fldChar w:fldCharType="separate"/>
          </w:r>
          <w:r>
            <w:rPr>
              <w:rFonts w:hint="eastAsia"/>
              <w:bCs w:val="0"/>
              <w:lang w:val="zh-CN" w:eastAsia="zh-CN"/>
            </w:rPr>
            <w:t>六、一般公共预算财政拨款支出决算表</w:t>
          </w:r>
          <w:r>
            <w:tab/>
          </w:r>
          <w:r>
            <w:fldChar w:fldCharType="begin"/>
          </w:r>
          <w:r>
            <w:instrText xml:space="preserve"> PAGEREF _Toc7564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_Toc8156 </w:instrText>
          </w:r>
          <w:r>
            <w:rPr>
              <w:rFonts w:eastAsia="黑体" w:cstheme="minorBidi"/>
              <w:szCs w:val="28"/>
              <w:highlight w:val="none"/>
            </w:rPr>
            <w:fldChar w:fldCharType="separate"/>
          </w:r>
          <w:r>
            <w:rPr>
              <w:rFonts w:hint="eastAsia"/>
              <w:bCs w:val="0"/>
              <w:lang w:val="zh-CN" w:eastAsia="zh-CN"/>
            </w:rPr>
            <w:t>七、一般公共预算财政拨款支出决算明细表</w:t>
          </w:r>
          <w:r>
            <w:tab/>
          </w:r>
          <w:r>
            <w:fldChar w:fldCharType="begin"/>
          </w:r>
          <w:r>
            <w:instrText xml:space="preserve"> PAGEREF _Toc8156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_Toc18548 </w:instrText>
          </w:r>
          <w:r>
            <w:rPr>
              <w:rFonts w:eastAsia="黑体" w:cstheme="minorBidi"/>
              <w:szCs w:val="28"/>
              <w:highlight w:val="none"/>
            </w:rPr>
            <w:fldChar w:fldCharType="separate"/>
          </w:r>
          <w:r>
            <w:rPr>
              <w:rFonts w:hint="eastAsia"/>
              <w:bCs w:val="0"/>
              <w:lang w:val="zh-CN" w:eastAsia="zh-CN"/>
            </w:rPr>
            <w:t>八、一般公共预算财政拨款基本支出决算表</w:t>
          </w:r>
          <w:r>
            <w:tab/>
          </w:r>
          <w:r>
            <w:fldChar w:fldCharType="begin"/>
          </w:r>
          <w:r>
            <w:instrText xml:space="preserve"> PAGEREF _Toc18548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_Toc24638 </w:instrText>
          </w:r>
          <w:r>
            <w:rPr>
              <w:rFonts w:eastAsia="黑体" w:cstheme="minorBidi"/>
              <w:szCs w:val="28"/>
              <w:highlight w:val="none"/>
            </w:rPr>
            <w:fldChar w:fldCharType="separate"/>
          </w:r>
          <w:r>
            <w:rPr>
              <w:rFonts w:hint="eastAsia"/>
              <w:bCs w:val="0"/>
              <w:lang w:val="zh-CN" w:eastAsia="zh-CN"/>
            </w:rPr>
            <w:t>九、一般公共预算财政拨款项目支出决算表</w:t>
          </w:r>
          <w:r>
            <w:tab/>
          </w:r>
          <w:r>
            <w:fldChar w:fldCharType="begin"/>
          </w:r>
          <w:r>
            <w:instrText xml:space="preserve"> PAGEREF _Toc24638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_Toc17308 </w:instrText>
          </w:r>
          <w:r>
            <w:rPr>
              <w:rFonts w:eastAsia="黑体" w:cstheme="minorBidi"/>
              <w:szCs w:val="28"/>
              <w:highlight w:val="none"/>
            </w:rPr>
            <w:fldChar w:fldCharType="separate"/>
          </w:r>
          <w:r>
            <w:rPr>
              <w:rFonts w:hint="eastAsia"/>
              <w:bCs w:val="0"/>
              <w:lang w:val="zh-CN" w:eastAsia="zh-CN"/>
            </w:rPr>
            <w:t>十、政府性基金预算财政拨款收入支出决算表</w:t>
          </w:r>
          <w:r>
            <w:tab/>
          </w:r>
          <w:r>
            <w:fldChar w:fldCharType="begin"/>
          </w:r>
          <w:r>
            <w:instrText xml:space="preserve"> PAGEREF _Toc17308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_Toc15101 </w:instrText>
          </w:r>
          <w:r>
            <w:rPr>
              <w:rFonts w:eastAsia="黑体" w:cstheme="minorBidi"/>
              <w:szCs w:val="28"/>
              <w:highlight w:val="none"/>
            </w:rPr>
            <w:fldChar w:fldCharType="separate"/>
          </w:r>
          <w:r>
            <w:rPr>
              <w:rFonts w:hint="eastAsia"/>
              <w:bCs w:val="0"/>
              <w:lang w:val="zh-CN" w:eastAsia="zh-CN"/>
            </w:rPr>
            <w:t>十一、国有资本经营预算财政拨款收入支出决算表</w:t>
          </w:r>
          <w:r>
            <w:tab/>
          </w:r>
          <w:r>
            <w:fldChar w:fldCharType="begin"/>
          </w:r>
          <w:r>
            <w:instrText xml:space="preserve"> PAGEREF _Toc15101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_Toc19293 </w:instrText>
          </w:r>
          <w:r>
            <w:rPr>
              <w:rFonts w:eastAsia="黑体" w:cstheme="minorBidi"/>
              <w:szCs w:val="28"/>
              <w:highlight w:val="none"/>
            </w:rPr>
            <w:fldChar w:fldCharType="separate"/>
          </w:r>
          <w:r>
            <w:rPr>
              <w:rFonts w:hint="eastAsia"/>
              <w:bCs w:val="0"/>
              <w:lang w:val="zh-CN" w:eastAsia="zh-CN"/>
            </w:rPr>
            <w:t>十二、国有资本经营预算财政拨款支出决算表</w:t>
          </w:r>
          <w:r>
            <w:tab/>
          </w:r>
          <w:r>
            <w:fldChar w:fldCharType="begin"/>
          </w:r>
          <w:r>
            <w:instrText xml:space="preserve"> PAGEREF _Toc19293 \h </w:instrText>
          </w:r>
          <w:r>
            <w:fldChar w:fldCharType="separate"/>
          </w:r>
          <w:r>
            <w:t>215</w:t>
          </w:r>
          <w:r>
            <w:fldChar w:fldCharType="end"/>
          </w:r>
          <w:r>
            <w:rPr>
              <w:rFonts w:eastAsia="黑体" w:cstheme="minorBidi"/>
              <w:szCs w:val="28"/>
              <w:highlight w:val="none"/>
            </w:rPr>
            <w:fldChar w:fldCharType="end"/>
          </w:r>
        </w:p>
        <w:p>
          <w:pPr>
            <w:pStyle w:val="19"/>
            <w:tabs>
              <w:tab w:val="right" w:leader="dot" w:pos="8306"/>
              <w:tab w:val="clear" w:pos="8296"/>
            </w:tabs>
            <w:spacing w:line="360" w:lineRule="auto"/>
          </w:pPr>
          <w:r>
            <w:rPr>
              <w:rFonts w:eastAsia="黑体" w:cstheme="minorBidi"/>
              <w:szCs w:val="28"/>
              <w:highlight w:val="none"/>
            </w:rPr>
            <w:fldChar w:fldCharType="begin"/>
          </w:r>
          <w:r>
            <w:rPr>
              <w:rFonts w:eastAsia="黑体" w:cstheme="minorBidi"/>
              <w:szCs w:val="28"/>
              <w:highlight w:val="none"/>
            </w:rPr>
            <w:instrText xml:space="preserve"> HYPERLINK \l _Toc26087 </w:instrText>
          </w:r>
          <w:r>
            <w:rPr>
              <w:rFonts w:eastAsia="黑体" w:cstheme="minorBidi"/>
              <w:szCs w:val="28"/>
              <w:highlight w:val="none"/>
            </w:rPr>
            <w:fldChar w:fldCharType="separate"/>
          </w:r>
          <w:r>
            <w:rPr>
              <w:rFonts w:hint="eastAsia"/>
              <w:bCs w:val="0"/>
              <w:lang w:val="zh-CN" w:eastAsia="zh-CN"/>
            </w:rPr>
            <w:t>十三、财政拨款“三公”经费支出决算表</w:t>
          </w:r>
          <w:r>
            <w:tab/>
          </w:r>
          <w:r>
            <w:fldChar w:fldCharType="begin"/>
          </w:r>
          <w:r>
            <w:instrText xml:space="preserve"> PAGEREF _Toc26087 \h </w:instrText>
          </w:r>
          <w:r>
            <w:fldChar w:fldCharType="separate"/>
          </w:r>
          <w:r>
            <w:t>215</w:t>
          </w:r>
          <w:r>
            <w:fldChar w:fldCharType="end"/>
          </w:r>
          <w:r>
            <w:rPr>
              <w:rFonts w:eastAsia="黑体" w:cstheme="minorBidi"/>
              <w:szCs w:val="28"/>
              <w:highlight w:val="none"/>
            </w:rPr>
            <w:fldChar w:fldCharType="end"/>
          </w:r>
        </w:p>
        <w:p>
          <w:pPr>
            <w:widowControl/>
            <w:jc w:val="both"/>
            <w:rPr>
              <w:rFonts w:ascii="Times New Roman" w:hAnsi="Times New Roman" w:eastAsia="黑体" w:cstheme="minorBidi"/>
              <w:kern w:val="2"/>
              <w:sz w:val="21"/>
              <w:szCs w:val="28"/>
              <w:highlight w:val="none"/>
              <w:lang w:val="en-US" w:eastAsia="zh-CN" w:bidi="ar-SA"/>
            </w:rPr>
          </w:pPr>
          <w:r>
            <w:rPr>
              <w:rFonts w:eastAsia="黑体" w:cstheme="minorBidi"/>
              <w:szCs w:val="28"/>
              <w:highlight w:val="none"/>
            </w:rPr>
            <w:fldChar w:fldCharType="end"/>
          </w:r>
        </w:p>
      </w:sdtContent>
    </w:sdt>
    <w:p>
      <w:pPr>
        <w:pStyle w:val="2"/>
      </w:pPr>
    </w:p>
    <w:p>
      <w:pPr>
        <w:pStyle w:val="14"/>
        <w:jc w:val="both"/>
        <w:rPr>
          <w:rFonts w:ascii="Times New Roman" w:hAnsi="Times New Roman" w:eastAsia="仿宋_GB2312" w:cs="仿宋_GB2312"/>
          <w:sz w:val="32"/>
          <w:szCs w:val="32"/>
          <w:highlight w:val="none"/>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p>
    <w:p>
      <w:pPr>
        <w:pStyle w:val="3"/>
        <w:spacing w:before="0" w:after="0" w:line="240" w:lineRule="auto"/>
        <w:jc w:val="center"/>
        <w:rPr>
          <w:rStyle w:val="34"/>
          <w:rFonts w:eastAsia="方正小标宋简体" w:cs="方正小标宋简体"/>
          <w:b w:val="0"/>
          <w:bCs w:val="0"/>
          <w:highlight w:val="none"/>
        </w:rPr>
      </w:pPr>
      <w:bookmarkStart w:id="6" w:name="_Toc15396599"/>
      <w:bookmarkStart w:id="7" w:name="_Toc1060"/>
      <w:bookmarkStart w:id="8" w:name="_Toc15377196"/>
      <w:bookmarkStart w:id="9" w:name="_Toc26269"/>
      <w:r>
        <w:rPr>
          <w:rFonts w:hint="eastAsia" w:eastAsia="方正小标宋简体" w:cs="方正小标宋简体"/>
          <w:b w:val="0"/>
          <w:highlight w:val="none"/>
        </w:rPr>
        <w:t xml:space="preserve">第一部分  </w:t>
      </w:r>
      <w:r>
        <w:rPr>
          <w:rStyle w:val="34"/>
          <w:rFonts w:hint="eastAsia" w:eastAsia="方正小标宋简体" w:cs="方正小标宋简体"/>
          <w:b w:val="0"/>
          <w:bCs w:val="0"/>
          <w:highlight w:val="none"/>
        </w:rPr>
        <w:t>部门概况</w:t>
      </w:r>
      <w:bookmarkEnd w:id="6"/>
      <w:bookmarkEnd w:id="7"/>
      <w:bookmarkEnd w:id="8"/>
      <w:bookmarkEnd w:id="9"/>
    </w:p>
    <w:p>
      <w:pPr>
        <w:rPr>
          <w:highlight w:val="none"/>
        </w:rPr>
      </w:pPr>
    </w:p>
    <w:p>
      <w:pPr>
        <w:pStyle w:val="4"/>
        <w:rPr>
          <w:rFonts w:hint="eastAsia" w:ascii="方正黑体简体" w:hAnsi="方正黑体简体" w:eastAsia="方正黑体简体" w:cs="方正黑体简体"/>
          <w:b w:val="0"/>
          <w:highlight w:val="none"/>
        </w:rPr>
      </w:pPr>
      <w:bookmarkStart w:id="10" w:name="_Toc15396600"/>
      <w:bookmarkStart w:id="11" w:name="_Toc15377197"/>
      <w:bookmarkStart w:id="12" w:name="_Toc3438"/>
      <w:bookmarkStart w:id="13" w:name="_Toc3461"/>
      <w:r>
        <w:rPr>
          <w:rFonts w:hint="eastAsia" w:ascii="方正黑体简体" w:hAnsi="方正黑体简体" w:eastAsia="方正黑体简体" w:cs="方正黑体简体"/>
          <w:b w:val="0"/>
          <w:highlight w:val="none"/>
        </w:rPr>
        <w:t>一、</w:t>
      </w:r>
      <w:bookmarkEnd w:id="10"/>
      <w:bookmarkEnd w:id="11"/>
      <w:r>
        <w:rPr>
          <w:rFonts w:hint="eastAsia" w:ascii="方正黑体简体" w:hAnsi="方正黑体简体" w:eastAsia="方正黑体简体" w:cs="方正黑体简体"/>
          <w:b w:val="0"/>
          <w:highlight w:val="none"/>
        </w:rPr>
        <w:t>部门职责</w:t>
      </w:r>
      <w:bookmarkEnd w:id="12"/>
      <w:bookmarkEnd w:id="13"/>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贯彻执行党和国家有关文化、旅游、广播电视和文物工作的方针政策和法律法规，拟订相关政策措施并组织实施，起草有关地方性法规、规章草案，负责本部门依法行政工作。制定文化旅游产业发展的地方标准和行业规范并组织实施。</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2.组织推动全市文化事业、文化产业、旅游业、广播电视事业和文物事业发展，拟订发展规划并组织实施。统筹中国生态康养旅游名市建设工作，推进全域旅游。推进文化和旅游体制机制改革，推进文化和旅游融合发展。</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 xml:space="preserve">3.管理全市性重大文化、旅游、广播电视和文物活动，指导推进相关设施建设。 </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4.指导管理文化艺术事业，推动艺术创作生产，扶持体现社会主义核心价值观、具有导向性代表性示范性的文艺作品，推动各门类艺术、各艺术品种发展，推动中华优秀传统文化、巴蜀文化和广元特色文化传承发展。</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5.负责公共文化和广播电视事业发展，推进全市公共文化和广播电视服务体系建设及旅游公共服务建设，深入实施文化旅游和广播电视惠民工程，统筹推进基本公共服务标准化、均等化。</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6.组织实施文化和旅游资源普查、挖掘、保护与利用工作，监测文化旅游经济运行，促进文化旅游产业发展。推进文化和旅游科技创新发展，推进文化和旅游行业信息化、标准化建设。负责文化旅游科技教育培训和人才培养工作。</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 xml:space="preserve">7.负责非物质文化遗产保护，推动非物质文化遗产的保护、传承、普及、弘扬和振兴。 </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8.管理和指导全市文物保护利用与考古工作。组织文物资源调查。负责组织遴选、申报市级（含市级）以上文物保护单位，指导地方文物保护单位申报等工作。推动全市文物和博物馆公共服务体系建设，指导监督博物馆和社会文物工作。组织实施申遗及管理工作。</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 xml:space="preserve">9.指导文化和旅游市场发展，对文化和旅游市场进行行业监管，推进文化和旅游行业信用体系建设，依法规范文化和旅游市场。 </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10.负责文化、旅游、广播电视和文物系统安全生产工作的综合协调与监督管理，对广播电视和文物系统、文化旅游园区、新业态安全生产和职业健康工作实施行业监督管理。制定职责范围内的安全生产年度监督检查计划并组织实施。</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 xml:space="preserve">11.统筹全市文化市场综合执法工作，组织查处全市性、跨区域及辖区内文化、旅游、广播电视和文物等市场的违法行为，加强行业监管和督查督办，维护市场秩序。 </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 xml:space="preserve">12.制订全市文化旅游客源市场开发战略并组织实施，组织广元整体文化旅游形象对外宣传和重大推广活动。 </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13.指导全市广播电视宣传和创作题材规划，监督管理全市广播电视节目、信息网络视听节目和公共视听载体播放的视听节目，审查其内容和质量，负责全市广播电视节目的进口和收录管理。负责推进广播电视与新媒体新技术新业态融合发展，推进广电网与电信网、互联网三网融合。</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14.负责对各类广播电视机构进行业务指导和行业监管，会同有关部门对网络视听节目服务机构进行管理。指导全市广播电视科技工作，负责全市广播电视节目传输、监测、安全播出和广播电视、信息网络视听节目服务机构及业务的监管，指导对从事广播电视节目制作民办机构的监管工作。</w:t>
      </w:r>
    </w:p>
    <w:p>
      <w:pPr>
        <w:pStyle w:val="14"/>
        <w:spacing w:before="0" w:line="576" w:lineRule="exact"/>
        <w:ind w:firstLine="640" w:firstLineChars="200"/>
        <w:jc w:val="both"/>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 xml:space="preserve">15.负责职责范围内的生态环境保护、审批服务便民化等工作。 </w:t>
      </w:r>
    </w:p>
    <w:p>
      <w:pPr>
        <w:pStyle w:val="14"/>
        <w:spacing w:before="0" w:line="576" w:lineRule="exact"/>
        <w:ind w:firstLine="640" w:firstLineChars="200"/>
        <w:jc w:val="both"/>
        <w:rPr>
          <w:rFonts w:hint="eastAsia" w:ascii="Times New Roman" w:hAnsi="Times New Roman"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16.完成</w:t>
      </w:r>
      <w:r>
        <w:rPr>
          <w:rFonts w:hint="eastAsia" w:ascii="Times New Roman" w:hAnsi="Times New Roman" w:eastAsia="仿宋_GB2312" w:cs="仿宋_GB2312"/>
          <w:kern w:val="2"/>
          <w:sz w:val="32"/>
          <w:szCs w:val="32"/>
          <w:highlight w:val="none"/>
          <w:lang w:val="zh-CN" w:eastAsia="zh-CN" w:bidi="ar-SA"/>
        </w:rPr>
        <w:t xml:space="preserve">市委、市政府交办的其他任务。 </w:t>
      </w:r>
    </w:p>
    <w:p>
      <w:pPr>
        <w:pStyle w:val="2"/>
        <w:adjustRightInd w:val="0"/>
        <w:snapToGrid w:val="0"/>
        <w:spacing w:beforeLines="0" w:line="576" w:lineRule="exact"/>
        <w:ind w:firstLine="640" w:firstLineChars="200"/>
        <w:outlineLvl w:val="2"/>
        <w:rPr>
          <w:rFonts w:hint="eastAsia" w:ascii="Times New Roman" w:hAnsi="Times New Roman" w:eastAsia="仿宋_GB2312" w:cs="仿宋_GB2312"/>
          <w:kern w:val="2"/>
          <w:sz w:val="32"/>
          <w:szCs w:val="32"/>
          <w:highlight w:val="none"/>
          <w:lang w:val="en-US" w:eastAsia="zh-CN" w:bidi="ar-SA"/>
        </w:rPr>
      </w:pPr>
      <w:bookmarkStart w:id="14" w:name="_Toc21291"/>
      <w:r>
        <w:rPr>
          <w:rFonts w:hint="eastAsia" w:ascii="仿宋_GB2312" w:hAnsi="仿宋_GB2312" w:eastAsia="仿宋_GB2312" w:cs="仿宋_GB2312"/>
          <w:kern w:val="2"/>
          <w:sz w:val="32"/>
          <w:szCs w:val="32"/>
          <w:highlight w:val="none"/>
          <w:lang w:val="en-US" w:eastAsia="zh-CN" w:bidi="ar-SA"/>
        </w:rPr>
        <w:t>17.</w:t>
      </w:r>
      <w:r>
        <w:rPr>
          <w:rFonts w:hint="eastAsia" w:ascii="Times New Roman" w:hAnsi="Times New Roman" w:eastAsia="仿宋_GB2312" w:cs="仿宋_GB2312"/>
          <w:kern w:val="2"/>
          <w:sz w:val="32"/>
          <w:szCs w:val="32"/>
          <w:highlight w:val="none"/>
          <w:lang w:val="zh-CN" w:eastAsia="zh-CN" w:bidi="ar-SA"/>
        </w:rPr>
        <w:t>职能转变。以人民美好生活为引导，统筹推进文化事业、文化产业、旅游业、广播电视事业融合发展和文物保护利用传承。用好文化创意、科技创新和社会投资等新动能，促进文化、旅游、广播电视和文物与相关产业融合发展。巩固旅游业的战略性支柱产业地位，提升国家文化软实力、国际旅游竞争力。</w:t>
      </w:r>
      <w:bookmarkEnd w:id="14"/>
    </w:p>
    <w:p>
      <w:pPr>
        <w:pStyle w:val="4"/>
        <w:rPr>
          <w:rStyle w:val="35"/>
          <w:rFonts w:hint="eastAsia" w:ascii="方正黑体简体" w:hAnsi="方正黑体简体" w:eastAsia="方正黑体简体" w:cs="方正黑体简体"/>
          <w:b w:val="0"/>
          <w:bCs w:val="0"/>
          <w:highlight w:val="none"/>
        </w:rPr>
      </w:pPr>
      <w:bookmarkStart w:id="15" w:name="_Toc12724"/>
      <w:bookmarkStart w:id="16" w:name="_Toc31055"/>
      <w:bookmarkStart w:id="17" w:name="_Toc15396601"/>
      <w:bookmarkStart w:id="18" w:name="_Toc15377200"/>
      <w:r>
        <w:rPr>
          <w:rFonts w:hint="eastAsia" w:ascii="方正黑体简体" w:hAnsi="方正黑体简体" w:eastAsia="方正黑体简体" w:cs="方正黑体简体"/>
          <w:b w:val="0"/>
          <w:highlight w:val="none"/>
        </w:rPr>
        <w:t>二、机</w:t>
      </w:r>
      <w:r>
        <w:rPr>
          <w:rStyle w:val="35"/>
          <w:rFonts w:hint="eastAsia" w:ascii="方正黑体简体" w:hAnsi="方正黑体简体" w:eastAsia="方正黑体简体" w:cs="方正黑体简体"/>
          <w:b w:val="0"/>
          <w:bCs w:val="0"/>
          <w:highlight w:val="none"/>
        </w:rPr>
        <w:t>构设置</w:t>
      </w:r>
      <w:bookmarkEnd w:id="15"/>
      <w:bookmarkEnd w:id="16"/>
      <w:bookmarkEnd w:id="17"/>
      <w:bookmarkEnd w:id="18"/>
    </w:p>
    <w:p>
      <w:pPr>
        <w:spacing w:line="576" w:lineRule="exact"/>
        <w:ind w:firstLine="640" w:firstLineChars="20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广元市文化广播电视和旅游局下属二级单位10个，其中行政单位1个，参照公务员法管理的事业单位1个，其他事业单位8个。</w:t>
      </w:r>
    </w:p>
    <w:p>
      <w:pPr>
        <w:pStyle w:val="2"/>
        <w:adjustRightInd w:val="0"/>
        <w:snapToGrid w:val="0"/>
        <w:spacing w:before="93" w:line="576" w:lineRule="exact"/>
        <w:ind w:firstLine="640" w:firstLineChars="200"/>
        <w:rPr>
          <w:rFonts w:hint="eastAsia" w:ascii="Times New Roman" w:hAnsi="Times New Roman"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纳入广元市文化广播电视和旅游局2024</w:t>
      </w:r>
      <w:r>
        <w:rPr>
          <w:rFonts w:hint="eastAsia" w:ascii="Times New Roman" w:hAnsi="Times New Roman" w:eastAsia="仿宋_GB2312" w:cs="仿宋_GB2312"/>
          <w:kern w:val="2"/>
          <w:sz w:val="32"/>
          <w:szCs w:val="32"/>
          <w:highlight w:val="none"/>
          <w:lang w:val="zh-CN" w:eastAsia="zh-CN" w:bidi="ar-SA"/>
        </w:rPr>
        <w:t>年度部门决算编制范围的二级预算单位包括：</w:t>
      </w:r>
    </w:p>
    <w:p>
      <w:pPr>
        <w:pStyle w:val="2"/>
        <w:adjustRightInd w:val="0"/>
        <w:snapToGrid w:val="0"/>
        <w:spacing w:before="93" w:line="576" w:lineRule="exact"/>
        <w:ind w:firstLine="640" w:firstLineChars="200"/>
        <w:outlineLvl w:val="2"/>
        <w:rPr>
          <w:rFonts w:hint="eastAsia" w:ascii="Times New Roman" w:hAnsi="Times New Roman" w:eastAsia="仿宋_GB2312" w:cs="仿宋_GB2312"/>
          <w:kern w:val="2"/>
          <w:sz w:val="32"/>
          <w:szCs w:val="32"/>
          <w:highlight w:val="none"/>
          <w:lang w:val="zh-CN" w:eastAsia="zh-CN" w:bidi="ar-SA"/>
        </w:rPr>
      </w:pPr>
      <w:bookmarkStart w:id="19" w:name="_Toc4221"/>
      <w:bookmarkStart w:id="20" w:name="_Toc29380"/>
      <w:r>
        <w:rPr>
          <w:rFonts w:hint="eastAsia" w:ascii="仿宋_GB2312" w:hAnsi="仿宋_GB2312" w:eastAsia="仿宋_GB2312" w:cs="仿宋_GB2312"/>
          <w:kern w:val="2"/>
          <w:sz w:val="32"/>
          <w:szCs w:val="32"/>
          <w:highlight w:val="none"/>
          <w:lang w:val="zh-CN" w:eastAsia="zh-CN" w:bidi="ar-SA"/>
        </w:rPr>
        <w:t>1.广元</w:t>
      </w:r>
      <w:r>
        <w:rPr>
          <w:rFonts w:hint="eastAsia" w:ascii="Times New Roman" w:hAnsi="Times New Roman" w:eastAsia="仿宋_GB2312" w:cs="仿宋_GB2312"/>
          <w:kern w:val="2"/>
          <w:sz w:val="32"/>
          <w:szCs w:val="32"/>
          <w:highlight w:val="none"/>
          <w:lang w:val="zh-CN" w:eastAsia="zh-CN" w:bidi="ar-SA"/>
        </w:rPr>
        <w:t>市文化广播电视和旅游局机关</w:t>
      </w:r>
      <w:bookmarkEnd w:id="19"/>
    </w:p>
    <w:p>
      <w:pPr>
        <w:pStyle w:val="2"/>
        <w:adjustRightInd w:val="0"/>
        <w:snapToGrid w:val="0"/>
        <w:spacing w:before="93" w:line="576" w:lineRule="exact"/>
        <w:ind w:firstLine="640" w:firstLineChars="200"/>
        <w:outlineLvl w:val="2"/>
        <w:rPr>
          <w:rFonts w:hint="eastAsia" w:ascii="仿宋_GB2312" w:hAnsi="仿宋_GB2312" w:eastAsia="仿宋_GB2312" w:cs="仿宋_GB2312"/>
          <w:kern w:val="2"/>
          <w:sz w:val="32"/>
          <w:szCs w:val="32"/>
          <w:highlight w:val="none"/>
          <w:lang w:val="zh-CN" w:eastAsia="zh-CN" w:bidi="ar-SA"/>
        </w:rPr>
      </w:pPr>
      <w:bookmarkStart w:id="21" w:name="_Toc27682"/>
      <w:r>
        <w:rPr>
          <w:rFonts w:hint="eastAsia" w:ascii="仿宋_GB2312" w:hAnsi="仿宋_GB2312" w:eastAsia="仿宋_GB2312" w:cs="仿宋_GB2312"/>
          <w:kern w:val="2"/>
          <w:sz w:val="32"/>
          <w:szCs w:val="32"/>
          <w:highlight w:val="none"/>
          <w:lang w:val="zh-CN" w:eastAsia="zh-CN" w:bidi="ar-SA"/>
        </w:rPr>
        <w:t>2.广元市文化市场综合执法支队</w:t>
      </w:r>
      <w:bookmarkEnd w:id="20"/>
      <w:bookmarkEnd w:id="21"/>
    </w:p>
    <w:p>
      <w:pPr>
        <w:pStyle w:val="2"/>
        <w:adjustRightInd w:val="0"/>
        <w:snapToGrid w:val="0"/>
        <w:spacing w:before="93" w:line="576" w:lineRule="exact"/>
        <w:ind w:firstLine="640" w:firstLineChars="200"/>
        <w:outlineLvl w:val="2"/>
        <w:rPr>
          <w:rFonts w:hint="eastAsia" w:ascii="仿宋_GB2312" w:hAnsi="仿宋_GB2312" w:eastAsia="仿宋_GB2312" w:cs="仿宋_GB2312"/>
          <w:kern w:val="2"/>
          <w:sz w:val="32"/>
          <w:szCs w:val="32"/>
          <w:highlight w:val="none"/>
          <w:lang w:val="zh-CN" w:eastAsia="zh-CN" w:bidi="ar-SA"/>
        </w:rPr>
      </w:pPr>
      <w:bookmarkStart w:id="22" w:name="_Toc26470"/>
      <w:bookmarkStart w:id="23" w:name="_Toc31653"/>
      <w:r>
        <w:rPr>
          <w:rFonts w:hint="eastAsia" w:ascii="仿宋_GB2312" w:hAnsi="仿宋_GB2312" w:eastAsia="仿宋_GB2312" w:cs="仿宋_GB2312"/>
          <w:kern w:val="2"/>
          <w:sz w:val="32"/>
          <w:szCs w:val="32"/>
          <w:highlight w:val="none"/>
          <w:lang w:val="zh-CN" w:eastAsia="zh-CN" w:bidi="ar-SA"/>
        </w:rPr>
        <w:t>3.广元市图书馆</w:t>
      </w:r>
      <w:bookmarkEnd w:id="22"/>
      <w:bookmarkEnd w:id="23"/>
    </w:p>
    <w:p>
      <w:pPr>
        <w:pStyle w:val="2"/>
        <w:adjustRightInd w:val="0"/>
        <w:snapToGrid w:val="0"/>
        <w:spacing w:before="93" w:line="576" w:lineRule="exact"/>
        <w:ind w:firstLine="640" w:firstLineChars="200"/>
        <w:outlineLvl w:val="2"/>
        <w:rPr>
          <w:rFonts w:hint="eastAsia" w:ascii="仿宋_GB2312" w:hAnsi="仿宋_GB2312" w:eastAsia="仿宋_GB2312" w:cs="仿宋_GB2312"/>
          <w:kern w:val="2"/>
          <w:sz w:val="32"/>
          <w:szCs w:val="32"/>
          <w:highlight w:val="none"/>
          <w:lang w:val="zh-CN" w:eastAsia="zh-CN" w:bidi="ar-SA"/>
        </w:rPr>
      </w:pPr>
      <w:bookmarkStart w:id="24" w:name="_Toc10417"/>
      <w:bookmarkStart w:id="25" w:name="_Toc8303"/>
      <w:r>
        <w:rPr>
          <w:rFonts w:hint="eastAsia" w:ascii="仿宋_GB2312" w:hAnsi="仿宋_GB2312" w:eastAsia="仿宋_GB2312" w:cs="仿宋_GB2312"/>
          <w:kern w:val="2"/>
          <w:sz w:val="32"/>
          <w:szCs w:val="32"/>
          <w:highlight w:val="none"/>
          <w:lang w:val="zh-CN" w:eastAsia="zh-CN" w:bidi="ar-SA"/>
        </w:rPr>
        <w:t>4.广元市文化馆</w:t>
      </w:r>
      <w:bookmarkEnd w:id="24"/>
      <w:bookmarkEnd w:id="25"/>
    </w:p>
    <w:p>
      <w:pPr>
        <w:pStyle w:val="2"/>
        <w:adjustRightInd w:val="0"/>
        <w:snapToGrid w:val="0"/>
        <w:spacing w:before="93" w:line="576" w:lineRule="exact"/>
        <w:ind w:firstLine="640" w:firstLineChars="200"/>
        <w:outlineLvl w:val="2"/>
        <w:rPr>
          <w:rFonts w:hint="eastAsia" w:ascii="仿宋_GB2312" w:hAnsi="仿宋_GB2312" w:eastAsia="仿宋_GB2312" w:cs="仿宋_GB2312"/>
          <w:kern w:val="2"/>
          <w:sz w:val="32"/>
          <w:szCs w:val="32"/>
          <w:highlight w:val="none"/>
          <w:lang w:val="zh-CN" w:eastAsia="zh-CN" w:bidi="ar-SA"/>
        </w:rPr>
      </w:pPr>
      <w:bookmarkStart w:id="26" w:name="_Toc32764"/>
      <w:bookmarkStart w:id="27" w:name="_Toc1538"/>
      <w:r>
        <w:rPr>
          <w:rFonts w:hint="eastAsia" w:ascii="仿宋_GB2312" w:hAnsi="仿宋_GB2312" w:eastAsia="仿宋_GB2312" w:cs="仿宋_GB2312"/>
          <w:kern w:val="2"/>
          <w:sz w:val="32"/>
          <w:szCs w:val="32"/>
          <w:highlight w:val="none"/>
          <w:lang w:val="zh-CN" w:eastAsia="zh-CN" w:bidi="ar-SA"/>
        </w:rPr>
        <w:t>5.广元市美术馆</w:t>
      </w:r>
      <w:bookmarkEnd w:id="26"/>
      <w:bookmarkEnd w:id="27"/>
    </w:p>
    <w:p>
      <w:pPr>
        <w:pStyle w:val="2"/>
        <w:adjustRightInd w:val="0"/>
        <w:snapToGrid w:val="0"/>
        <w:spacing w:before="93" w:line="576" w:lineRule="exact"/>
        <w:ind w:firstLine="640" w:firstLineChars="200"/>
        <w:outlineLvl w:val="2"/>
        <w:rPr>
          <w:rFonts w:hint="eastAsia" w:ascii="仿宋_GB2312" w:hAnsi="仿宋_GB2312" w:eastAsia="仿宋_GB2312" w:cs="仿宋_GB2312"/>
          <w:kern w:val="2"/>
          <w:sz w:val="32"/>
          <w:szCs w:val="32"/>
          <w:highlight w:val="none"/>
          <w:lang w:val="zh-CN" w:eastAsia="zh-CN" w:bidi="ar-SA"/>
        </w:rPr>
      </w:pPr>
      <w:bookmarkStart w:id="28" w:name="_Toc6946"/>
      <w:bookmarkStart w:id="29" w:name="_Toc4876"/>
      <w:r>
        <w:rPr>
          <w:rFonts w:hint="eastAsia" w:ascii="仿宋_GB2312" w:hAnsi="仿宋_GB2312" w:eastAsia="仿宋_GB2312" w:cs="仿宋_GB2312"/>
          <w:kern w:val="2"/>
          <w:sz w:val="32"/>
          <w:szCs w:val="32"/>
          <w:highlight w:val="none"/>
          <w:lang w:val="zh-CN" w:eastAsia="zh-CN" w:bidi="ar-SA"/>
        </w:rPr>
        <w:t>6.广元市博物馆</w:t>
      </w:r>
      <w:bookmarkEnd w:id="28"/>
      <w:bookmarkEnd w:id="29"/>
    </w:p>
    <w:p>
      <w:pPr>
        <w:pStyle w:val="2"/>
        <w:adjustRightInd w:val="0"/>
        <w:snapToGrid w:val="0"/>
        <w:spacing w:before="93" w:line="576" w:lineRule="exact"/>
        <w:ind w:firstLine="640" w:firstLineChars="200"/>
        <w:outlineLvl w:val="2"/>
        <w:rPr>
          <w:rFonts w:hint="eastAsia" w:ascii="仿宋_GB2312" w:hAnsi="仿宋_GB2312" w:eastAsia="仿宋_GB2312" w:cs="仿宋_GB2312"/>
          <w:kern w:val="2"/>
          <w:sz w:val="32"/>
          <w:szCs w:val="32"/>
          <w:highlight w:val="none"/>
          <w:lang w:val="zh-CN" w:eastAsia="zh-CN" w:bidi="ar-SA"/>
        </w:rPr>
      </w:pPr>
      <w:bookmarkStart w:id="30" w:name="_Toc4009"/>
      <w:bookmarkStart w:id="31" w:name="_Toc1333"/>
      <w:r>
        <w:rPr>
          <w:rFonts w:hint="eastAsia" w:ascii="仿宋_GB2312" w:hAnsi="仿宋_GB2312" w:eastAsia="仿宋_GB2312" w:cs="仿宋_GB2312"/>
          <w:kern w:val="2"/>
          <w:sz w:val="32"/>
          <w:szCs w:val="32"/>
          <w:highlight w:val="none"/>
          <w:lang w:val="zh-CN" w:eastAsia="zh-CN" w:bidi="ar-SA"/>
        </w:rPr>
        <w:t>7.广元市</w:t>
      </w:r>
      <w:bookmarkEnd w:id="30"/>
      <w:bookmarkStart w:id="32" w:name="_Toc22422"/>
      <w:r>
        <w:rPr>
          <w:rFonts w:hint="eastAsia" w:ascii="仿宋_GB2312" w:hAnsi="仿宋_GB2312" w:eastAsia="仿宋_GB2312" w:cs="仿宋_GB2312"/>
          <w:kern w:val="2"/>
          <w:sz w:val="32"/>
          <w:szCs w:val="32"/>
          <w:highlight w:val="none"/>
          <w:lang w:val="zh-CN" w:eastAsia="zh-CN" w:bidi="ar-SA"/>
        </w:rPr>
        <w:t>戏曲发展中心</w:t>
      </w:r>
      <w:bookmarkEnd w:id="31"/>
    </w:p>
    <w:bookmarkEnd w:id="32"/>
    <w:p>
      <w:pPr>
        <w:adjustRightInd w:val="0"/>
        <w:snapToGrid w:val="0"/>
        <w:spacing w:line="576" w:lineRule="exact"/>
        <w:ind w:firstLine="640" w:firstLineChars="200"/>
        <w:contextualSpacing/>
        <w:rPr>
          <w:rFonts w:hint="eastAsia" w:ascii="仿宋_GB2312" w:hAnsi="仿宋_GB2312" w:eastAsia="仿宋_GB2312" w:cs="仿宋_GB2312"/>
          <w:kern w:val="2"/>
          <w:sz w:val="32"/>
          <w:szCs w:val="32"/>
          <w:highlight w:val="none"/>
          <w:lang w:val="zh-CN" w:eastAsia="zh-CN" w:bidi="ar-SA"/>
        </w:rPr>
      </w:pPr>
      <w:bookmarkStart w:id="33" w:name="_Toc9009"/>
      <w:bookmarkStart w:id="34" w:name="_Toc21052"/>
      <w:r>
        <w:rPr>
          <w:rFonts w:hint="eastAsia" w:ascii="仿宋_GB2312" w:hAnsi="仿宋_GB2312" w:eastAsia="仿宋_GB2312" w:cs="仿宋_GB2312"/>
          <w:kern w:val="2"/>
          <w:sz w:val="32"/>
          <w:szCs w:val="32"/>
          <w:highlight w:val="none"/>
          <w:lang w:val="zh-CN" w:eastAsia="zh-CN" w:bidi="ar-SA"/>
        </w:rPr>
        <w:t>8.广元石窟研究所</w:t>
      </w:r>
    </w:p>
    <w:bookmarkEnd w:id="33"/>
    <w:bookmarkEnd w:id="34"/>
    <w:p>
      <w:pPr>
        <w:adjustRightInd w:val="0"/>
        <w:snapToGrid w:val="0"/>
        <w:spacing w:line="576" w:lineRule="exact"/>
        <w:ind w:firstLine="640" w:firstLineChars="200"/>
        <w:contextualSpacing/>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9.广元市文化遗产保护中心</w:t>
      </w:r>
    </w:p>
    <w:p>
      <w:pPr>
        <w:adjustRightInd w:val="0"/>
        <w:snapToGrid w:val="0"/>
        <w:spacing w:line="576" w:lineRule="exact"/>
        <w:ind w:firstLine="640" w:firstLineChars="200"/>
        <w:contextualSpacing/>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10.广元市720无线发射台</w:t>
      </w:r>
    </w:p>
    <w:p>
      <w:pPr>
        <w:pStyle w:val="3"/>
        <w:jc w:val="center"/>
        <w:rPr>
          <w:rFonts w:eastAsia="方正小标宋简体" w:cs="方正小标宋简体"/>
          <w:b w:val="0"/>
          <w:highlight w:val="none"/>
        </w:rPr>
      </w:pPr>
      <w:bookmarkStart w:id="35" w:name="_Toc10083"/>
      <w:bookmarkStart w:id="36" w:name="_Toc15396602"/>
      <w:bookmarkStart w:id="37" w:name="_Toc18462"/>
      <w:bookmarkStart w:id="38" w:name="_Toc15377204"/>
      <w:r>
        <w:rPr>
          <w:rFonts w:hint="eastAsia" w:eastAsia="方正小标宋简体" w:cs="方正小标宋简体"/>
          <w:b w:val="0"/>
          <w:highlight w:val="none"/>
        </w:rPr>
        <w:t>第二部分  2024年度部门决算情况说明</w:t>
      </w:r>
      <w:bookmarkEnd w:id="35"/>
      <w:bookmarkEnd w:id="36"/>
      <w:bookmarkEnd w:id="37"/>
      <w:bookmarkEnd w:id="38"/>
    </w:p>
    <w:p>
      <w:pPr>
        <w:rPr>
          <w:highlight w:val="none"/>
        </w:rPr>
      </w:pPr>
    </w:p>
    <w:p>
      <w:pPr>
        <w:pStyle w:val="33"/>
        <w:spacing w:line="600" w:lineRule="exact"/>
        <w:ind w:firstLine="640"/>
        <w:outlineLvl w:val="1"/>
        <w:rPr>
          <w:rStyle w:val="35"/>
          <w:rFonts w:hint="eastAsia" w:ascii="方正黑体简体" w:hAnsi="方正黑体简体" w:eastAsia="方正黑体简体" w:cs="方正黑体简体"/>
          <w:b w:val="0"/>
          <w:highlight w:val="none"/>
        </w:rPr>
      </w:pPr>
      <w:bookmarkStart w:id="39" w:name="_Toc22738"/>
      <w:bookmarkStart w:id="40" w:name="_Toc15377205"/>
      <w:bookmarkStart w:id="41" w:name="_Toc15396603"/>
      <w:bookmarkStart w:id="42" w:name="_Toc26438"/>
      <w:r>
        <w:rPr>
          <w:rFonts w:hint="eastAsia" w:ascii="方正黑体简体" w:hAnsi="方正黑体简体" w:eastAsia="方正黑体简体" w:cs="方正黑体简体"/>
          <w:sz w:val="32"/>
          <w:szCs w:val="32"/>
          <w:highlight w:val="none"/>
        </w:rPr>
        <w:t>一、收</w:t>
      </w:r>
      <w:r>
        <w:rPr>
          <w:rStyle w:val="35"/>
          <w:rFonts w:hint="eastAsia" w:ascii="方正黑体简体" w:hAnsi="方正黑体简体" w:eastAsia="方正黑体简体" w:cs="方正黑体简体"/>
          <w:b w:val="0"/>
          <w:highlight w:val="none"/>
        </w:rPr>
        <w:t>入支出决算总体情况说明</w:t>
      </w:r>
      <w:bookmarkEnd w:id="39"/>
      <w:bookmarkEnd w:id="40"/>
      <w:bookmarkEnd w:id="41"/>
      <w:bookmarkEnd w:id="42"/>
    </w:p>
    <w:p>
      <w:pPr>
        <w:pStyle w:val="33"/>
        <w:spacing w:line="600" w:lineRule="exact"/>
        <w:ind w:firstLine="640"/>
        <w:outlineLvl w:val="1"/>
        <w:rPr>
          <w:highlight w:val="none"/>
        </w:rPr>
      </w:pPr>
      <w:bookmarkStart w:id="43" w:name="_Toc17481"/>
      <w:bookmarkStart w:id="44" w:name="_Toc8580"/>
      <w:bookmarkStart w:id="45" w:name="_Toc24131"/>
      <w:r>
        <w:rPr>
          <w:rFonts w:hint="eastAsia" w:ascii="仿宋_GB2312" w:hAnsi="仿宋_GB2312" w:eastAsia="仿宋_GB2312" w:cs="仿宋_GB2312"/>
          <w:sz w:val="32"/>
          <w:szCs w:val="32"/>
          <w:highlight w:val="none"/>
        </w:rPr>
        <w:t>2024</w:t>
      </w:r>
      <w:r>
        <w:rPr>
          <w:rFonts w:hint="eastAsia" w:eastAsia="仿宋_GB2312" w:cs="仿宋_GB2312"/>
          <w:sz w:val="32"/>
          <w:szCs w:val="32"/>
          <w:highlight w:val="none"/>
        </w:rPr>
        <w:t>年度收入、支出总计均为</w:t>
      </w:r>
      <w:r>
        <w:rPr>
          <w:rFonts w:hint="eastAsia" w:ascii="仿宋_GB2312" w:hAnsi="仿宋_GB2312" w:eastAsia="仿宋_GB2312" w:cs="仿宋_GB2312"/>
          <w:sz w:val="32"/>
          <w:szCs w:val="32"/>
          <w:highlight w:val="none"/>
        </w:rPr>
        <w:t>8493.05</w:t>
      </w:r>
      <w:r>
        <w:rPr>
          <w:rFonts w:hint="eastAsia" w:eastAsia="仿宋_GB2312" w:cs="仿宋_GB2312"/>
          <w:sz w:val="32"/>
          <w:szCs w:val="32"/>
          <w:highlight w:val="none"/>
        </w:rPr>
        <w:t>万</w:t>
      </w:r>
      <w:r>
        <w:rPr>
          <w:rFonts w:hint="eastAsia" w:ascii="仿宋_GB2312" w:hAnsi="仿宋_GB2312" w:eastAsia="仿宋_GB2312" w:cs="仿宋_GB2312"/>
          <w:sz w:val="32"/>
          <w:szCs w:val="32"/>
          <w:highlight w:val="none"/>
        </w:rPr>
        <w:t>元。与2023</w:t>
      </w:r>
      <w:r>
        <w:rPr>
          <w:rFonts w:hint="eastAsia" w:eastAsia="仿宋_GB2312" w:cs="仿宋_GB2312"/>
          <w:sz w:val="32"/>
          <w:szCs w:val="32"/>
          <w:highlight w:val="none"/>
        </w:rPr>
        <w:t>年度相比，收入、支出总计</w:t>
      </w:r>
      <w:r>
        <w:rPr>
          <w:rFonts w:hint="eastAsia" w:ascii="仿宋_GB2312" w:hAnsi="仿宋_GB2312" w:eastAsia="仿宋_GB2312" w:cs="仿宋_GB2312"/>
          <w:sz w:val="32"/>
          <w:szCs w:val="32"/>
          <w:highlight w:val="none"/>
        </w:rPr>
        <w:t>各减少8998.42万</w:t>
      </w:r>
      <w:r>
        <w:rPr>
          <w:rFonts w:hint="eastAsia" w:eastAsia="仿宋_GB2312" w:cs="仿宋_GB2312"/>
          <w:sz w:val="32"/>
          <w:szCs w:val="32"/>
          <w:highlight w:val="none"/>
        </w:rPr>
        <w:t>元，下</w:t>
      </w:r>
      <w:r>
        <w:rPr>
          <w:rFonts w:hint="eastAsia" w:ascii="仿宋_GB2312" w:hAnsi="仿宋_GB2312" w:eastAsia="仿宋_GB2312" w:cs="仿宋_GB2312"/>
          <w:sz w:val="32"/>
          <w:szCs w:val="32"/>
          <w:highlight w:val="none"/>
        </w:rPr>
        <w:t>降51.44%。</w:t>
      </w:r>
      <w:r>
        <w:rPr>
          <w:rFonts w:hint="eastAsia" w:eastAsia="仿宋_GB2312" w:cs="仿宋_GB2312"/>
          <w:sz w:val="32"/>
          <w:szCs w:val="32"/>
          <w:highlight w:val="none"/>
        </w:rPr>
        <w:t>主要变动原因</w:t>
      </w:r>
      <w:r>
        <w:rPr>
          <w:rFonts w:hint="eastAsia" w:eastAsia="仿宋_GB2312" w:cs="仿宋_GB2312"/>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zh-CN"/>
        </w:rPr>
        <w:t>是</w:t>
      </w:r>
      <w:r>
        <w:rPr>
          <w:rFonts w:hint="eastAsia" w:ascii="仿宋_GB2312" w:hAnsi="仿宋_GB2312" w:eastAsia="仿宋_GB2312" w:cs="仿宋_GB2312"/>
          <w:sz w:val="32"/>
          <w:szCs w:val="32"/>
          <w:highlight w:val="none"/>
          <w:lang w:val="en-US" w:eastAsia="zh-CN"/>
        </w:rPr>
        <w:t>2024年航线</w:t>
      </w:r>
      <w:r>
        <w:rPr>
          <w:rFonts w:hint="eastAsia" w:ascii="仿宋_GB2312" w:hAnsi="仿宋_GB2312" w:eastAsia="仿宋_GB2312" w:cs="仿宋_GB2312"/>
          <w:color w:val="auto"/>
          <w:sz w:val="32"/>
          <w:szCs w:val="32"/>
          <w:highlight w:val="none"/>
          <w:lang w:val="en-US" w:eastAsia="zh-CN"/>
        </w:rPr>
        <w:t>轧差项目经费划拨市口岸物流中心，故收支大幅减少；</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是</w:t>
      </w:r>
      <w:bookmarkEnd w:id="43"/>
      <w:bookmarkEnd w:id="44"/>
      <w:r>
        <w:rPr>
          <w:rFonts w:hint="eastAsia" w:ascii="仿宋_GB2312" w:hAnsi="仿宋_GB2312" w:eastAsia="仿宋_GB2312" w:cs="仿宋_GB2312"/>
          <w:sz w:val="32"/>
          <w:szCs w:val="32"/>
          <w:highlight w:val="none"/>
          <w:lang w:val="en-US" w:eastAsia="zh-CN"/>
        </w:rPr>
        <w:t>2023年市口岸物流中心未单独设账，故2023年收支总计含市口岸物流中心收支；三是</w:t>
      </w:r>
      <w:r>
        <w:rPr>
          <w:rFonts w:hint="eastAsia" w:ascii="仿宋_GB2312" w:hAnsi="仿宋_GB2312" w:eastAsia="仿宋_GB2312" w:cs="仿宋_GB2312"/>
          <w:sz w:val="32"/>
          <w:szCs w:val="32"/>
          <w:highlight w:val="none"/>
        </w:rPr>
        <w:t>人员</w:t>
      </w:r>
      <w:r>
        <w:rPr>
          <w:rFonts w:hint="eastAsia" w:ascii="仿宋_GB2312" w:hAnsi="仿宋_GB2312" w:eastAsia="仿宋_GB2312" w:cs="仿宋_GB2312"/>
          <w:sz w:val="32"/>
          <w:szCs w:val="32"/>
          <w:highlight w:val="none"/>
          <w:lang w:val="en-US" w:eastAsia="zh-CN"/>
        </w:rPr>
        <w:t>减少，人员</w:t>
      </w:r>
      <w:r>
        <w:rPr>
          <w:rFonts w:hint="eastAsia" w:ascii="仿宋_GB2312" w:hAnsi="仿宋_GB2312" w:eastAsia="仿宋_GB2312" w:cs="仿宋_GB2312"/>
          <w:sz w:val="32"/>
          <w:szCs w:val="32"/>
          <w:highlight w:val="none"/>
        </w:rPr>
        <w:t>经费和公用经费</w:t>
      </w:r>
      <w:r>
        <w:rPr>
          <w:rFonts w:hint="eastAsia" w:ascii="仿宋_GB2312" w:hAnsi="仿宋_GB2312" w:eastAsia="仿宋_GB2312" w:cs="仿宋_GB2312"/>
          <w:sz w:val="32"/>
          <w:szCs w:val="32"/>
          <w:highlight w:val="none"/>
          <w:lang w:val="en-US" w:eastAsia="zh-CN"/>
        </w:rPr>
        <w:t>减少；四是项目</w:t>
      </w:r>
      <w:r>
        <w:rPr>
          <w:rFonts w:hint="eastAsia" w:ascii="仿宋_GB2312" w:hAnsi="仿宋_GB2312" w:eastAsia="仿宋_GB2312" w:cs="仿宋_GB2312"/>
          <w:sz w:val="32"/>
          <w:szCs w:val="32"/>
          <w:highlight w:val="none"/>
        </w:rPr>
        <w:t>经费</w:t>
      </w:r>
      <w:r>
        <w:rPr>
          <w:rFonts w:hint="eastAsia" w:ascii="仿宋_GB2312" w:hAnsi="仿宋_GB2312" w:eastAsia="仿宋_GB2312" w:cs="仿宋_GB2312"/>
          <w:sz w:val="32"/>
          <w:szCs w:val="32"/>
          <w:highlight w:val="none"/>
          <w:lang w:val="en-US" w:eastAsia="zh-CN"/>
        </w:rPr>
        <w:t>减少</w:t>
      </w:r>
      <w:r>
        <w:rPr>
          <w:rFonts w:hint="eastAsia" w:ascii="华文仿宋" w:hAnsi="华文仿宋" w:eastAsia="华文仿宋"/>
          <w:color w:val="000000"/>
          <w:sz w:val="32"/>
          <w:szCs w:val="32"/>
          <w:highlight w:val="none"/>
          <w:lang w:val="en-US" w:eastAsia="zh-CN"/>
        </w:rPr>
        <w:t>。</w:t>
      </w:r>
      <w:bookmarkEnd w:id="45"/>
    </w:p>
    <w:p>
      <w:pPr>
        <w:ind w:firstLine="420" w:firstLineChars="200"/>
        <w:rPr>
          <w:highlight w:val="none"/>
        </w:rPr>
      </w:pPr>
      <w:r>
        <w:rPr>
          <w:highlight w:val="none"/>
        </w:rPr>
        <w:drawing>
          <wp:inline distT="0" distB="0" distL="114300" distR="114300">
            <wp:extent cx="4912995" cy="2558415"/>
            <wp:effectExtent l="4445" t="4445" r="16510" b="8890"/>
            <wp:docPr id="17"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rFonts w:hint="eastAsia" w:ascii="仿宋_GB2312" w:hAnsi="仿宋_GB2312" w:eastAsia="仿宋_GB2312" w:cs="仿宋_GB2312"/>
          <w:color w:val="auto"/>
          <w:sz w:val="32"/>
          <w:szCs w:val="32"/>
          <w:highlight w:val="none"/>
          <w:lang w:val="en-US" w:eastAsia="zh-CN"/>
        </w:rPr>
      </w:pPr>
      <w:r>
        <w:rPr>
          <w:rFonts w:hint="eastAsia" w:eastAsia="仿宋_GB2312" w:cs="仿宋_GB2312"/>
          <w:sz w:val="32"/>
          <w:szCs w:val="32"/>
          <w:highlight w:val="none"/>
        </w:rPr>
        <w:t>（图1：收入、支出决算总计变动情况图）</w:t>
      </w:r>
    </w:p>
    <w:p>
      <w:pPr>
        <w:pStyle w:val="33"/>
        <w:spacing w:line="600" w:lineRule="exact"/>
        <w:ind w:firstLine="640"/>
        <w:outlineLvl w:val="1"/>
        <w:rPr>
          <w:rStyle w:val="35"/>
          <w:rFonts w:hint="eastAsia" w:ascii="方正黑体简体" w:hAnsi="方正黑体简体" w:eastAsia="方正黑体简体" w:cs="方正黑体简体"/>
          <w:b w:val="0"/>
          <w:highlight w:val="none"/>
        </w:rPr>
      </w:pPr>
      <w:bookmarkStart w:id="46" w:name="_Toc15377206"/>
      <w:bookmarkStart w:id="47" w:name="_Toc13083"/>
      <w:bookmarkStart w:id="48" w:name="_Toc15396604"/>
      <w:bookmarkStart w:id="49" w:name="_Toc22111"/>
      <w:r>
        <w:rPr>
          <w:rStyle w:val="35"/>
          <w:rFonts w:hint="eastAsia" w:ascii="方正黑体简体" w:hAnsi="方正黑体简体" w:eastAsia="方正黑体简体" w:cs="方正黑体简体"/>
          <w:b w:val="0"/>
          <w:highlight w:val="none"/>
        </w:rPr>
        <w:t>二、收入决算情况说明</w:t>
      </w:r>
      <w:bookmarkEnd w:id="46"/>
      <w:bookmarkEnd w:id="47"/>
      <w:bookmarkEnd w:id="48"/>
      <w:bookmarkEnd w:id="49"/>
    </w:p>
    <w:p>
      <w:pPr>
        <w:pStyle w:val="33"/>
        <w:spacing w:line="600" w:lineRule="exact"/>
        <w:ind w:firstLine="640"/>
        <w:outlineLvl w:val="1"/>
        <w:rPr>
          <w:rFonts w:hint="eastAsia" w:ascii="仿宋_GB2312" w:hAnsi="仿宋_GB2312" w:eastAsia="仿宋_GB2312" w:cs="仿宋_GB2312"/>
          <w:sz w:val="32"/>
          <w:szCs w:val="32"/>
          <w:highlight w:val="none"/>
        </w:rPr>
      </w:pPr>
      <w:bookmarkStart w:id="50" w:name="_Toc1918"/>
      <w:bookmarkStart w:id="51" w:name="_Toc29503"/>
      <w:bookmarkStart w:id="52" w:name="_Toc14826"/>
      <w:r>
        <w:rPr>
          <w:rFonts w:hint="eastAsia" w:ascii="仿宋_GB2312" w:hAnsi="仿宋_GB2312" w:eastAsia="仿宋_GB2312" w:cs="仿宋_GB2312"/>
          <w:sz w:val="32"/>
          <w:szCs w:val="32"/>
          <w:highlight w:val="none"/>
        </w:rPr>
        <w:t>2024年度本年收入合计8362.71万元，其中：一般公共预算财政拨款收入8122.4万元，占97.1</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%；其他收入240.31万元，占2.87%。</w:t>
      </w:r>
      <w:bookmarkEnd w:id="50"/>
      <w:bookmarkEnd w:id="51"/>
      <w:bookmarkEnd w:id="52"/>
    </w:p>
    <w:p>
      <w:pPr>
        <w:jc w:val="center"/>
        <w:rPr>
          <w:highlight w:val="none"/>
        </w:rPr>
      </w:pPr>
      <w:r>
        <w:rPr>
          <w:highlight w:val="none"/>
        </w:rPr>
        <w:drawing>
          <wp:inline distT="0" distB="0" distL="114300" distR="114300">
            <wp:extent cx="4759325" cy="2640330"/>
            <wp:effectExtent l="4445" t="5080" r="17780" b="21590"/>
            <wp:docPr id="18"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eastAsia="仿宋_GB2312" w:cs="仿宋_GB2312"/>
          <w:sz w:val="32"/>
          <w:szCs w:val="32"/>
          <w:highlight w:val="none"/>
        </w:rPr>
      </w:pPr>
      <w:r>
        <w:rPr>
          <w:rFonts w:hint="eastAsia" w:eastAsia="仿宋_GB2312" w:cs="仿宋_GB2312"/>
          <w:sz w:val="32"/>
          <w:szCs w:val="32"/>
          <w:highlight w:val="none"/>
        </w:rPr>
        <w:t>（图2：收入决算结构图）</w:t>
      </w:r>
    </w:p>
    <w:p>
      <w:pPr>
        <w:pStyle w:val="33"/>
        <w:spacing w:line="600" w:lineRule="exact"/>
        <w:ind w:firstLine="640"/>
        <w:outlineLvl w:val="1"/>
        <w:rPr>
          <w:rStyle w:val="35"/>
          <w:rFonts w:hint="eastAsia" w:ascii="方正黑体简体" w:hAnsi="方正黑体简体" w:eastAsia="方正黑体简体" w:cs="方正黑体简体"/>
          <w:b w:val="0"/>
          <w:highlight w:val="none"/>
        </w:rPr>
      </w:pPr>
      <w:bookmarkStart w:id="53" w:name="_Toc27721"/>
      <w:bookmarkStart w:id="54" w:name="_Toc21945"/>
      <w:bookmarkStart w:id="55" w:name="_Toc15396605"/>
      <w:bookmarkStart w:id="56" w:name="_Toc15377207"/>
      <w:r>
        <w:rPr>
          <w:rStyle w:val="35"/>
          <w:rFonts w:hint="eastAsia" w:ascii="方正黑体简体" w:hAnsi="方正黑体简体" w:eastAsia="方正黑体简体" w:cs="方正黑体简体"/>
          <w:b w:val="0"/>
          <w:highlight w:val="none"/>
        </w:rPr>
        <w:t>三、支出决算情况说明</w:t>
      </w:r>
      <w:bookmarkEnd w:id="53"/>
      <w:bookmarkEnd w:id="54"/>
      <w:bookmarkEnd w:id="55"/>
      <w:bookmarkEnd w:id="56"/>
    </w:p>
    <w:p>
      <w:pPr>
        <w:pStyle w:val="33"/>
        <w:spacing w:line="600" w:lineRule="exact"/>
        <w:ind w:firstLine="640"/>
        <w:outlineLvl w:val="1"/>
        <w:rPr>
          <w:rFonts w:hint="eastAsia" w:ascii="仿宋_GB2312" w:hAnsi="仿宋_GB2312" w:eastAsia="仿宋_GB2312" w:cs="仿宋_GB2312"/>
          <w:sz w:val="32"/>
          <w:szCs w:val="32"/>
          <w:highlight w:val="none"/>
          <w:lang w:eastAsia="zh-CN"/>
        </w:rPr>
      </w:pPr>
      <w:bookmarkStart w:id="57" w:name="_Toc31239"/>
      <w:bookmarkStart w:id="58" w:name="_Toc19510"/>
      <w:bookmarkStart w:id="59" w:name="_Toc31858"/>
      <w:r>
        <w:rPr>
          <w:rFonts w:hint="eastAsia" w:ascii="仿宋_GB2312" w:hAnsi="仿宋_GB2312" w:eastAsia="仿宋_GB2312" w:cs="仿宋_GB2312"/>
          <w:sz w:val="32"/>
          <w:szCs w:val="32"/>
          <w:highlight w:val="none"/>
        </w:rPr>
        <w:t>2024年度本年支出合计8472.46万元，其中：基本支出5175.77万元，占61.0</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%；项目支出3296.69万元，占38.91%</w:t>
      </w:r>
      <w:bookmarkEnd w:id="57"/>
      <w:bookmarkEnd w:id="58"/>
      <w:r>
        <w:rPr>
          <w:rFonts w:hint="eastAsia" w:ascii="仿宋_GB2312" w:hAnsi="仿宋_GB2312" w:eastAsia="仿宋_GB2312" w:cs="仿宋_GB2312"/>
          <w:sz w:val="32"/>
          <w:szCs w:val="32"/>
          <w:highlight w:val="none"/>
          <w:lang w:eastAsia="zh-CN"/>
        </w:rPr>
        <w:t>。</w:t>
      </w:r>
      <w:bookmarkEnd w:id="59"/>
    </w:p>
    <w:p>
      <w:pPr>
        <w:ind w:firstLine="525" w:firstLineChars="250"/>
        <w:jc w:val="center"/>
        <w:rPr>
          <w:highlight w:val="none"/>
        </w:rPr>
      </w:pPr>
      <w:r>
        <w:rPr>
          <w:highlight w:val="none"/>
        </w:rPr>
        <w:drawing>
          <wp:inline distT="0" distB="0" distL="114300" distR="114300">
            <wp:extent cx="3816985" cy="2553335"/>
            <wp:effectExtent l="4445" t="4445" r="7620" b="13970"/>
            <wp:docPr id="19"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highlight w:val="none"/>
        </w:rPr>
      </w:pPr>
      <w:r>
        <w:rPr>
          <w:rFonts w:hint="eastAsia" w:eastAsia="仿宋_GB2312" w:cs="仿宋_GB2312"/>
          <w:sz w:val="32"/>
          <w:szCs w:val="32"/>
          <w:highlight w:val="none"/>
        </w:rPr>
        <w:t>（图3：支出决算结构图）</w:t>
      </w:r>
    </w:p>
    <w:p>
      <w:pPr>
        <w:spacing w:line="600" w:lineRule="exact"/>
        <w:ind w:firstLine="640" w:firstLineChars="200"/>
        <w:outlineLvl w:val="1"/>
        <w:rPr>
          <w:rStyle w:val="35"/>
          <w:rFonts w:hint="eastAsia" w:ascii="方正黑体简体" w:hAnsi="方正黑体简体" w:eastAsia="方正黑体简体" w:cs="方正黑体简体"/>
          <w:b w:val="0"/>
          <w:highlight w:val="none"/>
          <w:lang w:val="en-US" w:eastAsia="zh-CN" w:bidi="ar-SA"/>
        </w:rPr>
      </w:pPr>
      <w:bookmarkStart w:id="60" w:name="_Toc9472"/>
      <w:bookmarkStart w:id="61" w:name="_Toc29054"/>
      <w:bookmarkStart w:id="62" w:name="_Toc15377208"/>
      <w:bookmarkStart w:id="63" w:name="_Toc15396606"/>
      <w:r>
        <w:rPr>
          <w:rStyle w:val="35"/>
          <w:rFonts w:hint="eastAsia" w:ascii="方正黑体简体" w:hAnsi="方正黑体简体" w:eastAsia="方正黑体简体" w:cs="方正黑体简体"/>
          <w:b w:val="0"/>
          <w:highlight w:val="none"/>
          <w:lang w:val="en-US" w:eastAsia="zh-CN" w:bidi="ar-SA"/>
        </w:rPr>
        <w:t>四、财政拨款收入支出决算总体情况说明</w:t>
      </w:r>
      <w:bookmarkEnd w:id="60"/>
      <w:bookmarkEnd w:id="61"/>
      <w:bookmarkEnd w:id="62"/>
      <w:bookmarkEnd w:id="63"/>
    </w:p>
    <w:p>
      <w:pPr>
        <w:pStyle w:val="33"/>
        <w:spacing w:line="600" w:lineRule="exact"/>
        <w:ind w:firstLine="640"/>
        <w:outlineLvl w:val="1"/>
        <w:rPr>
          <w:rFonts w:hint="eastAsia" w:ascii="仿宋_GB2312" w:hAnsi="仿宋_GB2312" w:eastAsia="仿宋_GB2312" w:cs="仿宋_GB2312"/>
          <w:sz w:val="32"/>
          <w:szCs w:val="32"/>
          <w:highlight w:val="none"/>
        </w:rPr>
      </w:pPr>
      <w:bookmarkStart w:id="64" w:name="_Toc15974"/>
      <w:r>
        <w:rPr>
          <w:rFonts w:hint="eastAsia" w:ascii="仿宋_GB2312" w:hAnsi="仿宋_GB2312" w:eastAsia="仿宋_GB2312" w:cs="仿宋_GB2312"/>
          <w:sz w:val="32"/>
          <w:szCs w:val="32"/>
          <w:highlight w:val="none"/>
        </w:rPr>
        <w:t>2024年度财政拨款收入、支出总计均为8191.89万元。与2023年度相比，财政拨款收入总计、支出总计各减少8935.19万元，下降52.17%。主要变动原因</w:t>
      </w:r>
      <w:r>
        <w:rPr>
          <w:rFonts w:hint="eastAsia" w:ascii="仿宋_GB2312" w:hAnsi="仿宋_GB2312" w:eastAsia="仿宋_GB2312" w:cs="仿宋_GB2312"/>
          <w:sz w:val="32"/>
          <w:szCs w:val="32"/>
          <w:highlight w:val="none"/>
          <w:lang w:val="en-US" w:eastAsia="zh-CN"/>
        </w:rPr>
        <w:t>一是2024年航线轧差项目经费划拨市口岸物流中心，故收支大幅减少；二</w:t>
      </w:r>
      <w:r>
        <w:rPr>
          <w:rFonts w:hint="eastAsia" w:ascii="仿宋_GB2312" w:hAnsi="仿宋_GB2312" w:eastAsia="仿宋_GB2312" w:cs="仿宋_GB2312"/>
          <w:sz w:val="32"/>
          <w:szCs w:val="32"/>
          <w:highlight w:val="none"/>
        </w:rPr>
        <w:t>是</w:t>
      </w:r>
      <w:r>
        <w:rPr>
          <w:rFonts w:hint="eastAsia" w:ascii="仿宋_GB2312" w:hAnsi="仿宋_GB2312" w:eastAsia="仿宋_GB2312" w:cs="仿宋_GB2312"/>
          <w:sz w:val="32"/>
          <w:szCs w:val="32"/>
          <w:highlight w:val="none"/>
          <w:lang w:val="en-US" w:eastAsia="zh-CN"/>
        </w:rPr>
        <w:t>2023年市口岸物流中心未单独设账，故2023年收支总计含市口岸物流中心收支；三是</w:t>
      </w:r>
      <w:r>
        <w:rPr>
          <w:rFonts w:hint="eastAsia" w:ascii="仿宋_GB2312" w:hAnsi="仿宋_GB2312" w:eastAsia="仿宋_GB2312" w:cs="仿宋_GB2312"/>
          <w:sz w:val="32"/>
          <w:szCs w:val="32"/>
          <w:highlight w:val="none"/>
        </w:rPr>
        <w:t>人员</w:t>
      </w:r>
      <w:r>
        <w:rPr>
          <w:rFonts w:hint="eastAsia" w:ascii="仿宋_GB2312" w:hAnsi="仿宋_GB2312" w:eastAsia="仿宋_GB2312" w:cs="仿宋_GB2312"/>
          <w:sz w:val="32"/>
          <w:szCs w:val="32"/>
          <w:highlight w:val="none"/>
          <w:lang w:val="en-US" w:eastAsia="zh-CN"/>
        </w:rPr>
        <w:t>减少，人员</w:t>
      </w:r>
      <w:r>
        <w:rPr>
          <w:rFonts w:hint="eastAsia" w:ascii="仿宋_GB2312" w:hAnsi="仿宋_GB2312" w:eastAsia="仿宋_GB2312" w:cs="仿宋_GB2312"/>
          <w:sz w:val="32"/>
          <w:szCs w:val="32"/>
          <w:highlight w:val="none"/>
        </w:rPr>
        <w:t>经费和公用经费</w:t>
      </w:r>
      <w:r>
        <w:rPr>
          <w:rFonts w:hint="eastAsia" w:ascii="仿宋_GB2312" w:hAnsi="仿宋_GB2312" w:eastAsia="仿宋_GB2312" w:cs="仿宋_GB2312"/>
          <w:sz w:val="32"/>
          <w:szCs w:val="32"/>
          <w:highlight w:val="none"/>
          <w:lang w:val="en-US" w:eastAsia="zh-CN"/>
        </w:rPr>
        <w:t>减少；四是项目</w:t>
      </w:r>
      <w:r>
        <w:rPr>
          <w:rFonts w:hint="eastAsia" w:ascii="仿宋_GB2312" w:hAnsi="仿宋_GB2312" w:eastAsia="仿宋_GB2312" w:cs="仿宋_GB2312"/>
          <w:sz w:val="32"/>
          <w:szCs w:val="32"/>
          <w:highlight w:val="none"/>
        </w:rPr>
        <w:t>经费</w:t>
      </w:r>
      <w:r>
        <w:rPr>
          <w:rFonts w:hint="eastAsia" w:ascii="仿宋_GB2312" w:hAnsi="仿宋_GB2312" w:eastAsia="仿宋_GB2312" w:cs="仿宋_GB2312"/>
          <w:sz w:val="32"/>
          <w:szCs w:val="32"/>
          <w:highlight w:val="none"/>
          <w:lang w:val="en-US" w:eastAsia="zh-CN"/>
        </w:rPr>
        <w:t>减少。</w:t>
      </w:r>
      <w:bookmarkEnd w:id="64"/>
    </w:p>
    <w:p>
      <w:pPr>
        <w:keepNext w:val="0"/>
        <w:keepLines w:val="0"/>
        <w:widowControl/>
        <w:suppressLineNumbers w:val="0"/>
        <w:jc w:val="center"/>
        <w:rPr>
          <w:rFonts w:hint="eastAsia" w:eastAsia="仿宋_GB2312" w:cs="仿宋_GB2312"/>
          <w:sz w:val="32"/>
          <w:szCs w:val="32"/>
          <w:highlight w:val="none"/>
          <w:lang w:eastAsia="zh-CN"/>
        </w:rPr>
      </w:pPr>
      <w:r>
        <w:rPr>
          <w:rFonts w:hint="eastAsia" w:eastAsia="仿宋_GB2312" w:cs="仿宋_GB2312"/>
          <w:sz w:val="32"/>
          <w:szCs w:val="32"/>
          <w:highlight w:val="none"/>
          <w:lang w:eastAsia="zh-CN"/>
        </w:rPr>
        <w:drawing>
          <wp:inline distT="0" distB="0" distL="114300" distR="114300">
            <wp:extent cx="4943475" cy="2316480"/>
            <wp:effectExtent l="0" t="0" r="9525" b="7620"/>
            <wp:docPr id="10" name="图片 10" descr="QQ图片2025090209364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10" descr="QQ图片20250902093647"/>
                    <pic:cNvPicPr>
                      <a:picLocks noChangeAspect="true"/>
                    </pic:cNvPicPr>
                  </pic:nvPicPr>
                  <pic:blipFill>
                    <a:blip r:embed="rId13"/>
                    <a:stretch>
                      <a:fillRect/>
                    </a:stretch>
                  </pic:blipFill>
                  <pic:spPr>
                    <a:xfrm>
                      <a:off x="0" y="0"/>
                      <a:ext cx="4943475" cy="2316480"/>
                    </a:xfrm>
                    <a:prstGeom prst="rect">
                      <a:avLst/>
                    </a:prstGeom>
                  </pic:spPr>
                </pic:pic>
              </a:graphicData>
            </a:graphic>
          </wp:inline>
        </w:drawing>
      </w:r>
    </w:p>
    <w:p>
      <w:pPr>
        <w:spacing w:line="600" w:lineRule="exact"/>
        <w:jc w:val="center"/>
        <w:rPr>
          <w:rFonts w:eastAsia="仿宋_GB2312" w:cs="仿宋_GB2312"/>
          <w:sz w:val="32"/>
          <w:szCs w:val="32"/>
          <w:highlight w:val="none"/>
        </w:rPr>
      </w:pPr>
      <w:r>
        <w:rPr>
          <w:rFonts w:hint="eastAsia" w:eastAsia="仿宋_GB2312" w:cs="仿宋_GB2312"/>
          <w:sz w:val="32"/>
          <w:szCs w:val="32"/>
          <w:highlight w:val="none"/>
        </w:rPr>
        <w:t>（图4：财政拨款收、支决算总计变动情况）</w:t>
      </w:r>
    </w:p>
    <w:p>
      <w:pPr>
        <w:spacing w:line="600" w:lineRule="exact"/>
        <w:ind w:firstLine="640" w:firstLineChars="200"/>
        <w:outlineLvl w:val="1"/>
        <w:rPr>
          <w:rStyle w:val="35"/>
          <w:rFonts w:hint="eastAsia" w:ascii="方正黑体简体" w:hAnsi="方正黑体简体" w:eastAsia="方正黑体简体" w:cs="方正黑体简体"/>
          <w:b w:val="0"/>
          <w:highlight w:val="none"/>
          <w:lang w:val="en-US" w:eastAsia="zh-CN" w:bidi="ar-SA"/>
        </w:rPr>
      </w:pPr>
      <w:bookmarkStart w:id="65" w:name="_Toc15396607"/>
      <w:bookmarkStart w:id="66" w:name="_Toc15377209"/>
      <w:bookmarkStart w:id="67" w:name="_Toc23668"/>
      <w:bookmarkStart w:id="68" w:name="_Toc25569"/>
      <w:r>
        <w:rPr>
          <w:rStyle w:val="35"/>
          <w:rFonts w:hint="eastAsia" w:ascii="方正黑体简体" w:hAnsi="方正黑体简体" w:eastAsia="方正黑体简体" w:cs="方正黑体简体"/>
          <w:b w:val="0"/>
          <w:highlight w:val="none"/>
          <w:lang w:val="en-US" w:eastAsia="zh-CN" w:bidi="ar-SA"/>
        </w:rPr>
        <w:t>五、一般公共预算财政拨款支出决算情况说明</w:t>
      </w:r>
      <w:bookmarkEnd w:id="65"/>
      <w:bookmarkEnd w:id="66"/>
      <w:bookmarkEnd w:id="67"/>
      <w:bookmarkEnd w:id="68"/>
    </w:p>
    <w:p>
      <w:pPr>
        <w:spacing w:line="600" w:lineRule="exact"/>
        <w:ind w:firstLine="642" w:firstLineChars="200"/>
        <w:outlineLvl w:val="2"/>
        <w:rPr>
          <w:rFonts w:hint="eastAsia" w:ascii="仿宋_GB2312" w:hAnsi="仿宋_GB2312" w:eastAsia="仿宋_GB2312" w:cs="仿宋_GB2312"/>
          <w:b/>
          <w:bCs/>
          <w:kern w:val="2"/>
          <w:sz w:val="32"/>
          <w:szCs w:val="32"/>
          <w:highlight w:val="none"/>
          <w:lang w:val="en-US" w:eastAsia="zh-CN" w:bidi="ar-SA"/>
        </w:rPr>
      </w:pPr>
      <w:bookmarkStart w:id="69" w:name="_Toc15377210"/>
      <w:r>
        <w:rPr>
          <w:rFonts w:hint="eastAsia" w:ascii="仿宋_GB2312" w:hAnsi="仿宋_GB2312" w:eastAsia="仿宋_GB2312" w:cs="仿宋_GB2312"/>
          <w:b/>
          <w:bCs/>
          <w:kern w:val="2"/>
          <w:sz w:val="32"/>
          <w:szCs w:val="32"/>
          <w:highlight w:val="none"/>
          <w:lang w:val="en-US" w:eastAsia="zh-CN" w:bidi="ar-SA"/>
        </w:rPr>
        <w:t>（一）一般公共预算财政拨款支出决算总体情况</w:t>
      </w:r>
      <w:bookmarkEnd w:id="69"/>
    </w:p>
    <w:p>
      <w:pPr>
        <w:pStyle w:val="33"/>
        <w:spacing w:line="600" w:lineRule="exact"/>
        <w:ind w:firstLine="640"/>
        <w:outlineLvl w:val="1"/>
        <w:rPr>
          <w:rFonts w:hint="eastAsia" w:ascii="仿宋_GB2312" w:hAnsi="仿宋_GB2312" w:eastAsia="仿宋_GB2312" w:cs="仿宋_GB2312"/>
          <w:sz w:val="32"/>
          <w:szCs w:val="32"/>
          <w:highlight w:val="none"/>
        </w:rPr>
      </w:pPr>
      <w:bookmarkStart w:id="70" w:name="_Toc6436"/>
      <w:r>
        <w:rPr>
          <w:rFonts w:hint="eastAsia" w:ascii="仿宋_GB2312" w:hAnsi="仿宋_GB2312" w:eastAsia="仿宋_GB2312" w:cs="仿宋_GB2312"/>
          <w:sz w:val="32"/>
          <w:szCs w:val="32"/>
          <w:highlight w:val="none"/>
        </w:rPr>
        <w:t>2024年度一般公共预算财政拨款支出8183.62万元，占本年支出合计的96.59%。与2023年度相比，一般公共预算财政拨款支出减少8710.25 万元，下降51.56%。主要变动原因</w:t>
      </w:r>
      <w:r>
        <w:rPr>
          <w:rFonts w:hint="eastAsia" w:ascii="仿宋_GB2312" w:hAnsi="仿宋_GB2312" w:eastAsia="仿宋_GB2312" w:cs="仿宋_GB2312"/>
          <w:sz w:val="32"/>
          <w:szCs w:val="32"/>
          <w:highlight w:val="none"/>
          <w:lang w:val="en-US" w:eastAsia="zh-CN"/>
        </w:rPr>
        <w:t>一是2024年航线轧差项目经费划拨市口岸物流中心，故收支大幅减少；二</w:t>
      </w:r>
      <w:r>
        <w:rPr>
          <w:rFonts w:hint="eastAsia" w:ascii="仿宋_GB2312" w:hAnsi="仿宋_GB2312" w:eastAsia="仿宋_GB2312" w:cs="仿宋_GB2312"/>
          <w:sz w:val="32"/>
          <w:szCs w:val="32"/>
          <w:highlight w:val="none"/>
        </w:rPr>
        <w:t>是</w:t>
      </w:r>
      <w:r>
        <w:rPr>
          <w:rFonts w:hint="eastAsia" w:ascii="仿宋_GB2312" w:hAnsi="仿宋_GB2312" w:eastAsia="仿宋_GB2312" w:cs="仿宋_GB2312"/>
          <w:sz w:val="32"/>
          <w:szCs w:val="32"/>
          <w:highlight w:val="none"/>
          <w:lang w:val="en-US" w:eastAsia="zh-CN"/>
        </w:rPr>
        <w:t>2023年市口岸物流中心未单独设账，故2023年收支总计含市口岸物流中心收支；三是</w:t>
      </w:r>
      <w:r>
        <w:rPr>
          <w:rFonts w:hint="eastAsia" w:ascii="仿宋_GB2312" w:hAnsi="仿宋_GB2312" w:eastAsia="仿宋_GB2312" w:cs="仿宋_GB2312"/>
          <w:sz w:val="32"/>
          <w:szCs w:val="32"/>
          <w:highlight w:val="none"/>
        </w:rPr>
        <w:t>人员</w:t>
      </w:r>
      <w:r>
        <w:rPr>
          <w:rFonts w:hint="eastAsia" w:ascii="仿宋_GB2312" w:hAnsi="仿宋_GB2312" w:eastAsia="仿宋_GB2312" w:cs="仿宋_GB2312"/>
          <w:sz w:val="32"/>
          <w:szCs w:val="32"/>
          <w:highlight w:val="none"/>
          <w:lang w:val="en-US" w:eastAsia="zh-CN"/>
        </w:rPr>
        <w:t>减少，人员</w:t>
      </w:r>
      <w:r>
        <w:rPr>
          <w:rFonts w:hint="eastAsia" w:ascii="仿宋_GB2312" w:hAnsi="仿宋_GB2312" w:eastAsia="仿宋_GB2312" w:cs="仿宋_GB2312"/>
          <w:sz w:val="32"/>
          <w:szCs w:val="32"/>
          <w:highlight w:val="none"/>
        </w:rPr>
        <w:t>经费和公用经费</w:t>
      </w:r>
      <w:r>
        <w:rPr>
          <w:rFonts w:hint="eastAsia" w:ascii="仿宋_GB2312" w:hAnsi="仿宋_GB2312" w:eastAsia="仿宋_GB2312" w:cs="仿宋_GB2312"/>
          <w:sz w:val="32"/>
          <w:szCs w:val="32"/>
          <w:highlight w:val="none"/>
          <w:lang w:val="en-US" w:eastAsia="zh-CN"/>
        </w:rPr>
        <w:t>减少；四是项目</w:t>
      </w:r>
      <w:r>
        <w:rPr>
          <w:rFonts w:hint="eastAsia" w:ascii="仿宋_GB2312" w:hAnsi="仿宋_GB2312" w:eastAsia="仿宋_GB2312" w:cs="仿宋_GB2312"/>
          <w:sz w:val="32"/>
          <w:szCs w:val="32"/>
          <w:highlight w:val="none"/>
        </w:rPr>
        <w:t>经费</w:t>
      </w:r>
      <w:r>
        <w:rPr>
          <w:rFonts w:hint="eastAsia" w:ascii="仿宋_GB2312" w:hAnsi="仿宋_GB2312" w:eastAsia="仿宋_GB2312" w:cs="仿宋_GB2312"/>
          <w:sz w:val="32"/>
          <w:szCs w:val="32"/>
          <w:highlight w:val="none"/>
          <w:lang w:val="en-US" w:eastAsia="zh-CN"/>
        </w:rPr>
        <w:t>减少。</w:t>
      </w:r>
      <w:bookmarkEnd w:id="70"/>
    </w:p>
    <w:p>
      <w:pPr>
        <w:spacing w:line="240" w:lineRule="auto"/>
        <w:jc w:val="center"/>
        <w:rPr>
          <w:rFonts w:hint="eastAsia" w:eastAsia="仿宋_GB2312" w:cs="仿宋_GB2312"/>
          <w:sz w:val="32"/>
          <w:szCs w:val="32"/>
          <w:highlight w:val="none"/>
          <w:lang w:eastAsia="zh-CN"/>
        </w:rPr>
      </w:pPr>
      <w:r>
        <w:rPr>
          <w:rFonts w:hint="eastAsia" w:eastAsia="仿宋_GB2312" w:cs="仿宋_GB2312"/>
          <w:sz w:val="32"/>
          <w:szCs w:val="32"/>
          <w:highlight w:val="none"/>
          <w:lang w:eastAsia="zh-CN"/>
        </w:rPr>
        <w:drawing>
          <wp:inline distT="0" distB="0" distL="114300" distR="114300">
            <wp:extent cx="4935855" cy="2827655"/>
            <wp:effectExtent l="0" t="0" r="0" b="0"/>
            <wp:docPr id="11" name="图片 11" descr="QQ图片2025090209453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11" descr="QQ图片20250902094530"/>
                    <pic:cNvPicPr>
                      <a:picLocks noChangeAspect="true"/>
                    </pic:cNvPicPr>
                  </pic:nvPicPr>
                  <pic:blipFill>
                    <a:blip r:embed="rId14"/>
                    <a:srcRect t="-293" r="537"/>
                    <a:stretch>
                      <a:fillRect/>
                    </a:stretch>
                  </pic:blipFill>
                  <pic:spPr>
                    <a:xfrm>
                      <a:off x="0" y="0"/>
                      <a:ext cx="4935855" cy="2827655"/>
                    </a:xfrm>
                    <a:prstGeom prst="rect">
                      <a:avLst/>
                    </a:prstGeom>
                  </pic:spPr>
                </pic:pic>
              </a:graphicData>
            </a:graphic>
          </wp:inline>
        </w:drawing>
      </w:r>
    </w:p>
    <w:p>
      <w:pPr>
        <w:spacing w:line="600" w:lineRule="exact"/>
        <w:jc w:val="center"/>
        <w:rPr>
          <w:rFonts w:eastAsia="仿宋_GB2312" w:cs="仿宋_GB2312"/>
          <w:sz w:val="32"/>
          <w:szCs w:val="32"/>
          <w:highlight w:val="none"/>
        </w:rPr>
      </w:pPr>
      <w:r>
        <w:rPr>
          <w:rFonts w:hint="eastAsia" w:eastAsia="仿宋_GB2312" w:cs="仿宋_GB2312"/>
          <w:sz w:val="32"/>
          <w:szCs w:val="32"/>
          <w:highlight w:val="none"/>
        </w:rPr>
        <w:t>（图5：一般公共预算财政拨款支出决算变动情况）</w:t>
      </w:r>
    </w:p>
    <w:p>
      <w:pPr>
        <w:spacing w:line="600" w:lineRule="exact"/>
        <w:ind w:firstLine="642" w:firstLineChars="200"/>
        <w:outlineLvl w:val="2"/>
        <w:rPr>
          <w:rFonts w:hint="eastAsia" w:ascii="仿宋_GB2312" w:hAnsi="仿宋_GB2312" w:eastAsia="仿宋_GB2312" w:cs="仿宋_GB2312"/>
          <w:b/>
          <w:bCs/>
          <w:kern w:val="2"/>
          <w:sz w:val="32"/>
          <w:szCs w:val="32"/>
          <w:highlight w:val="none"/>
          <w:lang w:val="en-US" w:eastAsia="zh-CN" w:bidi="ar-SA"/>
        </w:rPr>
      </w:pPr>
      <w:bookmarkStart w:id="71" w:name="_Toc15377211"/>
      <w:r>
        <w:rPr>
          <w:rFonts w:hint="eastAsia" w:ascii="仿宋_GB2312" w:hAnsi="仿宋_GB2312" w:eastAsia="仿宋_GB2312" w:cs="仿宋_GB2312"/>
          <w:b/>
          <w:bCs/>
          <w:kern w:val="2"/>
          <w:sz w:val="32"/>
          <w:szCs w:val="32"/>
          <w:highlight w:val="none"/>
          <w:lang w:val="en-US" w:eastAsia="zh-CN" w:bidi="ar-SA"/>
        </w:rPr>
        <w:t>（二）一般公共预算财政拨款支出决算结构情况</w:t>
      </w:r>
      <w:bookmarkEnd w:id="71"/>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一般公共预算财政拨款支出8183.62万元，主要用于以下方面：文化旅游体育与传媒支出7018.49万元，占85.76%；社会保障和就业支出665.04万元，占8.13%；卫生健康支出147.20万元，占1.80%；住房保障支出352.89万元，占4.31%。</w:t>
      </w:r>
    </w:p>
    <w:p>
      <w:pPr>
        <w:spacing w:line="240" w:lineRule="auto"/>
        <w:jc w:val="center"/>
        <w:rPr>
          <w:rFonts w:hint="eastAsia" w:eastAsia="仿宋_GB2312" w:cs="仿宋_GB2312"/>
          <w:sz w:val="32"/>
          <w:szCs w:val="32"/>
          <w:highlight w:val="none"/>
          <w:lang w:eastAsia="zh-CN"/>
        </w:rPr>
      </w:pPr>
      <w:r>
        <w:rPr>
          <w:rFonts w:hint="eastAsia" w:eastAsia="仿宋_GB2312" w:cs="仿宋_GB2312"/>
          <w:sz w:val="32"/>
          <w:szCs w:val="32"/>
          <w:highlight w:val="none"/>
          <w:lang w:eastAsia="zh-CN"/>
        </w:rPr>
        <w:drawing>
          <wp:inline distT="0" distB="0" distL="114300" distR="114300">
            <wp:extent cx="4752975" cy="2638425"/>
            <wp:effectExtent l="0" t="0" r="9525" b="9525"/>
            <wp:docPr id="12" name="图片 12" descr="QQ图片2025090210060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 name="图片 12" descr="QQ图片20250902100604"/>
                    <pic:cNvPicPr>
                      <a:picLocks noChangeAspect="true"/>
                    </pic:cNvPicPr>
                  </pic:nvPicPr>
                  <pic:blipFill>
                    <a:blip r:embed="rId15"/>
                    <a:stretch>
                      <a:fillRect/>
                    </a:stretch>
                  </pic:blipFill>
                  <pic:spPr>
                    <a:xfrm>
                      <a:off x="0" y="0"/>
                      <a:ext cx="4752975" cy="2638425"/>
                    </a:xfrm>
                    <a:prstGeom prst="rect">
                      <a:avLst/>
                    </a:prstGeom>
                  </pic:spPr>
                </pic:pic>
              </a:graphicData>
            </a:graphic>
          </wp:inline>
        </w:drawing>
      </w:r>
    </w:p>
    <w:p>
      <w:pPr>
        <w:spacing w:line="240" w:lineRule="auto"/>
        <w:jc w:val="center"/>
        <w:rPr>
          <w:rFonts w:hint="eastAsia" w:eastAsia="仿宋_GB2312" w:cs="仿宋_GB2312"/>
          <w:sz w:val="32"/>
          <w:szCs w:val="32"/>
          <w:highlight w:val="none"/>
          <w:lang w:eastAsia="zh-CN"/>
        </w:rPr>
      </w:pPr>
      <w:r>
        <w:rPr>
          <w:rFonts w:hint="eastAsia" w:eastAsia="仿宋_GB2312" w:cs="仿宋_GB2312"/>
          <w:sz w:val="32"/>
          <w:szCs w:val="32"/>
          <w:highlight w:val="none"/>
        </w:rPr>
        <w:t>（图6：一般公共预算财政拨款支出决算结构）</w:t>
      </w:r>
    </w:p>
    <w:p>
      <w:pPr>
        <w:spacing w:line="600" w:lineRule="exact"/>
        <w:ind w:firstLine="642" w:firstLineChars="200"/>
        <w:outlineLvl w:val="2"/>
        <w:rPr>
          <w:rFonts w:hint="eastAsia" w:ascii="仿宋_GB2312" w:hAnsi="仿宋_GB2312" w:eastAsia="仿宋_GB2312" w:cs="仿宋_GB2312"/>
          <w:b/>
          <w:bCs/>
          <w:kern w:val="2"/>
          <w:sz w:val="32"/>
          <w:szCs w:val="32"/>
          <w:highlight w:val="none"/>
          <w:lang w:val="en-US" w:eastAsia="zh-CN" w:bidi="ar-SA"/>
        </w:rPr>
      </w:pPr>
      <w:bookmarkStart w:id="72" w:name="_Toc15377212"/>
      <w:r>
        <w:rPr>
          <w:rFonts w:hint="eastAsia" w:ascii="仿宋_GB2312" w:hAnsi="仿宋_GB2312" w:eastAsia="仿宋_GB2312" w:cs="仿宋_GB2312"/>
          <w:b/>
          <w:bCs/>
          <w:kern w:val="2"/>
          <w:sz w:val="32"/>
          <w:szCs w:val="32"/>
          <w:highlight w:val="none"/>
          <w:lang w:val="en-US" w:eastAsia="zh-CN" w:bidi="ar-SA"/>
        </w:rPr>
        <w:t>（三）一般公共预算财政拨款支出决算具体情况</w:t>
      </w:r>
      <w:bookmarkEnd w:id="72"/>
    </w:p>
    <w:p>
      <w:pPr>
        <w:spacing w:line="600" w:lineRule="exact"/>
        <w:ind w:firstLine="642" w:firstLineChars="200"/>
        <w:rPr>
          <w:rStyle w:val="23"/>
          <w:rFonts w:hint="eastAsia" w:ascii="仿宋_GB2312" w:hAnsi="仿宋_GB2312" w:eastAsia="仿宋_GB2312" w:cs="仿宋_GB2312"/>
          <w:bCs/>
          <w:color w:val="auto"/>
          <w:sz w:val="32"/>
          <w:szCs w:val="32"/>
          <w:highlight w:val="none"/>
        </w:rPr>
      </w:pPr>
      <w:bookmarkStart w:id="73" w:name="_Toc15377213"/>
      <w:bookmarkStart w:id="74" w:name="_Toc15377444"/>
      <w:bookmarkStart w:id="75" w:name="_Toc15378460"/>
      <w:r>
        <w:rPr>
          <w:rStyle w:val="23"/>
          <w:rFonts w:hint="eastAsia" w:ascii="仿宋_GB2312" w:hAnsi="仿宋_GB2312" w:eastAsia="仿宋_GB2312" w:cs="仿宋_GB2312"/>
          <w:bCs/>
          <w:color w:val="auto"/>
          <w:sz w:val="32"/>
          <w:szCs w:val="32"/>
          <w:highlight w:val="none"/>
        </w:rPr>
        <w:t>2024年度一般公共预算财政拨款支出决算数为8183.62</w:t>
      </w:r>
      <w:r>
        <w:rPr>
          <w:rStyle w:val="23"/>
          <w:rFonts w:hint="eastAsia" w:ascii="仿宋_GB2312" w:hAnsi="仿宋_GB2312" w:eastAsia="仿宋_GB2312" w:cs="仿宋_GB2312"/>
          <w:bCs/>
          <w:color w:val="auto"/>
          <w:sz w:val="32"/>
          <w:szCs w:val="32"/>
          <w:highlight w:val="none"/>
          <w:lang w:val="en-US" w:eastAsia="zh-CN"/>
        </w:rPr>
        <w:t>万元</w:t>
      </w:r>
      <w:r>
        <w:rPr>
          <w:rStyle w:val="23"/>
          <w:rFonts w:hint="eastAsia" w:ascii="仿宋_GB2312" w:hAnsi="仿宋_GB2312" w:eastAsia="仿宋_GB2312" w:cs="仿宋_GB2312"/>
          <w:bCs/>
          <w:color w:val="auto"/>
          <w:sz w:val="32"/>
          <w:szCs w:val="32"/>
          <w:highlight w:val="none"/>
        </w:rPr>
        <w:t>，完成预算99.9%。其中：</w:t>
      </w:r>
      <w:bookmarkEnd w:id="73"/>
      <w:bookmarkEnd w:id="74"/>
      <w:bookmarkEnd w:id="75"/>
    </w:p>
    <w:p>
      <w:pPr>
        <w:spacing w:line="600" w:lineRule="exact"/>
        <w:ind w:firstLine="642" w:firstLineChars="200"/>
        <w:rPr>
          <w:rStyle w:val="23"/>
          <w:rFonts w:hint="eastAsia" w:ascii="仿宋_GB2312" w:hAnsi="仿宋_GB2312" w:eastAsia="仿宋_GB2312" w:cs="仿宋_GB2312"/>
          <w:b w:val="0"/>
          <w:bCs/>
          <w:color w:val="auto"/>
          <w:sz w:val="32"/>
          <w:szCs w:val="32"/>
          <w:highlight w:val="none"/>
          <w:lang w:val="en-US" w:eastAsia="zh-CN"/>
        </w:rPr>
      </w:pPr>
      <w:r>
        <w:rPr>
          <w:rStyle w:val="23"/>
          <w:rFonts w:hint="eastAsia" w:ascii="仿宋_GB2312" w:hAnsi="仿宋_GB2312" w:eastAsia="仿宋_GB2312" w:cs="仿宋_GB2312"/>
          <w:bCs/>
          <w:color w:val="auto"/>
          <w:sz w:val="32"/>
          <w:szCs w:val="32"/>
          <w:highlight w:val="none"/>
          <w:lang w:val="en-US" w:eastAsia="zh-CN"/>
        </w:rPr>
        <w:t>1</w:t>
      </w:r>
      <w:r>
        <w:rPr>
          <w:rStyle w:val="23"/>
          <w:rFonts w:hint="eastAsia" w:ascii="仿宋_GB2312" w:hAnsi="仿宋_GB2312" w:eastAsia="仿宋_GB2312" w:cs="仿宋_GB2312"/>
          <w:bCs/>
          <w:color w:val="auto"/>
          <w:sz w:val="32"/>
          <w:szCs w:val="32"/>
          <w:highlight w:val="none"/>
        </w:rPr>
        <w:t>.文化旅游体育与传媒（类）支出决算为7018.49万元，完成预算99.97%。</w:t>
      </w:r>
      <w:r>
        <w:rPr>
          <w:rStyle w:val="23"/>
          <w:rFonts w:hint="eastAsia" w:ascii="仿宋_GB2312" w:hAnsi="仿宋_GB2312" w:eastAsia="仿宋_GB2312" w:cs="仿宋_GB2312"/>
          <w:bCs/>
          <w:color w:val="auto"/>
          <w:sz w:val="32"/>
          <w:szCs w:val="32"/>
          <w:highlight w:val="none"/>
          <w:lang w:val="en-US" w:eastAsia="zh-CN"/>
        </w:rPr>
        <w:t>其中：</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（1）文化体育与传媒（类）文化和旅游（款）行政运行（项）支出决算为776.18万元，完成预算100%，决算数与预算数持平。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（2）文化体育与传媒（类）文化和旅游（款）一般行政管理事务（项）支出决算为171.97万元，完成预算100%，决算数与预算数持平。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（3）文化体育与传媒（类）文化和旅游（款）图书馆（项）支出决算为555.06万元，完成预算100%，决算数与预算数持平。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（4）文化体育与传媒（类）文化和旅游（款）文化展示及纪念机构（项）支出决算为224.02万元，完成预算100%</w:t>
      </w:r>
      <w:r>
        <w:rPr>
          <w:rFonts w:hint="default" w:ascii="仿宋_GB2312" w:hAnsi="仿宋_GB2312" w:eastAsia="仿宋_GB2312" w:cs="仿宋_GB2312"/>
          <w:kern w:val="2"/>
          <w:sz w:val="32"/>
          <w:szCs w:val="32"/>
          <w:highlight w:val="none"/>
          <w:lang w:val="en" w:eastAsia="zh-CN" w:bidi="ar-SA"/>
        </w:rPr>
        <w:t>,</w:t>
      </w:r>
      <w:r>
        <w:rPr>
          <w:rFonts w:hint="eastAsia" w:ascii="仿宋_GB2312" w:hAnsi="仿宋_GB2312" w:eastAsia="仿宋_GB2312" w:cs="仿宋_GB2312"/>
          <w:kern w:val="2"/>
          <w:sz w:val="32"/>
          <w:szCs w:val="32"/>
          <w:highlight w:val="none"/>
          <w:lang w:val="en-US" w:eastAsia="zh-CN" w:bidi="ar-SA"/>
        </w:rPr>
        <w:t>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（5）文化体育与传媒（类）文化和旅游（款）文化活动（项）支出决算为343.43万元，完成预算100%，决算数与预算数持平。</w:t>
      </w:r>
    </w:p>
    <w:p>
      <w:pPr>
        <w:spacing w:line="600" w:lineRule="exact"/>
        <w:ind w:firstLine="640"/>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（6）文化体育与传媒（类）文化和旅游（款）群众文化（项）支出决算为679.49万元，完成预算99.91%，决算数小于预算数的</w:t>
      </w:r>
      <w:r>
        <w:rPr>
          <w:rFonts w:hint="eastAsia" w:ascii="仿宋_GB2312" w:hAnsi="仿宋_GB2312" w:eastAsia="仿宋_GB2312" w:cs="仿宋_GB2312"/>
          <w:kern w:val="2"/>
          <w:sz w:val="32"/>
          <w:szCs w:val="32"/>
          <w:highlight w:val="none"/>
          <w:lang w:val="zh-CN" w:eastAsia="zh-CN" w:bidi="ar-SA"/>
        </w:rPr>
        <w:t>主要原因是</w:t>
      </w:r>
      <w:r>
        <w:rPr>
          <w:rFonts w:hint="eastAsia" w:ascii="仿宋_GB2312" w:hAnsi="仿宋_GB2312" w:eastAsia="仿宋_GB2312" w:cs="仿宋_GB2312"/>
          <w:kern w:val="2"/>
          <w:sz w:val="32"/>
          <w:szCs w:val="32"/>
          <w:highlight w:val="none"/>
          <w:lang w:val="en-US" w:eastAsia="zh-CN" w:bidi="ar-SA"/>
        </w:rPr>
        <w:t>项目到基层指导、辅导、调研经费尚未完成全部报账支出，需跨年支付。</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（7）文化体育与传媒（类）文化和旅游（款）文化和旅游交流与合作（项）支出决算为24.67万元，完成预算100%，决算数与预算数持平。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（8）文化体育与传媒（类）文化和旅游（款）文化创作与保护（项）支出决算为721.59万元，完成预算99.94%，决算数小于预算数</w:t>
      </w:r>
      <w:r>
        <w:rPr>
          <w:rFonts w:hint="eastAsia" w:ascii="仿宋_GB2312" w:hAnsi="仿宋_GB2312" w:eastAsia="仿宋_GB2312" w:cs="仿宋_GB2312"/>
          <w:kern w:val="2"/>
          <w:sz w:val="32"/>
          <w:szCs w:val="32"/>
          <w:highlight w:val="none"/>
          <w:lang w:val="zh-CN" w:eastAsia="zh-CN" w:bidi="ar-SA"/>
        </w:rPr>
        <w:t>的主要原因是</w:t>
      </w:r>
      <w:r>
        <w:rPr>
          <w:rFonts w:hint="eastAsia" w:ascii="仿宋_GB2312" w:hAnsi="仿宋_GB2312" w:eastAsia="仿宋_GB2312" w:cs="仿宋_GB2312"/>
          <w:kern w:val="2"/>
          <w:sz w:val="32"/>
          <w:szCs w:val="32"/>
          <w:highlight w:val="none"/>
          <w:lang w:val="en-US" w:eastAsia="zh-CN" w:bidi="ar-SA"/>
        </w:rPr>
        <w:t>部分款项根据项目进度和合同约定需跨年度支付。</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（9）文化体育与传媒（类）文化和旅游（款）文化和旅游市场管理（项）支出决算为743.34万元，完成预算99.86%，决算数小于预算数</w:t>
      </w:r>
      <w:r>
        <w:rPr>
          <w:rFonts w:hint="eastAsia" w:ascii="仿宋_GB2312" w:hAnsi="仿宋_GB2312" w:eastAsia="仿宋_GB2312" w:cs="仿宋_GB2312"/>
          <w:kern w:val="2"/>
          <w:sz w:val="32"/>
          <w:szCs w:val="32"/>
          <w:highlight w:val="none"/>
          <w:lang w:val="zh-CN" w:eastAsia="zh-CN" w:bidi="ar-SA"/>
        </w:rPr>
        <w:t>的主要原因是</w:t>
      </w:r>
      <w:r>
        <w:rPr>
          <w:rFonts w:hint="eastAsia" w:ascii="仿宋_GB2312" w:hAnsi="仿宋_GB2312" w:eastAsia="仿宋_GB2312" w:cs="仿宋_GB2312"/>
          <w:kern w:val="2"/>
          <w:sz w:val="32"/>
          <w:szCs w:val="32"/>
          <w:highlight w:val="none"/>
          <w:lang w:val="en-US" w:eastAsia="zh-CN" w:bidi="ar-SA"/>
        </w:rPr>
        <w:t>本年度由于部分款项根据项目进度和合同约定需跨年度支付，计划结转资金用于下一年度延续性项目支出。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（10）文化体育与传媒（类）文化和旅游（款）旅游宣传（项）支出决算为23.05万元，完成预算100%，决算数与预算数持平。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（11）文化体育与传媒（类）文化和旅游（款）文化和旅游管理事务（项）支出决算为307.85万元，完成预算100%，决算数与预算数持平。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（12）文化体育与传媒（类）文化和旅游（款）其他文化和旅游支出（项）支出决算为108.84万元，完成预算100%，决算数与预算数持平。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（13）文化体育与传媒（类）文物（款）文物保护（项）支出决算为76.17万元，完成预算100%，决算数与预算数持平。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（14）文化体育与传媒（类）文物（款）博物馆（项）支出决算为2079.36万元，完成预算100%，决算数与预算数持平。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（15）文化体育与传媒（类）文物（款）其他文物支出（项）支出决算为26.39万元，完成预算100%，决算数与预算数持平。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（16）文化体育与传媒（类）广播电视（款）传输发射（项）支出决算为157.06万元，完成预算100%，决算数与预算数持平。</w:t>
      </w:r>
    </w:p>
    <w:p>
      <w:pPr>
        <w:pStyle w:val="14"/>
        <w:spacing w:before="0" w:line="576" w:lineRule="exact"/>
        <w:ind w:firstLine="642" w:firstLineChars="200"/>
        <w:jc w:val="both"/>
        <w:rPr>
          <w:rFonts w:ascii="仿宋" w:eastAsia="仿宋"/>
          <w:b/>
          <w:bCs/>
          <w:color w:val="auto"/>
          <w:highlight w:val="none"/>
        </w:rPr>
      </w:pPr>
      <w:r>
        <w:rPr>
          <w:rStyle w:val="23"/>
          <w:rFonts w:hint="eastAsia" w:ascii="仿宋_GB2312" w:hAnsi="仿宋_GB2312" w:eastAsia="仿宋_GB2312" w:cs="仿宋_GB2312"/>
          <w:b/>
          <w:bCs/>
          <w:color w:val="auto"/>
          <w:kern w:val="2"/>
          <w:sz w:val="32"/>
          <w:szCs w:val="32"/>
          <w:highlight w:val="none"/>
          <w:lang w:val="en-US" w:eastAsia="zh-CN" w:bidi="ar-SA"/>
        </w:rPr>
        <w:t>2 .社会保障和就业（类）支出决算为665.04万元，完成预算99.41%，其中：</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（1）社会保障和就业（类）人力资源和社会保障管理事务（款）引进人才费用（项）支出决算为76万元，完成预算100%，决算数与预算数持平。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（2）社会保障和就业（类）行政事业单位养老支出（款）  行政单位离退休（项）支出决算为57.2万元，完成预算100%，决算数与预算数持平。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（3）社会保障和就业（类）行政事业单位养老支出（款）  事业单位离退休（项）支出决算为14.75万元，完成预算100%，决算数与预算数持平。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（4）社会保障和就业（类）行政事业单位养老支出（款）  机关事业单位基本养老保险缴费支出（项）支出决算为409.47万元，完成预算99.09%，决算数小于预算数</w:t>
      </w:r>
      <w:r>
        <w:rPr>
          <w:rFonts w:hint="eastAsia" w:ascii="仿宋_GB2312" w:hAnsi="仿宋_GB2312" w:eastAsia="仿宋_GB2312" w:cs="仿宋_GB2312"/>
          <w:kern w:val="2"/>
          <w:sz w:val="32"/>
          <w:szCs w:val="32"/>
          <w:highlight w:val="none"/>
          <w:lang w:val="zh-CN" w:eastAsia="zh-CN" w:bidi="ar-SA"/>
        </w:rPr>
        <w:t>的主要原因是</w:t>
      </w:r>
      <w:r>
        <w:rPr>
          <w:rFonts w:hint="eastAsia" w:ascii="仿宋_GB2312" w:hAnsi="仿宋_GB2312" w:eastAsia="仿宋_GB2312" w:cs="仿宋_GB2312"/>
          <w:kern w:val="2"/>
          <w:sz w:val="32"/>
          <w:szCs w:val="32"/>
          <w:highlight w:val="none"/>
          <w:lang w:val="en-US" w:eastAsia="zh-CN" w:bidi="ar-SA"/>
        </w:rPr>
        <w:t>人员离职、退休；财政资金执行数略低于预算数，部分资金结转到下年使用。</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（5）社会保障和就业（类）行政事业单位养老支出（款）  机关事业单位职业年金缴费支出（项）支出决算为81.14万元，完成预算100%，决算数与预算数持平。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（6）社会保障和就业（类）行政事业单位养老支出（款）  其他行政事业单位养老支出（项）支出决算为1.73万元，完成预算100%，决算数与预算数持平。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（7）社会保障和就业（类）抚恤（款）死亡抚恤（项）支出决算为7.41万元，完成预算100%，决算数与预算数持平。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（8）社会保障和就业（类）其他社会保障和就业支出（款）其他社会保障和就业支出（项）支出决算为17.34万元，完成预算98.80%，决算数小于预算数</w:t>
      </w:r>
      <w:r>
        <w:rPr>
          <w:rFonts w:hint="eastAsia" w:ascii="仿宋_GB2312" w:hAnsi="仿宋_GB2312" w:eastAsia="仿宋_GB2312" w:cs="仿宋_GB2312"/>
          <w:kern w:val="2"/>
          <w:sz w:val="32"/>
          <w:szCs w:val="32"/>
          <w:highlight w:val="none"/>
          <w:lang w:val="zh-CN" w:eastAsia="zh-CN" w:bidi="ar-SA"/>
        </w:rPr>
        <w:t>的主要原因</w:t>
      </w:r>
      <w:r>
        <w:rPr>
          <w:rFonts w:hint="eastAsia" w:ascii="仿宋_GB2312" w:hAnsi="仿宋_GB2312" w:eastAsia="仿宋_GB2312" w:cs="仿宋_GB2312"/>
          <w:kern w:val="2"/>
          <w:sz w:val="32"/>
          <w:szCs w:val="32"/>
          <w:highlight w:val="none"/>
          <w:lang w:val="en-US" w:eastAsia="zh-CN" w:bidi="ar-SA"/>
        </w:rPr>
        <w:t>工伤保险费率下降。</w:t>
      </w:r>
    </w:p>
    <w:p>
      <w:pPr>
        <w:pStyle w:val="14"/>
        <w:spacing w:before="0" w:line="576" w:lineRule="exact"/>
        <w:ind w:firstLine="642" w:firstLineChars="200"/>
        <w:jc w:val="both"/>
        <w:rPr>
          <w:rStyle w:val="23"/>
          <w:rFonts w:hint="eastAsia" w:ascii="仿宋_GB2312" w:hAnsi="仿宋_GB2312" w:eastAsia="仿宋_GB2312" w:cs="仿宋_GB2312"/>
          <w:b/>
          <w:bCs/>
          <w:color w:val="auto"/>
          <w:kern w:val="2"/>
          <w:sz w:val="32"/>
          <w:szCs w:val="32"/>
          <w:highlight w:val="none"/>
          <w:lang w:val="en-US" w:eastAsia="zh-CN" w:bidi="ar-SA"/>
        </w:rPr>
      </w:pPr>
      <w:r>
        <w:rPr>
          <w:rStyle w:val="23"/>
          <w:rFonts w:hint="eastAsia" w:ascii="仿宋_GB2312" w:hAnsi="仿宋_GB2312" w:eastAsia="仿宋_GB2312" w:cs="仿宋_GB2312"/>
          <w:b/>
          <w:bCs/>
          <w:color w:val="auto"/>
          <w:kern w:val="2"/>
          <w:sz w:val="32"/>
          <w:szCs w:val="32"/>
          <w:highlight w:val="none"/>
          <w:lang w:val="en-US" w:eastAsia="zh-CN" w:bidi="ar-SA"/>
        </w:rPr>
        <w:t>3.卫生健康（类）支出决算为147.2万元，完成预算100%，其中：</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（1）卫生健康（类）行政事业单位医疗（款）行政单位医疗（项）支出决算为37.29万元，完成预算100%，决算数与预算数持平。</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（2）卫生健康（类）行政事业单位医疗（款）事业单位医疗（项）支出决算为109.91万元，完成预算100%，决算数与预算数持平。</w:t>
      </w:r>
    </w:p>
    <w:p>
      <w:pPr>
        <w:ind w:firstLine="642" w:firstLineChars="200"/>
        <w:rPr>
          <w:rStyle w:val="23"/>
          <w:rFonts w:hint="eastAsia" w:ascii="仿宋_GB2312" w:hAnsi="仿宋_GB2312" w:eastAsia="仿宋_GB2312" w:cs="仿宋_GB2312"/>
          <w:bCs/>
          <w:color w:val="auto"/>
          <w:kern w:val="2"/>
          <w:sz w:val="32"/>
          <w:szCs w:val="32"/>
          <w:highlight w:val="none"/>
          <w:lang w:val="en-US" w:eastAsia="zh-CN" w:bidi="ar-SA"/>
        </w:rPr>
      </w:pPr>
      <w:r>
        <w:rPr>
          <w:rStyle w:val="23"/>
          <w:rFonts w:hint="eastAsia" w:ascii="仿宋_GB2312" w:hAnsi="仿宋_GB2312" w:eastAsia="仿宋_GB2312" w:cs="仿宋_GB2312"/>
          <w:bCs/>
          <w:color w:val="auto"/>
          <w:kern w:val="2"/>
          <w:sz w:val="32"/>
          <w:szCs w:val="32"/>
          <w:highlight w:val="none"/>
          <w:lang w:val="en-US" w:eastAsia="zh-CN" w:bidi="ar-SA"/>
        </w:rPr>
        <w:t>4.住房保障支出（类）住房改革支出（款）住房公积金（项）支出决算为352.89万元， 完成预算99.38%，决算数小于预算数的主要原因是2024年考核未完成，考核奖金未发放，考核奖部分住房公积金未缴纳。</w:t>
      </w:r>
    </w:p>
    <w:p>
      <w:pPr>
        <w:tabs>
          <w:tab w:val="right" w:pos="8306"/>
        </w:tabs>
        <w:spacing w:line="600" w:lineRule="exact"/>
        <w:ind w:firstLine="640"/>
        <w:outlineLvl w:val="1"/>
        <w:rPr>
          <w:rStyle w:val="35"/>
          <w:rFonts w:ascii="Times New Roman" w:hAnsi="Times New Roman"/>
          <w:highlight w:val="none"/>
        </w:rPr>
      </w:pPr>
      <w:bookmarkStart w:id="76" w:name="_Toc29358"/>
      <w:bookmarkStart w:id="77" w:name="_Toc15396608"/>
      <w:bookmarkStart w:id="78" w:name="_Toc28408"/>
      <w:bookmarkStart w:id="79" w:name="_Toc15377214"/>
      <w:r>
        <w:rPr>
          <w:rStyle w:val="35"/>
          <w:rFonts w:hint="eastAsia" w:ascii="方正黑体简体" w:hAnsi="方正黑体简体" w:eastAsia="方正黑体简体" w:cs="方正黑体简体"/>
          <w:b w:val="0"/>
          <w:highlight w:val="none"/>
          <w:lang w:val="en-US" w:eastAsia="zh-CN" w:bidi="ar-SA"/>
        </w:rPr>
        <w:t>六、一般公共预算财政拨款基本支出决算情况说明</w:t>
      </w:r>
      <w:bookmarkEnd w:id="76"/>
      <w:bookmarkEnd w:id="77"/>
      <w:bookmarkEnd w:id="78"/>
      <w:bookmarkEnd w:id="79"/>
      <w:r>
        <w:rPr>
          <w:rStyle w:val="35"/>
          <w:rFonts w:ascii="Times New Roman" w:hAnsi="Times New Roman" w:eastAsia="黑体"/>
          <w:b w:val="0"/>
          <w:highlight w:val="none"/>
        </w:rPr>
        <w:tab/>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2024年度一般公共预算财政拨款基本支出5149.29万元，其中：</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人员经费4648.93万元，主要包括：基本工资、津贴补贴、奖金、伙食补助费、绩效工资、机关事业单位基本养老保险缴费、职业年金缴费、职工基本医疗保险缴费、其他社会保障缴费、住房公积金、其他工资福利支出、抚恤金、生活补助、奖励金、其他对个人和家庭的补助。</w:t>
      </w:r>
      <w:r>
        <w:rPr>
          <w:rFonts w:hint="eastAsia" w:ascii="仿宋_GB2312" w:hAnsi="仿宋_GB2312" w:eastAsia="仿宋_GB2312" w:cs="仿宋_GB2312"/>
          <w:kern w:val="2"/>
          <w:sz w:val="32"/>
          <w:szCs w:val="32"/>
          <w:highlight w:val="none"/>
          <w:lang w:val="en-US" w:eastAsia="zh-CN" w:bidi="ar-SA"/>
        </w:rPr>
        <w:br w:type="textWrapping"/>
      </w:r>
      <w:r>
        <w:rPr>
          <w:rFonts w:hint="eastAsia" w:eastAsia="仿宋_GB2312" w:cs="仿宋_GB2312"/>
          <w:sz w:val="32"/>
          <w:szCs w:val="32"/>
          <w:highlight w:val="none"/>
        </w:rPr>
        <w:t>　　</w:t>
      </w:r>
      <w:r>
        <w:rPr>
          <w:rFonts w:hint="eastAsia" w:ascii="仿宋_GB2312" w:hAnsi="仿宋_GB2312" w:eastAsia="仿宋_GB2312" w:cs="仿宋_GB2312"/>
          <w:kern w:val="2"/>
          <w:sz w:val="32"/>
          <w:szCs w:val="32"/>
          <w:highlight w:val="none"/>
          <w:lang w:val="en-US" w:eastAsia="zh-CN" w:bidi="ar-SA"/>
        </w:rPr>
        <w:t>公用经费500.36万元，主要包括：办公费、印刷费、手续费、水费、电费、邮电费、物业管理费、差旅费、维修（护）费、租赁费、会议费、培训费、公务接待费、专用材料费、劳务费、委托业务费、工会经费、福利费、公务用车运行维护费、其他交通费用、其他商品和服务支出、办公设备购置、专用设备购置等。</w:t>
      </w:r>
    </w:p>
    <w:p>
      <w:pPr>
        <w:spacing w:line="600" w:lineRule="exact"/>
        <w:ind w:firstLine="640"/>
        <w:outlineLvl w:val="1"/>
        <w:rPr>
          <w:rStyle w:val="35"/>
          <w:rFonts w:hint="eastAsia" w:ascii="方正黑体简体" w:hAnsi="方正黑体简体" w:eastAsia="方正黑体简体" w:cs="方正黑体简体"/>
          <w:b w:val="0"/>
          <w:highlight w:val="none"/>
          <w:lang w:val="en-US" w:eastAsia="zh-CN" w:bidi="ar-SA"/>
        </w:rPr>
      </w:pPr>
      <w:bookmarkStart w:id="80" w:name="_Toc15396609"/>
      <w:bookmarkStart w:id="81" w:name="_Toc15377215"/>
      <w:bookmarkStart w:id="82" w:name="_Toc11880"/>
      <w:bookmarkStart w:id="83" w:name="_Toc6272"/>
      <w:r>
        <w:rPr>
          <w:rStyle w:val="35"/>
          <w:rFonts w:hint="eastAsia" w:ascii="方正黑体简体" w:hAnsi="方正黑体简体" w:eastAsia="方正黑体简体" w:cs="方正黑体简体"/>
          <w:b w:val="0"/>
          <w:highlight w:val="none"/>
          <w:lang w:val="en-US" w:eastAsia="zh-CN" w:bidi="ar-SA"/>
        </w:rPr>
        <w:t>七、财政拨款“三公”经费支出决算情况说明</w:t>
      </w:r>
      <w:bookmarkEnd w:id="80"/>
      <w:bookmarkEnd w:id="81"/>
      <w:bookmarkEnd w:id="82"/>
      <w:bookmarkEnd w:id="83"/>
    </w:p>
    <w:p>
      <w:pPr>
        <w:spacing w:line="600" w:lineRule="exact"/>
        <w:ind w:firstLine="642" w:firstLineChars="200"/>
        <w:outlineLvl w:val="2"/>
        <w:rPr>
          <w:rFonts w:hint="eastAsia" w:ascii="仿宋_GB2312" w:hAnsi="仿宋_GB2312" w:eastAsia="仿宋_GB2312" w:cs="仿宋_GB2312"/>
          <w:b/>
          <w:bCs/>
          <w:kern w:val="2"/>
          <w:sz w:val="32"/>
          <w:szCs w:val="32"/>
          <w:highlight w:val="none"/>
          <w:lang w:val="en-US" w:eastAsia="zh-CN" w:bidi="ar-SA"/>
        </w:rPr>
      </w:pPr>
      <w:bookmarkStart w:id="84" w:name="_Toc15377216"/>
      <w:r>
        <w:rPr>
          <w:rFonts w:hint="eastAsia" w:ascii="仿宋_GB2312" w:hAnsi="仿宋_GB2312" w:eastAsia="仿宋_GB2312" w:cs="仿宋_GB2312"/>
          <w:b/>
          <w:bCs/>
          <w:kern w:val="2"/>
          <w:sz w:val="32"/>
          <w:szCs w:val="32"/>
          <w:highlight w:val="none"/>
          <w:lang w:val="en-US" w:eastAsia="zh-CN" w:bidi="ar-SA"/>
        </w:rPr>
        <w:t>（一）“三公”经费财政拨款支出决算总体情况说明</w:t>
      </w:r>
      <w:bookmarkEnd w:id="84"/>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2024年度“三公”经费财政拨款支出决算为59.55万元，完成预算96.44%，较上年度减少7.39 万元，下降11.04%。决算数小于预算数的主要原因是倡导厉行节约，精简开支，规范公务接待，减少公务车辆开支，严格控制公务接待标准和陪餐人数，降低公务车辆运行维护成本。</w:t>
      </w:r>
    </w:p>
    <w:p>
      <w:pPr>
        <w:spacing w:line="600" w:lineRule="exact"/>
        <w:ind w:firstLine="642" w:firstLineChars="200"/>
        <w:outlineLvl w:val="2"/>
        <w:rPr>
          <w:rFonts w:hint="eastAsia" w:ascii="仿宋_GB2312" w:hAnsi="仿宋_GB2312" w:eastAsia="仿宋_GB2312" w:cs="仿宋_GB2312"/>
          <w:b/>
          <w:bCs/>
          <w:kern w:val="2"/>
          <w:sz w:val="32"/>
          <w:szCs w:val="32"/>
          <w:highlight w:val="none"/>
          <w:lang w:val="en-US" w:eastAsia="zh-CN" w:bidi="ar-SA"/>
        </w:rPr>
      </w:pPr>
      <w:bookmarkStart w:id="85" w:name="_Toc15377217"/>
      <w:r>
        <w:rPr>
          <w:rFonts w:hint="eastAsia" w:ascii="仿宋_GB2312" w:hAnsi="仿宋_GB2312" w:eastAsia="仿宋_GB2312" w:cs="仿宋_GB2312"/>
          <w:b/>
          <w:bCs/>
          <w:kern w:val="2"/>
          <w:sz w:val="32"/>
          <w:szCs w:val="32"/>
          <w:highlight w:val="none"/>
          <w:lang w:val="en-US" w:eastAsia="zh-CN" w:bidi="ar-SA"/>
        </w:rPr>
        <w:t>（二）“三公”经费财政拨款支出决算具体情况说明</w:t>
      </w:r>
      <w:bookmarkEnd w:id="85"/>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2024年度“三公”经费财政拨款支出决算中，因公出国（境）费支出决算0万元，占0%；公务用车购置及运行维护费支出决算52.35万元，占87.91%；公务接待费支出决算7.2万元，占12.09%。具体情况如下：</w:t>
      </w:r>
    </w:p>
    <w:p>
      <w:pPr>
        <w:spacing w:line="240" w:lineRule="auto"/>
        <w:ind w:firstLine="640"/>
        <w:jc w:val="left"/>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drawing>
          <wp:inline distT="0" distB="0" distL="114300" distR="114300">
            <wp:extent cx="4638675" cy="2313940"/>
            <wp:effectExtent l="0" t="0" r="9525" b="10160"/>
            <wp:docPr id="14" name="图片 14" descr="QQ图片2025090216165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 name="图片 14" descr="QQ图片20250902161656"/>
                    <pic:cNvPicPr>
                      <a:picLocks noChangeAspect="true"/>
                    </pic:cNvPicPr>
                  </pic:nvPicPr>
                  <pic:blipFill>
                    <a:blip r:embed="rId16"/>
                    <a:stretch>
                      <a:fillRect/>
                    </a:stretch>
                  </pic:blipFill>
                  <pic:spPr>
                    <a:xfrm>
                      <a:off x="0" y="0"/>
                      <a:ext cx="4638675" cy="2313940"/>
                    </a:xfrm>
                    <a:prstGeom prst="rect">
                      <a:avLst/>
                    </a:prstGeom>
                  </pic:spPr>
                </pic:pic>
              </a:graphicData>
            </a:graphic>
          </wp:inline>
        </w:drawing>
      </w:r>
    </w:p>
    <w:p>
      <w:pPr>
        <w:spacing w:line="600" w:lineRule="exact"/>
        <w:jc w:val="center"/>
        <w:rPr>
          <w:rFonts w:hint="eastAsia" w:eastAsia="仿宋_GB2312" w:cs="仿宋_GB2312"/>
          <w:sz w:val="32"/>
          <w:szCs w:val="32"/>
          <w:highlight w:val="none"/>
        </w:rPr>
      </w:pPr>
      <w:r>
        <w:rPr>
          <w:rFonts w:hint="eastAsia" w:eastAsia="仿宋_GB2312" w:cs="仿宋_GB2312"/>
          <w:sz w:val="32"/>
          <w:szCs w:val="32"/>
          <w:highlight w:val="none"/>
        </w:rPr>
        <w:t>（图7：“三公”经费财政拨款支出结构）</w:t>
      </w:r>
    </w:p>
    <w:p>
      <w:pPr>
        <w:spacing w:line="600" w:lineRule="exact"/>
        <w:ind w:firstLine="640"/>
        <w:rPr>
          <w:rFonts w:hint="eastAsia" w:ascii="仿宋_GB2312" w:hAnsi="仿宋_GB2312" w:eastAsia="仿宋_GB2312" w:cs="仿宋_GB2312"/>
          <w:color w:val="auto"/>
          <w:sz w:val="32"/>
          <w:szCs w:val="32"/>
          <w:highlight w:val="none"/>
        </w:rPr>
      </w:pPr>
      <w:r>
        <w:rPr>
          <w:rFonts w:hint="eastAsia" w:eastAsia="仿宋_GB2312" w:cs="仿宋_GB2312"/>
          <w:b/>
          <w:bCs/>
          <w:sz w:val="32"/>
          <w:szCs w:val="32"/>
          <w:highlight w:val="none"/>
        </w:rPr>
        <w:t>1.</w:t>
      </w:r>
      <w:r>
        <w:rPr>
          <w:rFonts w:hint="eastAsia" w:ascii="仿宋_GB2312" w:hAnsi="仿宋" w:eastAsia="仿宋_GB2312"/>
          <w:b/>
          <w:color w:val="auto"/>
          <w:sz w:val="32"/>
          <w:szCs w:val="32"/>
          <w:highlight w:val="none"/>
        </w:rPr>
        <w:t>因公出国</w:t>
      </w:r>
      <w:r>
        <w:rPr>
          <w:rFonts w:hint="eastAsia" w:ascii="仿宋_GB2312" w:eastAsia="仿宋_GB2312"/>
          <w:b/>
          <w:color w:val="auto"/>
          <w:sz w:val="32"/>
          <w:szCs w:val="32"/>
          <w:highlight w:val="none"/>
        </w:rPr>
        <w:t>（境）</w:t>
      </w:r>
      <w:r>
        <w:rPr>
          <w:rFonts w:hint="eastAsia" w:ascii="仿宋_GB2312" w:hAnsi="仿宋" w:eastAsia="仿宋_GB2312"/>
          <w:b/>
          <w:color w:val="auto"/>
          <w:sz w:val="32"/>
          <w:szCs w:val="32"/>
          <w:highlight w:val="none"/>
        </w:rPr>
        <w:t>经费支出</w:t>
      </w:r>
      <w:r>
        <w:rPr>
          <w:rFonts w:ascii="仿宋_GB2312" w:hAnsi="仿宋" w:eastAsia="仿宋_GB2312"/>
          <w:b/>
          <w:color w:val="auto"/>
          <w:sz w:val="32"/>
          <w:szCs w:val="32"/>
          <w:highlight w:val="none"/>
        </w:rPr>
        <w:t>0</w:t>
      </w:r>
      <w:r>
        <w:rPr>
          <w:rFonts w:hint="eastAsia" w:ascii="仿宋_GB2312" w:hAnsi="仿宋" w:eastAsia="仿宋_GB2312"/>
          <w:b/>
          <w:color w:val="auto"/>
          <w:sz w:val="32"/>
          <w:szCs w:val="32"/>
          <w:highlight w:val="none"/>
        </w:rPr>
        <w:t>万元，年初未安排预算</w:t>
      </w:r>
      <w:r>
        <w:rPr>
          <w:rStyle w:val="23"/>
          <w:rFonts w:hint="eastAsia" w:ascii="仿宋_GB2312" w:hAnsi="仿宋" w:eastAsia="仿宋_GB2312"/>
          <w:b w:val="0"/>
          <w:bCs/>
          <w:color w:val="auto"/>
          <w:sz w:val="32"/>
          <w:szCs w:val="32"/>
          <w:highlight w:val="none"/>
        </w:rPr>
        <w:t>。</w:t>
      </w:r>
      <w:r>
        <w:rPr>
          <w:rFonts w:hint="eastAsia" w:ascii="仿宋_GB2312" w:hAnsi="仿宋" w:eastAsia="仿宋_GB2312"/>
          <w:b/>
          <w:color w:val="auto"/>
          <w:sz w:val="32"/>
          <w:szCs w:val="32"/>
          <w:highlight w:val="none"/>
        </w:rPr>
        <w:t>因公出国</w:t>
      </w:r>
      <w:r>
        <w:rPr>
          <w:rFonts w:hint="eastAsia" w:ascii="仿宋_GB2312" w:eastAsia="仿宋_GB2312"/>
          <w:b/>
          <w:color w:val="auto"/>
          <w:sz w:val="32"/>
          <w:szCs w:val="32"/>
          <w:highlight w:val="none"/>
        </w:rPr>
        <w:t>（境）</w:t>
      </w:r>
      <w:r>
        <w:rPr>
          <w:rFonts w:hint="eastAsia" w:ascii="仿宋_GB2312" w:hAnsi="仿宋" w:eastAsia="仿宋_GB2312"/>
          <w:b/>
          <w:color w:val="auto"/>
          <w:sz w:val="32"/>
          <w:szCs w:val="32"/>
          <w:highlight w:val="none"/>
        </w:rPr>
        <w:t>支出决算较</w:t>
      </w:r>
      <w:r>
        <w:rPr>
          <w:rFonts w:ascii="仿宋_GB2312" w:hAnsi="仿宋" w:eastAsia="仿宋_GB2312"/>
          <w:b/>
          <w:color w:val="auto"/>
          <w:sz w:val="32"/>
          <w:szCs w:val="32"/>
          <w:highlight w:val="none"/>
        </w:rPr>
        <w:t>202</w:t>
      </w:r>
      <w:r>
        <w:rPr>
          <w:rFonts w:hint="eastAsia" w:ascii="仿宋_GB2312" w:hAnsi="仿宋" w:eastAsia="仿宋_GB2312"/>
          <w:b/>
          <w:color w:val="auto"/>
          <w:sz w:val="32"/>
          <w:szCs w:val="32"/>
          <w:highlight w:val="none"/>
          <w:lang w:val="en-US" w:eastAsia="zh-CN"/>
        </w:rPr>
        <w:t>3</w:t>
      </w:r>
      <w:r>
        <w:rPr>
          <w:rFonts w:hint="eastAsia" w:ascii="仿宋_GB2312" w:hAnsi="仿宋" w:eastAsia="仿宋_GB2312"/>
          <w:b/>
          <w:color w:val="auto"/>
          <w:sz w:val="32"/>
          <w:szCs w:val="32"/>
          <w:highlight w:val="none"/>
        </w:rPr>
        <w:t>年无变化</w:t>
      </w:r>
      <w:r>
        <w:rPr>
          <w:rFonts w:hint="eastAsia" w:ascii="仿宋_GB2312" w:eastAsia="仿宋_GB2312"/>
          <w:color w:val="auto"/>
          <w:sz w:val="32"/>
          <w:szCs w:val="32"/>
          <w:highlight w:val="none"/>
        </w:rPr>
        <w:t>。</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eastAsia="仿宋_GB2312" w:cs="仿宋_GB2312"/>
          <w:b/>
          <w:bCs/>
          <w:sz w:val="32"/>
          <w:szCs w:val="32"/>
          <w:highlight w:val="none"/>
        </w:rPr>
        <w:t>2.公务用车购置及运行维护费支出</w:t>
      </w:r>
      <w:r>
        <w:rPr>
          <w:rFonts w:hint="eastAsia" w:ascii="仿宋_GB2312" w:hAnsi="仿宋_GB2312" w:eastAsia="仿宋_GB2312" w:cs="仿宋_GB2312"/>
          <w:b/>
          <w:bCs/>
          <w:sz w:val="32"/>
          <w:szCs w:val="32"/>
          <w:highlight w:val="none"/>
        </w:rPr>
        <w:t>52.35万</w:t>
      </w:r>
      <w:r>
        <w:rPr>
          <w:rFonts w:hint="eastAsia" w:eastAsia="仿宋_GB2312" w:cs="仿宋_GB2312"/>
          <w:b/>
          <w:bCs/>
          <w:sz w:val="32"/>
          <w:szCs w:val="32"/>
          <w:highlight w:val="none"/>
        </w:rPr>
        <w:t>元，完成预算98%。</w:t>
      </w:r>
      <w:r>
        <w:rPr>
          <w:rFonts w:hint="eastAsia" w:ascii="仿宋_GB2312" w:hAnsi="仿宋_GB2312" w:eastAsia="仿宋_GB2312" w:cs="仿宋_GB2312"/>
          <w:kern w:val="2"/>
          <w:sz w:val="32"/>
          <w:szCs w:val="32"/>
          <w:highlight w:val="none"/>
          <w:lang w:val="en-US" w:eastAsia="zh-CN" w:bidi="ar-SA"/>
        </w:rPr>
        <w:t>公务用车购置及运行维护费支出决算比2023年度减少8.13 万元，下降13.44%。主要原因是本年度无公务用车购置支出；公务用车运行维护减少。</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其中：公务用车购置支出0万元。全年按规定更新购置公务用车0辆。截至2024年12月31日，单位共有公务用车11辆，其中：轿车7辆、越野车2辆、皮卡车2辆。</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公务用车运行维护费支出52.35万元。主要用于公共文化服务体系建设、艺术创作、非物质文化遗产保护利用、旅游行业管理、景区创建及质量评定、文旅资源普查、文化旅游宣传推介、广播电视网络视听行业监管、广播电视信号传输保障、文物保护利用、考古发掘、博物馆展陈体系提升、脱贫攻坚等所需的公务用车燃料费、维修费、过路过桥费、保险费等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eastAsia="仿宋_GB2312" w:cs="仿宋_GB2312"/>
          <w:b/>
          <w:bCs/>
          <w:sz w:val="32"/>
          <w:szCs w:val="32"/>
          <w:highlight w:val="none"/>
        </w:rPr>
        <w:t>3.公务接待费支出</w:t>
      </w:r>
      <w:r>
        <w:rPr>
          <w:rFonts w:hint="eastAsia" w:ascii="仿宋_GB2312" w:hAnsi="仿宋_GB2312" w:eastAsia="仿宋_GB2312" w:cs="仿宋_GB2312"/>
          <w:b/>
          <w:bCs/>
          <w:sz w:val="32"/>
          <w:szCs w:val="32"/>
          <w:highlight w:val="none"/>
        </w:rPr>
        <w:t>7.2万</w:t>
      </w:r>
      <w:r>
        <w:rPr>
          <w:rFonts w:hint="eastAsia" w:eastAsia="仿宋_GB2312" w:cs="仿宋_GB2312"/>
          <w:b/>
          <w:bCs/>
          <w:sz w:val="32"/>
          <w:szCs w:val="32"/>
          <w:highlight w:val="none"/>
        </w:rPr>
        <w:t>元，完成预算86.43%。</w:t>
      </w:r>
      <w:r>
        <w:rPr>
          <w:rFonts w:hint="eastAsia" w:ascii="仿宋_GB2312" w:hAnsi="仿宋_GB2312" w:eastAsia="仿宋_GB2312" w:cs="仿宋_GB2312"/>
          <w:kern w:val="2"/>
          <w:sz w:val="32"/>
          <w:szCs w:val="32"/>
          <w:highlight w:val="none"/>
          <w:lang w:val="en-US" w:eastAsia="zh-CN" w:bidi="ar-SA"/>
        </w:rPr>
        <w:t>公务接待费支出决算比2023年度增加0.74万元，增长11.46%。主要原因是国内公务接待人数增加。其中：</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国内公务接待支出7.2万元，主要用于接待上级行业主管部门检查调研、外市同行业部门开展业务活动、外市同行业集团公司考察交流学习、行业专家考察交流学习开支的交通费、住宿费、用餐费等。国内公务接待57批次，715人次（不包括陪同人员），共计支出7.2万元，具体内容包括：省委省政府决策咨询委焦伟侠一行来广调研公务接待费用1500元；宣传科教科报接待略阳县文化和旅游局赴广开展活动公务接待费用700元；接待省歌舞剧院《蜀道》主创团队赴广元创作采风用餐费1960元；接待宝鸡市文旅局党组书记、局长一行来广考察公务接待费用1430元；接待三门峡市副市长一行来广考察费用1590元；办公室报公务接待费4500元；国家广电总局来广开展苍溪县应急广播平台有关核查公务接待费2100元；国家文物局副局长解冰一行来广调研与接待费用1720元；省文物局博物馆绩效评估实地检查750元；四川博物院《中国蜀道展临时展览陈列大纲编制》小组调研750元；麦积山石窟艺术研究所来我馆考察调研626元；省文物局开展2023年度文物保护专项资金项目现场绩效评价工作550元；四川博物院到市博物馆馆点交借展文物420元；汉中博物馆来市博物馆学习交流950元；广安博物馆归还借展文物463元；巴中文化广播电视和旅游局赴广考察学习接待750元、遂宁市文化市场综合行政执法支队来广交流协作接待1300元、山东省文化市场综合执法监察局来广接待950元；宁夏剧团来广对接业务553元；省歌舞剧院《蜀道》采风1318元；川青比赛接待指导老师510元；2024年百场川剧讲座校园行接待455元；川剧《蜀道行歌》创作提升打磨1689元；省川院川剧《蜀道行歌》排练乐队接待1250元；接待川剧《蜀道翠云》外聘导演及乐队人员802元；寻脉国色——国家艺术基金中国岩彩壁画人才培训项目作品巡展接待费1559元；和顺致祥绵竹年画精品展接待费700元；2025年度四川艺术基金峥嵘崔嵬蜀道文化美术作品与文献展复评答辩邀请专家指导接待费550元；10月陕甘川宁毗邻地区宁夏、陇南工作人员来访接待支出271元；12月重庆大渡口区文化馆来广交流接待支出770元；安岳石窟研究所调2批1730元；蜀道考古工作站启动会1600元；宋墓石刻特展设计团队197元；资阳融媒体中心191元；省级研究旅行实践基地现场验收939元；浙江旅行社走进广元1875元；云南省广电局调研2875元；四川文化艺术学院与博物馆学院考察2468元；中铁置业集团中青旅考察3540元；省广电局调研745元；中国旅游协会考察726元；省博调研2580元；快手来广宣传750元；四川名人馆调研1740元；青川七佛乡镇府调研1240元；甘肃北石窟调研2020元；四川日报社2596元；大足石刻调研945元；顺陵文物管理所980元，国家文物局及省文物局调研3495元；安岳石刻880元；长征国家文物公园1570元；汉中博物馆920元；敦煌研究院2批560元；云冈石窟623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外事接待支出0万元。</w:t>
      </w:r>
    </w:p>
    <w:p>
      <w:pPr>
        <w:spacing w:line="600" w:lineRule="exact"/>
        <w:ind w:firstLine="640"/>
        <w:outlineLvl w:val="1"/>
        <w:rPr>
          <w:rStyle w:val="35"/>
          <w:rFonts w:hint="eastAsia" w:ascii="方正黑体简体" w:hAnsi="方正黑体简体" w:eastAsia="方正黑体简体" w:cs="方正黑体简体"/>
          <w:b w:val="0"/>
          <w:highlight w:val="none"/>
          <w:lang w:val="en-US" w:eastAsia="zh-CN" w:bidi="ar-SA"/>
        </w:rPr>
      </w:pPr>
      <w:bookmarkStart w:id="86" w:name="_Toc15377218"/>
      <w:bookmarkStart w:id="87" w:name="_Toc28364"/>
      <w:bookmarkStart w:id="88" w:name="_Toc9097"/>
      <w:bookmarkStart w:id="89" w:name="_Toc15396610"/>
      <w:r>
        <w:rPr>
          <w:rStyle w:val="35"/>
          <w:rFonts w:hint="eastAsia" w:ascii="方正黑体简体" w:hAnsi="方正黑体简体" w:eastAsia="方正黑体简体" w:cs="方正黑体简体"/>
          <w:b w:val="0"/>
          <w:highlight w:val="none"/>
          <w:lang w:val="en-US" w:eastAsia="zh-CN" w:bidi="ar-SA"/>
        </w:rPr>
        <w:t>八、政府性基金预算支出决算情况说明</w:t>
      </w:r>
      <w:bookmarkEnd w:id="86"/>
      <w:bookmarkEnd w:id="87"/>
      <w:bookmarkEnd w:id="88"/>
      <w:bookmarkEnd w:id="89"/>
    </w:p>
    <w:p>
      <w:pPr>
        <w:spacing w:line="600" w:lineRule="exact"/>
        <w:ind w:firstLine="640"/>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政府性基金预算财政拨款支出0万元，占本年支出合计的0%。与2023年度相比，政府性基金预算财政拨款支出减少151.70万元，下降100%。主要变动原因是2023年拨付的四川省第二届智力运动会赛事经费，全部用于四川省第二届智力运动会开幕式文艺演出，2024年无该项支出。</w:t>
      </w:r>
    </w:p>
    <w:p>
      <w:pPr>
        <w:spacing w:line="600" w:lineRule="exact"/>
        <w:ind w:left="630"/>
        <w:outlineLvl w:val="1"/>
        <w:rPr>
          <w:rStyle w:val="35"/>
          <w:rFonts w:hint="eastAsia" w:ascii="方正黑体简体" w:hAnsi="方正黑体简体" w:eastAsia="方正黑体简体" w:cs="方正黑体简体"/>
          <w:b w:val="0"/>
          <w:highlight w:val="none"/>
          <w:lang w:val="en-US" w:eastAsia="zh-CN" w:bidi="ar-SA"/>
        </w:rPr>
      </w:pPr>
      <w:bookmarkStart w:id="90" w:name="_Toc26922"/>
      <w:bookmarkStart w:id="91" w:name="_Toc15396611"/>
      <w:bookmarkStart w:id="92" w:name="_Toc14191"/>
      <w:bookmarkStart w:id="93" w:name="_Toc15377219"/>
      <w:r>
        <w:rPr>
          <w:rStyle w:val="35"/>
          <w:rFonts w:hint="eastAsia" w:ascii="方正黑体简体" w:hAnsi="方正黑体简体" w:eastAsia="方正黑体简体" w:cs="方正黑体简体"/>
          <w:b w:val="0"/>
          <w:highlight w:val="none"/>
          <w:lang w:val="en-US" w:eastAsia="zh-CN" w:bidi="ar-SA"/>
        </w:rPr>
        <w:t>九、国有资本经营预算支出决算情况说明</w:t>
      </w:r>
      <w:bookmarkEnd w:id="90"/>
      <w:bookmarkEnd w:id="91"/>
      <w:bookmarkEnd w:id="92"/>
      <w:bookmarkEnd w:id="93"/>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2024年度国有资本经营预算财政拨款支出0万元。</w:t>
      </w:r>
    </w:p>
    <w:p>
      <w:pPr>
        <w:spacing w:line="600" w:lineRule="exact"/>
        <w:ind w:left="630"/>
        <w:outlineLvl w:val="1"/>
        <w:rPr>
          <w:rStyle w:val="35"/>
          <w:rFonts w:hint="eastAsia" w:ascii="方正黑体简体" w:hAnsi="方正黑体简体" w:eastAsia="方正黑体简体" w:cs="方正黑体简体"/>
          <w:b w:val="0"/>
          <w:highlight w:val="none"/>
          <w:lang w:val="en-US" w:eastAsia="zh-CN" w:bidi="ar-SA"/>
        </w:rPr>
      </w:pPr>
      <w:bookmarkStart w:id="94" w:name="_Toc15396612"/>
      <w:bookmarkStart w:id="95" w:name="_Toc3948"/>
      <w:bookmarkStart w:id="96" w:name="_Toc15377221"/>
      <w:bookmarkStart w:id="97" w:name="_Toc28259"/>
      <w:r>
        <w:rPr>
          <w:rStyle w:val="35"/>
          <w:rFonts w:hint="eastAsia" w:ascii="方正黑体简体" w:hAnsi="方正黑体简体" w:eastAsia="方正黑体简体" w:cs="方正黑体简体"/>
          <w:b w:val="0"/>
          <w:highlight w:val="none"/>
          <w:lang w:val="en-US" w:eastAsia="zh-CN" w:bidi="ar-SA"/>
        </w:rPr>
        <w:t>十、其他重要事项的情况说明</w:t>
      </w:r>
      <w:bookmarkEnd w:id="94"/>
      <w:bookmarkEnd w:id="95"/>
      <w:bookmarkEnd w:id="96"/>
      <w:bookmarkEnd w:id="97"/>
    </w:p>
    <w:p>
      <w:pPr>
        <w:spacing w:line="600" w:lineRule="exact"/>
        <w:ind w:firstLine="642" w:firstLineChars="200"/>
        <w:outlineLvl w:val="2"/>
        <w:rPr>
          <w:rFonts w:hint="eastAsia" w:ascii="仿宋_GB2312" w:hAnsi="仿宋_GB2312" w:eastAsia="仿宋_GB2312" w:cs="仿宋_GB2312"/>
          <w:b/>
          <w:bCs/>
          <w:kern w:val="2"/>
          <w:sz w:val="32"/>
          <w:szCs w:val="32"/>
          <w:highlight w:val="none"/>
          <w:lang w:val="en-US" w:eastAsia="zh-CN" w:bidi="ar-SA"/>
        </w:rPr>
      </w:pPr>
      <w:bookmarkStart w:id="98" w:name="_Toc15377222"/>
      <w:r>
        <w:rPr>
          <w:rFonts w:hint="eastAsia" w:ascii="仿宋_GB2312" w:hAnsi="仿宋_GB2312" w:eastAsia="仿宋_GB2312" w:cs="仿宋_GB2312"/>
          <w:b/>
          <w:bCs/>
          <w:kern w:val="2"/>
          <w:sz w:val="32"/>
          <w:szCs w:val="32"/>
          <w:highlight w:val="none"/>
          <w:lang w:val="en-US" w:eastAsia="zh-CN" w:bidi="ar-SA"/>
        </w:rPr>
        <w:t>（一）机关运行经费支出情况</w:t>
      </w:r>
      <w:bookmarkEnd w:id="98"/>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2024年度，广元市文化广播电视和旅游局机关运行经费支出240.25万元，比2023年度减少51.60 万元，下降17.68%。主要原因是一是2023年因机构改革，执法职责范围扩大、执法人员增加；二是2023年局机关补交了2022年2月-12月物业管理费。</w:t>
      </w:r>
    </w:p>
    <w:p>
      <w:pPr>
        <w:spacing w:line="600" w:lineRule="exact"/>
        <w:ind w:firstLine="642" w:firstLineChars="200"/>
        <w:outlineLvl w:val="2"/>
        <w:rPr>
          <w:rFonts w:hint="eastAsia" w:ascii="仿宋_GB2312" w:hAnsi="仿宋_GB2312" w:eastAsia="仿宋_GB2312" w:cs="仿宋_GB2312"/>
          <w:b/>
          <w:bCs/>
          <w:kern w:val="2"/>
          <w:sz w:val="32"/>
          <w:szCs w:val="32"/>
          <w:highlight w:val="none"/>
          <w:lang w:val="en-US" w:eastAsia="zh-CN" w:bidi="ar-SA"/>
        </w:rPr>
      </w:pPr>
      <w:bookmarkStart w:id="99" w:name="_Toc15377223"/>
      <w:r>
        <w:rPr>
          <w:rFonts w:hint="eastAsia" w:ascii="仿宋_GB2312" w:hAnsi="仿宋_GB2312" w:eastAsia="仿宋_GB2312" w:cs="仿宋_GB2312"/>
          <w:b/>
          <w:bCs/>
          <w:kern w:val="2"/>
          <w:sz w:val="32"/>
          <w:szCs w:val="32"/>
          <w:highlight w:val="none"/>
          <w:lang w:val="en-US" w:eastAsia="zh-CN" w:bidi="ar-SA"/>
        </w:rPr>
        <w:t>（二）政府采购支出情况</w:t>
      </w:r>
      <w:bookmarkEnd w:id="99"/>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广元市文化广播电视和旅游局政府采购支出总额521.08万元，其中：政府采购货物支出9.51万元、政府采购工程支出0万元、政府采购服务支出511.57万元。主要用于政府向社会力量购买公共文化服务示范项目：“有爱·无碍”公益服务、文艺进街区；广元市博物馆劳务派遣服务项目；皇泽寺博物馆含红军文化园卫生清扫保洁及垃圾清运费；千佛崖摩崖造像睡佛龛造像保护修缮；千佛崖摩崖造像水害治理前期勘察研究；川剧《蜀道行歌》创作经费；广元市文化馆购买台式计算机、打印机。授予中小企业合同金额461.18万元，占政府采购支出总额的88.50%，其中：授予小微企业合同金额366.18万元，占政府采购支出总额的70.27%。</w:t>
      </w:r>
    </w:p>
    <w:p>
      <w:pPr>
        <w:spacing w:line="600" w:lineRule="exact"/>
        <w:ind w:firstLine="642" w:firstLineChars="200"/>
        <w:outlineLvl w:val="2"/>
        <w:rPr>
          <w:rFonts w:hint="eastAsia" w:ascii="仿宋_GB2312" w:hAnsi="仿宋_GB2312" w:eastAsia="仿宋_GB2312" w:cs="仿宋_GB2312"/>
          <w:b/>
          <w:bCs/>
          <w:kern w:val="2"/>
          <w:sz w:val="32"/>
          <w:szCs w:val="32"/>
          <w:highlight w:val="none"/>
          <w:lang w:val="en-US" w:eastAsia="zh-CN" w:bidi="ar-SA"/>
        </w:rPr>
      </w:pPr>
      <w:bookmarkStart w:id="100" w:name="_Toc15377224"/>
      <w:r>
        <w:rPr>
          <w:rFonts w:hint="eastAsia" w:ascii="仿宋_GB2312" w:hAnsi="仿宋_GB2312" w:eastAsia="仿宋_GB2312" w:cs="仿宋_GB2312"/>
          <w:b/>
          <w:bCs/>
          <w:kern w:val="2"/>
          <w:sz w:val="32"/>
          <w:szCs w:val="32"/>
          <w:highlight w:val="none"/>
          <w:lang w:val="en-US" w:eastAsia="zh-CN" w:bidi="ar-SA"/>
        </w:rPr>
        <w:t>（三）国有资产占有使用情况</w:t>
      </w:r>
      <w:bookmarkEnd w:id="100"/>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截至2024年12月31日，广元市文化广播电视和旅游局共有车辆11辆，其中：</w:t>
      </w:r>
      <w:r>
        <w:rPr>
          <w:rFonts w:hint="eastAsia" w:ascii="仿宋_GB2312" w:hAnsi="仿宋_GB2312" w:eastAsia="仿宋_GB2312" w:cs="仿宋_GB2312"/>
          <w:kern w:val="2"/>
          <w:sz w:val="32"/>
          <w:szCs w:val="32"/>
          <w:highlight w:val="none"/>
          <w:lang w:val="zh-CN" w:eastAsia="zh-CN" w:bidi="ar-SA"/>
        </w:rPr>
        <w:t>执法执勤用车2辆、其他用车</w:t>
      </w:r>
      <w:r>
        <w:rPr>
          <w:rFonts w:hint="eastAsia" w:ascii="仿宋_GB2312" w:hAnsi="仿宋_GB2312" w:eastAsia="仿宋_GB2312" w:cs="仿宋_GB2312"/>
          <w:kern w:val="2"/>
          <w:sz w:val="32"/>
          <w:szCs w:val="32"/>
          <w:highlight w:val="none"/>
          <w:lang w:val="en-US" w:eastAsia="zh-CN" w:bidi="ar-SA"/>
        </w:rPr>
        <w:t>9</w:t>
      </w:r>
      <w:r>
        <w:rPr>
          <w:rFonts w:hint="eastAsia" w:ascii="仿宋_GB2312" w:hAnsi="仿宋_GB2312" w:eastAsia="仿宋_GB2312" w:cs="仿宋_GB2312"/>
          <w:kern w:val="2"/>
          <w:sz w:val="32"/>
          <w:szCs w:val="32"/>
          <w:highlight w:val="none"/>
          <w:lang w:val="zh-CN" w:eastAsia="zh-CN" w:bidi="ar-SA"/>
        </w:rPr>
        <w:t>辆。</w:t>
      </w:r>
      <w:r>
        <w:rPr>
          <w:rFonts w:hint="eastAsia" w:ascii="仿宋_GB2312" w:hAnsi="仿宋_GB2312" w:eastAsia="仿宋_GB2312" w:cs="仿宋_GB2312"/>
          <w:kern w:val="2"/>
          <w:sz w:val="32"/>
          <w:szCs w:val="32"/>
          <w:highlight w:val="none"/>
          <w:lang w:val="en-US" w:eastAsia="zh-CN" w:bidi="ar-SA"/>
        </w:rPr>
        <w:t>其他用途主要是用于公共文化服务体系建设、艺术创作、非物质文化遗产保护利用、旅游行业管理、景区创建及质量评定、文旅资源普查、文化旅游宣传推介、广播电视网络视听行业监管、广播电视信号传输保障、文物保护利用、考古发掘、博物馆展陈体系提升、脱贫攻坚等工作。单价100万元以上设备（不含车辆）0台（套）。</w:t>
      </w:r>
    </w:p>
    <w:p>
      <w:pPr>
        <w:spacing w:line="600" w:lineRule="exact"/>
        <w:ind w:firstLine="642" w:firstLineChars="200"/>
        <w:outlineLvl w:val="2"/>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（四）预算绩效管理情况</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根据预算绩效管理要求，本部门在2024年度预算编制阶段，组织对2024年广元女儿节暨欢乐文化周活动项目、蜀道文物展开展仪式及研学签约仪式项目、重点文旅企业发展奖补项目、</w:t>
      </w:r>
      <w:r>
        <w:rPr>
          <w:rFonts w:hint="default" w:ascii="仿宋_GB2312" w:hAnsi="仿宋_GB2312" w:eastAsia="仿宋_GB2312" w:cs="仿宋_GB2312"/>
          <w:kern w:val="2"/>
          <w:sz w:val="32"/>
          <w:szCs w:val="32"/>
          <w:highlight w:val="none"/>
          <w:lang w:val="en-US" w:eastAsia="zh-CN" w:bidi="ar-SA"/>
        </w:rPr>
        <w:t>编制《广元“十五五”时期建设大蜀道国际文化旅游目的地和康养度假胜地研究》课题报告项目</w:t>
      </w:r>
      <w:r>
        <w:rPr>
          <w:rFonts w:hint="eastAsia" w:ascii="仿宋_GB2312" w:hAnsi="仿宋_GB2312" w:eastAsia="仿宋_GB2312" w:cs="仿宋_GB2312"/>
          <w:kern w:val="2"/>
          <w:sz w:val="32"/>
          <w:szCs w:val="32"/>
          <w:highlight w:val="none"/>
          <w:lang w:val="en-US" w:eastAsia="zh-CN" w:bidi="ar-SA"/>
        </w:rPr>
        <w:t>、2024年广元市旅游大数据信息服务项目等16个项目开展了预算事前绩效评估，对16个项目编制了绩效目标，预算执行过程中，选取16个项目开展绩效监控。</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组织对2024年度一般公共预算、全面开展绩效自评，形成广元市文化广播电视和旅游局部门整体（含部门预算项目）绩效自评报告、2024年广元女儿节暨欢乐文化周活动项目、蜀道文物展开展仪式及研学签约仪式项目、重点文旅企业发展奖补项目、</w:t>
      </w:r>
      <w:r>
        <w:rPr>
          <w:rFonts w:hint="default" w:ascii="仿宋_GB2312" w:hAnsi="仿宋_GB2312" w:eastAsia="仿宋_GB2312" w:cs="仿宋_GB2312"/>
          <w:kern w:val="2"/>
          <w:sz w:val="32"/>
          <w:szCs w:val="32"/>
          <w:highlight w:val="none"/>
          <w:lang w:val="en-US" w:eastAsia="zh-CN" w:bidi="ar-SA"/>
        </w:rPr>
        <w:t>编制《广元“十五五”时期建设大蜀道国际文化旅游目的地和康养度假胜地研究》课题报告项目</w:t>
      </w:r>
      <w:r>
        <w:rPr>
          <w:rFonts w:hint="eastAsia" w:ascii="仿宋_GB2312" w:hAnsi="仿宋_GB2312" w:eastAsia="仿宋_GB2312" w:cs="仿宋_GB2312"/>
          <w:kern w:val="2"/>
          <w:sz w:val="32"/>
          <w:szCs w:val="32"/>
          <w:highlight w:val="none"/>
          <w:lang w:val="en-US" w:eastAsia="zh-CN" w:bidi="ar-SA"/>
        </w:rPr>
        <w:t>、2024年广元市旅游大数据信息服务项目等专项预算项目绩效自评报告，其中，广元市文化广播电视和旅游局部门整体（含部门预算项目）绩效自评得分为89分，绩效自评综述：我局严格执行财经法律法规和各项财务规章制度，加强财务管理，规范会计核算，资金高效运行。项目决策科学，依据充分，项目管理规范；绩效执行进度预期，预算匹配；项目完成效果好，实施后达到了预期目的，促进了广元文化和旅游事业的发展；2024年广元女儿节暨欢乐文化周活动专项预算项目绩效自评得分为100分，绩效自评综述：根据市政府第74次常务会审议通过的2024年广元女儿节暨欢乐文化周活动实施方案，共计预算资金398万元。女儿节经费预算150万元主要支出开幕式活动相关费用（含现场布置、舞台搭建、舞美音响等51.92万元，文艺表演、LED屏幕等85.08万元，国际凤舟赛补贴13万元）。城市品牌宣传活动经费预算248万元主要支出市文旅康养集团征集策划方案30万元，市文旅康养集团开展活动和氛围营造70万元（含“大美广元我来拍”“百鸟朝凤”小程序活动、水上灯光秀活动以及城市氛围亮化等），群众文化活动52.631万元（含“放歌嘉陵江”群众歌咏活动、夜间群众文化活动、陕甘川宁文化艺术交流活动等），宣传报道50万元，安全保障10万元，接待服务、后勤保障、来宾伴手礼及筹委会办公室工作经费等35.369万元；蜀道文物展开展仪式及研学签约仪式专项预算项目绩效自评得分为100分，绩效自评综述：</w:t>
      </w:r>
      <w:r>
        <w:rPr>
          <w:rFonts w:hint="eastAsia" w:ascii="仿宋_GB2312" w:hAnsi="仿宋_GB2312" w:eastAsia="仿宋_GB2312" w:cs="仿宋_GB2312"/>
          <w:kern w:val="2"/>
          <w:sz w:val="32"/>
          <w:szCs w:val="32"/>
          <w:highlight w:val="none"/>
          <w:lang w:val="zh-CN" w:eastAsia="zh-CN" w:bidi="ar-SA"/>
        </w:rPr>
        <w:t>开展仪式和签约仪式活动圆满成功，开展</w:t>
      </w:r>
      <w:r>
        <w:rPr>
          <w:rFonts w:hint="eastAsia" w:ascii="仿宋_GB2312" w:hAnsi="仿宋_GB2312" w:eastAsia="仿宋_GB2312" w:cs="仿宋_GB2312"/>
          <w:kern w:val="2"/>
          <w:sz w:val="32"/>
          <w:szCs w:val="32"/>
          <w:highlight w:val="none"/>
          <w:lang w:val="en-US" w:eastAsia="zh-CN" w:bidi="ar-SA"/>
        </w:rPr>
        <w:t>当天包括人民日报社、新华通讯社、中央电视台、中国新闻社等在内的33家媒体现场报道，全网共392个媒体平台参与报道，受到了社会各界广泛关注，蜀道品牌知名度和美誉度显著提升；重点文旅企业发展奖补项目专项预算项目绩效自评得分为9</w:t>
      </w:r>
      <w:r>
        <w:rPr>
          <w:rFonts w:hint="default" w:ascii="仿宋_GB2312" w:hAnsi="仿宋_GB2312" w:eastAsia="仿宋_GB2312" w:cs="仿宋_GB2312"/>
          <w:kern w:val="2"/>
          <w:sz w:val="32"/>
          <w:szCs w:val="32"/>
          <w:highlight w:val="none"/>
          <w:lang w:val="en" w:eastAsia="zh-CN" w:bidi="ar-SA"/>
        </w:rPr>
        <w:t>0</w:t>
      </w:r>
      <w:r>
        <w:rPr>
          <w:rFonts w:hint="eastAsia" w:ascii="仿宋_GB2312" w:hAnsi="仿宋_GB2312" w:eastAsia="仿宋_GB2312" w:cs="仿宋_GB2312"/>
          <w:kern w:val="2"/>
          <w:sz w:val="32"/>
          <w:szCs w:val="32"/>
          <w:highlight w:val="none"/>
          <w:lang w:val="en-US" w:eastAsia="zh-CN" w:bidi="ar-SA"/>
        </w:rPr>
        <w:t>分，绩效自评综述：</w:t>
      </w:r>
      <w:r>
        <w:rPr>
          <w:rFonts w:hint="eastAsia" w:ascii="仿宋_GB2312" w:hAnsi="仿宋_GB2312" w:eastAsia="仿宋_GB2312" w:cs="仿宋_GB2312"/>
          <w:kern w:val="2"/>
          <w:sz w:val="32"/>
          <w:szCs w:val="32"/>
          <w:highlight w:val="none"/>
          <w:lang w:val="zh-CN" w:eastAsia="zh-CN" w:bidi="ar-SA"/>
        </w:rPr>
        <w:t>共计</w:t>
      </w:r>
      <w:r>
        <w:rPr>
          <w:rFonts w:hint="eastAsia" w:ascii="仿宋_GB2312" w:hAnsi="仿宋_GB2312" w:eastAsia="仿宋_GB2312" w:cs="仿宋_GB2312"/>
          <w:kern w:val="2"/>
          <w:sz w:val="32"/>
          <w:szCs w:val="32"/>
          <w:highlight w:val="none"/>
          <w:lang w:val="en-US" w:eastAsia="zh-CN" w:bidi="ar-SA"/>
        </w:rPr>
        <w:t>4家企业参与申报，其中申报年营业收入首次超过一定数额奖补1家，申报限上演艺企业新创作演艺作品且年商业化演出达20场次以上奖补3家，总计奖补12万元。所需资金在市级公共文化和旅游产业专项资金中统筹解决。1.根据《</w:t>
      </w:r>
      <w:r>
        <w:rPr>
          <w:rFonts w:hint="eastAsia" w:ascii="仿宋_GB2312" w:hAnsi="仿宋_GB2312" w:eastAsia="仿宋_GB2312" w:cs="仿宋_GB2312"/>
          <w:kern w:val="2"/>
          <w:sz w:val="32"/>
          <w:szCs w:val="32"/>
          <w:highlight w:val="none"/>
          <w:lang w:val="en" w:eastAsia="zh-CN" w:bidi="ar-SA"/>
        </w:rPr>
        <w:t>促进消费恢复发展十条措施</w:t>
      </w:r>
      <w:r>
        <w:rPr>
          <w:rFonts w:hint="eastAsia" w:ascii="仿宋_GB2312" w:hAnsi="仿宋_GB2312" w:eastAsia="仿宋_GB2312" w:cs="仿宋_GB2312"/>
          <w:kern w:val="2"/>
          <w:sz w:val="32"/>
          <w:szCs w:val="32"/>
          <w:highlight w:val="none"/>
          <w:lang w:val="en-US" w:eastAsia="zh-CN" w:bidi="ar-SA"/>
        </w:rPr>
        <w:t>》，对年营业收入首次超过8000万元、6000万元、4000万元的规上文化、体育和娱乐业企业、旅游企业，市级财政分别给予一次性不超过3万元、2万元、1万元奖励。经会商审核，剑门关旅游开发股份有限公司符合超过6000万元营收指标条件，拟奖补2万元；2.根据《</w:t>
      </w:r>
      <w:r>
        <w:rPr>
          <w:rFonts w:hint="eastAsia" w:ascii="仿宋_GB2312" w:hAnsi="仿宋_GB2312" w:eastAsia="仿宋_GB2312" w:cs="仿宋_GB2312"/>
          <w:kern w:val="2"/>
          <w:sz w:val="32"/>
          <w:szCs w:val="32"/>
          <w:highlight w:val="none"/>
          <w:lang w:val="en" w:eastAsia="zh-CN" w:bidi="ar-SA"/>
        </w:rPr>
        <w:t>促进消费恢复发展十条措施</w:t>
      </w:r>
      <w:r>
        <w:rPr>
          <w:rFonts w:hint="eastAsia" w:ascii="仿宋_GB2312" w:hAnsi="仿宋_GB2312" w:eastAsia="仿宋_GB2312" w:cs="仿宋_GB2312"/>
          <w:kern w:val="2"/>
          <w:sz w:val="32"/>
          <w:szCs w:val="32"/>
          <w:highlight w:val="none"/>
          <w:lang w:val="en-US" w:eastAsia="zh-CN" w:bidi="ar-SA"/>
        </w:rPr>
        <w:t>》，对限上演艺企业新创作演艺作品，年商业化演出达20场次以上的，市级财政一次性给予不超过5万元补助。该项补助拟根据企业对GDP指标贡献，实行阶梯式、差异化补助：年营业收入超过2000万元（不含)以上的企业，一次性补助5万元；超过1000万元（不含)、不超过</w:t>
      </w:r>
      <w:r>
        <w:rPr>
          <w:rFonts w:hint="default" w:ascii="仿宋_GB2312" w:hAnsi="仿宋_GB2312" w:eastAsia="仿宋_GB2312" w:cs="仿宋_GB2312"/>
          <w:kern w:val="2"/>
          <w:sz w:val="32"/>
          <w:szCs w:val="32"/>
          <w:highlight w:val="none"/>
          <w:lang w:val="en" w:eastAsia="zh-CN" w:bidi="ar-SA"/>
        </w:rPr>
        <w:t>2000</w:t>
      </w:r>
      <w:r>
        <w:rPr>
          <w:rFonts w:hint="eastAsia" w:ascii="仿宋_GB2312" w:hAnsi="仿宋_GB2312" w:eastAsia="仿宋_GB2312" w:cs="仿宋_GB2312"/>
          <w:kern w:val="2"/>
          <w:sz w:val="32"/>
          <w:szCs w:val="32"/>
          <w:highlight w:val="none"/>
          <w:lang w:val="en" w:eastAsia="zh-CN" w:bidi="ar-SA"/>
        </w:rPr>
        <w:t>万元（</w:t>
      </w:r>
      <w:r>
        <w:rPr>
          <w:rFonts w:hint="eastAsia" w:ascii="仿宋_GB2312" w:hAnsi="仿宋_GB2312" w:eastAsia="仿宋_GB2312" w:cs="仿宋_GB2312"/>
          <w:kern w:val="2"/>
          <w:sz w:val="32"/>
          <w:szCs w:val="32"/>
          <w:highlight w:val="none"/>
          <w:lang w:val="en-US" w:eastAsia="zh-CN" w:bidi="ar-SA"/>
        </w:rPr>
        <w:t>含)的，一次性补助4万元；年营业收入超过500万元、不超过1000万元（含)的企业，一次性补助3万元。经会商审核，旺苍龙狮鼓武艺术文化传媒有限公司符合营收超过1000万元（不含)、不超过</w:t>
      </w:r>
      <w:r>
        <w:rPr>
          <w:rFonts w:hint="default" w:ascii="仿宋_GB2312" w:hAnsi="仿宋_GB2312" w:eastAsia="仿宋_GB2312" w:cs="仿宋_GB2312"/>
          <w:kern w:val="2"/>
          <w:sz w:val="32"/>
          <w:szCs w:val="32"/>
          <w:highlight w:val="none"/>
          <w:lang w:val="en" w:eastAsia="zh-CN" w:bidi="ar-SA"/>
        </w:rPr>
        <w:t>2000</w:t>
      </w:r>
      <w:r>
        <w:rPr>
          <w:rFonts w:hint="eastAsia" w:ascii="仿宋_GB2312" w:hAnsi="仿宋_GB2312" w:eastAsia="仿宋_GB2312" w:cs="仿宋_GB2312"/>
          <w:kern w:val="2"/>
          <w:sz w:val="32"/>
          <w:szCs w:val="32"/>
          <w:highlight w:val="none"/>
          <w:lang w:val="en" w:eastAsia="zh-CN" w:bidi="ar-SA"/>
        </w:rPr>
        <w:t>万元（</w:t>
      </w:r>
      <w:r>
        <w:rPr>
          <w:rFonts w:hint="eastAsia" w:ascii="仿宋_GB2312" w:hAnsi="仿宋_GB2312" w:eastAsia="仿宋_GB2312" w:cs="仿宋_GB2312"/>
          <w:kern w:val="2"/>
          <w:sz w:val="32"/>
          <w:szCs w:val="32"/>
          <w:highlight w:val="none"/>
          <w:lang w:val="en-US" w:eastAsia="zh-CN" w:bidi="ar-SA"/>
        </w:rPr>
        <w:t>含)的条件，拟奖补4万元；广元市演艺有限责任公司和广元昭化西市景区管理有限公司符合年营业收入超过500万元、不超过1000万元（含)的条件，拟各奖补3万元。该项共计奖补6万元；</w:t>
      </w:r>
      <w:r>
        <w:rPr>
          <w:rFonts w:hint="default" w:ascii="仿宋_GB2312" w:hAnsi="仿宋_GB2312" w:eastAsia="仿宋_GB2312" w:cs="仿宋_GB2312"/>
          <w:kern w:val="2"/>
          <w:sz w:val="32"/>
          <w:szCs w:val="32"/>
          <w:highlight w:val="none"/>
          <w:lang w:val="en-US" w:eastAsia="zh-CN" w:bidi="ar-SA"/>
        </w:rPr>
        <w:t>市本级两新组织党建工作经费</w:t>
      </w:r>
      <w:r>
        <w:rPr>
          <w:rFonts w:hint="eastAsia" w:ascii="仿宋_GB2312" w:hAnsi="仿宋_GB2312" w:eastAsia="仿宋_GB2312" w:cs="仿宋_GB2312"/>
          <w:kern w:val="2"/>
          <w:sz w:val="32"/>
          <w:szCs w:val="32"/>
          <w:highlight w:val="none"/>
          <w:lang w:val="en-US" w:eastAsia="zh-CN" w:bidi="ar-SA"/>
        </w:rPr>
        <w:t>专项预算项目绩效自评得分为93分，绩效自评综述：</w:t>
      </w:r>
      <w:r>
        <w:rPr>
          <w:rFonts w:hint="eastAsia" w:ascii="仿宋_GB2312" w:hAnsi="仿宋_GB2312" w:eastAsia="仿宋_GB2312" w:cs="仿宋_GB2312"/>
          <w:kern w:val="2"/>
          <w:sz w:val="32"/>
          <w:szCs w:val="32"/>
          <w:highlight w:val="none"/>
          <w:lang w:val="zh-CN" w:eastAsia="zh-CN" w:bidi="ar-SA"/>
        </w:rPr>
        <w:t>根据广元市委组织部、广元市财政局、广元市国家税务局、广元市地方税务联合印发的《关于进一步加强“两新”组织党建工作经费保障的通知》</w:t>
      </w:r>
      <w:r>
        <w:rPr>
          <w:rFonts w:hint="eastAsia" w:ascii="仿宋_GB2312" w:hAnsi="仿宋_GB2312" w:eastAsia="仿宋_GB2312" w:cs="仿宋_GB2312"/>
          <w:kern w:val="2"/>
          <w:sz w:val="32"/>
          <w:szCs w:val="32"/>
          <w:highlight w:val="none"/>
          <w:lang w:val="en-US" w:eastAsia="zh-CN" w:bidi="ar-SA"/>
        </w:rPr>
        <w:t>（广组通〔2015〕41号）相关要求，为进一步建立健全非公有制企业和社会组织（以下简称“两新”组织）党组织稳定的工作经费保障机制，特设立此项目。总计安排金额1.84万元，其中市文广旅行业党委党建工作经费1万元，万安博物馆党支部0.42万元，文旅协会党支部0.42万元；</w:t>
      </w:r>
      <w:r>
        <w:rPr>
          <w:rFonts w:hint="default" w:ascii="仿宋_GB2312" w:hAnsi="仿宋_GB2312" w:eastAsia="仿宋_GB2312" w:cs="仿宋_GB2312"/>
          <w:kern w:val="2"/>
          <w:sz w:val="32"/>
          <w:szCs w:val="32"/>
          <w:highlight w:val="none"/>
          <w:lang w:val="en-US" w:eastAsia="zh-CN" w:bidi="ar-SA"/>
        </w:rPr>
        <w:t>编制《广元“十五五”时期建设大蜀道国际文化旅游目的地和康养度假胜地研究》课题报告项目</w:t>
      </w:r>
      <w:r>
        <w:rPr>
          <w:rFonts w:hint="eastAsia" w:ascii="仿宋_GB2312" w:hAnsi="仿宋_GB2312" w:eastAsia="仿宋_GB2312" w:cs="仿宋_GB2312"/>
          <w:kern w:val="2"/>
          <w:sz w:val="32"/>
          <w:szCs w:val="32"/>
          <w:highlight w:val="none"/>
          <w:lang w:val="en-US" w:eastAsia="zh-CN" w:bidi="ar-SA"/>
        </w:rPr>
        <w:t>专项预算项目绩效自评得分为96分，绩效自评综述：按照广元市“十五五”规划编制工作机制办公室（市发展改革委）《关于关于印发〈广元市“十五五”规划编制工作方案〉的通知》（广规机办〔2024〕3号）和《关于做好“十五五”规划编制近期重点工作的通知》要求，为做好“十五五”规划编制前期研究工作，全市共确定20个研究课题，其中我局承担《广元“十五五”时期建设大蜀道国际文化旅游目的地和康养度假胜地研究》课题。通过《广元“十五五”时期建设大蜀道国际文化旅游目的地和康养度假胜地研究》课题前期调研和课题报告编写，为广元市“十五五”文化旅游发展规划编制工作提供参考和指引</w:t>
      </w:r>
      <w:r>
        <w:rPr>
          <w:rFonts w:hint="default" w:ascii="仿宋_GB2312" w:hAnsi="仿宋_GB2312" w:eastAsia="仿宋_GB2312" w:cs="仿宋_GB2312"/>
          <w:kern w:val="2"/>
          <w:sz w:val="32"/>
          <w:szCs w:val="32"/>
          <w:highlight w:val="none"/>
          <w:lang w:val="zh-CN" w:eastAsia="zh-CN" w:bidi="ar-SA"/>
        </w:rPr>
        <w:t>。</w:t>
      </w:r>
      <w:r>
        <w:rPr>
          <w:rFonts w:hint="eastAsia" w:ascii="仿宋_GB2312" w:hAnsi="仿宋_GB2312" w:eastAsia="仿宋_GB2312" w:cs="仿宋_GB2312"/>
          <w:kern w:val="2"/>
          <w:sz w:val="32"/>
          <w:szCs w:val="32"/>
          <w:highlight w:val="none"/>
          <w:lang w:val="en-US" w:eastAsia="zh-CN" w:bidi="ar-SA"/>
        </w:rPr>
        <w:t>课题项目总费用5万，包括前期调研和课题报告编制；中央文化人才专项经费专项预算项目绩效自评得分为96分，绩效自评综述：一是目标完成情况。根据《四川省文化和旅游厅关于印发〈2023年文旅工作者服务支持艰苦边远地区和基层一线专项实施方案〉的通知》中安排广元市文化广播电视和旅游局脱产培训人数115人，2023年该项目实际培训人数116人，完成预期目标任务。该项目实际培训人数116人中，1人为培训中途自愿参与培训，项目单位未额外为其支付费用。二是完成时效情况。根据《全市文旅康养产业发展专题培训班方案》《全市文旅康养产业发展专题培训班签到手册》显示，该项目计划培训时间5天，实际培训时间5天。三是民生保障情况。该项目资金支持对象为参加文旅康养产业发展专题培训班的学员，培训学员均为广元市文旅系统中的相关负责人和文旅相关的企业人员，符合资金支持的对象范围。项目依据《四川省省直机关培训费管理办法》第三章第八条，参照三类培训的伙食费标准120元/人/天测算项目经费；第三章第九条，核算授课老师讲课费。项目资金标准明确合理。四是产出成果情况。该项目制定《全市文旅康养产业发展专题培训班方案》和学员手册，对培训教学作出详细时间安排，培训班次分为上午和下午两个班次。根据《全市文旅康养产业发展专题培训班签到手册》，培训班学员于每个培训班次进行签到。《全市文旅康养产业发展专题培训班方案》于2024年5月8日报广元市文化广播电视和旅游局领导班子审议，2024年5月9日审议通过。该项目依据《四川省省直机关培训费管理办法》第三章第八条，参照三类培训的伙食费标准120元/人/天测算项目经费；第三章第九条，核算授课老师讲课费。五是社会效益情况。该项目为助推广元市康养旅游产业健康发展，培养知识储备丰富、从业能力强的文化旅游人才骨干队伍，加快建设大蜀道国际文化旅游目的地和康养度假胜地提供有力的人才支撑。提升文旅产业的项目管理能力和管理水平；2024年广元市导游员、讲解员及研学旅行指导师大赛专项预算项目绩效自评得分为100分，绩效自评综述：为进一步提升我市旅游从业人员素养，加强我市旅游人队伍建设，我市拟在2024年选拔一批业务精良、风采出众的优秀导游员、讲解员和研学旅行指导师，发挥以点带面的示范引领作用，提升旅游从业人员队伍服务水平，切实“讲好广元故事、传播好广元声音、树立好行业形象”，为文化和旅游行业高质量发展奠定人才基础。</w:t>
      </w:r>
      <w:r>
        <w:rPr>
          <w:rFonts w:hint="eastAsia" w:ascii="仿宋_GB2312" w:hAnsi="仿宋_GB2312" w:eastAsia="仿宋_GB2312" w:cs="仿宋_GB2312"/>
          <w:kern w:val="2"/>
          <w:sz w:val="32"/>
          <w:szCs w:val="32"/>
          <w:highlight w:val="none"/>
          <w:lang w:val="zh-CN" w:eastAsia="zh-CN" w:bidi="ar-SA"/>
        </w:rPr>
        <w:t>该项</w:t>
      </w:r>
      <w:r>
        <w:rPr>
          <w:rFonts w:hint="eastAsia" w:ascii="仿宋_GB2312" w:hAnsi="仿宋_GB2312" w:eastAsia="仿宋_GB2312" w:cs="仿宋_GB2312"/>
          <w:kern w:val="2"/>
          <w:sz w:val="32"/>
          <w:szCs w:val="32"/>
          <w:highlight w:val="none"/>
          <w:lang w:val="en-US" w:eastAsia="zh-CN" w:bidi="ar-SA"/>
        </w:rPr>
        <w:t>资金主要广元市导游员、讲解员及研学旅行指导师大赛奖项设置、评委劳务费、宣传推广、荣誉证书制作费、资料印制费等，总预算金额为6.30万元；2024年广元市旅游大数据信息服务项目专项预算项目绩效自评得分为100分，绩效自评综述：</w:t>
      </w:r>
      <w:r>
        <w:rPr>
          <w:rFonts w:hint="eastAsia" w:ascii="仿宋_GB2312" w:hAnsi="仿宋_GB2312" w:eastAsia="仿宋_GB2312" w:cs="仿宋_GB2312"/>
          <w:kern w:val="2"/>
          <w:sz w:val="32"/>
          <w:szCs w:val="32"/>
          <w:highlight w:val="none"/>
          <w:lang w:val="zh-CN" w:eastAsia="zh-CN" w:bidi="ar-SA"/>
        </w:rPr>
        <w:t>实施目的及支持方向。</w:t>
      </w:r>
      <w:r>
        <w:rPr>
          <w:rFonts w:hint="eastAsia" w:ascii="仿宋_GB2312" w:hAnsi="仿宋_GB2312" w:eastAsia="仿宋_GB2312" w:cs="仿宋_GB2312"/>
          <w:kern w:val="2"/>
          <w:sz w:val="32"/>
          <w:szCs w:val="32"/>
          <w:highlight w:val="none"/>
          <w:lang w:val="en-US" w:eastAsia="zh-CN" w:bidi="ar-SA"/>
        </w:rPr>
        <w:t>一是从国家、省级层面来看。据了解，全国重大节假日及游客客源地来源分析等相数据是国家文旅部委托中国旅游研究院在进行测算，四川省重大节假日及游客客源地来源分析等相数据是省文化和旅游厅委托银联商务股份有限公司四川分公司在进行测算。二是从我省其他市州和单位来看。乐山市、德阳市、达州市已委托第三方大数据测算机构在进行相关旅游统计数据测算，成都市和泸州市正在与第三方大数据测算机构进行洽谈，都江堰市、峨眉山市、隆昌市、九寨沟等30个县级市及相关单位已经在与第三方大数据测算机构进行合作，效果良好。三是从市委、市政府工作要求来看。市委、市政府主要领导十分重视我市旅游统计数据测算，尤其是对重大节日期间旅游统计数据质量要求高。例如：今天中秋国庆期间，根据市委、市政府主要领导要求，我市国内旅游接待总人次和旅游消费总收入要和全国、全省相关数据进行比较，同时还要比增长点和增速，由于我们没有专业的统计人员、对专业的统计测算方法不了解，故难度较大且测算会存在不精准，也不能为旅游市场管理提供有效数据支撑和决策依据。综上，委托第三方测算机构对我市旅游统计数据进行测算是非常必要的。总预算金额为27.70万元；</w:t>
      </w:r>
      <w:r>
        <w:rPr>
          <w:rFonts w:hint="default" w:ascii="仿宋_GB2312" w:hAnsi="仿宋_GB2312" w:eastAsia="仿宋_GB2312" w:cs="仿宋_GB2312"/>
          <w:kern w:val="2"/>
          <w:sz w:val="32"/>
          <w:szCs w:val="32"/>
          <w:highlight w:val="none"/>
          <w:lang w:val="en-US" w:eastAsia="zh-CN" w:bidi="ar-SA"/>
        </w:rPr>
        <w:t>广元市第四次全国文物普查2024年工作</w:t>
      </w:r>
      <w:r>
        <w:rPr>
          <w:rFonts w:hint="eastAsia" w:ascii="仿宋_GB2312" w:hAnsi="仿宋_GB2312" w:eastAsia="仿宋_GB2312" w:cs="仿宋_GB2312"/>
          <w:kern w:val="2"/>
          <w:sz w:val="32"/>
          <w:szCs w:val="32"/>
          <w:highlight w:val="none"/>
          <w:lang w:val="en-US" w:eastAsia="zh-CN" w:bidi="ar-SA"/>
        </w:rPr>
        <w:t>专项预算项目绩效自评得分为95分，绩效自评综述：广元市第四次全国文物普查2024年工作经费专项预算项目总体实施情况良好。通过项目实施，基本完成了预期文物普查工作任务，全面掌握了全市文物资源底数，为建立全市文物资源数据库奠定坚实基础。资金使用合理合规，项目管理规范有序，取得了较好的社会效益；茶产业推介活动专项预算项目绩效自评得分为90分，绩效自评综述：</w:t>
      </w:r>
      <w:r>
        <w:rPr>
          <w:rFonts w:hint="default" w:ascii="仿宋_GB2312" w:hAnsi="仿宋_GB2312" w:eastAsia="仿宋_GB2312" w:cs="仿宋_GB2312"/>
          <w:kern w:val="2"/>
          <w:sz w:val="32"/>
          <w:szCs w:val="32"/>
          <w:highlight w:val="none"/>
          <w:lang w:val="en-US" w:eastAsia="zh-CN" w:bidi="ar-SA"/>
        </w:rPr>
        <w:t>为大力实施“1345”发展战略，聚力建设大蜀道国际文化旅游目的地和康养度假胜地，2024年4月至5月，我市在兰州、重庆、西安、成都等城市开展了以“游大美蜀道 品广元好茶”为主题的文化旅游暨茶产业推介会</w:t>
      </w:r>
      <w:r>
        <w:rPr>
          <w:rFonts w:hint="eastAsia" w:ascii="仿宋_GB2312" w:hAnsi="仿宋_GB2312" w:eastAsia="仿宋_GB2312" w:cs="仿宋_GB2312"/>
          <w:kern w:val="2"/>
          <w:sz w:val="32"/>
          <w:szCs w:val="32"/>
          <w:highlight w:val="none"/>
          <w:lang w:val="en-US" w:eastAsia="zh-CN" w:bidi="ar-SA"/>
        </w:rPr>
        <w:t>。大力宣传广元茶产业发展成效、茶叶品牌和文旅资源，扩大“剑门蜀道、女皇故里、红色热土、康养胜地”城市品牌影响力。本项目总计安排金额5.4026万元，包含邀请文旅推介官、短视频宣传等方面；广元市旅游营销奖励政策专项预算项目绩效自评得分为93分，绩效自评综述：</w:t>
      </w:r>
      <w:r>
        <w:rPr>
          <w:rFonts w:hint="default" w:ascii="仿宋_GB2312" w:hAnsi="仿宋_GB2312" w:eastAsia="仿宋_GB2312" w:cs="仿宋_GB2312"/>
          <w:kern w:val="2"/>
          <w:sz w:val="32"/>
          <w:szCs w:val="32"/>
          <w:highlight w:val="none"/>
          <w:lang w:val="en-US" w:eastAsia="zh-CN" w:bidi="ar-SA"/>
        </w:rPr>
        <w:t>我市2010年首次出台了《广元市旅游宣传促销优惠政策》和《广元市旅游宣传促销优惠政策实施办法》，根据市场情况，该政策先后于2013年、2017年、2018年、2020年进行修订，其中，《广元市旅游营销优惠政策》均以广元市人民政府办公室名义印发，《广元市旅游营销优惠政策实施办法》均以市文化广电旅游局名义印发，目前仍在执行中。</w:t>
      </w:r>
      <w:r>
        <w:rPr>
          <w:rFonts w:hint="eastAsia" w:ascii="仿宋_GB2312" w:hAnsi="仿宋_GB2312" w:eastAsia="仿宋_GB2312" w:cs="仿宋_GB2312"/>
          <w:kern w:val="2"/>
          <w:sz w:val="32"/>
          <w:szCs w:val="32"/>
          <w:highlight w:val="none"/>
          <w:lang w:val="en-US" w:eastAsia="zh-CN" w:bidi="ar-SA"/>
        </w:rPr>
        <w:t>对组织市外游客来广元旅游的市内外旅行社，在广元市范围内组织航空、高铁、自驾游、直通车和其他旅游团队，满足住宿1晚且游览3个以上售门票的景区，或住宿2晚且游览2个以上售门票的景区的条件，可申报广元市旅游营销奖励政策。本项目总计安排金额50.9484万元，包含2023年下半年奖励资金和旅游营销奖励政策申报平台建设费和运营维护费用；媒体宣传项目专项预算项目绩效自评得分为98分，绩效自评综述：为进一步擦亮“剑门蜀道、女皇故里、红色热土、康养胜地”招牌，在更大范围内扩大广元影响力与美誉度，我局与各大媒体合作开展宣传工作。项目旨依托主流媒体引流、热点事件引流、合作联盟引流等方式达到吸引游客来广的目的。本项目总计安排预算资金42.91万元，具体分配如下：文旅宣传短信、邀请各大媒体宣传报道、开展新媒体宣传；省级文化和旅游发展专项资金2024年“引客入川”奖补项目专项预算项目绩效自评得分为92分，绩效自评综述：我市积极对标高质量发展激励政策，充分挖掘自身潜力，旅行社之间形成了竞相发展、你追我赶的良好工作格局。据统计，“冬游四川消费季”期间，我市共有广元青年国际旅行社有限责任公司、广元同旅国际旅行社有限公司、四川蜀之道研学文化传播有限公司3家旅行社参与引客入川奖补政策申请，组织15个团队1002人次来川旅游。其中，广元青年国际旅行社有限责任公司组织旅游团队来川人次奖补相关旅游团队共7批次158人，广元同旅国际旅行社有限公司组织旅行社组织列车团来川旅游奖补在100至199人范围内的旅游团队共6批次617人，四川蜀之道研学文化传播有限公司组织旅行社组织列车团来川旅游奖补在100至199人范围内的旅游团队共2批次227人，预计兑现奖励资金27.886万元。“冬游四川消费季”期间，政策推动我市旅行社与外省旅行社合作进一步加强，如蜀之道旅行社加入博旅国际联盟，吸引了福建、北京等远程市场多个列车团来川旅游。政策结束后，仍带动1000余人的列车、汽车团持续到川旅游。广元同旅国际旅行社2024年3月组织游客量对比2023年同期，增长400%，极大促进了本地旅行社开展地接旅游服务业务的积极性和主动性。文旅融合发展专项资金-系列文化旅游活动专项预算项目绩效自评得分为95分，绩效自评综述：1.线下宣传。</w:t>
      </w:r>
      <w:r>
        <w:rPr>
          <w:rFonts w:hint="eastAsia" w:ascii="仿宋_GB2312" w:hAnsi="仿宋_GB2312" w:eastAsia="仿宋_GB2312" w:cs="仿宋_GB2312"/>
          <w:kern w:val="2"/>
          <w:sz w:val="32"/>
          <w:szCs w:val="32"/>
          <w:highlight w:val="none"/>
          <w:lang w:val="zh-CN" w:eastAsia="zh-CN" w:bidi="ar-SA"/>
        </w:rPr>
        <w:t>一是巩固重点客源地市场。在西安、重庆、成都、兰州举办4场“游大美蜀道 品广元好茶”文化旅游和茶产业宣传推介活动，邀请80余家中央、省级媒体和商业平台推出重头稿件210余件。二是拓展高铁沿线和航线开通城市市场。先后赴北京、上海、杭州、郑州等城市参加文旅宣传推介会10余次，借助国家、省、市多级平台，推介广元。三是提升目的地市场。以“春踏青赏百花”“夏避暑玩漂流”“秋采摘赏红叶”“冬滑雪泡温泉”为主题，开展“四季游广元”文旅活动100余场次。组织1000余家旅行社分批在广元市开展深度考察踩线活动，并举办座谈会、文旅推介会，提升广元作为旅游目的地的吸引力。</w:t>
      </w:r>
      <w:r>
        <w:rPr>
          <w:rFonts w:hint="eastAsia" w:ascii="仿宋_GB2312" w:hAnsi="仿宋_GB2312" w:eastAsia="仿宋_GB2312" w:cs="仿宋_GB2312"/>
          <w:kern w:val="2"/>
          <w:sz w:val="32"/>
          <w:szCs w:val="32"/>
          <w:highlight w:val="none"/>
          <w:lang w:val="en-US" w:eastAsia="zh-CN" w:bidi="ar-SA"/>
        </w:rPr>
        <w:t>2.线上推广。一是建强“广元文旅”新媒体平台。“广元文旅”4个新媒体平台现有粉丝57.8万，发布信息6000余篇、累计阅读量9400余万次。积极拓宽投稿通道，2024年共展示粉丝投稿图片、信息61条。二是开展话题营销。结合重点节会、活动及文旅优势资源，开展系列话题营销活动，#广元邀你过大年# 、#2024女皇故里彩灯会#、#广元女儿节#、#层林尽染看广元#、#探寻剑门蜀道 相约醉美广元#等微博、抖音、今日头条话题总阅读量超7亿人次。三是建立新媒体平台联动机制。联合广元日报、市广播电视台、广元文旅、县区文旅和融媒体等官方媒体平台，常态化联动发布文旅活动、优惠政策、线路产品等信息。与新华社、四川文旅、其他市州文旅新媒体和网络达人账号共创发布短视频。四是开展达人合作。邀请本地文旅网络达人参加广元女儿节、古蜀道徒步游等活动，推动政务与达人合作共赢。广元文旅抖音号和本地网络达人共创视频40余条。先后邀请“四川秘境研究所”“成都周边游”“四川爽妹儿”等20余位知名文旅博主来广拍摄，推出广元主题宣传短视频30余条，单条短视频点赞量最高突破11万次；</w:t>
      </w:r>
      <w:r>
        <w:rPr>
          <w:rFonts w:hint="default" w:ascii="仿宋_GB2312" w:hAnsi="仿宋_GB2312" w:eastAsia="仿宋_GB2312" w:cs="仿宋_GB2312"/>
          <w:kern w:val="2"/>
          <w:sz w:val="32"/>
          <w:szCs w:val="32"/>
          <w:highlight w:val="none"/>
          <w:lang w:val="en-US" w:eastAsia="zh-CN" w:bidi="ar-SA"/>
        </w:rPr>
        <w:t>公共文化服务体系建设专项资金之政府购买服务示范项目</w:t>
      </w:r>
      <w:r>
        <w:rPr>
          <w:rFonts w:hint="eastAsia" w:ascii="仿宋_GB2312" w:hAnsi="仿宋_GB2312" w:eastAsia="仿宋_GB2312" w:cs="仿宋_GB2312"/>
          <w:kern w:val="2"/>
          <w:sz w:val="32"/>
          <w:szCs w:val="32"/>
          <w:highlight w:val="none"/>
          <w:lang w:val="en-US" w:eastAsia="zh-CN" w:bidi="ar-SA"/>
        </w:rPr>
        <w:t>专项预算项目绩效自评得分为95分，绩效自评综述：本项目旨在通过政府购买服务的形式，推动文艺进街区、“有爱无碍” 特殊群体文化关怀、川北民歌进校园传承、快乐课堂素质教育拓展以及蜀道文库文化研究整理等活动的开展。支持方向聚焦于基层文化活动的开展、文化传承与教育普及、特殊群体文化权益保障以及地方特色文化的挖掘与整理，全方位提升公共文化服务的覆盖面与质量。预期通过本项目的实施，在活动覆盖人群方面，确保文艺进街区开展文艺演出不少于40场，“有爱无碍”公益服务不少于90场，川北民歌进校园活动覆盖多所学校的师生，快乐课堂惠及众多学生，蜀道文库研究成果能够广泛传播。在活动影响力方面，提升群众对公共文化服务的满意度，增强地方文化的传承与发展活力，扩大广元文化旅游的知名度与美誉度，促进文化与经济社会的协同发展；</w:t>
      </w:r>
      <w:r>
        <w:rPr>
          <w:rFonts w:hint="default" w:ascii="仿宋_GB2312" w:hAnsi="仿宋_GB2312" w:eastAsia="仿宋_GB2312" w:cs="仿宋_GB2312"/>
          <w:kern w:val="2"/>
          <w:sz w:val="32"/>
          <w:szCs w:val="32"/>
          <w:highlight w:val="none"/>
          <w:lang w:val="en-US" w:eastAsia="zh-CN" w:bidi="ar-SA"/>
        </w:rPr>
        <w:t>广元市首届街舞大赛</w:t>
      </w:r>
      <w:r>
        <w:rPr>
          <w:rFonts w:hint="eastAsia" w:ascii="仿宋_GB2312" w:hAnsi="仿宋_GB2312" w:eastAsia="仿宋_GB2312" w:cs="仿宋_GB2312"/>
          <w:kern w:val="2"/>
          <w:sz w:val="32"/>
          <w:szCs w:val="32"/>
          <w:highlight w:val="none"/>
          <w:lang w:val="en-US" w:eastAsia="zh-CN" w:bidi="ar-SA"/>
        </w:rPr>
        <w:t>专项预算项目绩效自评得分为96分，绩效自评综述：为提升广元文化元素的多样性、知名度和影响力，展现年轻人的活力与激情，推广街舞文化，丰富广大市民精神文化生活，</w:t>
      </w:r>
      <w:r>
        <w:rPr>
          <w:rFonts w:hint="eastAsia" w:ascii="仿宋_GB2312" w:hAnsi="仿宋_GB2312" w:eastAsia="仿宋_GB2312" w:cs="仿宋_GB2312"/>
          <w:kern w:val="2"/>
          <w:sz w:val="32"/>
          <w:szCs w:val="32"/>
          <w:highlight w:val="none"/>
          <w:lang w:val="zh-CN" w:eastAsia="zh-CN" w:bidi="ar-SA"/>
        </w:rPr>
        <w:t>进一步宣传</w:t>
      </w:r>
      <w:r>
        <w:rPr>
          <w:rFonts w:hint="eastAsia" w:ascii="仿宋_GB2312" w:hAnsi="仿宋_GB2312" w:eastAsia="仿宋_GB2312" w:cs="仿宋_GB2312"/>
          <w:kern w:val="2"/>
          <w:sz w:val="32"/>
          <w:szCs w:val="32"/>
          <w:highlight w:val="none"/>
          <w:lang w:val="en-US" w:eastAsia="zh-CN" w:bidi="ar-SA"/>
        </w:rPr>
        <w:t xml:space="preserve"> 广元、宣传蜀道，助力大蜀道国际文化旅游目的地和康养度假胜地建设。通过对街舞的推广，进一步宣传广元，丰富广大市民精神文化生活，提升城市活力。</w:t>
      </w:r>
      <w:r>
        <w:rPr>
          <w:rFonts w:hint="eastAsia" w:ascii="仿宋_GB2312" w:hAnsi="仿宋_GB2312" w:eastAsia="仿宋_GB2312" w:cs="仿宋_GB2312"/>
          <w:kern w:val="2"/>
          <w:sz w:val="32"/>
          <w:szCs w:val="32"/>
          <w:highlight w:val="none"/>
          <w:lang w:val="zh-CN" w:eastAsia="zh-CN" w:bidi="ar-SA"/>
        </w:rPr>
        <w:t>街舞大赛</w:t>
      </w:r>
      <w:r>
        <w:rPr>
          <w:rFonts w:hint="eastAsia" w:ascii="仿宋_GB2312" w:hAnsi="仿宋_GB2312" w:eastAsia="仿宋_GB2312" w:cs="仿宋_GB2312"/>
          <w:kern w:val="2"/>
          <w:sz w:val="32"/>
          <w:szCs w:val="32"/>
          <w:highlight w:val="none"/>
          <w:lang w:val="en-US" w:eastAsia="zh-CN" w:bidi="ar-SA"/>
        </w:rPr>
        <w:t>总费用5万元。舞台搭建3.1万元，奖金及荣誉证书制作1.9万元。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sectPr>
          <w:footerReference r:id="rId8" w:type="first"/>
          <w:footerReference r:id="rId7" w:type="default"/>
          <w:pgSz w:w="11906" w:h="16838"/>
          <w:pgMar w:top="1440" w:right="1800" w:bottom="1440" w:left="1800" w:header="851" w:footer="992" w:gutter="0"/>
          <w:pgNumType w:fmt="decimal" w:start="1"/>
          <w:cols w:space="425" w:num="1"/>
          <w:titlePg/>
          <w:docGrid w:type="lines" w:linePitch="312" w:charSpace="0"/>
        </w:sectPr>
      </w:pPr>
      <w:r>
        <w:rPr>
          <w:rFonts w:hint="eastAsia" w:ascii="仿宋_GB2312" w:hAnsi="仿宋_GB2312" w:eastAsia="仿宋_GB2312" w:cs="仿宋_GB2312"/>
          <w:kern w:val="2"/>
          <w:sz w:val="32"/>
          <w:szCs w:val="32"/>
          <w:highlight w:val="none"/>
          <w:lang w:val="en-US" w:eastAsia="zh-CN" w:bidi="ar-SA"/>
        </w:rPr>
        <w:t>绩效自评报告详见附件</w:t>
      </w:r>
    </w:p>
    <w:p>
      <w:pPr>
        <w:spacing w:line="600" w:lineRule="exact"/>
        <w:rPr>
          <w:rFonts w:eastAsia="仿宋_GB2312" w:cs="仿宋_GB2312"/>
          <w:sz w:val="32"/>
          <w:szCs w:val="32"/>
          <w:highlight w:val="none"/>
        </w:rPr>
      </w:pPr>
    </w:p>
    <w:p>
      <w:pPr>
        <w:spacing w:line="600" w:lineRule="exact"/>
        <w:jc w:val="center"/>
        <w:outlineLvl w:val="0"/>
        <w:rPr>
          <w:rFonts w:hint="eastAsia" w:ascii="Times New Roman" w:hAnsi="Times New Roman" w:eastAsia="方正小标宋简体" w:cs="方正小标宋简体"/>
          <w:b w:val="0"/>
          <w:bCs/>
          <w:kern w:val="44"/>
          <w:sz w:val="44"/>
          <w:szCs w:val="44"/>
          <w:highlight w:val="none"/>
          <w:lang w:val="en-US" w:eastAsia="zh-CN" w:bidi="ar-SA"/>
        </w:rPr>
      </w:pPr>
      <w:bookmarkStart w:id="101" w:name="_Toc17576"/>
      <w:bookmarkStart w:id="102" w:name="_Toc15396613"/>
      <w:bookmarkStart w:id="103" w:name="_Toc15377225"/>
      <w:bookmarkStart w:id="104" w:name="_Toc31903"/>
      <w:r>
        <w:rPr>
          <w:rFonts w:hint="eastAsia" w:ascii="Times New Roman" w:hAnsi="Times New Roman" w:eastAsia="方正小标宋简体" w:cs="方正小标宋简体"/>
          <w:b w:val="0"/>
          <w:bCs/>
          <w:kern w:val="44"/>
          <w:sz w:val="44"/>
          <w:szCs w:val="44"/>
          <w:highlight w:val="none"/>
          <w:lang w:val="en-US" w:eastAsia="zh-CN" w:bidi="ar-SA"/>
        </w:rPr>
        <w:t>第三部分  名词解释</w:t>
      </w:r>
      <w:bookmarkEnd w:id="101"/>
      <w:bookmarkEnd w:id="102"/>
      <w:bookmarkEnd w:id="103"/>
      <w:bookmarkEnd w:id="104"/>
    </w:p>
    <w:p>
      <w:pPr>
        <w:spacing w:line="600" w:lineRule="exact"/>
        <w:jc w:val="left"/>
        <w:rPr>
          <w:b/>
          <w:sz w:val="44"/>
          <w:szCs w:val="44"/>
          <w:highlight w:val="none"/>
        </w:rPr>
      </w:pPr>
    </w:p>
    <w:p>
      <w:pPr>
        <w:spacing w:line="600" w:lineRule="exact"/>
        <w:ind w:firstLine="640"/>
        <w:rPr>
          <w:rFonts w:hint="eastAsia" w:ascii="仿宋_GB2312" w:hAnsi="仿宋_GB2312" w:eastAsia="仿宋_GB2312" w:cs="仿宋_GB2312"/>
          <w:kern w:val="2"/>
          <w:sz w:val="32"/>
          <w:szCs w:val="32"/>
          <w:highlight w:val="none"/>
          <w:lang w:val="en-US" w:eastAsia="zh-CN" w:bidi="ar-SA"/>
        </w:rPr>
      </w:pPr>
      <w:bookmarkStart w:id="105" w:name="_Toc11336"/>
      <w:r>
        <w:rPr>
          <w:rFonts w:hint="eastAsia" w:ascii="仿宋_GB2312" w:hAnsi="仿宋_GB2312" w:eastAsia="仿宋_GB2312" w:cs="仿宋_GB2312"/>
          <w:kern w:val="2"/>
          <w:sz w:val="32"/>
          <w:szCs w:val="32"/>
          <w:highlight w:val="none"/>
          <w:lang w:val="en-US" w:eastAsia="zh-CN" w:bidi="ar-SA"/>
        </w:rPr>
        <w:t>1.财政拨款收入：指单位从同级财政部门取得的财政预算资金。</w:t>
      </w:r>
      <w:bookmarkEnd w:id="105"/>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2.其他收入：指单位取得的除上述收入以外的各项收入。主要是场地租用单位所付的设备运维费、举办群众文化活动演出收入、利息收入等。</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3.年初结转和结余：指以前年度尚未完成、结转到本年按有关规定继续使用的资金。</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4.年末结转和结余：指单位按有关规定结转到下年或以后年度继续使用的资金。</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5.文化体育与传媒（类）文化和旅游（款）行政运行（项）：反映行政单位（包括实行公务员管理的事业单位）的基本支出。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6.文化体育与传媒（类）文化和旅游（款）一般行政管理事务（项）：反映行政单位（包括实行公务员管理的事业单位）未单独设置项级科目的其他项目支出。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7.文化体育与传媒（类）文化和旅游（款）图书馆（项）：反映图书馆的支出。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8.文化体育与传媒（类）文化和旅游（款）文化展示及纪念机构（项）：反映各类艺术展览馆、文化名人纪念馆（碑)的支出。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9.文化体育与传媒（类）文化和旅游（款）文化活动（项）：反映举办大型文化艺术活动的支出。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10.文化体育与传媒（类）文化和旅游（款）群众文化（项）：反映群众文化方面的支出，包括基层文化馆（站）、群众艺术馆支出。</w:t>
      </w:r>
    </w:p>
    <w:p>
      <w:pPr>
        <w:spacing w:line="600" w:lineRule="exact"/>
        <w:ind w:firstLine="640"/>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11.文化体育与传媒（类）文化和旅游（款）文化和旅游交流与合作（项）反映对外文化和旅游交流与合作活动的支出。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12.文化体育与传媒（类）文化和旅游（款）文化创作与保护（项）：反映鼓励文学、艺术创作和优秀传统文化保护方面的支出。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13.文化体育与传媒（类）文化和旅游（款）文化和旅游市场管理（项）：反映文化和旅游执法检查等文化旅游市场管理方面的支出。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14.文化体育与传媒（类）文化和旅游（款）旅游宣传（项）：反映在境内外开展各类旅游宣传促销活动的支出。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15.文化体育与传媒（类）文化和旅游（款）文化和旅游管理事务（项）：反映文化和旅游管理事务支出。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16.文化体育与传媒（类）文化和旅游（款）其他文化和旅游支出（项）：反映除上述项目以外其他用于文化和旅游方面的支出。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17.文化体育与传媒（类）文物（款）文物保护（项）：反映考古发掘及文物保护方面的支出。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 xml:space="preserve">18.文化体育与传媒（类）文物（款）博物馆（项）：反映文物系统及其他部门所属博物馆、纪念馆（室）的支出。       </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19.文化体育与传媒（类）文物（款）其他文物支出（项）：反映除上述项目以外其他用于文物方面的支出。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20.文化体育与传媒（类）广播电视（款）传输发射（项）：反映广播电视发射、转播台站的支出。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21.社会保障和就业（类）人力资源和社会保障管理事务（款）引进人才费用（项）反映用于引进外国专家补助、引智成果推广等方面的支出。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22.社会保障和就业（类）行政事业单位养老支出（款）  行政单位离退休（项）：反映行政单位（包括实行公务员管理的事业单位）开支的离退休经费。</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23.社会保障和就业（类）行政事业单位养老支出（款）  事业单位离退休（项）：反映事业单位开支的离退休经费。</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24.社会保障和就业（类）行政事业单位养老支出（款）  机关事业单位基本养老保险缴费支出（项）：反映机关事业单位实施养老保险制度由单位缴纳的基本养老保险支出。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25.社会保障和就业（类）行政事业单位养老支出（款）  机关事业单位职业年金缴费支出（项）：反映机关事业单位实施养老保险制度由单位实际缴纳的职业年金支出。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26.社会保障和就业（类）行政事业单位养老支出（款）  其他行政事业单位养老支出（项）：反映除上述项目以外其他用于行政事业单位养老方面的支出。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27.社会保障和就业（类）抚恤（款）死亡抚恤（项）：反映按规定用于烈士和牺牲、病故人员家属的一次性和定期抚恤金、丧葬补助费以及烈士褒扬金。</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28.社会保障和就业（类）其他社会保障和就业支出（款）其他社会保障和就业支出（项）：反映出上述项目以外其他用于社会保障和就业方面的支出。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29.卫生健康（类）行政事业单位医疗（款）行政单位医疗（项）：指职反映财政部门安排的行政单位（包括实行公务员管理的事业单位，下同)基本医疗保险缴费经费，未参加医疗保险的行政单位的公费医疗经费，按国家规定享受离休人员、红军老战士待遇人员的医疗经费。</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30.卫生健康（类）行政事业单位医疗（款）事业单位医疗（项）：反映财政部门安排的事业单位基本医疗保险缴费经费，未参加医疗保险的事业单位的公费医疗经费，按国家规定享受离休人员待遇的医疗经费。</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31.住房保障支出（类）住房改革支出（款）住房公积金（项）：反映行政事业单位按人力资源和社会保障部、财政部规定的基本工资和津贴补贴以及规定比例为职工缴纳的住房公积金。</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32.基本支出：指为保障机构正常运转、完成日常工作任务而发生的人员支出和公用支出。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33.项目支出：指在基本支出之外为完成特定行政任务和事业发展目标所发生的支出。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34.“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35.机关运行经费：为保障行政单位（含参照公务员法管理的事业单位）运行用于购买货物和服务的各项资金，包括办公费、印刷费、水费、电费、邮电费、物业管理费、差旅费、维修（护）费、培训费、公务接待费、劳务费、工会经费、公务用车运行维护费、其他交通费、其他商品和服务支出等。</w:t>
      </w:r>
    </w:p>
    <w:p>
      <w:pPr>
        <w:spacing w:line="600" w:lineRule="exact"/>
        <w:ind w:firstLine="640"/>
        <w:rPr>
          <w:rFonts w:hint="eastAsia" w:ascii="仿宋_GB2312" w:hAnsi="Times New Roman" w:eastAsia="仿宋_GB2312" w:cs="Times New Roman"/>
          <w:color w:val="auto"/>
          <w:kern w:val="2"/>
          <w:sz w:val="32"/>
          <w:szCs w:val="32"/>
          <w:highlight w:val="none"/>
          <w:lang w:val="en-US" w:eastAsia="zh-CN" w:bidi="ar-SA"/>
        </w:rPr>
      </w:pPr>
    </w:p>
    <w:p>
      <w:pPr>
        <w:pStyle w:val="3"/>
        <w:bidi w:val="0"/>
        <w:jc w:val="center"/>
        <w:rPr>
          <w:rStyle w:val="34"/>
          <w:rFonts w:eastAsia="黑体"/>
          <w:b w:val="0"/>
          <w:bCs/>
          <w:highlight w:val="none"/>
        </w:rPr>
      </w:pPr>
      <w:bookmarkStart w:id="106" w:name="_Toc15377226"/>
      <w:r>
        <w:rPr>
          <w:rFonts w:hint="eastAsia" w:eastAsia="仿宋_GB2312" w:cs="仿宋_GB2312"/>
          <w:sz w:val="32"/>
          <w:szCs w:val="32"/>
          <w:highlight w:val="none"/>
        </w:rPr>
        <w:br w:type="page"/>
      </w:r>
      <w:bookmarkStart w:id="107" w:name="_Toc15396614"/>
      <w:bookmarkStart w:id="108" w:name="_Toc18325"/>
      <w:r>
        <w:rPr>
          <w:rFonts w:hint="eastAsia" w:ascii="Times New Roman" w:hAnsi="Times New Roman" w:eastAsia="方正小标宋简体" w:cs="方正小标宋简体"/>
          <w:b w:val="0"/>
          <w:bCs/>
          <w:kern w:val="44"/>
          <w:sz w:val="44"/>
          <w:szCs w:val="44"/>
          <w:highlight w:val="none"/>
          <w:lang w:val="en-US" w:eastAsia="zh-CN" w:bidi="ar-SA"/>
        </w:rPr>
        <w:t>第四部分  附件</w:t>
      </w:r>
      <w:bookmarkEnd w:id="107"/>
      <w:bookmarkEnd w:id="108"/>
    </w:p>
    <w:p>
      <w:pPr>
        <w:spacing w:line="572" w:lineRule="exact"/>
        <w:jc w:val="left"/>
        <w:outlineLvl w:val="0"/>
        <w:rPr>
          <w:rFonts w:eastAsia="黑体" w:cs="黑体"/>
          <w:color w:val="FF0000"/>
          <w:sz w:val="32"/>
          <w:szCs w:val="32"/>
          <w:highlight w:val="none"/>
        </w:rPr>
      </w:pPr>
    </w:p>
    <w:p>
      <w:pPr>
        <w:spacing w:line="572" w:lineRule="exact"/>
        <w:jc w:val="left"/>
        <w:outlineLvl w:val="0"/>
        <w:rPr>
          <w:rFonts w:eastAsia="黑体" w:cs="方正小标宋简体"/>
          <w:sz w:val="44"/>
          <w:szCs w:val="44"/>
          <w:highlight w:val="none"/>
        </w:rPr>
      </w:pPr>
      <w:bookmarkStart w:id="109" w:name="_Toc6371"/>
      <w:bookmarkStart w:id="110" w:name="_Toc17564"/>
      <w:r>
        <w:rPr>
          <w:rFonts w:hint="eastAsia" w:eastAsia="黑体" w:cs="黑体"/>
          <w:sz w:val="32"/>
          <w:szCs w:val="32"/>
          <w:highlight w:val="none"/>
        </w:rPr>
        <w:t>附件1</w:t>
      </w:r>
      <w:bookmarkEnd w:id="109"/>
      <w:bookmarkEnd w:id="110"/>
    </w:p>
    <w:p>
      <w:pPr>
        <w:spacing w:line="576" w:lineRule="exact"/>
        <w:contextualSpacing/>
        <w:jc w:val="center"/>
        <w:rPr>
          <w:rFonts w:ascii="方正小标宋简体" w:eastAsia="方正小标宋简体"/>
          <w:bCs/>
          <w:sz w:val="44"/>
          <w:szCs w:val="44"/>
          <w:highlight w:val="none"/>
        </w:rPr>
      </w:pPr>
      <w:r>
        <w:rPr>
          <w:rFonts w:hint="eastAsia" w:ascii="方正小标宋简体" w:eastAsia="方正小标宋简体"/>
          <w:bCs/>
          <w:sz w:val="44"/>
          <w:szCs w:val="44"/>
          <w:highlight w:val="none"/>
        </w:rPr>
        <w:t>广元市文化广播电视和旅游局</w:t>
      </w:r>
    </w:p>
    <w:p>
      <w:pPr>
        <w:spacing w:line="576" w:lineRule="exact"/>
        <w:contextualSpacing/>
        <w:jc w:val="center"/>
        <w:rPr>
          <w:rFonts w:ascii="方正小标宋简体" w:eastAsia="方正小标宋简体"/>
          <w:bCs/>
          <w:sz w:val="44"/>
          <w:szCs w:val="44"/>
          <w:highlight w:val="none"/>
        </w:rPr>
      </w:pPr>
      <w:r>
        <w:rPr>
          <w:rFonts w:ascii="方正小标宋简体" w:eastAsia="方正小标宋简体"/>
          <w:bCs/>
          <w:sz w:val="44"/>
          <w:szCs w:val="44"/>
          <w:highlight w:val="none"/>
        </w:rPr>
        <w:t>202</w:t>
      </w:r>
      <w:r>
        <w:rPr>
          <w:rFonts w:hint="eastAsia" w:ascii="方正小标宋简体" w:eastAsia="方正小标宋简体"/>
          <w:bCs/>
          <w:sz w:val="44"/>
          <w:szCs w:val="44"/>
          <w:highlight w:val="none"/>
        </w:rPr>
        <w:t>4年度部门整体预算绩效评价报告</w:t>
      </w:r>
    </w:p>
    <w:p>
      <w:pPr>
        <w:adjustRightInd w:val="0"/>
        <w:snapToGrid w:val="0"/>
        <w:spacing w:line="576" w:lineRule="exact"/>
        <w:ind w:firstLine="420" w:firstLineChars="200"/>
        <w:contextualSpacing/>
        <w:rPr>
          <w:rFonts w:ascii="仿宋_GB2312"/>
          <w:color w:val="000000"/>
          <w:kern w:val="0"/>
          <w:szCs w:val="32"/>
          <w:highlight w:val="none"/>
        </w:rPr>
      </w:pPr>
    </w:p>
    <w:p>
      <w:pPr>
        <w:adjustRightInd w:val="0"/>
        <w:snapToGrid w:val="0"/>
        <w:spacing w:line="576" w:lineRule="exact"/>
        <w:ind w:firstLine="640" w:firstLineChars="200"/>
        <w:contextualSpacing/>
        <w:rPr>
          <w:rFonts w:hint="eastAsia" w:ascii="方正黑体简体" w:hAnsi="方正黑体简体" w:eastAsia="方正黑体简体" w:cs="方正黑体简体"/>
          <w:b w:val="0"/>
          <w:bCs w:val="0"/>
          <w:sz w:val="32"/>
          <w:szCs w:val="32"/>
          <w:highlight w:val="none"/>
        </w:rPr>
      </w:pPr>
      <w:r>
        <w:rPr>
          <w:rFonts w:hint="eastAsia" w:ascii="方正黑体简体" w:hAnsi="方正黑体简体" w:eastAsia="方正黑体简体" w:cs="方正黑体简体"/>
          <w:b w:val="0"/>
          <w:bCs w:val="0"/>
          <w:color w:val="000000"/>
          <w:kern w:val="0"/>
          <w:sz w:val="32"/>
          <w:szCs w:val="32"/>
          <w:highlight w:val="none"/>
          <w:lang w:val="zh-CN"/>
        </w:rPr>
        <w:t>一、部门（单位）基本情况</w:t>
      </w:r>
    </w:p>
    <w:p>
      <w:pPr>
        <w:spacing w:line="600" w:lineRule="exact"/>
        <w:ind w:firstLine="640"/>
        <w:rPr>
          <w:rFonts w:hint="eastAsia" w:ascii="Times New Roman" w:hAnsi="Times New Roman" w:eastAsia="仿宋_GB2312" w:cs="仿宋_GB2312"/>
          <w:b/>
          <w:bCs/>
          <w:sz w:val="32"/>
          <w:szCs w:val="32"/>
          <w:highlight w:val="none"/>
          <w:lang w:val="zh-CN"/>
        </w:rPr>
      </w:pPr>
      <w:r>
        <w:rPr>
          <w:rFonts w:hint="eastAsia" w:ascii="Times New Roman" w:hAnsi="Times New Roman" w:eastAsia="仿宋_GB2312" w:cs="仿宋_GB2312"/>
          <w:b/>
          <w:bCs/>
          <w:sz w:val="32"/>
          <w:szCs w:val="32"/>
          <w:highlight w:val="none"/>
          <w:lang w:val="zh-CN"/>
        </w:rPr>
        <w:t>（一）机构组成。</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纳入广元市文化广播电视和旅游局202</w:t>
      </w:r>
      <w:r>
        <w:rPr>
          <w:rFonts w:hint="eastAsia" w:ascii="仿宋_GB2312" w:hAnsi="仿宋_GB2312" w:eastAsia="仿宋_GB2312" w:cs="仿宋_GB2312"/>
          <w:kern w:val="2"/>
          <w:sz w:val="32"/>
          <w:szCs w:val="32"/>
          <w:highlight w:val="none"/>
          <w:lang w:val="en-US" w:eastAsia="zh-CN" w:bidi="ar-SA"/>
        </w:rPr>
        <w:t>4</w:t>
      </w:r>
      <w:r>
        <w:rPr>
          <w:rFonts w:hint="eastAsia" w:ascii="仿宋_GB2312" w:hAnsi="仿宋_GB2312" w:eastAsia="仿宋_GB2312" w:cs="仿宋_GB2312"/>
          <w:kern w:val="2"/>
          <w:sz w:val="32"/>
          <w:szCs w:val="32"/>
          <w:highlight w:val="none"/>
          <w:lang w:val="zh-CN" w:eastAsia="zh-CN" w:bidi="ar-SA"/>
        </w:rPr>
        <w:t>年部门整体支出绩效评价范围的二级预算单位包括：</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1.广元市文化广播电视和旅游局本级（含下属单位广元市文化旅游服务中心）</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2.</w:t>
      </w:r>
      <w:r>
        <w:rPr>
          <w:rFonts w:hint="eastAsia" w:ascii="仿宋_GB2312" w:hAnsi="仿宋_GB2312" w:eastAsia="仿宋_GB2312" w:cs="仿宋_GB2312"/>
          <w:kern w:val="2"/>
          <w:sz w:val="32"/>
          <w:szCs w:val="32"/>
          <w:highlight w:val="none"/>
          <w:lang w:val="en-US" w:eastAsia="zh-CN" w:bidi="ar-SA"/>
        </w:rPr>
        <w:t>广元市文化市场综合行政执法支队</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3.广元市图书馆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4.广元市文化馆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5.广元市美术馆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6.广元市博物馆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7.广元市戏曲发展中心</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8.</w:t>
      </w:r>
      <w:r>
        <w:rPr>
          <w:rFonts w:hint="eastAsia" w:ascii="仿宋_GB2312" w:hAnsi="仿宋_GB2312" w:eastAsia="仿宋_GB2312" w:cs="仿宋_GB2312"/>
          <w:kern w:val="2"/>
          <w:sz w:val="32"/>
          <w:szCs w:val="32"/>
          <w:highlight w:val="none"/>
          <w:lang w:val="en-US" w:eastAsia="zh-CN" w:bidi="ar-SA"/>
        </w:rPr>
        <w:t>广元石窟研究所</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9</w:t>
      </w:r>
      <w:r>
        <w:rPr>
          <w:rFonts w:hint="eastAsia" w:ascii="仿宋_GB2312" w:hAnsi="仿宋_GB2312" w:eastAsia="仿宋_GB2312" w:cs="仿宋_GB2312"/>
          <w:kern w:val="2"/>
          <w:sz w:val="32"/>
          <w:szCs w:val="32"/>
          <w:highlight w:val="none"/>
          <w:lang w:val="zh-CN" w:eastAsia="zh-CN" w:bidi="ar-SA"/>
        </w:rPr>
        <w:t>.广元市文化遗产保护中心</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w:t>
      </w:r>
      <w:r>
        <w:rPr>
          <w:rFonts w:hint="eastAsia" w:ascii="仿宋_GB2312" w:hAnsi="仿宋_GB2312" w:eastAsia="仿宋_GB2312" w:cs="仿宋_GB2312"/>
          <w:kern w:val="2"/>
          <w:sz w:val="32"/>
          <w:szCs w:val="32"/>
          <w:highlight w:val="none"/>
          <w:lang w:val="en-US" w:eastAsia="zh-CN" w:bidi="ar-SA"/>
        </w:rPr>
        <w:t>0</w:t>
      </w:r>
      <w:r>
        <w:rPr>
          <w:rFonts w:hint="eastAsia" w:ascii="仿宋_GB2312" w:hAnsi="仿宋_GB2312" w:eastAsia="仿宋_GB2312" w:cs="仿宋_GB2312"/>
          <w:kern w:val="2"/>
          <w:sz w:val="32"/>
          <w:szCs w:val="32"/>
          <w:highlight w:val="none"/>
          <w:lang w:val="zh-CN" w:eastAsia="zh-CN" w:bidi="ar-SA"/>
        </w:rPr>
        <w:t>.广元市720无线发射台</w:t>
      </w:r>
    </w:p>
    <w:p>
      <w:pPr>
        <w:spacing w:line="600" w:lineRule="exact"/>
        <w:ind w:firstLine="640"/>
        <w:rPr>
          <w:rFonts w:hint="eastAsia" w:ascii="Times New Roman" w:hAnsi="Times New Roman" w:eastAsia="仿宋_GB2312" w:cs="仿宋_GB2312"/>
          <w:b/>
          <w:bCs/>
          <w:sz w:val="32"/>
          <w:szCs w:val="32"/>
          <w:highlight w:val="none"/>
          <w:lang w:val="zh-CN"/>
        </w:rPr>
      </w:pPr>
      <w:r>
        <w:rPr>
          <w:rFonts w:hint="eastAsia" w:ascii="Times New Roman" w:hAnsi="Times New Roman" w:eastAsia="仿宋_GB2312" w:cs="仿宋_GB2312"/>
          <w:b/>
          <w:bCs/>
          <w:sz w:val="32"/>
          <w:szCs w:val="32"/>
          <w:highlight w:val="none"/>
          <w:lang w:val="zh-CN"/>
        </w:rPr>
        <w:t>（二）机构职能。</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广元市文化广播电视和旅游局机构职能：1.贯彻执行党和国家有关文化、旅游、广播电视和文物工作的方针政策和法律法规，拟订相关政策措施并组织实施，起草有关地方性法规、规章草案，负责本部门依法行政工作。制定文化旅游产业发展的地方标准和行业规范并组织实施。</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2.组织推动全市文化事业、文化产业、旅游业、广播电视事业和文物事业发展，拟订发展规划并组织实施。统筹中国生态康养旅游名市建设工作，推进全域旅游。推进文化和旅游体制机制改革，推进文化和旅游融合发展。</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3.管理全市性重大文化、旅游、广播电视和文物活动，指导推进相关设施建设。</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4.指导管理文化艺术事业，推动艺术创作生产，扶持体现社会主义核心价值观、具有导向性代表性示范性的文艺作品，推动各门类艺术、各艺术品种发展，推动中华优秀传统文化、巴蜀文化和广元特色文化传承发展。</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5.负责公共文化和广播电视事业发展，推进全市公共文化和广播电视服务体系建设及旅游公共服务建设，深入实施文化旅游和广播电视惠民工程，统筹推进基本公共服务标准化、均等化。</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6.组织实施文化和旅游资源普查、挖掘、保护与利用工作，监测文化旅游经济运行，促进文化旅游产业发展。推进文化和旅游科技创新发展，推进文化和旅游行业信息化、标准化建设。负责文化旅游科技教育培训和人才培养工作。</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7.负责非物质文化遗产保护，推动非物质文化遗产的保护、传承、普及、弘扬和振兴。</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8.管理和指导全市文物保护利用与考古工作。组织文物资源调查。负责组织遴选、申报市级（含市级）以上文物保护单位，指导地方文物保护单位申报等工作。推动全市文物和博物馆公共服务体系建设，指导监督博物馆和社会文物工作。组织实施申遗及管理工作。</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9.指导文化和旅游市场发展，对文化和旅游市场进行行业监管，推进文化和旅游行业信用体系建设，依法规范文化和旅游市场。</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10.负责文化、旅游、广播电视和文物系统安全生产工作的综合协调与监督管理，对广播电视和文物系统、文化旅游园区、新业态安全生产和职业健康工作实施行业监督管理。制定职责范围内的安全生产年度监督检查计划并组织实施。</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11.统筹全市文化市场综合执法工作，组织查处全市性、跨区域及辖区内文化、旅游、广播电视和文物等市场的违法行为，加强行业监管和督查督办，维护市场秩序。</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12.制订全市文化旅游客源市场开发战略并组织实施，组织广元整体文化旅游形象对外宣传和重大推广活动。</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13.指导全市广播电视宣传和创作题材规划，监督管理全市广播电视节目、信息网络视听节目和公共视听载体播放的视听节目，审查其内容和质量，负责全市广播电视节目的进口和收录管理。负责推进广播电视与新媒体新技术新业态融合发展，推进广电网与电信网、互联网三网融合。</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14.负责对各类广播电视机构进行业务指导和行业监管，会同有关部门对网络视听节目服务机构进行管理。指导全市广播电视科技工作，负责全市广播电视节目传输、监测、安全播出和广播电视、信息网络视听节目服务机构及业务的监管，指导对从事广播电视节目制作民办机构的监管工作。</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15.负责职责范围内的生态环境保护、审批服务便民化等工作。</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16.完成市委、市政府交办的其他任务。</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17.职能转变。以人民美好生活为引导，统筹推进文化事业、文化产业、旅游业、广播电视事业融合发展和文物保护利用传承。用好文化创意、科技创新和社会投资等新动能，促进文化、旅游、广播电视和文物与相关产业融合发展。巩固旅游业的战略性支柱产业地位，提升国家文化软实力、国际旅游竞争力。</w:t>
      </w:r>
    </w:p>
    <w:p>
      <w:pPr>
        <w:spacing w:line="600" w:lineRule="exact"/>
        <w:ind w:firstLine="640"/>
        <w:rPr>
          <w:rFonts w:hint="eastAsia" w:ascii="Times New Roman" w:hAnsi="Times New Roman" w:eastAsia="仿宋_GB2312" w:cs="仿宋_GB2312"/>
          <w:b/>
          <w:bCs/>
          <w:sz w:val="32"/>
          <w:szCs w:val="32"/>
          <w:highlight w:val="none"/>
          <w:lang w:val="zh-CN"/>
        </w:rPr>
      </w:pPr>
      <w:r>
        <w:rPr>
          <w:rFonts w:hint="eastAsia" w:ascii="Times New Roman" w:hAnsi="Times New Roman" w:eastAsia="仿宋_GB2312" w:cs="仿宋_GB2312"/>
          <w:b/>
          <w:bCs/>
          <w:sz w:val="32"/>
          <w:szCs w:val="32"/>
          <w:highlight w:val="none"/>
          <w:lang w:val="zh-CN"/>
        </w:rPr>
        <w:t>（三）人员概况。</w:t>
      </w:r>
    </w:p>
    <w:p>
      <w:pPr>
        <w:pStyle w:val="45"/>
        <w:spacing w:line="576" w:lineRule="exact"/>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截至2024年末，</w:t>
      </w:r>
      <w:r>
        <w:rPr>
          <w:rFonts w:hint="eastAsia" w:ascii="仿宋_GB2312" w:hAnsi="仿宋_GB2312" w:eastAsia="仿宋_GB2312" w:cs="仿宋_GB2312"/>
          <w:kern w:val="2"/>
          <w:sz w:val="32"/>
          <w:szCs w:val="32"/>
          <w:highlight w:val="none"/>
          <w:lang w:val="zh-CN" w:eastAsia="zh-CN" w:bidi="ar-SA"/>
        </w:rPr>
        <w:t>广元市文化广播电视和旅游局</w:t>
      </w:r>
      <w:r>
        <w:rPr>
          <w:rFonts w:hint="eastAsia" w:ascii="仿宋_GB2312" w:hAnsi="仿宋_GB2312" w:eastAsia="仿宋_GB2312" w:cs="仿宋_GB2312"/>
          <w:kern w:val="2"/>
          <w:sz w:val="32"/>
          <w:szCs w:val="32"/>
          <w:highlight w:val="none"/>
          <w:lang w:val="en-US" w:eastAsia="zh-CN" w:bidi="ar-SA"/>
        </w:rPr>
        <w:t>及下属单位</w:t>
      </w:r>
      <w:r>
        <w:rPr>
          <w:rFonts w:hint="eastAsia" w:ascii="仿宋_GB2312" w:hAnsi="仿宋_GB2312" w:eastAsia="仿宋_GB2312" w:cs="仿宋_GB2312"/>
          <w:kern w:val="2"/>
          <w:sz w:val="32"/>
          <w:szCs w:val="32"/>
          <w:highlight w:val="none"/>
          <w:lang w:val="zh-CN" w:eastAsia="zh-CN" w:bidi="ar-SA"/>
        </w:rPr>
        <w:t>核定行政事业编制266名，</w:t>
      </w:r>
      <w:r>
        <w:rPr>
          <w:rFonts w:hint="eastAsia" w:ascii="仿宋_GB2312" w:hAnsi="仿宋_GB2312" w:eastAsia="仿宋_GB2312" w:cs="仿宋_GB2312"/>
          <w:kern w:val="2"/>
          <w:sz w:val="32"/>
          <w:szCs w:val="32"/>
          <w:highlight w:val="none"/>
          <w:lang w:val="en-US" w:eastAsia="zh-CN" w:bidi="ar-SA"/>
        </w:rPr>
        <w:t>其中：行政编制35个，参照公务员法管理的事业编制40个，事业编制185个，机关工勤编制6个。</w:t>
      </w:r>
      <w:r>
        <w:rPr>
          <w:rFonts w:hint="eastAsia" w:ascii="仿宋_GB2312" w:hAnsi="仿宋_GB2312" w:eastAsia="仿宋_GB2312" w:cs="仿宋_GB2312"/>
          <w:kern w:val="2"/>
          <w:sz w:val="32"/>
          <w:szCs w:val="32"/>
          <w:highlight w:val="none"/>
          <w:lang w:val="zh-CN" w:eastAsia="zh-CN" w:bidi="ar-SA"/>
        </w:rPr>
        <w:t>实际在编</w:t>
      </w:r>
      <w:r>
        <w:rPr>
          <w:rFonts w:hint="eastAsia" w:ascii="仿宋_GB2312" w:hAnsi="仿宋_GB2312" w:eastAsia="仿宋_GB2312" w:cs="仿宋_GB2312"/>
          <w:kern w:val="2"/>
          <w:sz w:val="32"/>
          <w:szCs w:val="32"/>
          <w:highlight w:val="none"/>
          <w:lang w:val="en-US" w:eastAsia="zh-CN" w:bidi="ar-SA"/>
        </w:rPr>
        <w:t>237</w:t>
      </w:r>
      <w:r>
        <w:rPr>
          <w:rFonts w:hint="eastAsia" w:ascii="仿宋_GB2312" w:hAnsi="仿宋_GB2312" w:eastAsia="仿宋_GB2312" w:cs="仿宋_GB2312"/>
          <w:kern w:val="2"/>
          <w:sz w:val="32"/>
          <w:szCs w:val="32"/>
          <w:highlight w:val="none"/>
          <w:lang w:val="zh-CN" w:eastAsia="zh-CN" w:bidi="ar-SA"/>
        </w:rPr>
        <w:t>名，其中，公务员35名、参公人员37名、机关工勤4名、事业人员161名。</w:t>
      </w:r>
    </w:p>
    <w:p>
      <w:pPr>
        <w:adjustRightInd w:val="0"/>
        <w:snapToGrid w:val="0"/>
        <w:spacing w:line="576" w:lineRule="exact"/>
        <w:ind w:firstLine="640" w:firstLineChars="200"/>
        <w:contextualSpacing/>
        <w:rPr>
          <w:rFonts w:hint="eastAsia" w:ascii="方正黑体简体" w:hAnsi="方正黑体简体" w:eastAsia="方正黑体简体" w:cs="方正黑体简体"/>
          <w:b w:val="0"/>
          <w:bCs w:val="0"/>
          <w:color w:val="000000"/>
          <w:kern w:val="0"/>
          <w:sz w:val="32"/>
          <w:szCs w:val="32"/>
          <w:highlight w:val="none"/>
          <w:lang w:val="zh-CN"/>
        </w:rPr>
      </w:pPr>
      <w:r>
        <w:rPr>
          <w:rFonts w:hint="eastAsia" w:ascii="方正黑体简体" w:hAnsi="方正黑体简体" w:eastAsia="方正黑体简体" w:cs="方正黑体简体"/>
          <w:b w:val="0"/>
          <w:bCs w:val="0"/>
          <w:color w:val="000000"/>
          <w:kern w:val="0"/>
          <w:sz w:val="32"/>
          <w:szCs w:val="32"/>
          <w:highlight w:val="none"/>
          <w:lang w:val="zh-CN"/>
        </w:rPr>
        <w:t>二、部门资金收支情况</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Times New Roman" w:hAnsi="Times New Roman" w:eastAsia="仿宋_GB2312" w:cs="仿宋_GB2312"/>
          <w:b/>
          <w:bCs/>
          <w:sz w:val="32"/>
          <w:szCs w:val="32"/>
          <w:highlight w:val="none"/>
          <w:lang w:val="zh-CN"/>
        </w:rPr>
        <w:t>（一）收入情况。</w:t>
      </w:r>
      <w:r>
        <w:rPr>
          <w:rFonts w:hint="eastAsia" w:ascii="仿宋_GB2312" w:hAnsi="仿宋_GB2312" w:eastAsia="仿宋_GB2312" w:cs="仿宋_GB2312"/>
          <w:kern w:val="2"/>
          <w:sz w:val="32"/>
          <w:szCs w:val="32"/>
          <w:highlight w:val="none"/>
          <w:lang w:val="zh-CN" w:eastAsia="zh-CN" w:bidi="ar-SA"/>
        </w:rPr>
        <w:t>广元市文化广播电视和旅游局</w:t>
      </w:r>
      <w:r>
        <w:rPr>
          <w:rFonts w:hint="eastAsia" w:ascii="仿宋_GB2312" w:hAnsi="仿宋_GB2312" w:eastAsia="仿宋_GB2312" w:cs="仿宋_GB2312"/>
          <w:kern w:val="2"/>
          <w:sz w:val="32"/>
          <w:szCs w:val="32"/>
          <w:highlight w:val="none"/>
          <w:lang w:val="en-US" w:eastAsia="zh-CN" w:bidi="ar-SA"/>
        </w:rPr>
        <w:t>部门总体年初预算收入6,213.78万元，其中，一般公共预算财政拨款收入6,210.17万元、上年结转资金3.61万元。决算报表收入8,493.05万元，其中，一般公共预算财政拨款收入8,122.40万元、其他收入240.31万元、上年结转资金130.33万元。具体明细如下：</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广元市文化广播电视和旅游局本级（含下属单位广元市文化旅游服务中心）年初预算收入1,345.78万元，其中，一般公共预算财政拨款收入1,345.78万元。决算报表收入1,998万元，其中，一般公共预算财政拨款收入1,989.74万元、其他收入0.29万元、上年结转资金7.98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（2）广元市文化市场综合行政执法支队2024年年初预算收入819.97万元，其中，</w:t>
      </w:r>
      <w:r>
        <w:rPr>
          <w:rFonts w:hint="eastAsia" w:ascii="仿宋_GB2312" w:hAnsi="仿宋_GB2312" w:eastAsia="仿宋_GB2312" w:cs="仿宋_GB2312"/>
          <w:kern w:val="2"/>
          <w:sz w:val="32"/>
          <w:szCs w:val="32"/>
          <w:highlight w:val="none"/>
          <w:lang w:val="zh-CN" w:eastAsia="zh-CN" w:bidi="ar-SA"/>
        </w:rPr>
        <w:t>一般公共预算财政拨款收入</w:t>
      </w:r>
      <w:r>
        <w:rPr>
          <w:rFonts w:hint="eastAsia" w:ascii="仿宋_GB2312" w:hAnsi="仿宋_GB2312" w:eastAsia="仿宋_GB2312" w:cs="仿宋_GB2312"/>
          <w:kern w:val="2"/>
          <w:sz w:val="32"/>
          <w:szCs w:val="32"/>
          <w:highlight w:val="none"/>
          <w:lang w:val="en-US" w:eastAsia="zh-CN" w:bidi="ar-SA"/>
        </w:rPr>
        <w:t>816.37</w:t>
      </w:r>
      <w:r>
        <w:rPr>
          <w:rFonts w:hint="eastAsia" w:ascii="仿宋_GB2312" w:hAnsi="仿宋_GB2312" w:eastAsia="仿宋_GB2312" w:cs="仿宋_GB2312"/>
          <w:kern w:val="2"/>
          <w:sz w:val="32"/>
          <w:szCs w:val="32"/>
          <w:highlight w:val="none"/>
          <w:lang w:val="zh-CN" w:eastAsia="zh-CN" w:bidi="ar-SA"/>
        </w:rPr>
        <w:t>万元</w:t>
      </w:r>
      <w:r>
        <w:rPr>
          <w:rFonts w:hint="eastAsia" w:ascii="仿宋_GB2312" w:hAnsi="仿宋_GB2312" w:eastAsia="仿宋_GB2312" w:cs="仿宋_GB2312"/>
          <w:kern w:val="2"/>
          <w:sz w:val="32"/>
          <w:szCs w:val="32"/>
          <w:highlight w:val="none"/>
          <w:lang w:val="en-US" w:eastAsia="zh-CN" w:bidi="ar-SA"/>
        </w:rPr>
        <w:t>、年初结转和结余3.6万元。决算报表收入907.55万元，</w:t>
      </w:r>
      <w:r>
        <w:rPr>
          <w:rFonts w:hint="eastAsia" w:ascii="仿宋_GB2312" w:hAnsi="仿宋_GB2312" w:eastAsia="仿宋_GB2312" w:cs="仿宋_GB2312"/>
          <w:kern w:val="2"/>
          <w:sz w:val="32"/>
          <w:szCs w:val="32"/>
          <w:highlight w:val="none"/>
          <w:lang w:val="zh-CN" w:eastAsia="zh-CN" w:bidi="ar-SA"/>
        </w:rPr>
        <w:t>其中，一般公共预算财政拨款收入</w:t>
      </w:r>
      <w:r>
        <w:rPr>
          <w:rFonts w:hint="eastAsia" w:ascii="仿宋_GB2312" w:hAnsi="仿宋_GB2312" w:eastAsia="仿宋_GB2312" w:cs="仿宋_GB2312"/>
          <w:kern w:val="2"/>
          <w:sz w:val="32"/>
          <w:szCs w:val="32"/>
          <w:highlight w:val="none"/>
          <w:lang w:val="en-US" w:eastAsia="zh-CN" w:bidi="ar-SA"/>
        </w:rPr>
        <w:t>881.56</w:t>
      </w:r>
      <w:r>
        <w:rPr>
          <w:rFonts w:hint="eastAsia" w:ascii="仿宋_GB2312" w:hAnsi="仿宋_GB2312" w:eastAsia="仿宋_GB2312" w:cs="仿宋_GB2312"/>
          <w:kern w:val="2"/>
          <w:sz w:val="32"/>
          <w:szCs w:val="32"/>
          <w:highlight w:val="none"/>
          <w:lang w:val="zh-CN" w:eastAsia="zh-CN" w:bidi="ar-SA"/>
        </w:rPr>
        <w:t>万元、其他收入</w:t>
      </w:r>
      <w:r>
        <w:rPr>
          <w:rFonts w:hint="eastAsia" w:ascii="仿宋_GB2312" w:hAnsi="仿宋_GB2312" w:eastAsia="仿宋_GB2312" w:cs="仿宋_GB2312"/>
          <w:kern w:val="2"/>
          <w:sz w:val="32"/>
          <w:szCs w:val="32"/>
          <w:highlight w:val="none"/>
          <w:lang w:val="en-US" w:eastAsia="zh-CN" w:bidi="ar-SA"/>
        </w:rPr>
        <w:t>24.55</w:t>
      </w:r>
      <w:r>
        <w:rPr>
          <w:rFonts w:hint="eastAsia" w:ascii="仿宋_GB2312" w:hAnsi="仿宋_GB2312" w:eastAsia="仿宋_GB2312" w:cs="仿宋_GB2312"/>
          <w:kern w:val="2"/>
          <w:sz w:val="32"/>
          <w:szCs w:val="32"/>
          <w:highlight w:val="none"/>
          <w:lang w:val="zh-CN" w:eastAsia="zh-CN" w:bidi="ar-SA"/>
        </w:rPr>
        <w:t>万元、上年结转资金</w:t>
      </w:r>
      <w:r>
        <w:rPr>
          <w:rFonts w:hint="eastAsia" w:ascii="仿宋_GB2312" w:hAnsi="仿宋_GB2312" w:eastAsia="仿宋_GB2312" w:cs="仿宋_GB2312"/>
          <w:kern w:val="2"/>
          <w:sz w:val="32"/>
          <w:szCs w:val="32"/>
          <w:highlight w:val="none"/>
          <w:lang w:val="en-US" w:eastAsia="zh-CN" w:bidi="ar-SA"/>
        </w:rPr>
        <w:t>1.44万元。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（3）广元市图书馆2024年年初预算收入589.8万元，其中：一般公共预算拨款收入589.8万元。决算报表收入683.15万元，其中：一般公共预算拨款收入664.34万元，其他收入0.09万元上年结转18.72万元。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广元市文化馆2024年年初预算收入578.18万元，其中：一般公共预算财政拨款收入578.18万元。决算报表全年预算收入1012.54万元，其中：一般公共预算财政拨款收入972.33万元，其他收入26.43万元，上年结转结余13.78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（5）广元市美术馆年初预算收入231.13万元，其中，一般公共预算财政拨款收入229.83万元。决算报表收入231.13万元，其中，一般公共预算财政拨款收入229.83万元、其他收入0.1万元、上年结转资金1.19万元。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（6）广元市博物馆2024年年初预算收入233.08万元，其中：一般公共预算拨款收入233.08万元。决算报表收入465万元。一般公共预算财政拨款收入463.34.万元，其他收入1.27万元，上年结转资金0.39万元。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7）广元市戏曲发展中心2024年年初预算收入727.03万元，其中：基本支出629.93万元，项目支出97.1万元。广元市戏曲发展中心2024年决算收入936.71万元，其中：财政拨款收入756.25万元（其中：基本支出672.78万元，项目支出83.47万元）；其他收入180.46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（8）广元石窟研究所2024年年初预算收入1510.95万元，其中，一般公共预算财政拨款收入1510.95万元。决算报表收入1849.82万元，其中，一般公共预算财政拨款收入1849.82万元。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9）广元市非物质文化遗产保护中心2024年年初预算收入102.04万元，其中：一般公共预算拨款收入102.04万元。决算报表收入135.43万元。一般公共预算财政拨款收入132.61万元，其他收入1.61万元，上年结转资金1.21万元，。</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（10）广元市720无线发射台年初预算收入143.44万元，其中：</w:t>
      </w:r>
      <w:r>
        <w:rPr>
          <w:rFonts w:hint="eastAsia" w:ascii="仿宋_GB2312" w:hAnsi="仿宋_GB2312" w:eastAsia="仿宋_GB2312" w:cs="仿宋_GB2312"/>
          <w:kern w:val="2"/>
          <w:sz w:val="32"/>
          <w:szCs w:val="32"/>
          <w:highlight w:val="none"/>
          <w:lang w:val="zh-CN" w:eastAsia="zh-CN" w:bidi="ar-SA"/>
        </w:rPr>
        <w:t>一般</w:t>
      </w:r>
      <w:r>
        <w:rPr>
          <w:rFonts w:hint="eastAsia" w:ascii="仿宋_GB2312" w:hAnsi="仿宋_GB2312" w:eastAsia="仿宋_GB2312" w:cs="仿宋_GB2312"/>
          <w:kern w:val="2"/>
          <w:sz w:val="32"/>
          <w:szCs w:val="32"/>
          <w:highlight w:val="none"/>
          <w:lang w:val="en-US" w:eastAsia="zh-CN" w:bidi="ar-SA"/>
        </w:rPr>
        <w:t>公共</w:t>
      </w:r>
      <w:r>
        <w:rPr>
          <w:rFonts w:hint="eastAsia" w:ascii="仿宋_GB2312" w:hAnsi="仿宋_GB2312" w:eastAsia="仿宋_GB2312" w:cs="仿宋_GB2312"/>
          <w:kern w:val="2"/>
          <w:sz w:val="32"/>
          <w:szCs w:val="32"/>
          <w:highlight w:val="none"/>
          <w:lang w:val="zh-CN" w:eastAsia="zh-CN" w:bidi="ar-SA"/>
        </w:rPr>
        <w:t>预算财政拨款收入</w:t>
      </w:r>
      <w:r>
        <w:rPr>
          <w:rFonts w:hint="eastAsia" w:ascii="仿宋_GB2312" w:hAnsi="仿宋_GB2312" w:eastAsia="仿宋_GB2312" w:cs="仿宋_GB2312"/>
          <w:kern w:val="2"/>
          <w:sz w:val="32"/>
          <w:szCs w:val="32"/>
          <w:highlight w:val="none"/>
          <w:lang w:val="en-US" w:eastAsia="zh-CN" w:bidi="ar-SA"/>
        </w:rPr>
        <w:t>137.94万元。决算报表收入188.09万元，其中：</w:t>
      </w:r>
      <w:r>
        <w:rPr>
          <w:rFonts w:hint="eastAsia" w:ascii="仿宋_GB2312" w:hAnsi="仿宋_GB2312" w:eastAsia="仿宋_GB2312" w:cs="仿宋_GB2312"/>
          <w:kern w:val="2"/>
          <w:sz w:val="32"/>
          <w:szCs w:val="32"/>
          <w:highlight w:val="none"/>
          <w:lang w:val="zh-CN" w:eastAsia="zh-CN" w:bidi="ar-SA"/>
        </w:rPr>
        <w:t>一般</w:t>
      </w:r>
      <w:r>
        <w:rPr>
          <w:rFonts w:hint="eastAsia" w:ascii="仿宋_GB2312" w:hAnsi="仿宋_GB2312" w:eastAsia="仿宋_GB2312" w:cs="仿宋_GB2312"/>
          <w:kern w:val="2"/>
          <w:sz w:val="32"/>
          <w:szCs w:val="32"/>
          <w:highlight w:val="none"/>
          <w:lang w:val="en-US" w:eastAsia="zh-CN" w:bidi="ar-SA"/>
        </w:rPr>
        <w:t>公共</w:t>
      </w:r>
      <w:r>
        <w:rPr>
          <w:rFonts w:hint="eastAsia" w:ascii="仿宋_GB2312" w:hAnsi="仿宋_GB2312" w:eastAsia="仿宋_GB2312" w:cs="仿宋_GB2312"/>
          <w:kern w:val="2"/>
          <w:sz w:val="32"/>
          <w:szCs w:val="32"/>
          <w:highlight w:val="none"/>
          <w:lang w:val="zh-CN" w:eastAsia="zh-CN" w:bidi="ar-SA"/>
        </w:rPr>
        <w:t>预算财政拨款收入</w:t>
      </w:r>
      <w:r>
        <w:rPr>
          <w:rFonts w:hint="eastAsia" w:ascii="仿宋_GB2312" w:hAnsi="仿宋_GB2312" w:eastAsia="仿宋_GB2312" w:cs="仿宋_GB2312"/>
          <w:kern w:val="2"/>
          <w:sz w:val="32"/>
          <w:szCs w:val="32"/>
          <w:highlight w:val="none"/>
          <w:lang w:val="en-US" w:eastAsia="zh-CN" w:bidi="ar-SA"/>
        </w:rPr>
        <w:t>182.58万元；其他资金收入5.5万元。</w:t>
      </w:r>
    </w:p>
    <w:p>
      <w:pPr>
        <w:spacing w:line="600" w:lineRule="exact"/>
        <w:ind w:firstLine="640"/>
        <w:rPr>
          <w:rFonts w:hint="eastAsia" w:ascii="Times New Roman" w:hAnsi="Times New Roman" w:eastAsia="仿宋_GB2312" w:cs="仿宋_GB2312"/>
          <w:b/>
          <w:bCs/>
          <w:sz w:val="32"/>
          <w:szCs w:val="32"/>
          <w:highlight w:val="none"/>
        </w:rPr>
      </w:pPr>
      <w:r>
        <w:rPr>
          <w:rFonts w:hint="eastAsia" w:ascii="Times New Roman" w:hAnsi="Times New Roman" w:eastAsia="仿宋_GB2312" w:cs="仿宋_GB2312"/>
          <w:b/>
          <w:bCs/>
          <w:sz w:val="32"/>
          <w:szCs w:val="32"/>
          <w:highlight w:val="none"/>
          <w:lang w:val="zh-CN"/>
        </w:rPr>
        <w:t>（二）支出情况。</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zh-CN" w:eastAsia="zh-CN" w:bidi="ar-SA"/>
        </w:rPr>
        <w:t>广元市文化广播电视和旅游局</w:t>
      </w:r>
      <w:r>
        <w:rPr>
          <w:rFonts w:hint="eastAsia" w:ascii="仿宋_GB2312" w:hAnsi="仿宋_GB2312" w:eastAsia="仿宋_GB2312" w:cs="仿宋_GB2312"/>
          <w:kern w:val="2"/>
          <w:sz w:val="32"/>
          <w:szCs w:val="32"/>
          <w:highlight w:val="none"/>
          <w:lang w:val="en-US" w:eastAsia="zh-CN" w:bidi="ar-SA"/>
        </w:rPr>
        <w:t>2024年部门年初预算支出总额6,213.78万元，其中：基本支出4,883.97万元，项目支出1，329.81万元。决算报表支8,493.05万元，其中：基本支出5,175.77万元，项目支出3,296.69万元。具体明细如下：</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广元市文化广播电视和旅游局本级（含下属单位广元市文化旅游服务中心）2024年年初预算支出总额1,345.78万元，其中：基本支出1,107.73万元，项目支出238.05万元。决算报表支出1,998.00万元，其中：基本支出1,196.18万元，项目支出801.82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广元市文化市场综合行政执法支队2024年年初预算支出819.97万元，其中，文化旅游体育与传媒支出667.83万元、社会保障和就业支出70.29万元、卫生健康支出22.72万元、住房保障支出59.13万元。决算报表支出906.49万元，其中，文化旅游体育与传媒支出732.89万元、社会保障和就业支出93.33万元、卫生健康支出25.46万元、住房保障支出54.81万元。</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（3）广元市图书馆2024年年初预算支出589.8万元，其中：基本支出555.58万元；项目支出34.22万元。决算报表支出681.07万元，其中：基本支出584.65万元，；项目支出96.42万元。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（4）广元市文化馆2024年年初预算支出总额578.18万元，其中，基本支出521.22万元，项目支出56.96万元。决算报表支出1010.92万元，其中：基本支出549.35万元，项目支出461.57万元。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（5）广元市美术馆2024年年初预算支出总额164.81万元，其中：基本支出152.49万元，项目支出12.32万元。决算报表支出231.13万元，其中：基本支出153.55万元，项目支出77.58万元。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（6）广元市博物馆2024年年初支出预算233.08万元，其中：基本支出208.59万元；项目支出24.49万元。决算报表支出464.95万元。其中基本支出209.87万元；项目支出</w:t>
      </w:r>
      <w:r>
        <w:rPr>
          <w:rFonts w:hint="default" w:ascii="仿宋_GB2312" w:hAnsi="仿宋_GB2312" w:eastAsia="仿宋_GB2312" w:cs="仿宋_GB2312"/>
          <w:kern w:val="2"/>
          <w:sz w:val="32"/>
          <w:szCs w:val="32"/>
          <w:highlight w:val="none"/>
          <w:lang w:val="en-US" w:eastAsia="zh-CN" w:bidi="ar-SA"/>
        </w:rPr>
        <w:t>255.08</w:t>
      </w:r>
      <w:r>
        <w:rPr>
          <w:rFonts w:hint="eastAsia" w:ascii="仿宋_GB2312" w:hAnsi="仿宋_GB2312" w:eastAsia="仿宋_GB2312" w:cs="仿宋_GB2312"/>
          <w:kern w:val="2"/>
          <w:sz w:val="32"/>
          <w:szCs w:val="32"/>
          <w:highlight w:val="none"/>
          <w:lang w:val="en-US" w:eastAsia="zh-CN" w:bidi="ar-SA"/>
        </w:rPr>
        <w:t>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7）广元市戏曲发展中心2024年年初预算支出737.03万元，其中：基本支出629.93万元，项目支出107.1万元。决算支出1000.01万元，其中：财政拨款支出771.03万元（其中：基本支出687.56万元，项目支出83.47万元）；其他支出228.98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（8）广元石窟研究所2024年年初预算支出总额1510.95万元，其中，基本支出737.31万元，项目支出773.64万元。决算报表支出1856.8万元，其中：基本支出790.48万元，项目支出1066.32万元。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（9）广元市非物质文化遗产保护中心2024年年初支出预算102.05万元，其中：基本支出94.53万元；项目支出7.52万元。决算报表支出135万元。其中基本支出95.29万元；项目支出39.71万元。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（10）广元市720无线发射台2024年年初支出预算143.45万元，其中：</w:t>
      </w:r>
      <w:r>
        <w:rPr>
          <w:rFonts w:hint="eastAsia" w:ascii="仿宋_GB2312" w:hAnsi="仿宋_GB2312" w:eastAsia="仿宋_GB2312" w:cs="仿宋_GB2312"/>
          <w:kern w:val="2"/>
          <w:sz w:val="32"/>
          <w:szCs w:val="32"/>
          <w:highlight w:val="none"/>
          <w:lang w:val="zh-CN" w:eastAsia="zh-CN" w:bidi="ar-SA"/>
        </w:rPr>
        <w:t>基本支出</w:t>
      </w:r>
      <w:r>
        <w:rPr>
          <w:rFonts w:hint="eastAsia" w:ascii="仿宋_GB2312" w:hAnsi="仿宋_GB2312" w:eastAsia="仿宋_GB2312" w:cs="仿宋_GB2312"/>
          <w:kern w:val="2"/>
          <w:sz w:val="32"/>
          <w:szCs w:val="32"/>
          <w:highlight w:val="none"/>
          <w:lang w:val="en-US" w:eastAsia="zh-CN" w:bidi="ar-SA"/>
        </w:rPr>
        <w:t>121.2</w:t>
      </w:r>
      <w:r>
        <w:rPr>
          <w:rFonts w:hint="eastAsia" w:ascii="仿宋_GB2312" w:hAnsi="仿宋_GB2312" w:eastAsia="仿宋_GB2312" w:cs="仿宋_GB2312"/>
          <w:kern w:val="2"/>
          <w:sz w:val="32"/>
          <w:szCs w:val="32"/>
          <w:highlight w:val="none"/>
          <w:lang w:val="zh-CN" w:eastAsia="zh-CN" w:bidi="ar-SA"/>
        </w:rPr>
        <w:t>万元</w:t>
      </w:r>
      <w:r>
        <w:rPr>
          <w:rFonts w:hint="eastAsia" w:ascii="仿宋_GB2312" w:hAnsi="仿宋_GB2312" w:eastAsia="仿宋_GB2312" w:cs="仿宋_GB2312"/>
          <w:kern w:val="2"/>
          <w:sz w:val="32"/>
          <w:szCs w:val="32"/>
          <w:highlight w:val="none"/>
          <w:lang w:val="en-US" w:eastAsia="zh-CN" w:bidi="ar-SA"/>
        </w:rPr>
        <w:t>；项目支出22.25万元。决算报表支出188.09万元，其中：</w:t>
      </w:r>
      <w:r>
        <w:rPr>
          <w:rFonts w:hint="eastAsia" w:ascii="仿宋_GB2312" w:hAnsi="仿宋_GB2312" w:eastAsia="仿宋_GB2312" w:cs="仿宋_GB2312"/>
          <w:kern w:val="2"/>
          <w:sz w:val="32"/>
          <w:szCs w:val="32"/>
          <w:highlight w:val="none"/>
          <w:lang w:val="zh-CN" w:eastAsia="zh-CN" w:bidi="ar-SA"/>
        </w:rPr>
        <w:t>基本支出</w:t>
      </w:r>
      <w:r>
        <w:rPr>
          <w:rFonts w:hint="eastAsia" w:ascii="仿宋_GB2312" w:hAnsi="仿宋_GB2312" w:eastAsia="仿宋_GB2312" w:cs="仿宋_GB2312"/>
          <w:kern w:val="2"/>
          <w:sz w:val="32"/>
          <w:szCs w:val="32"/>
          <w:highlight w:val="none"/>
          <w:lang w:val="en-US" w:eastAsia="zh-CN" w:bidi="ar-SA"/>
        </w:rPr>
        <w:t>123.05万元；项目支出65.05万元。</w:t>
      </w:r>
    </w:p>
    <w:p>
      <w:pPr>
        <w:spacing w:line="600" w:lineRule="exact"/>
        <w:ind w:firstLine="640"/>
        <w:rPr>
          <w:rFonts w:hint="eastAsia" w:ascii="Times New Roman" w:hAnsi="Times New Roman" w:eastAsia="仿宋_GB2312" w:cs="仿宋_GB2312"/>
          <w:b/>
          <w:bCs/>
          <w:sz w:val="32"/>
          <w:szCs w:val="32"/>
          <w:highlight w:val="none"/>
        </w:rPr>
      </w:pPr>
      <w:r>
        <w:rPr>
          <w:rFonts w:hint="eastAsia" w:ascii="Times New Roman" w:hAnsi="Times New Roman" w:eastAsia="仿宋_GB2312" w:cs="仿宋_GB2312"/>
          <w:b/>
          <w:bCs/>
          <w:sz w:val="32"/>
          <w:szCs w:val="32"/>
          <w:highlight w:val="none"/>
          <w:lang w:val="zh-CN"/>
        </w:rPr>
        <w:t>（三）</w:t>
      </w:r>
      <w:r>
        <w:rPr>
          <w:rFonts w:hint="eastAsia" w:ascii="Times New Roman" w:hAnsi="Times New Roman" w:eastAsia="仿宋_GB2312" w:cs="仿宋_GB2312"/>
          <w:b/>
          <w:bCs/>
          <w:sz w:val="32"/>
          <w:szCs w:val="32"/>
          <w:highlight w:val="none"/>
        </w:rPr>
        <w:t>结转结余情况。</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2024年部门总体结转结余资金20.59万元。具体明细如下：</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（1）广元市文化广播电视和旅游局本级（含下属单位广元市文化旅游服务中心）2024年年末无结转结余。</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（2）广元市文化市场综合行政执法支队2024年年末决算报表结转结余情况：年末结转1.07万元。</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（3）广元市图书馆2024年年末决算报表结转结余2.07万元，其中基本结转2.07万元。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（4）广元市文化馆2024年年末决算报表结转结余1.63万元，其中：人员经费1.02万元，项目经费0.61万元。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（5）广元市美术馆2024年年末无结转和结余。</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（6）广元市博物馆2024年年末决算报表结转结余0.05万元。主要是人员经费结转0.05万元。</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（7）广元市戏曲发展中心2024年年末决算报表结转15.33万元，其中基本支出结转3.02万元，其他收入项目支出结转12.31万元。</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（8）广元石窟研究所2024年年末无结转结余。</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（9）广元市非遗中心2024年年末决算报表结转结余0.43万元。</w:t>
      </w:r>
    </w:p>
    <w:p>
      <w:pPr>
        <w:spacing w:line="600" w:lineRule="exact"/>
        <w:ind w:firstLine="640"/>
        <w:rPr>
          <w:rFonts w:hint="eastAsia" w:ascii="Times New Roman" w:hAnsi="Times New Roman" w:eastAsia="仿宋_GB2312" w:cs="仿宋_GB2312"/>
          <w:sz w:val="32"/>
          <w:szCs w:val="32"/>
          <w:highlight w:val="none"/>
        </w:rPr>
      </w:pPr>
      <w:r>
        <w:rPr>
          <w:rFonts w:hint="eastAsia" w:ascii="仿宋_GB2312" w:hAnsi="仿宋_GB2312" w:eastAsia="仿宋_GB2312" w:cs="仿宋_GB2312"/>
          <w:kern w:val="2"/>
          <w:sz w:val="32"/>
          <w:szCs w:val="32"/>
          <w:highlight w:val="none"/>
          <w:lang w:val="en-US" w:eastAsia="zh-CN" w:bidi="ar-SA"/>
        </w:rPr>
        <w:t>（10）广元市720无线发射台年末无结转结余。</w:t>
      </w:r>
    </w:p>
    <w:p>
      <w:pPr>
        <w:adjustRightInd w:val="0"/>
        <w:snapToGrid w:val="0"/>
        <w:spacing w:line="576" w:lineRule="exact"/>
        <w:ind w:firstLine="640" w:firstLineChars="200"/>
        <w:contextualSpacing/>
        <w:rPr>
          <w:rFonts w:hint="eastAsia" w:ascii="方正黑体简体" w:hAnsi="方正黑体简体" w:eastAsia="方正黑体简体" w:cs="方正黑体简体"/>
          <w:b w:val="0"/>
          <w:bCs w:val="0"/>
          <w:color w:val="000000"/>
          <w:kern w:val="0"/>
          <w:sz w:val="32"/>
          <w:szCs w:val="32"/>
          <w:highlight w:val="none"/>
          <w:lang w:val="zh-CN"/>
        </w:rPr>
      </w:pPr>
      <w:r>
        <w:rPr>
          <w:rFonts w:hint="eastAsia" w:ascii="方正黑体简体" w:hAnsi="方正黑体简体" w:eastAsia="方正黑体简体" w:cs="方正黑体简体"/>
          <w:b w:val="0"/>
          <w:bCs w:val="0"/>
          <w:color w:val="000000"/>
          <w:kern w:val="0"/>
          <w:sz w:val="32"/>
          <w:szCs w:val="32"/>
          <w:highlight w:val="none"/>
          <w:lang w:val="zh-CN"/>
        </w:rPr>
        <w:t>三、部门预算绩效分析</w:t>
      </w:r>
    </w:p>
    <w:p>
      <w:pPr>
        <w:spacing w:line="600" w:lineRule="exact"/>
        <w:ind w:firstLine="640"/>
        <w:rPr>
          <w:rFonts w:hint="eastAsia" w:ascii="Times New Roman" w:hAnsi="Times New Roman" w:eastAsia="仿宋_GB2312" w:cs="仿宋_GB2312"/>
          <w:b/>
          <w:bCs/>
          <w:sz w:val="32"/>
          <w:szCs w:val="32"/>
          <w:highlight w:val="none"/>
          <w:lang w:val="zh-CN"/>
        </w:rPr>
      </w:pPr>
      <w:r>
        <w:rPr>
          <w:rFonts w:hint="eastAsia" w:ascii="Times New Roman" w:hAnsi="Times New Roman" w:eastAsia="仿宋_GB2312" w:cs="仿宋_GB2312"/>
          <w:b/>
          <w:bCs/>
          <w:sz w:val="32"/>
          <w:szCs w:val="32"/>
          <w:highlight w:val="none"/>
          <w:lang w:val="zh-CN"/>
        </w:rPr>
        <w:t>（一）部门预算总体绩效分析。</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w:t>
      </w:r>
      <w:r>
        <w:rPr>
          <w:rFonts w:hint="default" w:ascii="仿宋_GB2312" w:hAnsi="仿宋_GB2312" w:eastAsia="仿宋_GB2312" w:cs="仿宋_GB2312"/>
          <w:kern w:val="2"/>
          <w:sz w:val="32"/>
          <w:szCs w:val="32"/>
          <w:highlight w:val="none"/>
          <w:lang w:val="zh-CN" w:eastAsia="zh-CN" w:bidi="ar-SA"/>
        </w:rPr>
        <w:t>履职效能。</w:t>
      </w:r>
      <w:r>
        <w:rPr>
          <w:rFonts w:hint="eastAsia" w:ascii="仿宋_GB2312" w:hAnsi="仿宋_GB2312" w:eastAsia="仿宋_GB2312" w:cs="仿宋_GB2312"/>
          <w:kern w:val="2"/>
          <w:sz w:val="32"/>
          <w:szCs w:val="32"/>
          <w:highlight w:val="none"/>
          <w:lang w:val="en-US" w:eastAsia="zh-CN" w:bidi="ar-SA"/>
        </w:rPr>
        <w:t>202</w:t>
      </w:r>
      <w:r>
        <w:rPr>
          <w:rFonts w:hint="default" w:ascii="仿宋_GB2312" w:hAnsi="仿宋_GB2312" w:eastAsia="仿宋_GB2312" w:cs="仿宋_GB2312"/>
          <w:kern w:val="2"/>
          <w:sz w:val="32"/>
          <w:szCs w:val="32"/>
          <w:highlight w:val="none"/>
          <w:lang w:val="en-US" w:eastAsia="zh-CN" w:bidi="ar-SA"/>
        </w:rPr>
        <w:t>4年度履职效能得分</w:t>
      </w:r>
      <w:r>
        <w:rPr>
          <w:rFonts w:hint="eastAsia" w:ascii="仿宋_GB2312" w:hAnsi="仿宋_GB2312" w:eastAsia="仿宋_GB2312" w:cs="仿宋_GB2312"/>
          <w:kern w:val="2"/>
          <w:sz w:val="32"/>
          <w:szCs w:val="32"/>
          <w:highlight w:val="none"/>
          <w:lang w:val="en-US" w:eastAsia="zh-CN" w:bidi="ar-SA"/>
        </w:rPr>
        <w:t>15</w:t>
      </w:r>
      <w:r>
        <w:rPr>
          <w:rFonts w:hint="default" w:ascii="仿宋_GB2312" w:hAnsi="仿宋_GB2312" w:eastAsia="仿宋_GB2312" w:cs="仿宋_GB2312"/>
          <w:kern w:val="2"/>
          <w:sz w:val="32"/>
          <w:szCs w:val="32"/>
          <w:highlight w:val="none"/>
          <w:lang w:val="en-US" w:eastAsia="zh-CN" w:bidi="ar-SA"/>
        </w:rPr>
        <w:t>分。一是通过系列宣传推广活动，包括线上宣传、线下活动、媒体合作等多种形式，提升广元文化旅游品牌的市场认知度和美誉度。在赴主要旅游客源地开展宣传推介、开展“四季游广元”文旅活动、制作宣传视频、推文等，组织1000余家旅行社分批在广元市开展深度考察踩线活动，并举办座谈会、文旅推介会，提升广元作为旅游目的地的吸引力。二是贯彻落实惠企政策措施，有力推动全市文旅消费振兴及文旅企业发展，助力本市重点文旅企业做优做强。对年营业收入首次突破特定数额的、限上企业成功创建为省级文化旅游龙头企业的、新开业的乡村旅游综合体或特色民宿新业态、年营业额达到500万元或吸纳就业常态化保持50人以上并进规入统的、限上演艺企业新创作演艺作品且年商业化演出达20场次以上的，市级财政给予补助。三是根据《国务院关于开展第四次全国文物普查的通知》（国发〔2023〕18号）、《第四次全国文物普查总体方案》有关要求，按照国务院统一部署，此次普查从2023年11月开始，到2026年6月结束，分三个阶段进行，主要任务是对第三次全国文物普查登记文物进行复核，认定第三次全国文物普查以来新发现的文物。2023年11月至2024年4月为普查第一阶段，主要任务是建立各级普查机构，确定技术标准和规范，开发普查系统与采集软件，开展培训、试点工作；2024年5月至2025年5月为普查第二阶段，以县域为基本单元，实地开展文物调查；2025年6月至2026年6月为普查第三阶段，依法认定、登记并公布不可移动文物，建立全市不可移动文物资源总目录，逐级验收并向社会公布普查成果。四是根据市政府第74次常务会审议通过的2024年广元女儿节暨欢乐文化周活动实施方案，共计预算资金398万元。其中女儿节经费预算150万元主要支出开幕式活动相关费用（含现场布置、舞台搭建、舞美音响等51.92万元，文艺表演、LED屏幕等85.08万元，国际凤舟赛补贴13万元）。城市品牌宣传活动经费预算248万元主要支出市文旅康养集团征集策划方案30万元，市文旅康养集团开展活动和氛围营造70万元（含“大美广元我来拍”“百鸟朝凤”小程序活动、水上灯光秀活动以及城市氛围亮化等），群众文化活动52.631万元（含“放歌嘉陵江”群众歌咏活动、夜间群众文化活动、陕甘川宁文化艺术交流活动等），宣传报道50万元，安全保障10万元，接待服务、后勤保障、来宾伴手礼及筹委会办公室工作经费等35.369万元。五是为深入学习贯彻习近平总书记来川来广视察关于把中华优秀传统文化传承好的重要指示精神，全面落实市委八届七次全会关于举办“中国蜀道文物展”安排部署，在习近平总书记视察广元一周年之际，对习近平总书记重要指示精神进行再部署、再推进、再落实。助力大蜀道国际文化旅游目的地和康养度假胜地建设以及蜀道翠云廊和世界级步游道建设，有序推进蜀道申遗工作，让千年蜀道绽放时代光彩。</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kern w:val="2"/>
          <w:sz w:val="32"/>
          <w:szCs w:val="32"/>
          <w:highlight w:val="none"/>
          <w:lang w:val="zh-CN" w:eastAsia="zh-CN" w:bidi="ar-SA"/>
        </w:rPr>
        <w:t>预算管理。</w:t>
      </w:r>
      <w:r>
        <w:rPr>
          <w:rFonts w:hint="eastAsia" w:ascii="仿宋_GB2312" w:hAnsi="仿宋_GB2312" w:eastAsia="仿宋_GB2312" w:cs="仿宋_GB2312"/>
          <w:kern w:val="2"/>
          <w:sz w:val="32"/>
          <w:szCs w:val="32"/>
          <w:highlight w:val="none"/>
          <w:lang w:val="en-US" w:eastAsia="zh-CN" w:bidi="ar-SA"/>
        </w:rPr>
        <w:t>2024年度</w:t>
      </w:r>
      <w:r>
        <w:rPr>
          <w:rFonts w:hint="eastAsia" w:ascii="仿宋_GB2312" w:hAnsi="仿宋_GB2312" w:eastAsia="仿宋_GB2312" w:cs="仿宋_GB2312"/>
          <w:kern w:val="2"/>
          <w:sz w:val="32"/>
          <w:szCs w:val="32"/>
          <w:highlight w:val="none"/>
          <w:lang w:val="zh-CN" w:eastAsia="zh-CN" w:bidi="ar-SA"/>
        </w:rPr>
        <w:t>预算管理</w:t>
      </w:r>
      <w:r>
        <w:rPr>
          <w:rFonts w:hint="eastAsia" w:ascii="仿宋_GB2312" w:hAnsi="仿宋_GB2312" w:eastAsia="仿宋_GB2312" w:cs="仿宋_GB2312"/>
          <w:kern w:val="2"/>
          <w:sz w:val="32"/>
          <w:szCs w:val="32"/>
          <w:highlight w:val="none"/>
          <w:lang w:val="en-US" w:eastAsia="zh-CN" w:bidi="ar-SA"/>
        </w:rPr>
        <w:t>得</w:t>
      </w:r>
      <w:r>
        <w:rPr>
          <w:rFonts w:hint="eastAsia" w:ascii="仿宋_GB2312" w:hAnsi="仿宋_GB2312" w:eastAsia="仿宋_GB2312" w:cs="仿宋_GB2312"/>
          <w:kern w:val="2"/>
          <w:sz w:val="32"/>
          <w:szCs w:val="32"/>
          <w:highlight w:val="none"/>
          <w:lang w:val="zh-CN" w:eastAsia="zh-CN" w:bidi="ar-SA"/>
        </w:rPr>
        <w:t>20分</w:t>
      </w:r>
      <w:r>
        <w:rPr>
          <w:rFonts w:hint="eastAsia" w:ascii="仿宋_GB2312" w:hAnsi="仿宋_GB2312" w:eastAsia="仿宋_GB2312" w:cs="仿宋_GB2312"/>
          <w:kern w:val="2"/>
          <w:sz w:val="32"/>
          <w:szCs w:val="32"/>
          <w:highlight w:val="none"/>
          <w:lang w:val="en-US" w:eastAsia="zh-CN" w:bidi="ar-SA"/>
        </w:rPr>
        <w:t xml:space="preserve"> ，具体得分情况如下：</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（1）预算编制质量得8分。我局严格按照市财政预算管理办法编制年初部门预算、市本级财政待下预算、中央省转移支付追加项目预算，未单独追加其他预算。</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（2）支出执行进度。</w:t>
      </w:r>
      <w:r>
        <w:rPr>
          <w:rFonts w:hint="eastAsia" w:ascii="仿宋_GB2312" w:hAnsi="仿宋_GB2312" w:eastAsia="仿宋_GB2312" w:cs="仿宋_GB2312"/>
          <w:kern w:val="2"/>
          <w:sz w:val="32"/>
          <w:szCs w:val="32"/>
          <w:highlight w:val="none"/>
          <w:lang w:val="zh-CN" w:eastAsia="zh-CN" w:bidi="ar-SA"/>
        </w:rPr>
        <w:t>单位1至6月、1至10月预算执行情况与时间较匹配，</w:t>
      </w:r>
      <w:r>
        <w:rPr>
          <w:rFonts w:hint="eastAsia" w:ascii="仿宋_GB2312" w:hAnsi="仿宋_GB2312" w:eastAsia="仿宋_GB2312" w:cs="仿宋_GB2312"/>
          <w:kern w:val="2"/>
          <w:sz w:val="32"/>
          <w:szCs w:val="32"/>
          <w:highlight w:val="none"/>
          <w:lang w:val="en-US" w:eastAsia="zh-CN" w:bidi="ar-SA"/>
        </w:rPr>
        <w:t>但也存在个别特定目标类项目年中支付进度未能与时间匹配的情况，</w:t>
      </w:r>
      <w:r>
        <w:rPr>
          <w:rFonts w:hint="eastAsia" w:ascii="仿宋_GB2312" w:hAnsi="仿宋_GB2312" w:eastAsia="仿宋_GB2312" w:cs="仿宋_GB2312"/>
          <w:kern w:val="2"/>
          <w:sz w:val="32"/>
          <w:szCs w:val="32"/>
          <w:highlight w:val="none"/>
          <w:lang w:val="zh-CN" w:eastAsia="zh-CN" w:bidi="ar-SA"/>
        </w:rPr>
        <w:t>经评测得分</w:t>
      </w:r>
      <w:r>
        <w:rPr>
          <w:rFonts w:hint="eastAsia" w:ascii="仿宋_GB2312" w:hAnsi="仿宋_GB2312" w:eastAsia="仿宋_GB2312" w:cs="仿宋_GB2312"/>
          <w:kern w:val="2"/>
          <w:sz w:val="32"/>
          <w:szCs w:val="32"/>
          <w:highlight w:val="none"/>
          <w:lang w:val="en-US" w:eastAsia="zh-CN" w:bidi="ar-SA"/>
        </w:rPr>
        <w:t>4分。</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（3）预算年终结余。</w:t>
      </w:r>
      <w:r>
        <w:rPr>
          <w:rFonts w:hint="eastAsia" w:ascii="仿宋_GB2312" w:hAnsi="仿宋_GB2312" w:eastAsia="仿宋_GB2312" w:cs="仿宋_GB2312"/>
          <w:kern w:val="2"/>
          <w:sz w:val="32"/>
          <w:szCs w:val="32"/>
          <w:highlight w:val="none"/>
          <w:lang w:val="zh-CN" w:eastAsia="zh-CN" w:bidi="ar-SA"/>
        </w:rPr>
        <w:t>单位整体年终预算完成比率</w:t>
      </w:r>
      <w:r>
        <w:rPr>
          <w:rFonts w:hint="eastAsia" w:ascii="仿宋_GB2312" w:hAnsi="仿宋_GB2312" w:eastAsia="仿宋_GB2312" w:cs="仿宋_GB2312"/>
          <w:kern w:val="2"/>
          <w:sz w:val="32"/>
          <w:szCs w:val="32"/>
          <w:highlight w:val="none"/>
          <w:lang w:val="en-US" w:eastAsia="zh-CN" w:bidi="ar-SA"/>
        </w:rPr>
        <w:t>94%</w:t>
      </w:r>
      <w:r>
        <w:rPr>
          <w:rFonts w:hint="eastAsia" w:ascii="仿宋_GB2312" w:hAnsi="仿宋_GB2312" w:eastAsia="仿宋_GB2312" w:cs="仿宋_GB2312"/>
          <w:kern w:val="2"/>
          <w:sz w:val="32"/>
          <w:szCs w:val="32"/>
          <w:highlight w:val="none"/>
          <w:lang w:val="zh-CN" w:eastAsia="zh-CN" w:bidi="ar-SA"/>
        </w:rPr>
        <w:t>，经评测得分</w:t>
      </w:r>
      <w:r>
        <w:rPr>
          <w:rFonts w:hint="eastAsia" w:ascii="仿宋_GB2312" w:hAnsi="仿宋_GB2312" w:eastAsia="仿宋_GB2312" w:cs="仿宋_GB2312"/>
          <w:kern w:val="2"/>
          <w:sz w:val="32"/>
          <w:szCs w:val="32"/>
          <w:highlight w:val="none"/>
          <w:lang w:val="en-US" w:eastAsia="zh-CN" w:bidi="ar-SA"/>
        </w:rPr>
        <w:t>3分</w:t>
      </w:r>
      <w:r>
        <w:rPr>
          <w:rFonts w:hint="eastAsia" w:ascii="仿宋_GB2312" w:hAnsi="仿宋_GB2312" w:eastAsia="仿宋_GB2312" w:cs="仿宋_GB2312"/>
          <w:kern w:val="2"/>
          <w:sz w:val="32"/>
          <w:szCs w:val="32"/>
          <w:highlight w:val="none"/>
          <w:lang w:val="zh-CN" w:eastAsia="zh-CN" w:bidi="ar-SA"/>
        </w:rPr>
        <w:t>。</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严控一般性支出。主要严控“三公”经费、会议、培训、差旅、办节办展、办公设备购置、信息网络及软件购置更新、课题经费等8项一般性支出情况，通过强化源头控制、严格预算约束、规范预算管理等方式，有效控制和压减一般性支出，提高财政资金使用效率和效益，得5分。</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w:t>
      </w:r>
      <w:r>
        <w:rPr>
          <w:rFonts w:hint="eastAsia" w:ascii="仿宋_GB2312" w:hAnsi="仿宋_GB2312" w:eastAsia="仿宋_GB2312" w:cs="仿宋_GB2312"/>
          <w:kern w:val="2"/>
          <w:sz w:val="32"/>
          <w:szCs w:val="32"/>
          <w:highlight w:val="none"/>
          <w:lang w:val="zh-CN" w:eastAsia="zh-CN" w:bidi="ar-SA"/>
        </w:rPr>
        <w:t>财务管理。我</w:t>
      </w:r>
      <w:r>
        <w:rPr>
          <w:rFonts w:hint="eastAsia" w:ascii="仿宋_GB2312" w:hAnsi="仿宋_GB2312" w:eastAsia="仿宋_GB2312" w:cs="仿宋_GB2312"/>
          <w:kern w:val="2"/>
          <w:sz w:val="32"/>
          <w:szCs w:val="32"/>
          <w:highlight w:val="none"/>
          <w:lang w:val="en-US" w:eastAsia="zh-CN" w:bidi="ar-SA"/>
        </w:rPr>
        <w:t>局2024年度财务管理自评得10分，具体得分情况如下：</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zh-CN" w:eastAsia="zh-CN" w:bidi="ar-SA"/>
        </w:rPr>
        <w:t>（</w:t>
      </w:r>
      <w:r>
        <w:rPr>
          <w:rFonts w:hint="eastAsia" w:ascii="仿宋_GB2312" w:hAnsi="仿宋_GB2312" w:eastAsia="仿宋_GB2312" w:cs="仿宋_GB2312"/>
          <w:kern w:val="2"/>
          <w:sz w:val="32"/>
          <w:szCs w:val="32"/>
          <w:highlight w:val="none"/>
          <w:lang w:val="en-US" w:eastAsia="zh-CN" w:bidi="ar-SA"/>
        </w:rPr>
        <w:t>1</w:t>
      </w:r>
      <w:r>
        <w:rPr>
          <w:rFonts w:hint="eastAsia" w:ascii="仿宋_GB2312" w:hAnsi="仿宋_GB2312" w:eastAsia="仿宋_GB2312" w:cs="仿宋_GB2312"/>
          <w:kern w:val="2"/>
          <w:sz w:val="32"/>
          <w:szCs w:val="32"/>
          <w:highlight w:val="none"/>
          <w:lang w:val="zh-CN" w:eastAsia="zh-CN" w:bidi="ar-SA"/>
        </w:rPr>
        <w:t>）财务管理制度。我</w:t>
      </w:r>
      <w:r>
        <w:rPr>
          <w:rFonts w:hint="eastAsia" w:ascii="仿宋_GB2312" w:hAnsi="仿宋_GB2312" w:eastAsia="仿宋_GB2312" w:cs="仿宋_GB2312"/>
          <w:kern w:val="2"/>
          <w:sz w:val="32"/>
          <w:szCs w:val="32"/>
          <w:highlight w:val="none"/>
          <w:lang w:val="en-US" w:eastAsia="zh-CN" w:bidi="ar-SA"/>
        </w:rPr>
        <w:t>局制定了《广元市文化广播电视和旅游局经费支出管理办法（试行）2023年版》《限额标准以下采购项目管理办法（试行）2023年版》《广元市文化广播电视和旅游局经费支出报销流程及规范》《广元市文化广播电视和旅游局差旅费管理办法》《广元市文化广播电视和旅游局公务接待管理办法》《广元市文化广播电视和旅游局预算绩效评价管理办法》《广元市文化广播电视和旅游局直属单位内部审计制度》《政府采购内控管理制度》和《基本建设项目审计工作管理制度》等财务管理制度，同时还执行《市级部门单位“过紧日子”十三条措施（2022年修订）》《广元市市级机关会议费管理办法》《广元市市级机关培训费管理办法》《广元市经济合作局商务接待管理办法（试行）》《广元市财政局关于进一步加强市本级政府投资建设项目资金管理的通知》《广元市市本级政府投资建设项目概算管理办法》等制度，内部管理制度完善，自评得4分。</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zh-CN" w:eastAsia="zh-CN" w:bidi="ar-SA"/>
        </w:rPr>
        <w:t>（</w:t>
      </w:r>
      <w:r>
        <w:rPr>
          <w:rFonts w:hint="eastAsia"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kern w:val="2"/>
          <w:sz w:val="32"/>
          <w:szCs w:val="32"/>
          <w:highlight w:val="none"/>
          <w:lang w:val="zh-CN" w:eastAsia="zh-CN" w:bidi="ar-SA"/>
        </w:rPr>
        <w:t>）财务岗位设置。我</w:t>
      </w:r>
      <w:r>
        <w:rPr>
          <w:rFonts w:hint="eastAsia" w:ascii="仿宋_GB2312" w:hAnsi="仿宋_GB2312" w:eastAsia="仿宋_GB2312" w:cs="仿宋_GB2312"/>
          <w:kern w:val="2"/>
          <w:sz w:val="32"/>
          <w:szCs w:val="32"/>
          <w:highlight w:val="none"/>
          <w:lang w:val="en-US" w:eastAsia="zh-CN" w:bidi="ar-SA"/>
        </w:rPr>
        <w:t>局会计机构健全，会计人员岗位分工明确，严格执行不相容岗位分离原则，自评得2分。</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zh-CN" w:eastAsia="zh-CN" w:bidi="ar-SA"/>
        </w:rPr>
        <w:t>（</w:t>
      </w:r>
      <w:r>
        <w:rPr>
          <w:rFonts w:hint="eastAsia" w:ascii="仿宋_GB2312" w:hAnsi="仿宋_GB2312" w:eastAsia="仿宋_GB2312" w:cs="仿宋_GB2312"/>
          <w:kern w:val="2"/>
          <w:sz w:val="32"/>
          <w:szCs w:val="32"/>
          <w:highlight w:val="none"/>
          <w:lang w:val="en-US" w:eastAsia="zh-CN" w:bidi="ar-SA"/>
        </w:rPr>
        <w:t>3</w:t>
      </w:r>
      <w:r>
        <w:rPr>
          <w:rFonts w:hint="eastAsia" w:ascii="仿宋_GB2312" w:hAnsi="仿宋_GB2312" w:eastAsia="仿宋_GB2312" w:cs="仿宋_GB2312"/>
          <w:kern w:val="2"/>
          <w:sz w:val="32"/>
          <w:szCs w:val="32"/>
          <w:highlight w:val="none"/>
          <w:lang w:val="zh-CN" w:eastAsia="zh-CN" w:bidi="ar-SA"/>
        </w:rPr>
        <w:t>）资金使用规范。我</w:t>
      </w:r>
      <w:r>
        <w:rPr>
          <w:rFonts w:hint="eastAsia" w:ascii="仿宋_GB2312" w:hAnsi="仿宋_GB2312" w:eastAsia="仿宋_GB2312" w:cs="仿宋_GB2312"/>
          <w:kern w:val="2"/>
          <w:sz w:val="32"/>
          <w:szCs w:val="32"/>
          <w:highlight w:val="none"/>
          <w:lang w:val="en-US" w:eastAsia="zh-CN" w:bidi="ar-SA"/>
        </w:rPr>
        <w:t>局财务管理制度完善，严格执行公务员工资津补贴相关政策，严格按标准按范围发放人员经费。在项目资金管理使用上，坚持专款专用，量入为出的原则，各项专用资金使用正确，达到预期目的，自评得4分。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4.</w:t>
      </w:r>
      <w:r>
        <w:rPr>
          <w:rFonts w:hint="eastAsia" w:ascii="仿宋_GB2312" w:hAnsi="仿宋_GB2312" w:eastAsia="仿宋_GB2312" w:cs="仿宋_GB2312"/>
          <w:kern w:val="2"/>
          <w:sz w:val="32"/>
          <w:szCs w:val="32"/>
          <w:highlight w:val="none"/>
          <w:lang w:val="zh-CN" w:eastAsia="zh-CN" w:bidi="ar-SA"/>
        </w:rPr>
        <w:t>资产管理。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单位资产保存完整，资产配置合理，资产处置规范，资产账务管理合规，账实相符。2024年度无新增资产，无闲置资产，未进行资产处置，无资产处置收入。</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zh-CN" w:eastAsia="zh-CN" w:bidi="ar-SA"/>
        </w:rPr>
        <w:t>人均资产变化率：单位</w:t>
      </w:r>
      <w:r>
        <w:rPr>
          <w:rFonts w:hint="eastAsia" w:ascii="仿宋_GB2312" w:hAnsi="仿宋_GB2312" w:eastAsia="仿宋_GB2312" w:cs="仿宋_GB2312"/>
          <w:kern w:val="2"/>
          <w:sz w:val="32"/>
          <w:szCs w:val="32"/>
          <w:highlight w:val="none"/>
          <w:lang w:val="en-US" w:eastAsia="zh-CN" w:bidi="ar-SA"/>
        </w:rPr>
        <w:t>本年度人均资产与上年度相比基本无变化，经评测得分3分。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资产利用率：单位资产超最低使用年限情况正常，未有资产使用低于最低年限的情况，经测评得分</w:t>
      </w:r>
      <w:r>
        <w:rPr>
          <w:rFonts w:hint="eastAsia" w:ascii="仿宋_GB2312" w:hAnsi="仿宋_GB2312" w:eastAsia="仿宋_GB2312" w:cs="仿宋_GB2312"/>
          <w:kern w:val="2"/>
          <w:sz w:val="32"/>
          <w:szCs w:val="32"/>
          <w:highlight w:val="none"/>
          <w:lang w:val="en-US" w:eastAsia="zh-CN" w:bidi="ar-SA"/>
        </w:rPr>
        <w:t>2分</w:t>
      </w:r>
      <w:r>
        <w:rPr>
          <w:rFonts w:hint="eastAsia" w:ascii="仿宋_GB2312" w:hAnsi="仿宋_GB2312" w:eastAsia="仿宋_GB2312" w:cs="仿宋_GB2312"/>
          <w:kern w:val="2"/>
          <w:sz w:val="32"/>
          <w:szCs w:val="32"/>
          <w:highlight w:val="none"/>
          <w:lang w:val="zh-CN" w:eastAsia="zh-CN" w:bidi="ar-SA"/>
        </w:rPr>
        <w:t>。</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zh-CN" w:eastAsia="zh-CN" w:bidi="ar-SA"/>
        </w:rPr>
        <w:t>资产盘活率：单位无闲置一年以上的资产，经评测得分</w:t>
      </w:r>
      <w:r>
        <w:rPr>
          <w:rFonts w:hint="eastAsia" w:ascii="仿宋_GB2312" w:hAnsi="仿宋_GB2312" w:eastAsia="仿宋_GB2312" w:cs="仿宋_GB2312"/>
          <w:kern w:val="2"/>
          <w:sz w:val="32"/>
          <w:szCs w:val="32"/>
          <w:highlight w:val="none"/>
          <w:lang w:val="en-US" w:eastAsia="zh-CN" w:bidi="ar-SA"/>
        </w:rPr>
        <w:t>2分</w:t>
      </w:r>
      <w:r>
        <w:rPr>
          <w:rFonts w:hint="eastAsia" w:ascii="仿宋_GB2312" w:hAnsi="仿宋_GB2312" w:eastAsia="仿宋_GB2312" w:cs="仿宋_GB2312"/>
          <w:kern w:val="2"/>
          <w:sz w:val="32"/>
          <w:szCs w:val="32"/>
          <w:highlight w:val="none"/>
          <w:lang w:val="zh-CN" w:eastAsia="zh-CN" w:bidi="ar-SA"/>
        </w:rPr>
        <w:t>。</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综上，</w:t>
      </w:r>
      <w:r>
        <w:rPr>
          <w:rFonts w:hint="eastAsia" w:ascii="仿宋_GB2312" w:hAnsi="仿宋_GB2312" w:eastAsia="仿宋_GB2312" w:cs="仿宋_GB2312"/>
          <w:kern w:val="2"/>
          <w:sz w:val="32"/>
          <w:szCs w:val="32"/>
          <w:highlight w:val="none"/>
          <w:lang w:val="zh-CN" w:eastAsia="zh-CN" w:bidi="ar-SA"/>
        </w:rPr>
        <w:t>从人均资产变化率、资产利用率、资产盘活率来分析，我单位2024年度资产管理</w:t>
      </w:r>
      <w:r>
        <w:rPr>
          <w:rFonts w:hint="eastAsia" w:ascii="仿宋_GB2312" w:hAnsi="仿宋_GB2312" w:eastAsia="仿宋_GB2312" w:cs="仿宋_GB2312"/>
          <w:kern w:val="2"/>
          <w:sz w:val="32"/>
          <w:szCs w:val="32"/>
          <w:highlight w:val="none"/>
          <w:lang w:val="en-US" w:eastAsia="zh-CN" w:bidi="ar-SA"/>
        </w:rPr>
        <w:t>自评</w:t>
      </w:r>
      <w:r>
        <w:rPr>
          <w:rFonts w:hint="eastAsia" w:ascii="仿宋_GB2312" w:hAnsi="仿宋_GB2312" w:eastAsia="仿宋_GB2312" w:cs="仿宋_GB2312"/>
          <w:kern w:val="2"/>
          <w:sz w:val="32"/>
          <w:szCs w:val="32"/>
          <w:highlight w:val="none"/>
          <w:lang w:val="zh-CN" w:eastAsia="zh-CN" w:bidi="ar-SA"/>
        </w:rPr>
        <w:t>得</w:t>
      </w:r>
      <w:r>
        <w:rPr>
          <w:rFonts w:hint="eastAsia" w:ascii="仿宋_GB2312" w:hAnsi="仿宋_GB2312" w:eastAsia="仿宋_GB2312" w:cs="仿宋_GB2312"/>
          <w:kern w:val="2"/>
          <w:sz w:val="32"/>
          <w:szCs w:val="32"/>
          <w:highlight w:val="none"/>
          <w:lang w:val="en-US" w:eastAsia="zh-CN" w:bidi="ar-SA"/>
        </w:rPr>
        <w:t>7</w:t>
      </w:r>
      <w:r>
        <w:rPr>
          <w:rFonts w:hint="eastAsia" w:ascii="仿宋_GB2312" w:hAnsi="仿宋_GB2312" w:eastAsia="仿宋_GB2312" w:cs="仿宋_GB2312"/>
          <w:kern w:val="2"/>
          <w:sz w:val="32"/>
          <w:szCs w:val="32"/>
          <w:highlight w:val="none"/>
          <w:lang w:val="zh-CN" w:eastAsia="zh-CN" w:bidi="ar-SA"/>
        </w:rPr>
        <w:t>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5.</w:t>
      </w:r>
      <w:r>
        <w:rPr>
          <w:rFonts w:hint="eastAsia" w:ascii="仿宋_GB2312" w:hAnsi="仿宋_GB2312" w:eastAsia="仿宋_GB2312" w:cs="仿宋_GB2312"/>
          <w:kern w:val="2"/>
          <w:sz w:val="32"/>
          <w:szCs w:val="32"/>
          <w:highlight w:val="none"/>
          <w:lang w:val="zh-CN" w:eastAsia="zh-CN" w:bidi="ar-SA"/>
        </w:rPr>
        <w:t>采购管理。</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zh-CN" w:eastAsia="zh-CN" w:bidi="ar-SA"/>
        </w:rPr>
        <w:t>部门严格执行政府采购促进中小企业发展相关管理办法，2024年政府采购99.67万元，专门面向中小企业采购99.67万元。</w:t>
      </w:r>
      <w:r>
        <w:rPr>
          <w:rFonts w:hint="eastAsia" w:ascii="仿宋_GB2312" w:hAnsi="仿宋_GB2312" w:eastAsia="仿宋_GB2312" w:cs="仿宋_GB2312"/>
          <w:kern w:val="2"/>
          <w:sz w:val="32"/>
          <w:szCs w:val="32"/>
          <w:highlight w:val="none"/>
          <w:lang w:val="en-US" w:eastAsia="zh-CN" w:bidi="ar-SA"/>
        </w:rPr>
        <w:t>得3分。</w:t>
      </w:r>
    </w:p>
    <w:p>
      <w:pPr>
        <w:spacing w:line="60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zh-CN" w:eastAsia="zh-CN" w:bidi="ar-SA"/>
        </w:rPr>
        <w:t>采购执行率</w:t>
      </w:r>
      <w:r>
        <w:rPr>
          <w:rFonts w:hint="eastAsia" w:ascii="仿宋_GB2312" w:hAnsi="仿宋_GB2312" w:eastAsia="仿宋_GB2312" w:cs="仿宋_GB2312"/>
          <w:kern w:val="2"/>
          <w:sz w:val="32"/>
          <w:szCs w:val="32"/>
          <w:highlight w:val="none"/>
          <w:lang w:val="en-US" w:eastAsia="zh-CN" w:bidi="ar-SA"/>
        </w:rPr>
        <w:t>方面部门政府采购项目资金支付比例情况：当年政府采购总预算数100万元，当年已完成采购项目节约金额0.33万元，当年政府采购实际支付总金额99.67万元。得3分。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我单位2024年度采购管理</w:t>
      </w:r>
      <w:r>
        <w:rPr>
          <w:rFonts w:hint="eastAsia" w:ascii="仿宋_GB2312" w:hAnsi="仿宋_GB2312" w:eastAsia="仿宋_GB2312" w:cs="仿宋_GB2312"/>
          <w:kern w:val="2"/>
          <w:sz w:val="32"/>
          <w:szCs w:val="32"/>
          <w:highlight w:val="none"/>
          <w:lang w:val="en-US" w:eastAsia="zh-CN" w:bidi="ar-SA"/>
        </w:rPr>
        <w:t>自评</w:t>
      </w:r>
      <w:r>
        <w:rPr>
          <w:rFonts w:hint="eastAsia" w:ascii="仿宋_GB2312" w:hAnsi="仿宋_GB2312" w:eastAsia="仿宋_GB2312" w:cs="仿宋_GB2312"/>
          <w:kern w:val="2"/>
          <w:sz w:val="32"/>
          <w:szCs w:val="32"/>
          <w:highlight w:val="none"/>
          <w:lang w:val="zh-CN" w:eastAsia="zh-CN" w:bidi="ar-SA"/>
        </w:rPr>
        <w:t>得</w:t>
      </w:r>
      <w:r>
        <w:rPr>
          <w:rFonts w:hint="eastAsia" w:ascii="仿宋_GB2312" w:hAnsi="仿宋_GB2312" w:eastAsia="仿宋_GB2312" w:cs="仿宋_GB2312"/>
          <w:kern w:val="2"/>
          <w:sz w:val="32"/>
          <w:szCs w:val="32"/>
          <w:highlight w:val="none"/>
          <w:lang w:val="en-US" w:eastAsia="zh-CN" w:bidi="ar-SA"/>
        </w:rPr>
        <w:t>6</w:t>
      </w:r>
      <w:r>
        <w:rPr>
          <w:rFonts w:hint="eastAsia" w:ascii="仿宋_GB2312" w:hAnsi="仿宋_GB2312" w:eastAsia="仿宋_GB2312" w:cs="仿宋_GB2312"/>
          <w:kern w:val="2"/>
          <w:sz w:val="32"/>
          <w:szCs w:val="32"/>
          <w:highlight w:val="none"/>
          <w:lang w:val="zh-CN" w:eastAsia="zh-CN" w:bidi="ar-SA"/>
        </w:rPr>
        <w:t>分。</w:t>
      </w:r>
    </w:p>
    <w:p>
      <w:pPr>
        <w:spacing w:line="600" w:lineRule="exact"/>
        <w:ind w:firstLine="640"/>
        <w:rPr>
          <w:rFonts w:hint="eastAsia" w:ascii="Times New Roman" w:hAnsi="Times New Roman" w:eastAsia="仿宋_GB2312" w:cs="仿宋_GB2312"/>
          <w:b/>
          <w:bCs/>
          <w:sz w:val="32"/>
          <w:szCs w:val="32"/>
          <w:highlight w:val="none"/>
        </w:rPr>
      </w:pPr>
      <w:r>
        <w:rPr>
          <w:rFonts w:hint="eastAsia" w:ascii="Times New Roman" w:hAnsi="Times New Roman" w:eastAsia="仿宋_GB2312" w:cs="仿宋_GB2312"/>
          <w:b/>
          <w:bCs/>
          <w:sz w:val="32"/>
          <w:szCs w:val="32"/>
          <w:highlight w:val="none"/>
          <w:lang w:val="zh-CN"/>
        </w:rPr>
        <w:t>（二）部门预算项目绩效分析。</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2024年度本部门项目总数27个，涉及预算总金额9294.56万元，1—12月预算执行总体进度为94%，其中：预算结余率大于10%的项目共计0个。</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1.项目决策。从综合评价来看，本部门27个预算项目设立依据充分，均按规定履行评估论证和申报程序；27个部门预算项目绩效目标与计划期内的任务量、预算安排的资金量相匹配，同时绩效目标设置科学合理、规范完整、量化细化、预算匹配；30个部门预算项目均能在规定时间完成项目入库，均设定了各项目绩效目标，对资金配置方面均有明确的测算依据，整体情况良好。经测算，决策程序得4分、目标设置得4分、项目入库得4分，该项自评得分12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2.项目执行。本部门27个部门预算项目实际列支内容与绩效目标设置方向相符。得4分。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《司马错入蜀重大历史意义研究》重点课题研究费用部门预算项目未采取对应调整措施。得0分。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2024年度项目总数27个，预算结余率大于10%的项目0个。得4分。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经测算，执行同向得4分、项目调整得0分、执行结果得4分，此项自评得分8分。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3.目标实现。本部门27个部门预算项目绩效目标数量指标均完成。无偏离度超过30%的项目指标。27个部门预算项目绩效目标效益指标均达到预期目标效果。</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经测算，目标完成得4分、目标偏离得4分、实现效果得3分，此项总计得分11分。</w:t>
      </w:r>
    </w:p>
    <w:p>
      <w:pPr>
        <w:spacing w:line="600" w:lineRule="exact"/>
        <w:ind w:firstLine="640"/>
        <w:rPr>
          <w:rFonts w:hint="eastAsia" w:ascii="Times New Roman" w:hAnsi="Times New Roman" w:eastAsia="仿宋_GB2312" w:cs="仿宋_GB2312"/>
          <w:b/>
          <w:bCs/>
          <w:sz w:val="32"/>
          <w:szCs w:val="32"/>
          <w:highlight w:val="none"/>
          <w:lang w:val="zh-CN"/>
        </w:rPr>
      </w:pPr>
      <w:r>
        <w:rPr>
          <w:rFonts w:hint="eastAsia" w:ascii="Times New Roman" w:hAnsi="Times New Roman" w:eastAsia="仿宋_GB2312" w:cs="仿宋_GB2312"/>
          <w:b/>
          <w:bCs/>
          <w:sz w:val="32"/>
          <w:szCs w:val="32"/>
          <w:highlight w:val="none"/>
          <w:lang w:val="zh-CN"/>
        </w:rPr>
        <w:t>（三）重点领域绩效分析。</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default" w:ascii="仿宋_GB2312" w:hAnsi="仿宋_GB2312" w:eastAsia="仿宋_GB2312" w:cs="仿宋_GB2312"/>
          <w:kern w:val="2"/>
          <w:sz w:val="32"/>
          <w:szCs w:val="32"/>
          <w:highlight w:val="none"/>
          <w:lang w:val="zh-CN" w:eastAsia="zh-CN" w:bidi="ar-SA"/>
        </w:rPr>
        <w:t>2024年实施的公共文化服务体系建设专项资金之政府购买服务示范项目，本项目预算安排共计 108.044 万元，其中，文艺进街区费用39.88万元，有爱无碍费用39.856万元，川北民歌进校园费用10.36万元，快乐课堂费用5.98万元，蜀道文库11.968万元。本项目旨在通过政府购买服务的形式，推动文艺进街区、“有爱无碍” 特殊群体文化关怀、川北民歌进校园传承、快乐课堂素质教育拓展以及蜀道文库文化研究整理等活动的开展。支持方向聚焦于基层文化活动的开展、文化传承与教育普及、特殊群体文化权益保障以及地方特色文化的挖掘与整理，全方位提升公共文化服务的覆盖面与质量。预期通过本项目的实施，在活动覆盖人群方面，确保文艺进街区开展文艺演出不少于40场，“有爱无碍”公益服务不少于90场，川北民歌进校园活动覆盖多所学校的师生，快乐课堂惠及众多学生，蜀道文库研究成果能够广泛传播。在活动影响力方面，提升群众对公共文化服务的满意度，增强地方文化的传承与发展活力，扩大广元文化旅游的知名度与美誉度，促进文化与经济社会的协同发展。</w:t>
      </w:r>
    </w:p>
    <w:p>
      <w:pPr>
        <w:spacing w:line="600" w:lineRule="exact"/>
        <w:ind w:firstLine="640"/>
        <w:rPr>
          <w:rFonts w:hint="default" w:ascii="Times New Roman" w:hAnsi="Times New Roman" w:eastAsia="仿宋_GB2312" w:cs="仿宋_GB2312"/>
          <w:b/>
          <w:bCs/>
          <w:sz w:val="32"/>
          <w:szCs w:val="32"/>
          <w:highlight w:val="none"/>
          <w:lang w:val="zh-CN" w:eastAsia="zh-CN"/>
        </w:rPr>
      </w:pPr>
      <w:r>
        <w:rPr>
          <w:rFonts w:hint="eastAsia" w:ascii="Times New Roman" w:hAnsi="Times New Roman" w:eastAsia="仿宋_GB2312" w:cs="仿宋_GB2312"/>
          <w:b/>
          <w:bCs/>
          <w:sz w:val="32"/>
          <w:szCs w:val="32"/>
          <w:highlight w:val="none"/>
          <w:lang w:val="zh-CN" w:eastAsia="zh-CN"/>
        </w:rPr>
        <w:t>（四）绩效结果应用情况。</w:t>
      </w:r>
    </w:p>
    <w:p>
      <w:pPr>
        <w:spacing w:line="600" w:lineRule="exact"/>
        <w:ind w:firstLine="640"/>
        <w:rPr>
          <w:rFonts w:hint="default"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经对</w:t>
      </w:r>
      <w:r>
        <w:rPr>
          <w:rFonts w:hint="default" w:ascii="仿宋_GB2312" w:hAnsi="仿宋_GB2312" w:eastAsia="仿宋_GB2312" w:cs="仿宋_GB2312"/>
          <w:kern w:val="2"/>
          <w:sz w:val="32"/>
          <w:szCs w:val="32"/>
          <w:highlight w:val="none"/>
          <w:lang w:val="zh-CN" w:eastAsia="zh-CN" w:bidi="ar-SA"/>
        </w:rPr>
        <w:t>202</w:t>
      </w:r>
      <w:r>
        <w:rPr>
          <w:rFonts w:hint="eastAsia" w:ascii="仿宋_GB2312" w:hAnsi="仿宋_GB2312" w:eastAsia="仿宋_GB2312" w:cs="仿宋_GB2312"/>
          <w:kern w:val="2"/>
          <w:sz w:val="32"/>
          <w:szCs w:val="32"/>
          <w:highlight w:val="none"/>
          <w:lang w:val="zh-CN" w:eastAsia="zh-CN" w:bidi="ar-SA"/>
        </w:rPr>
        <w:t>4年度部门整体绩效自评，我部门将预算管理和绩效管理相结合，并根据相关文件要求，通过网站等信息平台，向社会大众及时公布绩效评价结果与财政预算指标，并接受广大群众的监督，不断强化财政资金使用主体的责任意识。同时我部门注重绩效评价结果的运用，通过对照绩效评价工作中发现的问题，结合绩效评价报告中提出的整改意见，进一步完善预算管理机制，增强支出责任，规范资金使用，强化监督检查，强化财政资金管理水平，提高财政资金使用效益，为预算资金使用效益的提高提供基础保障。</w:t>
      </w:r>
    </w:p>
    <w:p>
      <w:pPr>
        <w:adjustRightInd w:val="0"/>
        <w:snapToGrid w:val="0"/>
        <w:spacing w:line="576" w:lineRule="exact"/>
        <w:ind w:firstLine="640" w:firstLineChars="200"/>
        <w:contextualSpacing/>
        <w:rPr>
          <w:rFonts w:hint="eastAsia" w:ascii="方正黑体简体" w:hAnsi="方正黑体简体" w:eastAsia="方正黑体简体" w:cs="方正黑体简体"/>
          <w:b w:val="0"/>
          <w:bCs w:val="0"/>
          <w:color w:val="000000"/>
          <w:kern w:val="0"/>
          <w:sz w:val="32"/>
          <w:szCs w:val="32"/>
          <w:highlight w:val="none"/>
          <w:lang w:val="zh-CN"/>
        </w:rPr>
      </w:pPr>
      <w:r>
        <w:rPr>
          <w:rFonts w:hint="eastAsia" w:ascii="方正黑体简体" w:hAnsi="方正黑体简体" w:eastAsia="方正黑体简体" w:cs="方正黑体简体"/>
          <w:b w:val="0"/>
          <w:bCs w:val="0"/>
          <w:color w:val="000000"/>
          <w:kern w:val="0"/>
          <w:sz w:val="32"/>
          <w:szCs w:val="32"/>
          <w:highlight w:val="none"/>
          <w:lang w:val="zh-CN"/>
        </w:rPr>
        <w:t>四、评价结论及建议</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Times New Roman" w:hAnsi="Times New Roman" w:eastAsia="仿宋_GB2312" w:cs="仿宋_GB2312"/>
          <w:b/>
          <w:bCs/>
          <w:sz w:val="32"/>
          <w:szCs w:val="32"/>
          <w:highlight w:val="none"/>
          <w:lang w:val="zh-CN" w:eastAsia="zh-CN"/>
        </w:rPr>
        <w:t>（一）评价结论。</w:t>
      </w:r>
      <w:r>
        <w:rPr>
          <w:rFonts w:hint="eastAsia" w:ascii="仿宋_GB2312" w:hAnsi="仿宋_GB2312" w:eastAsia="仿宋_GB2312" w:cs="仿宋_GB2312"/>
          <w:kern w:val="2"/>
          <w:sz w:val="32"/>
          <w:szCs w:val="32"/>
          <w:highlight w:val="none"/>
          <w:lang w:val="zh-CN" w:eastAsia="zh-CN" w:bidi="ar-SA"/>
        </w:rPr>
        <w:t>我局严格执行财经法律法规和各项财务规章制度，加强财务管理，规范会计核算，资金高效运行。项目决策科学，依据充分，项目管理规范；绩效执行进度预期，预算匹配；项目完成效果好，实施后达到了预期目的，促进了广元文化和旅游事业的发展。综上本单位2024年度部门整体绩效自评得分89分。</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Times New Roman" w:hAnsi="Times New Roman" w:eastAsia="仿宋_GB2312" w:cs="仿宋_GB2312"/>
          <w:b/>
          <w:bCs/>
          <w:sz w:val="32"/>
          <w:szCs w:val="32"/>
          <w:highlight w:val="none"/>
          <w:lang w:val="zh-CN" w:eastAsia="zh-CN"/>
        </w:rPr>
        <w:t>（二）存在问题。</w:t>
      </w:r>
      <w:r>
        <w:rPr>
          <w:rFonts w:hint="eastAsia" w:ascii="仿宋_GB2312" w:hAnsi="仿宋_GB2312" w:eastAsia="仿宋_GB2312" w:cs="仿宋_GB2312"/>
          <w:kern w:val="2"/>
          <w:sz w:val="32"/>
          <w:szCs w:val="32"/>
          <w:highlight w:val="none"/>
          <w:lang w:val="zh-CN" w:eastAsia="zh-CN" w:bidi="ar-SA"/>
        </w:rPr>
        <w:t>一是项目分散化导致绩效评价工作任务重，无论是部门预算项目，还是专项资金项目均存在金额小，项目分散的情况，按照每个项目均要填写绩效目标，开展自评的要求导致工作任务重；二是部门预算项目负责人不明确导致绩效自评任务分解难；三是项目支出绩效指标评价体系设置复杂，难以操作。</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Times New Roman" w:hAnsi="Times New Roman" w:eastAsia="仿宋_GB2312" w:cs="仿宋_GB2312"/>
          <w:b/>
          <w:bCs/>
          <w:sz w:val="32"/>
          <w:szCs w:val="32"/>
          <w:highlight w:val="none"/>
          <w:lang w:val="zh-CN" w:eastAsia="zh-CN"/>
        </w:rPr>
        <w:t>（三）改进建议。</w:t>
      </w:r>
      <w:r>
        <w:rPr>
          <w:rFonts w:hint="eastAsia" w:ascii="仿宋_GB2312" w:hAnsi="仿宋_GB2312" w:eastAsia="仿宋_GB2312" w:cs="仿宋_GB2312"/>
          <w:kern w:val="2"/>
          <w:sz w:val="32"/>
          <w:szCs w:val="32"/>
          <w:highlight w:val="none"/>
          <w:lang w:val="zh-CN" w:eastAsia="zh-CN" w:bidi="ar-SA"/>
        </w:rPr>
        <w:t>一是加强绩效管理制度的顶层设计。加强对我市行政事业单位预算执行情况、绩效管理现状的调研，将中央省对预算绩效管理的要求同我市财政体制、支出模式相结合，制定一套可操作性强、行之有效的绩效管理办法。二是细分绩效管理类别。分行业编制绩效指标体系，分项目性质编制绩效评价指导意见。三是加强绩效管理专业技能培训。建议分行业组织绩效管理培训，录制有效绩效管理案例视频课件等方式，提升工作人员的专业技能水平。</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p>
    <w:p>
      <w:pPr>
        <w:spacing w:line="600" w:lineRule="exact"/>
        <w:ind w:firstLine="64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附表：</w:t>
      </w:r>
      <w:r>
        <w:rPr>
          <w:rFonts w:hint="eastAsia" w:ascii="仿宋_GB2312" w:hAnsi="仿宋_GB2312" w:eastAsia="仿宋_GB2312" w:cs="仿宋_GB2312"/>
          <w:kern w:val="2"/>
          <w:sz w:val="32"/>
          <w:szCs w:val="32"/>
          <w:highlight w:val="none"/>
          <w:lang w:val="en-US" w:eastAsia="zh-CN" w:bidi="ar-SA"/>
        </w:rPr>
        <w:t>部门预算项目支出绩效自评表（2024年度）</w:t>
      </w:r>
    </w:p>
    <w:p>
      <w:pPr>
        <w:spacing w:line="600" w:lineRule="exact"/>
        <w:ind w:firstLine="640"/>
        <w:rPr>
          <w:rFonts w:hint="eastAsia" w:ascii="仿宋_GB2312" w:hAnsi="仿宋_GB2312" w:eastAsia="仿宋_GB2312" w:cs="仿宋_GB2312"/>
          <w:kern w:val="2"/>
          <w:sz w:val="32"/>
          <w:szCs w:val="32"/>
          <w:highlight w:val="none"/>
          <w:lang w:val="zh-CN" w:eastAsia="zh-CN" w:bidi="ar-SA"/>
        </w:rPr>
      </w:pPr>
    </w:p>
    <w:p>
      <w:pPr>
        <w:pStyle w:val="2"/>
        <w:spacing w:before="93"/>
        <w:rPr>
          <w:rFonts w:ascii="Times New Roman" w:cs="宋体"/>
          <w:color w:val="FF000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p>
      <w:pPr>
        <w:rPr>
          <w:rFonts w:hint="eastAsia" w:eastAsia="黑体" w:cs="黑体"/>
          <w:kern w:val="0"/>
          <w:sz w:val="32"/>
          <w:szCs w:val="32"/>
          <w:highlight w:val="none"/>
          <w:shd w:val="clear" w:color="auto" w:fill="FFFFFF"/>
          <w:lang w:val="zh-CN"/>
        </w:rPr>
      </w:pPr>
    </w:p>
    <w:tbl>
      <w:tblPr>
        <w:tblStyle w:val="2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0"/>
        <w:gridCol w:w="18"/>
        <w:gridCol w:w="864"/>
        <w:gridCol w:w="36"/>
        <w:gridCol w:w="1151"/>
        <w:gridCol w:w="55"/>
        <w:gridCol w:w="346"/>
        <w:gridCol w:w="58"/>
        <w:gridCol w:w="773"/>
        <w:gridCol w:w="72"/>
        <w:gridCol w:w="324"/>
        <w:gridCol w:w="73"/>
        <w:gridCol w:w="773"/>
        <w:gridCol w:w="77"/>
        <w:gridCol w:w="409"/>
        <w:gridCol w:w="77"/>
        <w:gridCol w:w="397"/>
        <w:gridCol w:w="12"/>
        <w:gridCol w:w="13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45.50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51080022R000006838642-退休“中人”一次性补助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4.86</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4.86</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4.86</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4.86</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结合自评情况，说明项目自评总分98分，保障单位日常运转，提高预算编制质量，严格执行预算。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19.80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4.28</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4.28</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19.80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4.28</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4.28</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72.10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72.10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72.10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72.10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197.98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219.95</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219.95</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197.98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219.95</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219.95</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 xml:space="preserve">结合自评情况，说明项目自评总分99分，按时发放职工工资并交纳五险一金。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72.81</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62.79</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62.79</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72.81</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62.79</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62.79</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 xml:space="preserve">结合自评情况，说明项目自评总分99分，按时发放职工工资并交纳五险一金。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34.38</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结合自评情况，说明项目自评总分98分，在预算执行过程中，保障单位日常运转，提高预算编制质量，严格执行预算。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145.65</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结合自评情况，说明项目自评总分98分，在预算执行过程中，保障单位日常运转，提高预算编制质量，严格执行预算。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136.08</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51080024R000010825886-遗属生活补助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4.49</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319.00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324.43</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324.43</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319.00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324.43</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324.43</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1.11</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11.60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70.20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68.40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68.40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70.20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68.40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68.40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54.63</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结合自评情况，说明项目自评总分99分，保障单位日常运转，提高预算编制质量，严格执行预算。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51080025T000012322582-送文化下乡活动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r>
              <w:rPr>
                <w:rFonts w:ascii="黑体" w:hAnsi="黑体" w:eastAsia="黑体" w:cs="黑体"/>
                <w:i w:val="0"/>
                <w:iCs w:val="0"/>
                <w:color w:val="000000"/>
                <w:kern w:val="0"/>
                <w:sz w:val="18"/>
                <w:szCs w:val="18"/>
                <w:highlight w:val="none"/>
                <w:u w:val="none"/>
                <w:lang w:val="en-US" w:eastAsia="zh-CN" w:bidi="ar"/>
              </w:rPr>
              <w:t xml:space="preserve"> </w:t>
            </w:r>
            <w:r>
              <w:rPr>
                <w:rStyle w:val="50"/>
                <w:highlight w:val="none"/>
                <w:lang w:val="en-US" w:eastAsia="zh-CN" w:bidi="ar"/>
              </w:rPr>
              <w:t>（盖章）</w:t>
            </w:r>
          </w:p>
        </w:tc>
        <w:tc>
          <w:tcPr>
            <w:tcW w:w="1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激发人民创造活力，繁荣群众文艺，充分展示我市文化艺术新成就、新成果、美丽乡村新面貌、美好乡村新生活，亮出广元名片。将在2024年开展送文化进基层文化活动，让公共文化服务发展成果惠及更多群众，着力推进广元“文旅塑市”，助推我市全力打造大蜀道国际文化旅游目的地和康养度假胜地。</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为激发人民创造活力，繁荣群众文艺，充分展示我市文化艺术新成就、新成果、美丽乡村新面貌、美好乡村新生活，亮出广元名片。将在</w:t>
            </w:r>
            <w:r>
              <w:rPr>
                <w:rFonts w:ascii="黑体" w:hAnsi="黑体" w:eastAsia="黑体" w:cs="黑体"/>
                <w:i w:val="0"/>
                <w:iCs w:val="0"/>
                <w:color w:val="000000"/>
                <w:kern w:val="0"/>
                <w:sz w:val="18"/>
                <w:szCs w:val="18"/>
                <w:highlight w:val="none"/>
                <w:u w:val="none"/>
                <w:lang w:val="en-US" w:eastAsia="zh-CN" w:bidi="ar"/>
              </w:rPr>
              <w:t>2024</w:t>
            </w:r>
            <w:r>
              <w:rPr>
                <w:rStyle w:val="50"/>
                <w:highlight w:val="none"/>
                <w:lang w:val="en-US" w:eastAsia="zh-CN" w:bidi="ar"/>
              </w:rPr>
              <w:t>年开展送文化进基层文化活动，让公共文化服务发展成果惠及更多群众，着力推进广元</w:t>
            </w:r>
            <w:r>
              <w:rPr>
                <w:rFonts w:ascii="黑体" w:hAnsi="黑体" w:eastAsia="黑体" w:cs="黑体"/>
                <w:i w:val="0"/>
                <w:iCs w:val="0"/>
                <w:color w:val="000000"/>
                <w:kern w:val="0"/>
                <w:sz w:val="18"/>
                <w:szCs w:val="18"/>
                <w:highlight w:val="none"/>
                <w:u w:val="none"/>
                <w:lang w:val="en-US" w:eastAsia="zh-CN" w:bidi="ar"/>
              </w:rPr>
              <w:t>“</w:t>
            </w:r>
            <w:r>
              <w:rPr>
                <w:rStyle w:val="50"/>
                <w:highlight w:val="none"/>
                <w:lang w:val="en-US" w:eastAsia="zh-CN" w:bidi="ar"/>
              </w:rPr>
              <w:t>文旅塑市</w:t>
            </w:r>
            <w:r>
              <w:rPr>
                <w:rFonts w:ascii="黑体" w:hAnsi="黑体" w:eastAsia="黑体" w:cs="黑体"/>
                <w:i w:val="0"/>
                <w:iCs w:val="0"/>
                <w:color w:val="000000"/>
                <w:kern w:val="0"/>
                <w:sz w:val="18"/>
                <w:szCs w:val="18"/>
                <w:highlight w:val="none"/>
                <w:u w:val="none"/>
                <w:lang w:val="en-US" w:eastAsia="zh-CN" w:bidi="ar"/>
              </w:rPr>
              <w:t>”</w:t>
            </w:r>
            <w:r>
              <w:rPr>
                <w:rStyle w:val="50"/>
                <w:highlight w:val="none"/>
                <w:lang w:val="en-US" w:eastAsia="zh-CN" w:bidi="ar"/>
              </w:rPr>
              <w:t>，助推我市全力打造大蜀道国际文化旅游目的地和康养度假胜地。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33"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激发人民创造活力，繁荣群众文艺，充分展示我市文化艺术新成就、新成果、美丽乡村新面貌、美好乡村新生活，亮出广元名片。将在2024年开展送文化进基层文化活动，让公共文化服务发展成果惠及更多群众，着力推进广元“文旅塑市”，助推我市全力打造大蜀道国际文化旅游目的地和康养度假胜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2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每场观众人数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人次</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活动场次</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场次</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节目个数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64</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每场演职人员数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线上线下宣传次数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每场文艺精品个数</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活动开展成功率</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完成时间</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推动优秀文化的传承，促进文化繁荣发展，展示公共文化服务新成就。</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2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指标2：群众评价</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指标1：群众满意度</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送文化下乡活动经费</w:t>
            </w:r>
          </w:p>
        </w:tc>
        <w:tc>
          <w:tcPr>
            <w:tcW w:w="2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256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28"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2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0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1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51080022T000004940531-向上争取项目资金工作经费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完成到京到省对接工作任务及向中央、省级部门争取项目资金任务。争取更多项目资金。</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完成到京到省对接工作任务及向中央、省级部门争取项目资金任务。争取更多项目资金。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完成到京到省对接工作任务及向中央、省级部门争取项目资金任务。争取更多项目资金。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主要领导对接国家部委次数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主要领导对接省厅局次数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向上争取项目资金任务完成率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增加财政转移支付项目收入</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带动广元经济发展</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较好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较好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基层单位满意度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51080022T000004940604-文化旅游行业管理工作经费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按计划开展安全生产工作检查、抽查、督导，迎接上级相关部门督导检查，确保文旅行业安全工作平稳有序；2.通过规范文旅市场行业监管，提升服务质量，加大市场培育，成功创建省、市文旅品牌，助推我市建设为大蜀道国际文化旅游目的地。优化营商环境，促进文旅行业经济健康发展。</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按计划开展安全生产工作检查、抽查、督导，迎接上级相关部门督导检查，确保文旅行业安全工作平稳有序；2.通过规范文旅市场行业监管，提升服务质量，加大市场培育，成功创建省、市文旅品牌，助推我市建设为大蜀道国际文化旅游目的地。优化营商环境，促进文旅行业经济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按计划开展安全生产工作检查、抽查、督导，迎接上级相关部门督导检查，确保文旅行业安全工作平稳有序；2.通过规范文旅市场行业监管，提升服务质量，加大市场培育，成功创建省、市文旅品牌，助推我市建设为大蜀道国际文化旅游目的地。优化营商环境，促进文旅行业经济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规范文旅市场，提升服务质量，督导安全生产市场主体覆盖率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组织培育文旅企业参加省、市品牌创建类别</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类</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开展文旅市场行业整治、安全检查等活动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开展行业技能相关培训、比赛、活动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优化营商环境，促进文旅行业经济健康发展</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通过规范文旅市场行业监管，提升服务质量，加大市场培育，成功创建省、市文旅品牌，助推我市建设为大蜀道国际文化旅游目的地。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较好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较好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文旅市场主体满意</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51080022T000004940606-公共文化服务体系建设工作经费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公共文化服务网络持续优化、产品供给不断丰富、品牌效益有效凸显，公共文化服务体系进一步完善，人民群众对公共文化服务的满意度大幅提升。2.到上级争取更多政策和项目资金扶持；广播电视公共服务标准化、均等化水平不断提高，广电民生有效保障；广电行业更加规范有序；广电综合实力大力提升。3.组织全市文艺专干多形式的赴省内外、相关市州、县区之间开展音乐、舞蹈、戏曲、美术书法等培训交流、采风活动及文艺演出。</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公共文化服务网络持续优化、产品供给不断丰富、品牌效益有效凸显，公共文化服务体系进一步完善，人民群众对公共文化服务的满意度大幅提升。2.到上级争取更多政策和项目资金扶持；广播电视公共服务标准化、均等化水平不断提高，广电民生有效保障；广电行业更加规范有序；广电综合实力大力提升。3.组织全市文艺专干多形式的赴省内外、相关市州、县区之间开展音乐、舞蹈、戏曲、美术书法等培训交流、采风活动及文艺演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公共文化服务网络持续优化、产品供给不断丰富、品牌效益有效凸显，公共文化服务体系进一步完善，人民群众对公共文化服务的满意度大幅提升。2.到上级争取更多政策和项目资金扶持；广播电视公共服务标准化、均等化水平不断提高，广电民生有效保障；广电行业更加规范有序；广电综合实力大力提升。3.组织全市文艺专干多形式的赴省内外、相关市州、县区之间开展音乐、舞蹈、戏曲、美术书法等培训交流、采风活动及文艺演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指导全市旅游厕所标准化建设达标率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督导文化广电民生实事（公共文化场馆免费开放）</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督促指导全市开展第六次全国文化馆评估定级达标率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督导广播电视户户通工程运行维护</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14808</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14808</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指导和开展省“四个一批”品牌创建和政府向社会力量购买服务等项目申报</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类</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开展“我们的中国梦”文化进万家系列惠民活动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通过交流提升业务水平</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广播电视安全播出重大事故控制</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进一步传播推广广元文化艺术作品</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公共文化服务效能不断提升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持续提升</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持续提升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全国广播电视基本公共服务县级标准化试点、智慧广电乡村工程试点建设取得阶段成效</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效果明显</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效果明显</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人民群众对公共文化服务的满意度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51080022T000004940610-文化旅游宣传推广工作经费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加快建设康养旅游胜地、中国生态康养旅游名市和大蜀道国际旅游目的，强化文化旅游营销，突出新媒体运用，采取积极有效宣传推广措施，全方位、多角度开展广元文化旅游宣传，形成宣传营销矩阵，产生蝴蝶效应。进一步擦亮“剑门蜀道·女皇故里”广元文化旅游核心品牌。开展非物质文化遗产资源普查、传承保护、宣传、传承人培训等相关工作。</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为加快建设康养旅游胜地、中国生态康养旅游名市和大蜀道国际旅游目的，强化文化旅游营销，突出新媒体运用，采取积极有效宣传推广措施，全方位、多角度开展广元文化旅游宣传，形成宣传营销矩阵，产生蝴蝶效应。进一步擦亮“剑门蜀道·女皇故里”广元文化旅游核心品牌。开展非物质文化遗产资源普查、传承保护、宣传、传承人培训等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加快建设康养旅游胜地、中国生态康养旅游名市和大蜀道国际旅游目的，强化文化旅游营销，突出新媒体运用，采取积极有效宣传推广措施，全方位、多角度开展广元文化旅游宣传，形成宣传营销矩阵，产生蝴蝶效应。进一步擦亮“剑门蜀道·女皇故里”广元文化旅游核心品牌。开展非物质文化遗产资源普查、传承保护、宣传、传承人培训等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在目的地城市或客源地城市设置固定广告</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处</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培育优化已开通航线</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参加文旅行业内知名博览会或节会</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开展一次全市非遗资源大普查、参加各级组织的非遗宣传展示活动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在客源地城市举办推介活动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非遗项目参与率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通过开展“春踏青赏百花、夏避暑玩漂流、秋采摘赏红叶、冬滑雪泡温泉”季季有主题，月月有活动，形成一年四季皆可游的格局</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促进文化旅游综合收入</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持续增长</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持续增长</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减少航线轧差财政投入</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减少</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减少</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组织筹办第十三届大蜀道文化旅游节、2023年中国（广元）女儿节，提升节会知名度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明显提升</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明显提升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建立健全四级非遗体系</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新增一批市、县非遗项目</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新增一批市、县非遗项目</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为进一步提升“剑门蜀道.女皇故里”知名度、美誉度和影响力</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明显提升</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明显提升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行业经营主体与来广游客满意度；传承人对非遗工作满意度。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51080022T000005638210-市局文旅局公共文化服务体系建设专项资金之政府购买服务示范项目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有爱·无碍公益服务：每场讲座受益群众数量不低于100人，每次培训受益群众数量不低于30人，每场讲座或培训时长不低于60分钟，全年举办讲座或培训场次不低于50场。</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中华传统经典诵读公益服务：每场讲座受益群众数量不低于100人，每次培训受益群众数量不低于30人，每场讲座或培训时长不低于60分钟，全年举办讲座或培训场次不低于50场。</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1.有爱·无碍公益服务： 1.讲座计划受益人次≥100人；实际受益396人次；2.每场讲座或培训时长≥60分钟；实际按指标达成；3.每次培训受益人次≥30人；实际完成31人；4.举办讲座或培训≥50场；实际已完成50场；整体指标完成率较高，后续项目项进度完全可控。                                  2.中华传统经典诵读公益服务：1.每场讲座受益群众数量不低于100人，实际受益665人次；2.每次培训受益群众数量不低于30人，实际每次培训受益群众数达到35-100人不等；3.每场讲座或培训时长不低于60分钟，实际每次活动时长在90分钟以上。受疫情封控影响，全年举办讲座或培训场次已达到30场。整体指标完成率较高，后续项目结项进度完全可控。</w:t>
            </w:r>
            <w:r>
              <w:rPr>
                <w:rFonts w:hint="default" w:ascii="黑体" w:hAnsi="黑体" w:eastAsia="黑体" w:cs="黑体"/>
                <w:i w:val="0"/>
                <w:iCs w:val="0"/>
                <w:color w:val="000000"/>
                <w:kern w:val="0"/>
                <w:sz w:val="18"/>
                <w:szCs w:val="18"/>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 xml:space="preserve">1.有爱·无碍公益服务： 1.讲座计划受益人次≥100人；实际受益396人次；2.每场讲座或培训时长≥60分钟；实际按指标达成；3.每次培训受益人次≥30人；实际完成31人；4.举办讲座或培训≥50场；实际已完成50场；整体指标完成率较高，后续项目项进度完全可控。                                  2.中华传统经典诵读公益服务：1.每场讲座受益群众数量不低于100人，实际受益665人次；2.每次培训受益群众数量不低于30人，实际每次培训受益群众数达到35-100人不等；3.每场讲座或培训时长不低于60分钟，实际每次活动时长在90分钟以上。受疫情封控影响，全年举办讲座或培训场次已达到30场。整体指标完成率较高，后续项目结项进度完全可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108.04</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74.51%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108.04</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74.51%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举办讲座或培训</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每场讲座受益人次</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每次培训受益人次</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每场讲座或培训时长</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分钟</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传承弘扬中华优秀传统文化</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助推广元全民阅读</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助推特殊群体享受公共文化服务</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助推现代公共文化服务体系建设</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群众满意度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51080022T000006830272-文旅融合发展专项资金-旅游营销奖励金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严格落实广元旅游营销优惠政策，对满足申报条件的旅行社严格审核、尽快兑现奖励资金，进一步扩大“剑门蜀道.女皇故里”文旅品牌知名度和影响力，提高旅行社组织游客来广旅游积极性。</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严格落实广元旅游营销优惠政策，对满足申报条件的旅行社严格审核、尽快兑现奖励资金，进一步扩大“剑门蜀道.女皇故里”文旅品牌知名度和影响力，提高旅行社组织游客来广旅游积极性。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严格落实广元旅游营销优惠政策，对满足申报条件的旅行社严格审核、尽快兑现奖励资金，进一步扩大“剑门蜀道.女皇故里”文旅品牌知名度和影响力，提高旅行社组织游客来广旅游积极性。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50.95</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50.95</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50.95</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50.95</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申报企业数量</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严格按照《广元市旅游营销奖励政策实施办法》规定审核</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奖补资金发放至企业账户时间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是否提升“剑门蜀道，女皇故里，红色热土，康养胜地”城市品牌影响力</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申报文旅企业对支持文旅企业发展工作的满意度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2024年预算资金控制数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454254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454254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51080022T000007251017-中央文化人才专项经费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开展“三区计划”文旅人才选派（招募）服务；开展文旅人才培育。</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开展“三区计划”文旅人才选派（招募）服务；开展文旅人才培育。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开展“三区计划”文旅人才选派（招募）服务；开展文旅人才培育。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14.10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48.94%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14.10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48.94%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自主招募人数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“红色旅游”人才支持选派人数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“两项改革”涉改乡镇“文旅能人”扶持选派人数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“文旅资源开发”人才支持选派人数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“广元市文旅体融合发展专题培训班”培训人数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“广元市文旅体融合发展专题培训班”培训天数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天</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选派人员考核合格率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选派人员服务期限</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支持乡村振兴重点帮扶县文化旅游发展</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 支持艰苦边远地区和基层一线文旅工作"</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提升文旅服务能力和水平</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接收选派人才的单位满意度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培训学员满意度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6.9</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338" w:type="pct"/>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617" w:type="pct"/>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519"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696"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234"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487"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232"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497"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285"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285" w:type="pct"/>
            <w:gridSpan w:val="3"/>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807" w:type="pct"/>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51080022T000007254569-文旅融合发展专项资金-系列文化旅游活动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2022年我们将继续以广泛宣传、文旅融合，基础保障，能力提升等为资金使用的主要方向，以建设中国生态康养旅游名市，打造康养旅游胜地为工作重点，确保旅游人数、旅游收入双增长。</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以广泛宣传、文旅融合，基础保障，能力提升等为资金使用的主要方向，以建设中国生态康养旅游名市，打造康养旅游胜地为工作重点，确保旅游人数、旅游收入双增长。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以广泛宣传、文旅融合，基础保障，能力提升等为资金使用的主要方向，以建设中国生态康养旅游名市，打造康养旅游胜地为工作重点，确保旅游人数、旅游收入双增长。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34.39</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178.48</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160.71</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90.04%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34.39</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178.48</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160.71</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90.04%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"开展全省星级饭店行业 服务技能竞赛选拔培训赛等能力提升活动"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开展康养旅游胜地专题研究报告编制等基础保障活动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开展微信朋友圈精准宣传、高铁视频宣传等文化旅游宣传、艺术创作活动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按期完成</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东西部交流协作促进</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成渝双城经济圈融入</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传承中华优秀传统文化坚定文化自信</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净化文旅市场环境，提升服务质量和服务效果</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擦亮“剑门蜀道﹒女皇故里”广元文化旅游核心品牌</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社会公众满意度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活动预算安排</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58.11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58.11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51080023T000008419090-文物保护及非物质文化遗产传承利用经费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加强文物保护利用，让文物活起来</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提升文物安全水平</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传承中华优秀文化</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促进文物事业与经济社会和谐发展。提升非遗保护传承水平</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 xml:space="preserve"> 推动非物质文化遗产创造性转化和创新性发展，通过有效的非遗保护措施，促进非遗连接现代生活，绽放迷人光彩，推动非遗向人民提供高品质物质产品和精神食粮。</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加强文物保护利用，让文物活起来</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提升文物安全水平</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传承中华优秀文化</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促进文物事业与经济社会和谐发展。提升非遗保护传承水平</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 xml:space="preserve"> 推动非物质文化遗产创造性转化和创新性发展，通过有效的非遗保护措施，促进非遗连接现代生活，绽放迷人光彩，推动非遗向人民提供高品质物质产品和精神食粮。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加强文物保护利用，让文物活起来</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提升文物安全水平</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传承中华优秀文化</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促进文物事业与经济社会和谐发展。提升非遗保护传承水平</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 xml:space="preserve"> 推动非物质文化遗产创造性转化和创新性发展，通过有效的非遗保护措施，促进非遗连接现代生活，绽放迷人光彩，推动非遗向人民提供高品质物质产品和精神食粮。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开展博物馆馆藏文物资源调查、项目督导、参加省局相关培训。</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抽查县级文物保护单位、不可移动文物</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全覆盖检查全国重点文物保护单位</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检查文物保护工程、考古发掘工地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全覆盖检查市级文物保护单位</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全覆盖检查省级文物保护单位</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组织文物保护单位向上申报项目</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文物安全重大事故控</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全市18家备案博物</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中华优秀传统文化不断发扬光大；普及文博知识，传承弘扬中华优秀传统文化</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增强民族自尊和文化自信</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群众满意度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51080023T000008557091-市本级两新组织党建工作经费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组建行业党委，推进两新组织标准化，加强党在文广旅行业的覆盖面和影响力。</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完成对广元万安博物馆党支部、广元文化旅游协会党支部两个两新党组织的党建工作经费转拨及党建工作监督指导。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完成对广元万安博物馆党支部、广元文化旅游协会党支部两个两新党组织的党建工作经费转拨及党建工作监督指导。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1.84</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1.84</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1.84</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1.84</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两新组织个数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组建行业党委</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两新组织达标率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加强党在文广旅行业的覆盖面和影响力</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进一步加强</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进一步加强</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预算执行成本</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102000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102000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51080023T000008618947-高层次人才安家补助和工作补助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高层次人才安家补助和工作补助资金项目（科技拔尖人才2022年度岗位激励资金）</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按照市委组织部人才工作要求及相关标准，转拨高层次人才安家补助和工作补助资金。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按照市委组织部人才工作要求及相关标准，转拨高层次人才安家补助和工作补助资金。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在职引进人才人数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新引进人才人数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促进人才高质量增长</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奖励对象满意度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奖励金额</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51080023T000008686974-首批“蜀道英才工程”入选者岗位激励资金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Style w:val="46"/>
                <w:highlight w:val="none"/>
                <w:lang w:val="en-US" w:eastAsia="zh-CN" w:bidi="ar"/>
              </w:rPr>
              <w:t>为深入贯彻落实习近平新时代人才工作重要论述及中央和省委、市委人才工作会议重要精神，切实增强优秀人才的获得感、归属感和幸福感，根据市委组织部、市财政局等11部门《关于印发〈广元市“蜀道英才工程”实施办法〉的通知》（广组通〔2018〕87号）规定，对“蜀道英才工程”入选者在管理期内，给予每人每月500元岗位激励资金。</w:t>
            </w:r>
            <w:r>
              <w:rPr>
                <w:rStyle w:val="47"/>
                <w:rFonts w:eastAsia="宋体"/>
                <w:highlight w:val="none"/>
                <w:lang w:val="en-US" w:eastAsia="zh-CN" w:bidi="ar"/>
              </w:rPr>
              <w:t xml:space="preserve">                       </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按照市委组织部“蜀道英才工程”工作要求及标准，对满足条件的人员转拨激励资金。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按照市委组织部“蜀道英才工程”工作要求及标准，对满足条件的人员转拨激励资金。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0.60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15.60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89.74%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0.60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15.60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89.74%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首批“蜀道英才工程”入选者</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岗位激励资金兑现率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兑现时间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增强人才获得感、归宿感、幸福感，调动各类优秀人才干事创业积极性力度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各类优秀人才满意度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岗位激励资金</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51080023T000008786921-科技拔尖人才2022年度岗位激励资金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发放科技拔尖人才2022年度岗位激励资金</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发放科技拔尖人才2024年度岗位激励资金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发放科技拔尖人才2024年度岗位激励资金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0.72</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0.72</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0.72</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0.72</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科技拔尖人才数量</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奖励时间段</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促进科技人才发展</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奖励对象满意度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奖励金额</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21600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21600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51080023T000009740122-文旅康养产业专班工作经费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保障文旅康养产业专班日常运转，顺利开展项目招商、调度、项目拉练，企业调研和纾困解难服务以及重大活动举办、重点品牌创建。</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保障文旅康养产业专班日常运转，顺利开展项目招商、调度、项目拉练，企业调研和纾困解难服务以及重大活动举办、重点品牌创建。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保障文旅康养产业专班日常运转，顺利开展项目招商、调度、项目拉练，企业调研和纾困解难服务以及重大活动举办、重点品牌创建。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文旅康养产业专班调度会</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项目拉练比武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项目招商洽谈</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项目督办、企业调研</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产业培训</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推进文旅经济高质量发展</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高效推进</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高效推进</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带动就业</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有效带动</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有效带动</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持续推进大蜀道国际文化旅游目的地和康养度假胜地建设</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持续推进</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持续推进</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服务企业满意度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项目业主满意度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51080023T000009908255-《司马错入蜀重大历史意义研究》重点课题研究费用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形成《司马错入蜀重大历史意义研究》高质量学术专著一部。</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形成《司马错入蜀重大历史意义研究》高质量学术专著一部。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形成《司马错入蜀重大历史意义研究》高质量学术专著一部。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出版《司马错入蜀重大历史意义研究》</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本</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《司马错入蜀重大历史意义研究》出版文字</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《司马错入蜀重大历史意义研究》包含图片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幅</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出版刊物错字率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出版时间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1年</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1年</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通过对历史文化的梳理，进一步宣传广元、宣传蜀道，丰富蜀道文化内涵、讲好蜀道文化故事、提升蜀道文旅品质。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助推我市建设大蜀道国际文化旅游目的地和康养度假胜地，打造大蜀道世界文化名城</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人民政府满意度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5.96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51080024T000010054820-茶产业推介活动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大力实施“1345”发展战略，助推广元聚力建设大蜀道国际文化旅游目的地和康养度假胜地。</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大力实施“1345”发展战略，助推广元聚力建设大蜀道国际文化旅游目的地和康养度假胜地。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大力实施“1345”发展战略，助推广元聚力建设大蜀道国际文化旅游目的地和康养度假胜地。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在成都、重庆、兰州、西安4个城市举办“游大美蜀道  品广元好茶”文化旅游和茶产业推介活动。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4月完成4个城市的“游大美蜀道  品广元好茶”文化旅游和茶产业推介活动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4个</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4个</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文化旅游影响力明显提升，资金使用无重大违规违纪问题</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通过宣传推介活动，有效提升城市品牌在川陕甘结合部、四大省会城市的知名度和影响力，进一步突出广元川陕甘结合部文化旅游集散服务中心、大蜀道国际文化旅游目的地印象。</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社会公众满意度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预算执行控制</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51080024T000010981134-文旅资源规划及产业发展工作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持续促进文旅产业高质量健康发展，推动重点文旅项目有力有序建设；2.开展天府旅游名县、全域旅游示范区、旅游景区、旅游度假区、生态旅游示范区、天府旅游名牌、旅游休闲街区等创建现场指导和组织专家开展创建资料评审；开展相关标准培训等。</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持续促进文旅产业高质量健康发展，推动重点文旅项目有力有序建设；2.开展天府旅游名县、全域旅游示范区、旅游景区、旅游度假区、生态旅游示范区、天府旅游名牌、旅游休闲街区等创建现场指导和组织专家开展创建资料评审；开展相关标准培训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持续促进文旅产业高质量健康发展，推动重点文旅项目有力有序建设；2.开展天府旅游名县、全域旅游示范区、旅游景区、旅游度假区、生态旅游示范区、天府旅游名牌、旅游休闲街区等创建现场指导和组织专家开展创建资料评审；开展相关标准培训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生态价值转化试点项目建设</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创建各类旅游品牌3个以上</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重点文旅项目投资</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亿元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旅游品牌质量全面提升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计划投资额度完成时间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2024年12月底</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2024年12月底</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旅游接待人次同比增长</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旅游产品带动经济增长和群众增收</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明显</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文旅业态及配套设施</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进一步丰富提升</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进一步丰富提升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群众满意度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预算执行金额</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51080024T000011947490-重点文旅企业发展奖补项目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完成文旅企业申报支持重点文旅企业发展奖补资金工作的资料审核及资金发放，发挥好财政资金的引导作用，激发文旅、演艺、民宿等经营主体活力和发展内生动力。</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完成文旅企业申报支持重点文旅企业发展奖补资金工作的资料审核及资金发放，发挥好财政资金的引导作用，激发文旅、演艺、民宿等经营主体活力和发展内生动力。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完成文旅企业申报支持重点文旅企业发展奖补资金工作的资料审核及资金发放，发挥好财政资金的引导作用，激发文旅、演艺、民宿等经营主体活力和发展内生动力。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申报企业数量</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严格按照《促进消费恢复发展十条措施》规定审核</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奖补资金发放至企业账户时间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是否帮助企业减轻部分经营压力，提高企业经济效益</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申报文旅企业对支持文旅企业发展工作的满意度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对限上演艺企业新创作演艺作品，年商业化演出达 20 场次以上的，给予一次性补助</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对年营业收入首次超过6000 万元的规上文化、体育和娱乐、旅游企业，给予一次性奖励</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由于重点企业的认定标准较高，很多新兴但快速发展的企业被排除在外；补贴的资金可能被挪作他用等问题也时有出现。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一是建立多种标准的评估模型。对不同类型的企业进行不同标准的认定，但需注意公平性。</w:t>
            </w:r>
            <w:r>
              <w:rPr>
                <w:rFonts w:hint="eastAsia" w:ascii="微软雅黑" w:hAnsi="微软雅黑" w:eastAsia="微软雅黑" w:cs="微软雅黑"/>
                <w:i/>
                <w:iCs/>
                <w:color w:val="000000"/>
                <w:kern w:val="0"/>
                <w:sz w:val="16"/>
                <w:szCs w:val="16"/>
                <w:highlight w:val="none"/>
                <w:u w:val="none"/>
                <w:lang w:val="en-US" w:eastAsia="zh-CN" w:bidi="ar"/>
              </w:rPr>
              <w:br w:type="textWrapping"/>
            </w:r>
            <w:r>
              <w:rPr>
                <w:rFonts w:hint="eastAsia" w:ascii="微软雅黑" w:hAnsi="微软雅黑" w:eastAsia="微软雅黑" w:cs="微软雅黑"/>
                <w:i/>
                <w:iCs/>
                <w:color w:val="000000"/>
                <w:kern w:val="0"/>
                <w:sz w:val="16"/>
                <w:szCs w:val="16"/>
                <w:highlight w:val="none"/>
                <w:u w:val="none"/>
                <w:lang w:val="en-US" w:eastAsia="zh-CN" w:bidi="ar"/>
              </w:rPr>
              <w:t>二是设置负面清单。在项目实施过程中，若发现企业将补贴用作其他途径，则将该企业拉入负面清单，不再纳入下一次的补贴名单。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51080024T000011947687-媒体宣传项目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1.通过开展媒体宣传，提升“剑门蜀道，女皇故里，红色热土，康养胜地”城市品牌影响力；</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2.通过开展媒体宣传，助力建设大蜀道国际文化旅游目的地和康养旅游度假胜地；</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3.通过开展媒体宣传，吸引更多国内外游客赴我市开展文化旅游活动，提升文旅消费能力。</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1.通过开展媒体宣传，提升“剑门蜀道，女皇故里，红色热土，康养胜地”城市品牌影响力；</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2.通过开展媒体宣传，助力建设大蜀道国际文化旅游目的地和康养旅游度假胜地；</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3.通过开展媒体宣传，吸引更多国内外游客赴我市开展文化旅游活动，提升文旅消费能力。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1.通过开展媒体宣传，提升“剑门蜀道，女皇故里，红色热土，康养胜地”城市品牌影响力；</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2.通过开展媒体宣传，助力建设大蜀道国际文化旅游目的地和康养旅游度假胜地；</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3.通过开展媒体宣传，吸引更多国内外游客赴我市开展文化旅游活动，提升文旅消费能力。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45.90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42.91</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93.49%</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45.90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42.91</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93.49%</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文旅宣传入境短信发送数量</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上榜省文旅厅发布的各市（州）文化和旅游行政主管部门新媒体传播力指数月度榜单</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全年任务完成时间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是否提升“剑门蜀道，女皇故里，红色热土，康养胜地”城市品牌影响力</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社会公众对广元文旅宣传的满意度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预算资金控制数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45.9</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45.9</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51080024T000011947721-广元市旅游大数据信息服务合同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1.2024年春节、“五一”劳动节、“十一”国庆节三个重大节假日的国内旅游接待人次和旅游消费总收入数据进行测算。</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2.2024年1月-2024年12月每月相关数据。包括旅游接待人次、旅游消费总收入、游客停留时长、过夜人数占比、四县三区分别接待人次、四县三区分别游客消费总收入、省外游客客源地、省外游客消费额客源地、广元市旅游行业贡献度（游客/</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游客+本地）消费）。</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1.2024年春节、“五一”劳动节、“十一”国庆节三个重大节假日的国内旅游接待人次和旅游消费总收入数据进行测算。</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2.2024年1月-2024年12月每月相关数据。包括旅游接待人次、旅游消费总收入、游客停留时长、过夜人数占比、四县三区分别接待人次、四县三区分别游客消费总收入、省外游客客源地、省外游客消费额客源地、广元市旅游行业贡献度（游客/</w:t>
            </w:r>
            <w:r>
              <w:rPr>
                <w:rFonts w:hint="eastAsia" w:ascii="宋体" w:hAnsi="宋体" w:cs="宋体"/>
                <w:i w:val="0"/>
                <w:iCs w:val="0"/>
                <w:color w:val="000000"/>
                <w:kern w:val="0"/>
                <w:sz w:val="18"/>
                <w:szCs w:val="18"/>
                <w:highlight w:val="none"/>
                <w:u w:val="none"/>
                <w:lang w:val="en-US" w:eastAsia="zh-CN" w:bidi="ar"/>
              </w:rPr>
              <w:t>（</w:t>
            </w:r>
            <w:r>
              <w:rPr>
                <w:rFonts w:hint="default" w:ascii="宋体" w:hAnsi="宋体" w:eastAsia="宋体" w:cs="宋体"/>
                <w:i w:val="0"/>
                <w:iCs w:val="0"/>
                <w:color w:val="000000"/>
                <w:kern w:val="0"/>
                <w:sz w:val="18"/>
                <w:szCs w:val="18"/>
                <w:highlight w:val="none"/>
                <w:u w:val="none"/>
                <w:lang w:val="en-US" w:eastAsia="zh-CN" w:bidi="ar"/>
              </w:rPr>
              <w:t>游客+本地）消费）。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1.2024年春节、“五一”劳动节、“十一”国庆节三个重大节假日的国内旅游接待人次和旅游消费总收入数据进行测算。</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2.2024年1月-2024年12月每月相关数据。包括旅游接待人次、旅游消费总收入、游客停留时长、过夜人数占比、四县三区分别接待人次、四县三区分别游客消费总收入、省外游客客源地、省外游客消费额客源地、广元市旅游行业贡献度（游客/</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游客+本地）消费）。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27.70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16.62</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27.70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16.62</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2024年“春节</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五一</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国庆”节假日游客接待人次与旅游消费数据</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2024年“春节</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五一</w:t>
            </w:r>
            <w:r>
              <w:rPr>
                <w:rFonts w:hint="eastAsia" w:ascii="宋体" w:hAnsi="宋体" w:cs="宋体"/>
                <w:i w:val="0"/>
                <w:iCs w:val="0"/>
                <w:color w:val="000000"/>
                <w:kern w:val="0"/>
                <w:sz w:val="18"/>
                <w:szCs w:val="18"/>
                <w:highlight w:val="none"/>
                <w:u w:val="none"/>
                <w:lang w:val="en-US" w:eastAsia="zh-CN" w:bidi="ar"/>
              </w:rPr>
              <w:t>”“</w:t>
            </w:r>
            <w:r>
              <w:rPr>
                <w:rFonts w:ascii="宋体" w:hAnsi="宋体" w:eastAsia="宋体" w:cs="宋体"/>
                <w:i w:val="0"/>
                <w:iCs w:val="0"/>
                <w:color w:val="000000"/>
                <w:kern w:val="0"/>
                <w:sz w:val="18"/>
                <w:szCs w:val="18"/>
                <w:highlight w:val="none"/>
                <w:u w:val="none"/>
                <w:lang w:val="en-US" w:eastAsia="zh-CN" w:bidi="ar"/>
              </w:rPr>
              <w:t>国庆”节假日期间广元市游客客源地分析</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2024年广元市旅游大数据分析报告</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项目实施时间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为广元市旅游市场管理提供有效数据支撑和决策依据。</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市级行政部门、县区文旅主管部门对广元旅游市场恢复情况的满意度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预算资金控制数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27.7</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27.7</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51080024T000011947753-广元市导游员、讲解员、研学旅行指导师技能大赛活动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1.提升我市旅游从业人员素养，加强我市旅游人才队伍建设。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2.在2024年选拔一批业务精良、风采出众的优秀导游员、讲解员和研学旅行指导师。</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3.更好发挥协会作用。</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1.提升我市旅游从业人员素养，加强我市旅游人才队伍建设。</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2.在2024年选拔一批业务精良、风采出众的优秀导游员、讲解员和研学旅行指导师。</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3.更好发挥协会作用。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1.提升我市旅游从业人员素养，加强我市旅游人才队伍建设。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2.在2024年选拔一批业务精良、风采出众的优秀导游员、讲解员和研学旅行指导师。</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3.更好发挥协会作用。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导游员、讲解员、研学旅行指导师比赛次数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导游员、讲解员、研学旅行指导师报名人数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导游员、讲解员、研学旅行指导师获奖选手</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活动开展成功率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项目实施时间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发挥以点带面的示范引领作用，提升旅游从业人员队伍服务水平</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全市从事文旅工作的群众、社会各方满意度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预算资金控制数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51080025T000012229181-蜀道文物展开展仪式及研学签约仪式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1.进一步加强我市蜀道文化传播，打响广元文旅品牌，助力大蜀道国际文化旅游目的地建设。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2.今年7月-11月将在四川博物院举办《中国蜀道文物展》，高质量举办开展仪式和研学签约仪式，推动蜀道走出去，向世界讲好广元故事、蜀道故事、中国故事。</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1.进一步加强我市蜀道文化传播，打响广元文旅品牌，助力大蜀道国际文化旅游目的地建设。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2.2024年7月-11月将在四川博物院举办《中国蜀道文物展》，高质量举办开展仪式和研学签约仪式，推动蜀道走出去，向世界讲好广元故事、蜀道故事、中国故事。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1.进一步加强我市蜀道文化传播，打响广元文旅品牌，助力大蜀道国际文化旅游目的地建设。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2.2024年7月-11月将在四川博物院举办《中国蜀道文物展》，高质量举办开展仪式和研学签约仪式，推动蜀道走出去，向世界讲好广元故事、蜀道故事、中国故事。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举办开展仪式和研学签约仪式</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高质量完成</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任务完成时间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天</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是否进一步加强我市蜀道文化传播，打响广元文旅品牌，助力大蜀道国际文化旅游目的地建设</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效果明显</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效果明显</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参加开展仪式和研学签约仪式的领导和嘉宾对活动现场的满意度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预算资金控制数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51080025T000012229271-广元市首届街舞大赛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1.举办广元市首届街舞大赛；</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2.为我市参加四川省第二届街舞大赛选拔队员。</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1.举办广元市首届街舞大赛；</w:t>
            </w:r>
            <w:r>
              <w:rPr>
                <w:rFonts w:hint="default" w:ascii="宋体" w:hAnsi="宋体" w:eastAsia="宋体" w:cs="宋体"/>
                <w:i w:val="0"/>
                <w:iCs w:val="0"/>
                <w:color w:val="000000"/>
                <w:kern w:val="0"/>
                <w:sz w:val="18"/>
                <w:szCs w:val="18"/>
                <w:highlight w:val="none"/>
                <w:u w:val="none"/>
                <w:lang w:val="en-US" w:eastAsia="zh-CN" w:bidi="ar"/>
              </w:rPr>
              <w:br w:type="textWrapping"/>
            </w:r>
            <w:r>
              <w:rPr>
                <w:rFonts w:hint="default" w:ascii="宋体" w:hAnsi="宋体" w:eastAsia="宋体" w:cs="宋体"/>
                <w:i w:val="0"/>
                <w:iCs w:val="0"/>
                <w:color w:val="000000"/>
                <w:kern w:val="0"/>
                <w:sz w:val="18"/>
                <w:szCs w:val="18"/>
                <w:highlight w:val="none"/>
                <w:u w:val="none"/>
                <w:lang w:val="en-US" w:eastAsia="zh-CN" w:bidi="ar"/>
              </w:rPr>
              <w:t>2.为我市参加四川省第二届街舞大赛选拔队员。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1.举办广元市首届街舞大赛；</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2.为我市参加四川省第二届街舞大赛选拔队员。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设置比赛项目类别</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举办街舞大赛</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组织参赛人数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配置裁判人数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设置奖项</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完成项目时间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1个月</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1个月</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展现年轻人的活力与激情，推广街舞文化，丰富广大市民精神文化生活</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参赛人员满意度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预算控制成本</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提前宣传不足，与市体育局、市商务局街舞比赛时间临近，影响了参赛规模。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提前谋划，加强与市体育局、市商务局对接，整合资源举办赛事，提升街舞赛事影响力。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51080025T000012242823-2024年中国（广元）女儿节开幕式舞美音响经费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第36届中国（广元）女儿节围绕“来蜀道广元，为美丽加冕”主题，以其独特的地域文化和丰富的表现形式，精心策划了主题活动、街头文化活动、体育赛事活动、经贸交流活动等6类27项活动。本届女儿节开幕式于9月1日举行。旨在通过办好女儿节，凝聚“她”力量，推动广元经济社会高质量发展。不断提升城市品牌力和影响力，推广广元优质文化旅游产品，吸引更多的省内外游客和投资者到广观光旅游、休闲度假、研学康养、投资兴业，激发广元文旅市场活力，持续提升女儿节品牌价值，助推大蜀道国际文化旅游目的地和康养度假胜地建设。</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第36届中国（广元）女儿节围绕“来蜀道广元，为美丽加冕”主题，以其独特的地域文化和丰富的表现形式，精心策划了主题活动、街头文化活动、体育赛事活动、经贸交流活动等6类27项活动。本届女儿节开幕式于9月1日举行。旨在通过办好女儿节，凝聚“她”力量，推动广元经济社会高质量发展。不断提升城市品牌力和影响力，推广广元优质文化旅游产品，吸引更多的省内外游客和投资者到广观光旅游、休闲度假、研学康养、投资兴业，激发广元文旅市场活力，持续提升女儿节品牌价值，助推大蜀道国际文化旅游目的地和康养度假胜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第36届中国（广元）女儿节围绕“来蜀道广元，为美丽加冕”主题，以其独特的地域文化和丰富的表现形式，精心策划了主题活动、街头文化活动、体育赛事活动、经贸交流活动等6类27项活动。本届女儿节开幕式于9月1日举行。旨在通过办好女儿节，凝聚“她”力量，推动广元经济社会高质量发展。不断提升城市品牌力和影响力，推广广元优质文化旅游产品，吸引更多的省内外游客和投资者到广观光旅游、休闲度假、研学康养、投资兴业，激发广元文旅市场活力，持续提升女儿节品牌价值，助推大蜀道国际文化旅游目的地和康养度假胜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主演区P3 LED户外屏12mx6mx2块</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平方米</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观众区喷绘背景18mx6mx1块，4mx6mx2块</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平方米</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4座凤凰造型舞美景片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平方米</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36</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舞美设计制作、舞台搭建和演区地面装饰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1240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平方米</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1240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音响、话筒、耳麦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音响28只、话筒及耳麦若干</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音响28只、话筒及耳麦若干</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活动开展成功率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一台升降台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表面积4平方米，行程高度4米</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表面积4平方米，行程高度4米</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一个月</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一个月</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推广广元优质文化旅游产品，持续提升女儿节品牌价值。</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指标2：群众评价</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指标1：群众满意度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活动经费</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51080025T000012317211-广元市第四次全国文物普查2024年工作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照国务院、省政府、市政府关于做好第四次全国文物普查工作的要求，统筹做好全市第四次全国文物普查工作，确保普查第一阶段有关工作圆满完成，保障普查第二阶段各项任务有序推进，为普查第三阶段任务完成奠定坚实基础。</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按照国务院、省政府、市政府关于做好第四次全国文物普查工作的要求，统筹做好全市第四次全国文物普查工作，确保普查第一阶段有关工作圆满完成，保障普查第二阶段各项任务有序推进，为普查第三阶段任务完成奠定坚实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照国务院、省政府、市政府关于做好第四次全国文物普查工作的要求，统筹做好全市第四次全国文物普查工作，确保普查第一阶段有关工作圆满完成，保障普查第二阶段各项任务有序推进，为普查第三阶段任务完成奠定坚实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26.39</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87.98%</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26.39</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87.98%</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采购智能手持采集终端、航拍无人机</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套</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采购移动工作站、图形工作站</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套</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培训人次</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开展市级四普培训、试点培训实训</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开展实地调查指导，确保系统录入信息与实际情况吻合</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年度目标完成时间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有序推进文物普查重大国情国力调查，确认国家文物资源总量、保障国家文物安全。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预算控制成本</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51080025T000012847141-2024年广元女儿节暨欢乐文化周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深入贯彻落实“1345”发展战略，以节庆活动为媒介和纽带，在办好2024年广元女儿节的同时，开展欢乐文化周活动，国际、中央、省级权威媒体及新兴媒体宣传报道节庆活动开展情况，推广广元优质文化旅游产品，进一步擦亮“剑门蜀道、女皇故里、红色热土、康养胜地”城市名片，吸引更多的省内外游客和朋友来广观光旅游、休闲度假、研学康养、投资兴业，激发广元文化旅游市场活力，持续提升女儿节品牌价值，聚力推进大蜀道国际文化旅游目的地和康养度假胜地建设。</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深入贯彻落实“1345”发展战略，以节庆活动为媒介和纽带，在办好2024年广元女儿节的同时，开展欢乐文化周活动，国际、中央、省级权威媒体及新兴媒体宣传报道节庆活动开展情况，推广广元优质文化旅游产品，进一步擦亮“剑门蜀道、女皇故里、红色热土、康养胜地”城市名片，吸引更多的省内外游客和朋友来广观光旅游、休闲度假、研学康养、投资兴业，激发广元文化旅游市场活力，持续提升女儿节品牌价值，聚力推进大蜀道国际文化旅游目的地和康养度假胜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深入贯彻落实“1345”发展战略，以节庆活动为媒介和纽带，在办好2024年广元女儿节的同时，开展欢乐文化周活动，国际、中央、省级权威媒体及新兴媒体宣传报道节庆活动开展情况，推广广元优质文化旅游产品，进一步擦亮“剑门蜀道、女皇故里、红色热土、康养胜地”城市名片，吸引更多的省内外游客和朋友来广观光旅游、休闲度假、研学康养、投资兴业，激发广元文化旅游市场活力，持续提升女儿节品牌价值，聚力推进大蜀道国际文化旅游目的地和康养度假胜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举办欢乐文化周系列活动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媒体宣传报道</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家</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抖音、微信、快手、小红书、B站各类平台在线观看人数</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万次</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推送新闻稿件</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举办欢乐文化周系列活动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结合广元地域文化特色和大蜀道文化内涵，挖掘地方特色文化闪光点，策划并执行欢乐文化周活动。</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结合广元地域文化特色和大蜀道文化内涵，挖掘地方特色文化闪光点，策划并执行欢乐文化周活动。</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举办女儿节开幕式及其配套活动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活动圆满完成</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活动圆满完成</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提升形象、扩大消费，进一步擦亮“剑门蜀道 女皇故里 红色热土 康养胜地”城市文化品牌。</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擦亮广元城市文化品牌，提升广元城市知名度和影响力。</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好</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2024年广元女儿节暨欢乐文化周</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334610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334610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519"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6"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4"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32"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97"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85" w:type="pct"/>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51080025T000012855075-省级文化和旅游发展专项资金2024年“引客入川”奖补项目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落实四川省文化和旅游厅关于旅行社引客入川奖补政策，对满足申报条件的旅行社严格审核、尽快兑现奖励资金，进一步扩大“剑门蜀道，女皇故里，红色热土，康养胜地”文旅品牌知名度和影响力，提高旅行社组织游客来广旅游积极性。</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落实四川省文化和旅游厅关于旅行社引客入川奖补政策，对满足申报条件的旅行社严格审核、尽快兑现奖励资金，进一步扩大“剑门蜀道，女皇故里，红色热土，康养胜地”文旅品牌知名度和影响力，提高旅行社组织游客来广旅游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22.09</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22.09</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22.09</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22.09</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申报企业数量</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家</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是否严格按照《关于印发旅行社“引客入川”奖补实施方案的通知》规定审核</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奖补资金发放至企业账户时间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是否提升广元旅游综合收入</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是否提升“剑门蜀道，女皇故里，红色热土，康养胜地”城市品牌知名度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是</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申报文旅企业对支持文旅企业发展工作的满意度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组织旅游团队来川的旅行社人均奖励标准</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元/人</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338" w:type="pct"/>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617" w:type="pct"/>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519"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696"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234"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487"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232"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497"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285" w:type="pct"/>
            <w:gridSpan w:val="2"/>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285" w:type="pct"/>
            <w:gridSpan w:val="3"/>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c>
          <w:tcPr>
            <w:tcW w:w="807" w:type="pct"/>
            <w:tcBorders>
              <w:top w:val="nil"/>
              <w:left w:val="nil"/>
              <w:bottom w:val="nil"/>
              <w:right w:val="nil"/>
            </w:tcBorders>
            <w:shd w:val="clear" w:color="auto" w:fill="auto"/>
            <w:vAlign w:val="center"/>
          </w:tcPr>
          <w:p>
            <w:pPr>
              <w:jc w:val="center"/>
              <w:rPr>
                <w:rFonts w:hint="default" w:ascii="黑体" w:hAnsi="宋体" w:eastAsia="黑体" w:cs="黑体"/>
                <w:b/>
                <w:bCs/>
                <w:i w:val="0"/>
                <w:iCs w:val="0"/>
                <w:color w:val="000000"/>
                <w:sz w:val="30"/>
                <w:szCs w:val="3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sz w:val="30"/>
                <w:szCs w:val="30"/>
                <w:highlight w:val="none"/>
                <w:u w:val="none"/>
              </w:rPr>
            </w:pPr>
            <w:r>
              <w:rPr>
                <w:rFonts w:hint="default"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51080025T000012964195-编制《广元“十五五”时期建设大蜀道国际文化旅游目的地和康养度假胜地研究》课题报告项目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广元市文化广播电视和旅游局部门</w:t>
            </w:r>
          </w:p>
        </w:tc>
        <w:tc>
          <w:tcPr>
            <w:tcW w:w="497"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实施单位 （盖章）</w:t>
            </w:r>
          </w:p>
        </w:tc>
        <w:tc>
          <w:tcPr>
            <w:tcW w:w="13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16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做好广元市“十五五”文化旅游发展规划编制工作，推动广元文化和旅游产业高质量发展，助力广元建设大蜀道国际文化旅游目的地和康养度假胜地，按照广元市“十五五”规划编制领导小组办公室要求，我局委托第三方编制《广元“十五五”时期建设大蜀道国际文化旅游目的地和康养度假胜地课题报告》。</w:t>
            </w:r>
          </w:p>
        </w:tc>
        <w:tc>
          <w:tcPr>
            <w:tcW w:w="18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为做好广元市“十五五”文化旅游发展规划编制工作，推动广元文化和旅游产业高质量发展，助力广元建设大蜀道国际文化旅游目的地和康养度假胜地，按照广元市“十五五”规划编制领导小组办公室要求，我局委托第三方编制《广元“十五五”时期建设大蜀道国际文化旅游目的地和康养度假胜地课题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4044"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为做好广元市“十五五”文化旅游发展规划编制工作，推动广元文化和旅游产业高质量发展，助力广元建设大蜀道国际文化旅游目的地和康养度假胜地，按照广元市“十五五”规划编制领导小组办公室要求，我局委托第三方编制《广元“十五五”时期建设大蜀道国际文化旅游目的地和康养度假胜地课题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课题研究报告</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份</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课题编制质量</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完成时间</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月</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助力广元文旅产业高质量发展</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定性</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级</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优</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5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6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预算执行经费</w:t>
            </w:r>
          </w:p>
        </w:tc>
        <w:tc>
          <w:tcPr>
            <w:tcW w:w="2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30000</w:t>
            </w:r>
          </w:p>
        </w:tc>
        <w:tc>
          <w:tcPr>
            <w:tcW w:w="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元</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28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466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项目负责人：</w:t>
            </w:r>
          </w:p>
        </w:tc>
        <w:tc>
          <w:tcPr>
            <w:tcW w:w="259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rPr>
            </w:pPr>
            <w:r>
              <w:rPr>
                <w:rFonts w:hint="default" w:ascii="黑体" w:hAnsi="黑体" w:eastAsia="黑体" w:cs="黑体"/>
                <w:i w:val="0"/>
                <w:iCs w:val="0"/>
                <w:color w:val="000000"/>
                <w:kern w:val="0"/>
                <w:sz w:val="18"/>
                <w:szCs w:val="18"/>
                <w:highlight w:val="none"/>
                <w:u w:val="none"/>
                <w:lang w:val="en-US" w:eastAsia="zh-CN" w:bidi="ar"/>
              </w:rPr>
              <w:t>财务负责人：</w:t>
            </w:r>
          </w:p>
        </w:tc>
      </w:tr>
    </w:tbl>
    <w:p>
      <w:pPr>
        <w:pStyle w:val="2"/>
        <w:spacing w:before="93"/>
        <w:rPr>
          <w:rFonts w:hint="eastAsia" w:ascii="Times New Roman" w:eastAsia="黑体" w:cs="黑体"/>
          <w:sz w:val="32"/>
          <w:szCs w:val="32"/>
          <w:highlight w:val="none"/>
          <w:shd w:val="clear" w:color="auto" w:fill="FFFFFF"/>
          <w:lang w:val="zh-CN"/>
        </w:rPr>
      </w:pPr>
    </w:p>
    <w:p>
      <w:pPr>
        <w:pStyle w:val="2"/>
        <w:spacing w:before="93"/>
        <w:rPr>
          <w:rFonts w:hint="eastAsia" w:ascii="Times New Roman" w:eastAsia="黑体" w:cs="黑体"/>
          <w:sz w:val="32"/>
          <w:szCs w:val="32"/>
          <w:highlight w:val="none"/>
          <w:shd w:val="clear" w:color="auto" w:fill="FFFFFF"/>
          <w:lang w:val="zh-CN"/>
        </w:rPr>
      </w:pPr>
    </w:p>
    <w:p>
      <w:pPr>
        <w:pStyle w:val="2"/>
        <w:spacing w:before="93"/>
        <w:rPr>
          <w:rFonts w:hint="eastAsia" w:ascii="Times New Roman" w:eastAsia="黑体" w:cs="黑体"/>
          <w:sz w:val="32"/>
          <w:szCs w:val="32"/>
          <w:highlight w:val="none"/>
          <w:shd w:val="clear" w:color="auto" w:fill="FFFFFF"/>
          <w:lang w:val="zh-CN"/>
        </w:rPr>
      </w:pPr>
    </w:p>
    <w:p>
      <w:pPr>
        <w:pStyle w:val="2"/>
        <w:spacing w:before="93"/>
        <w:rPr>
          <w:rFonts w:hint="eastAsia" w:ascii="Times New Roman" w:eastAsia="黑体" w:cs="黑体"/>
          <w:sz w:val="32"/>
          <w:szCs w:val="32"/>
          <w:highlight w:val="none"/>
          <w:shd w:val="clear" w:color="auto" w:fill="FFFFFF"/>
          <w:lang w:val="zh-CN"/>
        </w:rPr>
      </w:pPr>
    </w:p>
    <w:p>
      <w:pPr>
        <w:pStyle w:val="2"/>
        <w:spacing w:before="93"/>
        <w:rPr>
          <w:rFonts w:hint="eastAsia" w:ascii="Times New Roman" w:eastAsia="黑体" w:cs="黑体"/>
          <w:sz w:val="32"/>
          <w:szCs w:val="32"/>
          <w:highlight w:val="none"/>
          <w:shd w:val="clear" w:color="auto" w:fill="FFFFFF"/>
          <w:lang w:val="zh-CN"/>
        </w:rPr>
      </w:pPr>
    </w:p>
    <w:p>
      <w:pPr>
        <w:pStyle w:val="2"/>
        <w:spacing w:before="93"/>
        <w:rPr>
          <w:rFonts w:hint="eastAsia" w:ascii="Times New Roman" w:eastAsia="黑体" w:cs="黑体"/>
          <w:sz w:val="32"/>
          <w:szCs w:val="32"/>
          <w:highlight w:val="none"/>
          <w:shd w:val="clear" w:color="auto" w:fill="FFFFFF"/>
          <w:lang w:val="zh-CN"/>
        </w:rPr>
      </w:pPr>
    </w:p>
    <w:p>
      <w:pPr>
        <w:pStyle w:val="2"/>
        <w:spacing w:before="93"/>
        <w:rPr>
          <w:rFonts w:hint="eastAsia" w:ascii="Times New Roman" w:eastAsia="黑体" w:cs="黑体"/>
          <w:sz w:val="32"/>
          <w:szCs w:val="32"/>
          <w:highlight w:val="none"/>
          <w:shd w:val="clear" w:color="auto" w:fill="FFFFFF"/>
          <w:lang w:val="zh-CN"/>
        </w:rPr>
      </w:pPr>
    </w:p>
    <w:p>
      <w:pPr>
        <w:pStyle w:val="2"/>
        <w:spacing w:before="93"/>
        <w:rPr>
          <w:rFonts w:hint="eastAsia" w:ascii="Times New Roman" w:eastAsia="黑体" w:cs="黑体"/>
          <w:sz w:val="32"/>
          <w:szCs w:val="32"/>
          <w:highlight w:val="none"/>
          <w:shd w:val="clear" w:color="auto" w:fill="FFFFFF"/>
          <w:lang w:val="zh-CN"/>
        </w:rPr>
      </w:pPr>
    </w:p>
    <w:p>
      <w:pPr>
        <w:pStyle w:val="2"/>
        <w:spacing w:before="93"/>
        <w:rPr>
          <w:rFonts w:hint="eastAsia" w:ascii="Times New Roman" w:eastAsia="黑体" w:cs="黑体"/>
          <w:sz w:val="32"/>
          <w:szCs w:val="32"/>
          <w:highlight w:val="none"/>
          <w:shd w:val="clear" w:color="auto" w:fill="FFFFFF"/>
          <w:lang w:val="zh-CN"/>
        </w:rPr>
      </w:pPr>
    </w:p>
    <w:p>
      <w:pPr>
        <w:pStyle w:val="15"/>
        <w:rPr>
          <w:rFonts w:hint="eastAsia" w:ascii="Times New Roman" w:eastAsia="黑体" w:cs="黑体"/>
          <w:sz w:val="32"/>
          <w:szCs w:val="32"/>
          <w:highlight w:val="none"/>
          <w:shd w:val="clear" w:color="auto" w:fill="FFFFFF"/>
          <w:lang w:val="zh-CN"/>
        </w:rPr>
      </w:pPr>
    </w:p>
    <w:p>
      <w:pPr>
        <w:rPr>
          <w:rFonts w:hint="eastAsia" w:ascii="Times New Roman" w:eastAsia="黑体" w:cs="黑体"/>
          <w:sz w:val="32"/>
          <w:szCs w:val="32"/>
          <w:highlight w:val="none"/>
          <w:shd w:val="clear" w:color="auto" w:fill="FFFFFF"/>
          <w:lang w:val="zh-CN"/>
        </w:rPr>
      </w:pPr>
    </w:p>
    <w:p>
      <w:pPr>
        <w:rPr>
          <w:rFonts w:hint="eastAsia" w:ascii="Times New Roman" w:eastAsia="黑体" w:cs="黑体"/>
          <w:sz w:val="32"/>
          <w:szCs w:val="32"/>
          <w:highlight w:val="none"/>
          <w:shd w:val="clear" w:color="auto" w:fill="FFFFFF"/>
          <w:lang w:val="zh-CN"/>
        </w:rPr>
      </w:pPr>
    </w:p>
    <w:p>
      <w:pPr>
        <w:rPr>
          <w:rFonts w:hint="eastAsia" w:ascii="Times New Roman" w:eastAsia="黑体" w:cs="黑体"/>
          <w:sz w:val="32"/>
          <w:szCs w:val="32"/>
          <w:highlight w:val="none"/>
          <w:shd w:val="clear" w:color="auto" w:fill="FFFFFF"/>
          <w:lang w:val="zh-CN"/>
        </w:rPr>
      </w:pPr>
    </w:p>
    <w:p>
      <w:pPr>
        <w:rPr>
          <w:rFonts w:hint="eastAsia" w:ascii="Times New Roman" w:eastAsia="黑体" w:cs="黑体"/>
          <w:sz w:val="32"/>
          <w:szCs w:val="32"/>
          <w:highlight w:val="none"/>
          <w:shd w:val="clear" w:color="auto" w:fill="FFFFFF"/>
          <w:lang w:val="zh-CN"/>
        </w:rPr>
      </w:pPr>
    </w:p>
    <w:p>
      <w:pPr>
        <w:rPr>
          <w:rFonts w:hint="eastAsia" w:ascii="Times New Roman" w:eastAsia="黑体" w:cs="黑体"/>
          <w:sz w:val="32"/>
          <w:szCs w:val="32"/>
          <w:highlight w:val="none"/>
          <w:shd w:val="clear" w:color="auto" w:fill="FFFFFF"/>
          <w:lang w:val="zh-CN"/>
        </w:rPr>
      </w:pPr>
    </w:p>
    <w:p>
      <w:pPr>
        <w:rPr>
          <w:rFonts w:hint="eastAsia" w:ascii="Times New Roman" w:eastAsia="黑体" w:cs="黑体"/>
          <w:sz w:val="32"/>
          <w:szCs w:val="32"/>
          <w:highlight w:val="none"/>
          <w:shd w:val="clear" w:color="auto" w:fill="FFFFFF"/>
          <w:lang w:val="zh-CN"/>
        </w:rPr>
      </w:pPr>
    </w:p>
    <w:p>
      <w:pPr>
        <w:pStyle w:val="2"/>
        <w:spacing w:before="93"/>
        <w:rPr>
          <w:rFonts w:ascii="Times New Roman" w:eastAsia="黑体" w:cs="黑体"/>
          <w:sz w:val="32"/>
          <w:szCs w:val="32"/>
          <w:highlight w:val="none"/>
        </w:rPr>
      </w:pPr>
      <w:r>
        <w:rPr>
          <w:rFonts w:hint="eastAsia" w:ascii="Times New Roman" w:eastAsia="黑体" w:cs="黑体"/>
          <w:sz w:val="32"/>
          <w:szCs w:val="32"/>
          <w:highlight w:val="none"/>
          <w:shd w:val="clear" w:color="auto" w:fill="FFFFFF"/>
          <w:lang w:val="zh-CN"/>
        </w:rPr>
        <w:t>附件</w:t>
      </w:r>
      <w:r>
        <w:rPr>
          <w:rFonts w:hint="eastAsia" w:ascii="Times New Roman" w:eastAsia="黑体" w:cs="黑体"/>
          <w:sz w:val="32"/>
          <w:szCs w:val="32"/>
          <w:highlight w:val="none"/>
          <w:shd w:val="clear" w:color="auto" w:fill="FFFFFF"/>
        </w:rPr>
        <w:t>2</w:t>
      </w:r>
    </w:p>
    <w:p>
      <w:pPr>
        <w:pStyle w:val="40"/>
        <w:spacing w:line="578" w:lineRule="exact"/>
        <w:jc w:val="center"/>
        <w:rPr>
          <w:rFonts w:ascii="Times New Roman" w:hAnsi="Times New Roman" w:eastAsia="方正小标宋简体" w:cs="方正小标宋简体"/>
          <w:color w:val="auto"/>
          <w:kern w:val="2"/>
          <w:sz w:val="44"/>
          <w:szCs w:val="44"/>
          <w:highlight w:val="none"/>
          <w:lang w:val="en-US"/>
        </w:rPr>
      </w:pPr>
    </w:p>
    <w:p>
      <w:pPr>
        <w:pStyle w:val="40"/>
        <w:spacing w:line="578" w:lineRule="exact"/>
        <w:jc w:val="center"/>
        <w:rPr>
          <w:rFonts w:ascii="方正小标宋简体" w:eastAsia="方正小标宋简体" w:cs="方正小标宋简体"/>
          <w:sz w:val="44"/>
          <w:szCs w:val="44"/>
          <w:highlight w:val="none"/>
        </w:rPr>
      </w:pPr>
      <w:r>
        <w:rPr>
          <w:rFonts w:ascii="方正小标宋简体" w:eastAsia="方正小标宋简体" w:cs="方正小标宋简体"/>
          <w:sz w:val="44"/>
          <w:szCs w:val="44"/>
          <w:highlight w:val="none"/>
        </w:rPr>
        <w:t>202</w:t>
      </w:r>
      <w:r>
        <w:rPr>
          <w:rFonts w:hint="eastAsia" w:ascii="方正小标宋简体" w:eastAsia="方正小标宋简体" w:cs="方正小标宋简体"/>
          <w:sz w:val="44"/>
          <w:szCs w:val="44"/>
          <w:highlight w:val="none"/>
          <w:lang w:val="en-US"/>
        </w:rPr>
        <w:t>4</w:t>
      </w:r>
      <w:r>
        <w:rPr>
          <w:rFonts w:hint="eastAsia" w:ascii="方正小标宋简体" w:eastAsia="方正小标宋简体" w:cs="方正小标宋简体"/>
          <w:sz w:val="44"/>
          <w:szCs w:val="44"/>
          <w:highlight w:val="none"/>
        </w:rPr>
        <w:t>年广元女儿节暨欢乐文化周活动</w:t>
      </w:r>
    </w:p>
    <w:p>
      <w:pPr>
        <w:pStyle w:val="40"/>
        <w:spacing w:line="578" w:lineRule="exact"/>
        <w:jc w:val="center"/>
        <w:rPr>
          <w:rFonts w:ascii="方正小标宋简体" w:eastAsia="方正小标宋简体" w:cs="方正小标宋简体"/>
          <w:sz w:val="44"/>
          <w:szCs w:val="44"/>
          <w:highlight w:val="none"/>
          <w:lang w:val="en-US"/>
        </w:rPr>
      </w:pPr>
      <w:r>
        <w:rPr>
          <w:rFonts w:hint="eastAsia" w:ascii="方正小标宋简体" w:eastAsia="方正小标宋简体" w:cs="方正小标宋简体"/>
          <w:sz w:val="44"/>
          <w:szCs w:val="44"/>
          <w:highlight w:val="none"/>
          <w:lang w:val="en-US"/>
        </w:rPr>
        <w:t>绩效评价报告</w:t>
      </w:r>
    </w:p>
    <w:p>
      <w:pPr>
        <w:adjustRightInd w:val="0"/>
        <w:snapToGrid w:val="0"/>
        <w:spacing w:line="578" w:lineRule="exact"/>
        <w:rPr>
          <w:rFonts w:hint="eastAsia" w:ascii="仿宋_GB2312" w:hAnsi="仿宋_GB2312" w:eastAsia="仿宋_GB2312" w:cs="仿宋_GB2312"/>
          <w:sz w:val="32"/>
          <w:szCs w:val="32"/>
          <w:highlight w:val="none"/>
        </w:rPr>
      </w:pP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rPr>
        <w:t>一、</w:t>
      </w:r>
      <w:r>
        <w:rPr>
          <w:rFonts w:hint="eastAsia" w:ascii="方正黑体简体" w:hAnsi="方正黑体简体" w:eastAsia="方正黑体简体" w:cs="方正黑体简体"/>
          <w:sz w:val="32"/>
          <w:szCs w:val="32"/>
          <w:highlight w:val="none"/>
          <w:lang w:val="zh-CN"/>
        </w:rPr>
        <w:t>项目概况</w:t>
      </w:r>
    </w:p>
    <w:p>
      <w:pPr>
        <w:adjustRightInd w:val="0"/>
        <w:snapToGrid w:val="0"/>
        <w:spacing w:line="578" w:lineRule="exact"/>
        <w:ind w:firstLine="600" w:firstLineChars="20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Cs/>
          <w:sz w:val="30"/>
          <w:szCs w:val="30"/>
          <w:highlight w:val="none"/>
          <w:lang w:val="zh-CN"/>
        </w:rPr>
        <w:t>（一）设立背景及基本情况。</w:t>
      </w:r>
      <w:r>
        <w:rPr>
          <w:rFonts w:hint="eastAsia" w:ascii="仿宋_GB2312" w:hAnsi="仿宋_GB2312" w:eastAsia="仿宋_GB2312" w:cs="仿宋_GB2312"/>
          <w:sz w:val="32"/>
          <w:szCs w:val="32"/>
          <w:highlight w:val="none"/>
        </w:rPr>
        <w:t>深入贯彻落实市委“1345”发展战略，积极展示我市“拼经济、比发展”干事创业精神，充分发挥文旅节庆活动在宣传城市、提升形象、扩大消费、助推发展中的积极作用，吸引更多的省内外游客和朋友来广观光旅游、休闲度假、研学康养、投资兴业，不断扩大城市品牌影响力，激发广元文化旅游市场活力，持续提升女儿节品牌价值，聚力推进大蜀道国际文化旅游目的地和康养度假胜地建设，市委市政府决定举办2024年广元女儿节暨欢乐文化周活动。</w:t>
      </w:r>
    </w:p>
    <w:p>
      <w:pPr>
        <w:adjustRightInd w:val="0"/>
        <w:snapToGrid w:val="0"/>
        <w:spacing w:line="578" w:lineRule="exact"/>
        <w:ind w:firstLine="600" w:firstLineChars="20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Cs/>
          <w:sz w:val="30"/>
          <w:szCs w:val="30"/>
          <w:highlight w:val="none"/>
          <w:lang w:val="zh-CN"/>
        </w:rPr>
        <w:t>（二）实施目的及支持方向。</w:t>
      </w:r>
      <w:r>
        <w:rPr>
          <w:rFonts w:hint="eastAsia" w:ascii="仿宋_GB2312" w:hAnsi="仿宋_GB2312" w:eastAsia="仿宋_GB2312" w:cs="仿宋_GB2312"/>
          <w:sz w:val="32"/>
          <w:szCs w:val="32"/>
          <w:highlight w:val="none"/>
        </w:rPr>
        <w:t>不断扩大城市品牌影响力，激发广元文化旅游市场活力，持续提升女儿节品牌价值，资金主要女儿节暨城市品牌宣传活动经费398万元（女儿节预算150万元、城市品牌宣传预算248万元）。</w:t>
      </w:r>
    </w:p>
    <w:p>
      <w:pPr>
        <w:adjustRightInd w:val="0"/>
        <w:snapToGrid w:val="0"/>
        <w:spacing w:line="578" w:lineRule="exact"/>
        <w:ind w:firstLine="600" w:firstLineChars="200"/>
        <w:rPr>
          <w:rFonts w:hint="eastAsia" w:ascii="仿宋_GB2312" w:hAnsi="仿宋_GB2312" w:eastAsia="仿宋_GB2312" w:cs="仿宋_GB2312"/>
          <w:sz w:val="32"/>
          <w:szCs w:val="32"/>
          <w:highlight w:val="none"/>
          <w:lang w:val="zh-CN"/>
        </w:rPr>
      </w:pPr>
      <w:r>
        <w:rPr>
          <w:rFonts w:hint="eastAsia" w:ascii="方正楷体简体" w:hAnsi="方正楷体简体" w:eastAsia="方正楷体简体" w:cs="方正楷体简体"/>
          <w:bCs/>
          <w:sz w:val="30"/>
          <w:szCs w:val="30"/>
          <w:highlight w:val="none"/>
          <w:lang w:val="zh-CN"/>
        </w:rPr>
        <w:t>（三）预算安排及分配管理。</w:t>
      </w:r>
      <w:r>
        <w:rPr>
          <w:rFonts w:hint="eastAsia" w:ascii="仿宋_GB2312" w:hAnsi="仿宋_GB2312" w:eastAsia="仿宋_GB2312" w:cs="仿宋_GB2312"/>
          <w:sz w:val="32"/>
          <w:szCs w:val="32"/>
          <w:highlight w:val="none"/>
        </w:rPr>
        <w:t>根据市政府第74次常务会审议通过的2024年广元女儿节暨欢乐文化周活动实施方案，共计预算资金398万元。女儿节经费预算150万元主要支出开幕式活动相关费用（含现场布置、舞台搭建、舞美音响等51.92万元，文艺表演、LED屏幕等85.08万元，国际凤舟赛补贴13万元）。城市品牌宣传活动经费预算248万元主要支出市文旅康养集团征集策划方案30万元，市文旅康养集团开展活动和氛围营造70万元（含“大美广元我来拍”、“百鸟朝凤”小程序活动、水上灯光秀活动以及城市氛围亮化等），群众文化活动52.631万元（含“放歌嘉陵江”群众歌咏活动、夜间群众文化活动、陕甘川宁文化艺术交流活动等），宣传报道50万元，安全保障10万元，接待服务、后勤保障、来宾伴手礼及筹委会办公室工作经费等35.369万元。</w:t>
      </w:r>
    </w:p>
    <w:p>
      <w:pPr>
        <w:adjustRightInd w:val="0"/>
        <w:snapToGrid w:val="0"/>
        <w:spacing w:line="578" w:lineRule="exact"/>
        <w:ind w:firstLine="600" w:firstLineChars="200"/>
        <w:rPr>
          <w:rFonts w:hint="eastAsia" w:ascii="仿宋_GB2312" w:hAnsi="仿宋_GB2312" w:eastAsia="仿宋_GB2312" w:cs="仿宋_GB2312"/>
          <w:sz w:val="32"/>
          <w:szCs w:val="32"/>
          <w:highlight w:val="none"/>
          <w:lang w:val="zh-CN"/>
        </w:rPr>
      </w:pPr>
      <w:r>
        <w:rPr>
          <w:rFonts w:hint="eastAsia" w:ascii="方正楷体简体" w:hAnsi="方正楷体简体" w:eastAsia="方正楷体简体" w:cs="方正楷体简体"/>
          <w:bCs/>
          <w:sz w:val="30"/>
          <w:szCs w:val="30"/>
          <w:highlight w:val="none"/>
          <w:lang w:val="zh-CN"/>
        </w:rPr>
        <w:t>（四）项目绩效目标设置。</w:t>
      </w:r>
      <w:r>
        <w:rPr>
          <w:rFonts w:hint="eastAsia" w:ascii="仿宋_GB2312" w:hAnsi="仿宋_GB2312" w:eastAsia="仿宋_GB2312" w:cs="仿宋_GB2312"/>
          <w:sz w:val="32"/>
          <w:szCs w:val="32"/>
          <w:highlight w:val="none"/>
          <w:lang w:val="zh-CN"/>
        </w:rPr>
        <w:t>绩效目标设置主要包括活动策划及实施，宣传推广等方面。通过系列活动的开展，进一步提升形象、扩大消费，擦亮“剑门蜀道 女皇故里 红色热土 康养胜地”城市文化品牌。</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lang w:val="zh-CN"/>
        </w:rPr>
        <w:t>二、评价实施</w:t>
      </w:r>
    </w:p>
    <w:p>
      <w:pPr>
        <w:adjustRightInd w:val="0"/>
        <w:snapToGrid w:val="0"/>
        <w:spacing w:line="578" w:lineRule="exact"/>
        <w:ind w:firstLine="600" w:firstLineChars="20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Cs/>
          <w:sz w:val="30"/>
          <w:szCs w:val="30"/>
          <w:highlight w:val="none"/>
          <w:lang w:val="zh-CN"/>
        </w:rPr>
        <w:t>（一）评价目的。</w:t>
      </w:r>
      <w:r>
        <w:rPr>
          <w:rFonts w:hint="eastAsia" w:ascii="仿宋_GB2312" w:hAnsi="仿宋_GB2312" w:eastAsia="仿宋_GB2312" w:cs="仿宋_GB2312"/>
          <w:sz w:val="32"/>
          <w:szCs w:val="32"/>
          <w:highlight w:val="none"/>
          <w:lang w:val="zh-CN"/>
        </w:rPr>
        <w:t>总结</w:t>
      </w:r>
      <w:r>
        <w:rPr>
          <w:rFonts w:hint="eastAsia" w:ascii="仿宋_GB2312" w:hAnsi="仿宋_GB2312" w:eastAsia="仿宋_GB2312" w:cs="仿宋_GB2312"/>
          <w:sz w:val="32"/>
          <w:szCs w:val="32"/>
          <w:highlight w:val="none"/>
        </w:rPr>
        <w:t>2024年广元女儿节暨欢乐文化周活动</w:t>
      </w:r>
      <w:r>
        <w:rPr>
          <w:rFonts w:hint="eastAsia" w:ascii="仿宋_GB2312" w:hAnsi="仿宋_GB2312" w:eastAsia="仿宋_GB2312" w:cs="仿宋_GB2312"/>
          <w:sz w:val="32"/>
          <w:szCs w:val="32"/>
          <w:highlight w:val="none"/>
          <w:lang w:val="zh-CN"/>
        </w:rPr>
        <w:t>的经验和不足，为</w:t>
      </w:r>
      <w:r>
        <w:rPr>
          <w:rFonts w:hint="eastAsia" w:ascii="仿宋_GB2312" w:hAnsi="仿宋_GB2312" w:eastAsia="仿宋_GB2312" w:cs="仿宋_GB2312"/>
          <w:sz w:val="32"/>
          <w:szCs w:val="32"/>
          <w:highlight w:val="none"/>
        </w:rPr>
        <w:t>2025年及以后实施该项活动</w:t>
      </w:r>
      <w:r>
        <w:rPr>
          <w:rFonts w:hint="eastAsia" w:ascii="仿宋_GB2312" w:hAnsi="仿宋_GB2312" w:eastAsia="仿宋_GB2312" w:cs="仿宋_GB2312"/>
          <w:sz w:val="32"/>
          <w:szCs w:val="32"/>
          <w:highlight w:val="none"/>
          <w:lang w:val="zh-CN"/>
        </w:rPr>
        <w:t>提供借鉴</w:t>
      </w:r>
      <w:r>
        <w:rPr>
          <w:rFonts w:hint="eastAsia" w:ascii="仿宋_GB2312" w:hAnsi="仿宋_GB2312" w:eastAsia="仿宋_GB2312" w:cs="仿宋_GB2312"/>
          <w:sz w:val="32"/>
          <w:szCs w:val="32"/>
          <w:highlight w:val="none"/>
        </w:rPr>
        <w:t>。</w:t>
      </w:r>
    </w:p>
    <w:p>
      <w:pPr>
        <w:adjustRightInd w:val="0"/>
        <w:snapToGrid w:val="0"/>
        <w:spacing w:line="578" w:lineRule="exact"/>
        <w:ind w:firstLine="600" w:firstLineChars="200"/>
        <w:rPr>
          <w:rFonts w:hint="eastAsia" w:ascii="仿宋_GB2312" w:hAnsi="仿宋_GB2312" w:eastAsia="仿宋_GB2312" w:cs="仿宋_GB2312"/>
          <w:sz w:val="32"/>
          <w:szCs w:val="32"/>
          <w:highlight w:val="none"/>
          <w:lang w:val="zh-CN"/>
        </w:rPr>
      </w:pPr>
      <w:r>
        <w:rPr>
          <w:rFonts w:hint="eastAsia" w:ascii="方正楷体简体" w:hAnsi="方正楷体简体" w:eastAsia="方正楷体简体" w:cs="方正楷体简体"/>
          <w:bCs/>
          <w:sz w:val="30"/>
          <w:szCs w:val="30"/>
          <w:highlight w:val="none"/>
          <w:lang w:val="zh-CN"/>
        </w:rPr>
        <w:t>（二）预设问题及评价重点。</w:t>
      </w:r>
      <w:r>
        <w:rPr>
          <w:rFonts w:hint="eastAsia" w:ascii="仿宋_GB2312" w:hAnsi="仿宋_GB2312" w:eastAsia="仿宋_GB2312" w:cs="仿宋_GB2312"/>
          <w:sz w:val="32"/>
          <w:szCs w:val="32"/>
          <w:highlight w:val="none"/>
          <w:lang w:val="zh-CN"/>
        </w:rPr>
        <w:t>一是</w:t>
      </w:r>
      <w:r>
        <w:rPr>
          <w:rFonts w:hint="eastAsia" w:ascii="仿宋_GB2312" w:hAnsi="仿宋_GB2312" w:eastAsia="仿宋_GB2312" w:cs="仿宋_GB2312"/>
          <w:sz w:val="32"/>
          <w:szCs w:val="32"/>
          <w:highlight w:val="none"/>
        </w:rPr>
        <w:t>存在个别活动准备不充分、细节考虑不周全等问题，开展文化调查，倾听群众呼声，集中力量将群众喜爱、操作性强、参与度高的活动办好</w:t>
      </w:r>
      <w:r>
        <w:rPr>
          <w:rFonts w:hint="eastAsia" w:ascii="仿宋_GB2312" w:hAnsi="仿宋_GB2312" w:eastAsia="仿宋_GB2312" w:cs="仿宋_GB2312"/>
          <w:sz w:val="32"/>
          <w:szCs w:val="32"/>
          <w:highlight w:val="none"/>
          <w:lang w:val="zh-CN"/>
        </w:rPr>
        <w:t>。二是根据活动开展项目，合理分配预算资金。</w:t>
      </w:r>
    </w:p>
    <w:p>
      <w:pPr>
        <w:adjustRightInd w:val="0"/>
        <w:snapToGrid w:val="0"/>
        <w:spacing w:line="578" w:lineRule="exact"/>
        <w:ind w:firstLine="600" w:firstLineChars="200"/>
        <w:rPr>
          <w:rFonts w:hint="eastAsia" w:ascii="仿宋_GB2312" w:hAnsi="仿宋_GB2312" w:eastAsia="仿宋_GB2312" w:cs="仿宋_GB2312"/>
          <w:sz w:val="32"/>
          <w:szCs w:val="32"/>
          <w:highlight w:val="none"/>
          <w:lang w:val="zh-CN"/>
        </w:rPr>
      </w:pPr>
      <w:r>
        <w:rPr>
          <w:rFonts w:hint="eastAsia" w:ascii="方正楷体简体" w:hAnsi="方正楷体简体" w:eastAsia="方正楷体简体" w:cs="方正楷体简体"/>
          <w:bCs/>
          <w:sz w:val="30"/>
          <w:szCs w:val="30"/>
          <w:highlight w:val="none"/>
          <w:lang w:val="zh-CN"/>
        </w:rPr>
        <w:t>（三）评价选点。</w:t>
      </w:r>
      <w:r>
        <w:rPr>
          <w:rFonts w:hint="eastAsia" w:ascii="仿宋_GB2312" w:hAnsi="仿宋_GB2312" w:eastAsia="仿宋_GB2312" w:cs="仿宋_GB2312"/>
          <w:sz w:val="32"/>
          <w:szCs w:val="32"/>
          <w:highlight w:val="none"/>
          <w:lang w:val="zh-CN"/>
        </w:rPr>
        <w:t>选取市文旅康养集团、市文化馆</w:t>
      </w:r>
      <w:r>
        <w:rPr>
          <w:rFonts w:hint="eastAsia" w:ascii="仿宋_GB2312" w:hAnsi="仿宋_GB2312" w:eastAsia="仿宋_GB2312" w:cs="仿宋_GB2312"/>
          <w:sz w:val="32"/>
          <w:szCs w:val="32"/>
          <w:highlight w:val="none"/>
        </w:rPr>
        <w:t>进行评价。</w:t>
      </w:r>
    </w:p>
    <w:p>
      <w:pPr>
        <w:adjustRightInd w:val="0"/>
        <w:snapToGrid w:val="0"/>
        <w:spacing w:line="578" w:lineRule="exact"/>
        <w:ind w:firstLine="600" w:firstLineChars="20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Cs/>
          <w:sz w:val="30"/>
          <w:szCs w:val="30"/>
          <w:highlight w:val="none"/>
          <w:lang w:val="zh-CN"/>
        </w:rPr>
        <w:t>（四）评价方法。</w:t>
      </w:r>
      <w:r>
        <w:rPr>
          <w:rFonts w:hint="eastAsia" w:ascii="仿宋_GB2312" w:hAnsi="仿宋_GB2312" w:eastAsia="仿宋_GB2312" w:cs="仿宋_GB2312"/>
          <w:sz w:val="32"/>
          <w:szCs w:val="32"/>
          <w:highlight w:val="none"/>
          <w:lang w:val="zh-CN"/>
        </w:rPr>
        <w:t>本次评价主要采取</w:t>
      </w:r>
      <w:r>
        <w:rPr>
          <w:rFonts w:hint="eastAsia" w:ascii="仿宋_GB2312" w:hAnsi="仿宋_GB2312" w:eastAsia="仿宋_GB2312" w:cs="仿宋_GB2312"/>
          <w:sz w:val="32"/>
          <w:szCs w:val="32"/>
          <w:highlight w:val="none"/>
        </w:rPr>
        <w:t>座谈调研法的方法，实地考察了解活动开展等情况。</w:t>
      </w:r>
    </w:p>
    <w:p>
      <w:pPr>
        <w:adjustRightInd w:val="0"/>
        <w:snapToGrid w:val="0"/>
        <w:spacing w:line="578" w:lineRule="exact"/>
        <w:ind w:firstLine="600" w:firstLineChars="200"/>
        <w:rPr>
          <w:rFonts w:hint="eastAsia" w:ascii="仿宋_GB2312" w:hAnsi="仿宋_GB2312" w:eastAsia="仿宋_GB2312" w:cs="仿宋_GB2312"/>
          <w:sz w:val="32"/>
          <w:szCs w:val="32"/>
          <w:highlight w:val="none"/>
          <w:lang w:val="zh-CN"/>
        </w:rPr>
      </w:pPr>
      <w:r>
        <w:rPr>
          <w:rFonts w:hint="eastAsia" w:ascii="方正楷体简体" w:hAnsi="方正楷体简体" w:eastAsia="方正楷体简体" w:cs="方正楷体简体"/>
          <w:bCs/>
          <w:sz w:val="30"/>
          <w:szCs w:val="30"/>
          <w:highlight w:val="none"/>
          <w:lang w:val="zh-CN"/>
        </w:rPr>
        <w:t>（五）评价组织。</w:t>
      </w:r>
      <w:r>
        <w:rPr>
          <w:rFonts w:hint="eastAsia" w:ascii="仿宋_GB2312" w:hAnsi="仿宋_GB2312" w:eastAsia="仿宋_GB2312" w:cs="仿宋_GB2312"/>
          <w:sz w:val="32"/>
          <w:szCs w:val="32"/>
          <w:highlight w:val="none"/>
          <w:lang w:val="zh-CN"/>
        </w:rPr>
        <w:t>女儿节筹委会办公室、市文化广电旅游局艺术科、公共服务科、财务科联合市文旅康养集团相关人员组成评价小组，对项目实施进行评价。</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lang w:val="zh-CN"/>
        </w:rPr>
      </w:pPr>
      <w:r>
        <w:rPr>
          <w:rFonts w:hint="eastAsia" w:ascii="方正黑体简体" w:hAnsi="方正黑体简体" w:eastAsia="方正黑体简体" w:cs="方正黑体简体"/>
          <w:sz w:val="32"/>
          <w:szCs w:val="32"/>
          <w:highlight w:val="none"/>
          <w:lang w:val="zh-CN"/>
        </w:rPr>
        <w:t>三、绩效分析</w:t>
      </w:r>
      <w:r>
        <w:rPr>
          <w:rFonts w:hint="eastAsia" w:ascii="仿宋_GB2312" w:hAnsi="仿宋_GB2312" w:eastAsia="仿宋_GB2312" w:cs="仿宋_GB2312"/>
          <w:sz w:val="32"/>
          <w:szCs w:val="32"/>
          <w:highlight w:val="none"/>
          <w:lang w:val="zh-CN"/>
        </w:rPr>
        <w:tab/>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zh-CN"/>
        </w:rPr>
        <w:t>根据项目预算绩效评价指标体系“通用指标”“专用指标”“个性指标”涉及二、三级指标进行逐项绩效分析并评分</w:t>
      </w:r>
      <w:r>
        <w:rPr>
          <w:rFonts w:hint="eastAsia" w:ascii="仿宋_GB2312" w:hAnsi="仿宋_GB2312" w:eastAsia="仿宋_GB2312" w:cs="仿宋_GB2312"/>
          <w:sz w:val="32"/>
          <w:szCs w:val="32"/>
          <w:highlight w:val="none"/>
        </w:rPr>
        <w:t>。</w:t>
      </w:r>
    </w:p>
    <w:p>
      <w:pPr>
        <w:adjustRightInd w:val="0"/>
        <w:snapToGrid w:val="0"/>
        <w:spacing w:line="578" w:lineRule="exact"/>
        <w:ind w:firstLine="600" w:firstLineChars="200"/>
        <w:rPr>
          <w:rFonts w:hint="eastAsia" w:ascii="方正楷体简体" w:hAnsi="方正楷体简体" w:eastAsia="方正楷体简体" w:cs="方正楷体简体"/>
          <w:bCs/>
          <w:sz w:val="30"/>
          <w:szCs w:val="30"/>
          <w:highlight w:val="none"/>
          <w:lang w:val="zh-CN"/>
        </w:rPr>
      </w:pPr>
      <w:r>
        <w:rPr>
          <w:rFonts w:hint="eastAsia" w:ascii="方正楷体简体" w:hAnsi="方正楷体简体" w:eastAsia="方正楷体简体" w:cs="方正楷体简体"/>
          <w:bCs/>
          <w:sz w:val="30"/>
          <w:szCs w:val="30"/>
          <w:highlight w:val="none"/>
          <w:lang w:val="zh-CN"/>
        </w:rPr>
        <w:t>（一）通用指标绩效分析。</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1.项目决策。本项目决策程序严密、规划论证充分科学、项目资金与项目总体规划、相关行业事业发展相匹配、聚焦重点领域。结合专项预算项目绩效评价指标体系，该项目在项目决策方面得18分。</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管理。根据《中华人民共和国预算法》《中华人民共和国政府采购法》《政府购买服务管理办法》（中华人民共和国财政部令第102号）《四川省政府购买服务管理办法》（川财规〔2021〕15号）等制度办法，根据活动试试项目，采用因素分析法合理分配项目资金，并将该项目纳入全面绩效管理。该项目在项目管理方面得18分。</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项目实施。项目实施从预算执行和资金使用两方面进行评价：一是资金使用。该项目资金使用、拨付符合国家财经法规、财务管理制度及有关专项资金管理制度办法规定和审批程序，不存在超范围、超标准、超进度使用专项资金，不存在资金损失浪费、长期沉淀、截留、挤占、挪用、虚列支出等情况，项目实施遵守相关法律法规，该项目在资金使用方面得3分。二是预算执行。2024年广元女儿节暨欢乐文化周活动预算资金398万元，截至年底资金拨398万元，财政资金拨付率100%。按照专项预算项目绩效评价指标体系中的标准，该项目在项目实施方面得9分。</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4.项目结果。</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批复立项设定的绩效目标是举办女儿节开幕式及欢乐文化周系列活动不少于4项和宣传造势及媒体传播，实际开展系列活动27项，让广大市民和游客度过了一个高端大气、盛况空前的节日，网络热度高，社会反响好，宣传报道声势大，广元新形象高质量展示。超额且高质量完成各项预定绩效目标。该项目在项目结果方面得9分。</w:t>
      </w:r>
    </w:p>
    <w:p>
      <w:pPr>
        <w:adjustRightInd w:val="0"/>
        <w:snapToGrid w:val="0"/>
        <w:spacing w:line="578" w:lineRule="exact"/>
        <w:ind w:firstLine="600" w:firstLineChars="200"/>
        <w:rPr>
          <w:rFonts w:hint="eastAsia" w:ascii="方正楷体简体" w:hAnsi="方正楷体简体" w:eastAsia="方正楷体简体" w:cs="方正楷体简体"/>
          <w:bCs/>
          <w:sz w:val="30"/>
          <w:szCs w:val="30"/>
          <w:highlight w:val="none"/>
          <w:lang w:val="zh-CN"/>
        </w:rPr>
      </w:pPr>
      <w:r>
        <w:rPr>
          <w:rFonts w:hint="eastAsia" w:ascii="方正楷体简体" w:hAnsi="方正楷体简体" w:eastAsia="方正楷体简体" w:cs="方正楷体简体"/>
          <w:bCs/>
          <w:sz w:val="30"/>
          <w:szCs w:val="30"/>
          <w:highlight w:val="none"/>
          <w:lang w:val="zh-CN"/>
        </w:rPr>
        <w:t>（二）专用指标绩效分析。</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该项目实施内容按照产业发展专用指标进行分析。该项目严格按照相关要求，符合上级单位政策。项目实施极大地提升了广元城市知名度和影响力。对市内酒店、餐饮、文化旅游行业相关的市场主体的主营业务收入、净利润等都有较大的提升。自评得分30分。</w:t>
      </w:r>
    </w:p>
    <w:p>
      <w:pPr>
        <w:adjustRightInd w:val="0"/>
        <w:snapToGrid w:val="0"/>
        <w:spacing w:line="578" w:lineRule="exact"/>
        <w:ind w:firstLine="600" w:firstLineChars="200"/>
        <w:rPr>
          <w:rFonts w:hint="eastAsia" w:ascii="方正楷体简体" w:hAnsi="方正楷体简体" w:eastAsia="方正楷体简体" w:cs="方正楷体简体"/>
          <w:bCs/>
          <w:sz w:val="30"/>
          <w:szCs w:val="30"/>
          <w:highlight w:val="none"/>
          <w:lang w:val="zh-CN"/>
        </w:rPr>
      </w:pPr>
      <w:r>
        <w:rPr>
          <w:rFonts w:hint="eastAsia" w:ascii="方正楷体简体" w:hAnsi="方正楷体简体" w:eastAsia="方正楷体简体" w:cs="方正楷体简体"/>
          <w:bCs/>
          <w:sz w:val="30"/>
          <w:szCs w:val="30"/>
          <w:highlight w:val="none"/>
          <w:lang w:val="zh-CN"/>
        </w:rPr>
        <w:t>（三）个性指标绩效分析。</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2024年广元女儿节暨欢乐文化周活动在市委、市政府的坚强领导下，坚定贯彻习近平总书记来川来广视察重要指示精神。围绕“来蜀道广元、为美丽加冕”主题，精心策划了主题活动、街头活动、体育赛事、经贸活动等6类27项活动，和去年相比时间更长、活动更丰富、规模更宏大、参与度更高、国际范更浓，成为“广纳天下客、元梦新蜀道”的精彩舞台，受到干部群众和社会各界的广泛欢迎和高度评价，充分实现市委市政府“精彩、安全、圆满”的目标要求，有效提升广元女儿节的美誉度和影响力，进一步擦亮广元“剑门蜀道、女皇故里、红色热土、康养胜地”的文化名片，城市自信日益增强。</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zh-CN"/>
        </w:rPr>
        <w:t>从“万众期待”到“全民狂欢”，广大群众参与度更高。</w:t>
      </w:r>
      <w:r>
        <w:rPr>
          <w:rFonts w:hint="eastAsia" w:ascii="仿宋_GB2312" w:hAnsi="仿宋_GB2312" w:eastAsia="仿宋_GB2312" w:cs="仿宋_GB2312"/>
          <w:sz w:val="32"/>
          <w:szCs w:val="32"/>
          <w:highlight w:val="none"/>
        </w:rPr>
        <w:t>始终秉持文化惠民属性，首次结合女儿节举办欢乐文化周，让更多的市民游客享受优惠政策、畅享节日欢乐，继2023年给大家带来重大惊喜后，又一次把传统节日办成“群众的盛会”。一是多元供给提升参与度。照明提升两江四岸24个点位建筑和岸线，打造7个网红打卡点，美化城市面貌。歌咏、踏歌、主题巡游、文艺展演等线下活动吸引广大群众齐聚广场街道互动体验；大美广元我来拍、“百鸟朝凤”等线上活动掀起网络参与热潮；“有凤来仪·点亮广元”、栖凤湖夜间群众文化活动等夜间活动让夜晚的凤之城分外璀璨；科技感十足的无人机秀、烟花表演引爆全城，数十万市民游客奔赴而来、驻足欣赏；女儿节呈现线上与线下共同发力、白天和夜晚相互叠加、文化+科技深度融合的效果，多元活动让参与度飙升、氛围感拉满。二是全民参与增强获得感。女儿节筹备期间，市民群众纷纷为活动出谋划策，积极参与志愿服务。群众歌咏、文艺展演等群文活动让广元大街小巷人头攒动，“七天六夜”女性免票游广元活动超22.8万人次享受免票政策；体育赛事共吸引5万人次参赛，开幕式和“有凤来仪·点亮广元”活动现场约30万人流连观赏。市民游客纷纷感叹“女儿节比过年还热闹”，获得感、幸福感显著增强。三是优质服务增强体验感。公布“女儿节活动指南”，清单式发布每天举办的具体活动时间、地点、内容等；发布广元美食地图、公交出行攻略、交通组织公告、医疗保障点位、免费公厕地图、志愿者服务点、烟花秀观看攻略等，特别推出了针对外地游客的免费停车攻略，城区近2000个车位向游客免费开放。对城区6000余起乱停乱放及外地车辆轻微交通违法采取首违不罚措施。游客纷纷点赞：“广元是一座有温度的城市，下次还来参加女儿节”。</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zh-CN"/>
        </w:rPr>
        <w:t>从“名人文化”到“女性风采”，节日魅力独特性更显。</w:t>
      </w:r>
      <w:r>
        <w:rPr>
          <w:rFonts w:hint="eastAsia" w:ascii="仿宋_GB2312" w:hAnsi="仿宋_GB2312" w:eastAsia="仿宋_GB2312" w:cs="仿宋_GB2312"/>
          <w:sz w:val="32"/>
          <w:szCs w:val="32"/>
          <w:highlight w:val="none"/>
        </w:rPr>
        <w:t>注重凸显女儿节独特的地域文化和丰富的表现形式，传承历史情怀，展示女性风采，彰显独特魅力。一是传统文化显特色。凸显凤舟赛这一节日亮点，特别邀请３支国际队伍和21支国内队伍，上演水上“速度与激情”。二是系列活动优服务。以武则天历史名人文化为内核策划系列活动，新增和升级了媚娘妆造、曌集市、女性健康义诊、“川妹带川货”、则天女茶发布、“七天六夜”女性免票游广元等多项体现女性特色和需求的主题活动。三是主题活动展美颜。节日期间广大女性身着华服盛装出游，逛集市、游景区、品美食，展示女性风采、扮靓城市容颜，凸显女儿节的女性底色和文化底蕴。</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zh-CN"/>
        </w:rPr>
        <w:t>从“传统节日”到“综合发展”，节庆经济带动力更强。</w:t>
      </w:r>
      <w:r>
        <w:rPr>
          <w:rFonts w:hint="eastAsia" w:ascii="仿宋_GB2312" w:hAnsi="仿宋_GB2312" w:eastAsia="仿宋_GB2312" w:cs="仿宋_GB2312"/>
          <w:sz w:val="32"/>
          <w:szCs w:val="32"/>
          <w:highlight w:val="none"/>
        </w:rPr>
        <w:t>坚持将节会举办与经济社会发展融合，探索走出一条“以节兴业、以节营城、以节为媒”的高质量发展之路。一是“以节兴业”拉动文旅消费。结合女儿节推出女性专属“宠爱包”、中高考学子“励志包”、坐高铁游广元“特惠包”等文旅优惠政策，推出4条精品线路，吸引外地游客来广旅游。据第三方机构综合测算，全市累计接待游客161.42万人次，其中广元市利州区接待游客99.27万人次，同口径相比增长14.20%；全市接待境外游客1.53万人次，同口径相比增长46.33%；文旅消费额达4.87亿元，同口径相比增长15.68%。全市A级旅游景区共接待游客42.05万人次，除享受免票政策的22.8万女性游客（免票1000余万元）外，实现门票收入230.60万元，市城区星级旅游饭店客房平均出租率达100%。2024年女儿节拉动的旅游消费、住宿消费对全市旅游消费总额、住宿消费总额的贡献率分别达71.9%、66.7%。二是“以节营城”促进城市消费。女儿节期间带动全市各类消费大幅提升。8月26日至9月1日，共运输旅客82.28万人次，其中高铁日均到发量同比增长19.05%、机场进港旅客同比增长15.98%。女儿节期间全市餐饮、酒店、零售收入显著提升，带动周边餐饮收入同比增长40%、酒店收入同比增长100%、零售收入同比增长15%。“醉美广元·嗨啤一夏”啤酒音乐季80余场次活动拉动全市消费5.6亿元；金橄榄广场商品促销系列活动拉动消费超3000万元；名车博览会销售新车330台、金额5100万元；“川妹带川货”直播活动实现线上线下销售额500余万元；大华1939“美食嘉年华”销售额112万元；体育赛事共带动消费5000万元。三是“以节为媒”推动区域合作。重要客源地和周边文旅体部门、周边旅行社、重点旅游企业、旅游平台、重要客商等近200名市外领导嘉宾应邀参加女儿节，共谋新发展；举办陕甘川宁毗邻地区经联会第34届年会，陕西、甘肃、四川、宁夏四省12市州经联会成员代表齐聚广元、共商合作；联合陕甘川宁地区文化单位为群众献上“西北风”特色文艺盛宴，促进文化艺术交流与合作。</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综上，该项目个性指标自评得分16分。</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eastAsia="zh-CN"/>
        </w:rPr>
      </w:pPr>
      <w:r>
        <w:rPr>
          <w:rFonts w:hint="eastAsia" w:ascii="方正黑体简体" w:hAnsi="方正黑体简体" w:eastAsia="方正黑体简体" w:cs="方正黑体简体"/>
          <w:sz w:val="32"/>
          <w:szCs w:val="32"/>
          <w:highlight w:val="none"/>
          <w:lang w:val="zh-CN" w:eastAsia="zh-CN"/>
        </w:rPr>
        <w:t>四、评价结论</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本项目项目绩效自评得分100分。</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eastAsia="zh-CN"/>
        </w:rPr>
      </w:pPr>
      <w:r>
        <w:rPr>
          <w:rFonts w:hint="eastAsia" w:ascii="方正黑体简体" w:hAnsi="方正黑体简体" w:eastAsia="方正黑体简体" w:cs="方正黑体简体"/>
          <w:sz w:val="32"/>
          <w:szCs w:val="32"/>
          <w:highlight w:val="none"/>
          <w:lang w:val="zh-CN" w:eastAsia="zh-CN"/>
        </w:rPr>
        <w:t>五、存在主要问题</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无</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eastAsia="zh-CN"/>
        </w:rPr>
      </w:pPr>
      <w:r>
        <w:rPr>
          <w:rFonts w:hint="eastAsia" w:ascii="方正黑体简体" w:hAnsi="方正黑体简体" w:eastAsia="方正黑体简体" w:cs="方正黑体简体"/>
          <w:sz w:val="32"/>
          <w:szCs w:val="32"/>
          <w:highlight w:val="none"/>
          <w:lang w:val="zh-CN" w:eastAsia="zh-CN"/>
        </w:rPr>
        <w:t>六、改进建议</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bookmarkStart w:id="111" w:name="_Hlk110546638"/>
      <w:r>
        <w:rPr>
          <w:rFonts w:hint="eastAsia" w:ascii="仿宋_GB2312" w:hAnsi="仿宋_GB2312" w:eastAsia="仿宋_GB2312" w:cs="仿宋_GB2312"/>
          <w:sz w:val="32"/>
          <w:szCs w:val="32"/>
          <w:highlight w:val="none"/>
        </w:rPr>
        <w:t>无</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p>
    <w:bookmarkEnd w:id="111"/>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附表：专项预算项目绩效目标完成情况自评表</w:t>
      </w:r>
    </w:p>
    <w:p>
      <w:pPr>
        <w:pStyle w:val="17"/>
        <w:rPr>
          <w:rFonts w:hint="eastAsia" w:ascii="仿宋_GB2312" w:hAnsi="仿宋_GB2312" w:eastAsia="仿宋_GB2312" w:cs="仿宋_GB2312"/>
          <w:sz w:val="32"/>
          <w:szCs w:val="32"/>
          <w:highlight w:val="none"/>
        </w:rPr>
      </w:pPr>
    </w:p>
    <w:p>
      <w:pPr>
        <w:rPr>
          <w:rFonts w:hint="eastAsia" w:ascii="仿宋_GB2312" w:hAnsi="仿宋_GB2312" w:eastAsia="仿宋_GB2312" w:cs="仿宋_GB2312"/>
          <w:sz w:val="32"/>
          <w:szCs w:val="32"/>
          <w:highlight w:val="none"/>
        </w:rPr>
      </w:pPr>
    </w:p>
    <w:p>
      <w:pPr>
        <w:pStyle w:val="17"/>
        <w:rPr>
          <w:rFonts w:hint="eastAsia" w:ascii="仿宋_GB2312" w:hAnsi="仿宋_GB2312" w:eastAsia="仿宋_GB2312" w:cs="仿宋_GB2312"/>
          <w:sz w:val="32"/>
          <w:szCs w:val="32"/>
          <w:highlight w:val="none"/>
        </w:rPr>
      </w:pPr>
    </w:p>
    <w:p>
      <w:pPr>
        <w:rPr>
          <w:rFonts w:hint="eastAsia" w:ascii="仿宋_GB2312" w:hAnsi="仿宋_GB2312" w:eastAsia="仿宋_GB2312" w:cs="仿宋_GB2312"/>
          <w:sz w:val="32"/>
          <w:szCs w:val="32"/>
          <w:highlight w:val="none"/>
        </w:rPr>
      </w:pPr>
    </w:p>
    <w:p>
      <w:pPr>
        <w:pStyle w:val="17"/>
        <w:rPr>
          <w:rFonts w:hint="eastAsia" w:ascii="仿宋_GB2312" w:hAnsi="仿宋_GB2312" w:eastAsia="仿宋_GB2312" w:cs="仿宋_GB2312"/>
          <w:sz w:val="32"/>
          <w:szCs w:val="32"/>
          <w:highlight w:val="none"/>
        </w:rPr>
      </w:pPr>
    </w:p>
    <w:p>
      <w:pPr>
        <w:rPr>
          <w:rFonts w:hint="eastAsia" w:ascii="仿宋_GB2312" w:hAnsi="仿宋_GB2312" w:eastAsia="仿宋_GB2312" w:cs="仿宋_GB2312"/>
          <w:sz w:val="32"/>
          <w:szCs w:val="32"/>
          <w:highlight w:val="none"/>
        </w:rPr>
      </w:pPr>
    </w:p>
    <w:p>
      <w:pPr>
        <w:pStyle w:val="17"/>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p>
      <w:pPr>
        <w:keepNext w:val="0"/>
        <w:keepLines w:val="0"/>
        <w:widowControl/>
        <w:suppressLineNumbers w:val="0"/>
        <w:spacing w:before="0" w:beforeAutospacing="0" w:after="160" w:afterAutospacing="0" w:line="600" w:lineRule="exact"/>
        <w:ind w:left="0" w:right="0"/>
        <w:jc w:val="center"/>
        <w:textAlignment w:val="center"/>
        <w:rPr>
          <w:rFonts w:hint="default" w:ascii="Times New Roman" w:hAnsi="Times New Roman" w:eastAsia="黑体" w:cs="Times New Roman"/>
          <w:color w:val="auto"/>
          <w:sz w:val="24"/>
          <w:szCs w:val="24"/>
          <w:highlight w:val="none"/>
          <w:lang w:val="en-US" w:eastAsia="zh-CN"/>
        </w:rPr>
      </w:pPr>
      <w:r>
        <w:rPr>
          <w:rFonts w:hint="eastAsia" w:ascii="方正小标宋简体" w:hAnsi="方正小标宋简体" w:eastAsia="方正小标宋简体" w:cs="方正小标宋简体"/>
          <w:kern w:val="0"/>
          <w:sz w:val="40"/>
          <w:szCs w:val="40"/>
          <w:highlight w:val="none"/>
          <w:lang w:val="en-US" w:eastAsia="zh-CN" w:bidi="ar"/>
        </w:rPr>
        <w:t>专项预算项目绩效目标完成情况自评表</w:t>
      </w:r>
    </w:p>
    <w:tbl>
      <w:tblPr>
        <w:tblStyle w:val="21"/>
        <w:tblW w:w="10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080"/>
        <w:gridCol w:w="1249"/>
        <w:gridCol w:w="1311"/>
        <w:gridCol w:w="1126"/>
        <w:gridCol w:w="1269"/>
        <w:gridCol w:w="761"/>
        <w:gridCol w:w="937"/>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95" w:type="dxa"/>
            <w:gridSpan w:val="4"/>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项目名称</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2024年广元女儿节暨欢乐文化周活动经费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4295" w:type="dxa"/>
            <w:gridSpan w:val="4"/>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预算单位</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r>
              <w:rPr>
                <w:rFonts w:hint="eastAsia" w:ascii="宋体" w:hAnsi="宋体" w:eastAsia="宋体" w:cs="宋体"/>
                <w:kern w:val="2"/>
                <w:sz w:val="24"/>
                <w:szCs w:val="24"/>
                <w:highlight w:val="none"/>
                <w:lang w:val="en-US" w:eastAsia="zh-CN" w:bidi="ar"/>
              </w:rPr>
              <w:t>广元市文化广播电视和旅游局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95" w:type="dxa"/>
            <w:gridSpan w:val="4"/>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项目类型</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r>
              <w:rPr>
                <w:rFonts w:hint="eastAsia" w:ascii="宋体" w:hAnsi="宋体" w:eastAsia="宋体" w:cs="宋体"/>
                <w:kern w:val="2"/>
                <w:sz w:val="24"/>
                <w:szCs w:val="24"/>
                <w:highlight w:val="none"/>
                <w:lang w:val="en-US" w:eastAsia="zh-CN" w:bidi="ar"/>
              </w:rPr>
              <w:t>特定目标类项目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项目 概况</w:t>
            </w:r>
          </w:p>
        </w:tc>
        <w:tc>
          <w:tcPr>
            <w:tcW w:w="3643"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中长期规划（名称、文号，仅指</w:t>
            </w:r>
          </w:p>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常年项目）</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3643"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资金管理办法（名称、文号）</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3643"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绩效分配方式</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因素法</w:t>
            </w:r>
          </w:p>
        </w:tc>
        <w:tc>
          <w:tcPr>
            <w:tcW w:w="2032"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400" w:lineRule="exact"/>
              <w:ind w:left="0" w:right="0"/>
              <w:jc w:val="center"/>
              <w:textAlignment w:val="center"/>
              <w:rPr>
                <w:rFonts w:hint="eastAsia" w:ascii="宋体" w:hAnsi="宋体" w:eastAsia="宋体" w:cs="宋体"/>
                <w:sz w:val="24"/>
                <w:szCs w:val="24"/>
                <w:highlight w:val="none"/>
                <w:lang w:val="en-US"/>
              </w:rPr>
            </w:pPr>
            <w:r>
              <w:rPr>
                <w:rFonts w:hint="default" w:ascii="宋体" w:hAnsi="宋体" w:eastAsia="宋体" w:cs="宋体"/>
                <w:kern w:val="0"/>
                <w:sz w:val="24"/>
                <w:szCs w:val="24"/>
                <w:highlight w:val="none"/>
                <w:lang w:val="en-US" w:eastAsia="zh-CN" w:bidi="ar"/>
              </w:rPr>
              <w:sym w:font="Wingdings 2" w:char="0052"/>
            </w:r>
            <w:r>
              <w:rPr>
                <w:rFonts w:hint="eastAsia" w:ascii="宋体" w:hAnsi="宋体" w:eastAsia="宋体" w:cs="宋体"/>
                <w:kern w:val="0"/>
                <w:sz w:val="24"/>
                <w:szCs w:val="24"/>
                <w:highlight w:val="none"/>
                <w:lang w:val="en-US" w:eastAsia="zh-CN" w:bidi="ar"/>
              </w:rPr>
              <w:t>项目法</w:t>
            </w: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据实</w:t>
            </w:r>
          </w:p>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据效</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因素法与项目法相结合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3643"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立项依据</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both"/>
              <w:rPr>
                <w:rFonts w:hint="eastAsia" w:ascii="宋体" w:hAnsi="宋体" w:eastAsia="宋体" w:cs="宋体"/>
                <w:sz w:val="24"/>
                <w:szCs w:val="24"/>
                <w:highlight w:val="none"/>
                <w:lang w:val="en-US"/>
              </w:rPr>
            </w:pPr>
            <w:r>
              <w:rPr>
                <w:rFonts w:hint="eastAsia" w:ascii="宋体" w:hAnsi="宋体" w:eastAsia="宋体" w:cs="宋体"/>
                <w:kern w:val="2"/>
                <w:sz w:val="24"/>
                <w:szCs w:val="24"/>
                <w:highlight w:val="none"/>
                <w:lang w:val="en-US" w:eastAsia="zh-CN" w:bidi="ar"/>
              </w:rPr>
              <w:t>市政府第74次常务会审议通过的</w:t>
            </w:r>
            <w:r>
              <w:rPr>
                <w:rFonts w:hint="eastAsia" w:ascii="宋体" w:hAnsi="宋体" w:eastAsia="宋体" w:cs="宋体"/>
                <w:color w:val="000000"/>
                <w:kern w:val="2"/>
                <w:sz w:val="24"/>
                <w:szCs w:val="24"/>
                <w:highlight w:val="none"/>
                <w:lang w:val="en-US" w:eastAsia="zh-CN" w:bidi="ar"/>
              </w:rPr>
              <w:t>2024年广元女儿节暨欢乐文化周</w:t>
            </w:r>
            <w:r>
              <w:rPr>
                <w:rFonts w:hint="eastAsia" w:ascii="宋体" w:hAnsi="宋体" w:eastAsia="宋体" w:cs="宋体"/>
                <w:kern w:val="2"/>
                <w:sz w:val="24"/>
                <w:szCs w:val="24"/>
                <w:highlight w:val="none"/>
                <w:lang w:val="en-US" w:eastAsia="zh-CN" w:bidi="ar"/>
              </w:rPr>
              <w:t>活动实施方案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3643"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使用范围</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3643"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申报（补助）条件</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3643"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项目起止年限</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3" w:type="dxa"/>
            <w:gridSpan w:val="2"/>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项目资金</w:t>
            </w:r>
          </w:p>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（万元）</w:t>
            </w:r>
          </w:p>
        </w:tc>
        <w:tc>
          <w:tcPr>
            <w:tcW w:w="2562"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年度资金总额：</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r>
              <w:rPr>
                <w:rFonts w:hint="eastAsia" w:ascii="宋体" w:hAnsi="宋体" w:eastAsia="宋体" w:cs="宋体"/>
                <w:kern w:val="2"/>
                <w:sz w:val="24"/>
                <w:szCs w:val="24"/>
                <w:highlight w:val="none"/>
                <w:lang w:val="en-US" w:eastAsia="zh-CN" w:bidi="ar"/>
              </w:rPr>
              <w:t>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733" w:type="dxa"/>
            <w:gridSpan w:val="2"/>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2562"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其中：财政拨款</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r>
              <w:rPr>
                <w:rFonts w:hint="eastAsia" w:ascii="宋体" w:hAnsi="宋体" w:eastAsia="宋体" w:cs="宋体"/>
                <w:kern w:val="2"/>
                <w:sz w:val="24"/>
                <w:szCs w:val="24"/>
                <w:highlight w:val="none"/>
                <w:lang w:val="en-US" w:eastAsia="zh-CN" w:bidi="ar"/>
              </w:rPr>
              <w:t>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3" w:type="dxa"/>
            <w:gridSpan w:val="2"/>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2562"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其他资金</w:t>
            </w:r>
          </w:p>
        </w:tc>
        <w:tc>
          <w:tcPr>
            <w:tcW w:w="5938"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总体 目标</w:t>
            </w:r>
          </w:p>
        </w:tc>
        <w:tc>
          <w:tcPr>
            <w:tcW w:w="9581" w:type="dxa"/>
            <w:gridSpan w:val="8"/>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年度目标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9581" w:type="dxa"/>
            <w:gridSpan w:val="8"/>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300" w:lineRule="exact"/>
              <w:ind w:left="0" w:right="0"/>
              <w:jc w:val="center"/>
              <w:rPr>
                <w:rFonts w:hint="eastAsia" w:ascii="宋体" w:hAnsi="宋体" w:eastAsia="宋体" w:cs="宋体"/>
                <w:sz w:val="24"/>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绩效 指标</w:t>
            </w:r>
          </w:p>
        </w:tc>
        <w:tc>
          <w:tcPr>
            <w:tcW w:w="108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一级指标</w:t>
            </w:r>
          </w:p>
        </w:tc>
        <w:tc>
          <w:tcPr>
            <w:tcW w:w="125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二级指标</w:t>
            </w: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三级指标</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指标性质</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指标值</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度量</w:t>
            </w:r>
          </w:p>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单位</w:t>
            </w: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权重</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绩效 指标</w:t>
            </w:r>
          </w:p>
        </w:tc>
        <w:tc>
          <w:tcPr>
            <w:tcW w:w="1081"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产出指标</w:t>
            </w:r>
          </w:p>
        </w:tc>
        <w:tc>
          <w:tcPr>
            <w:tcW w:w="125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数量指标</w:t>
            </w: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举办欢乐文化周系列活动</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4</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项</w:t>
            </w: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10</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081"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250"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推送新闻稿件</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1000</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bidi="ar"/>
              </w:rPr>
            </w:pPr>
            <w:r>
              <w:rPr>
                <w:rFonts w:hint="eastAsia" w:ascii="宋体" w:hAnsi="宋体" w:eastAsia="宋体" w:cs="宋体"/>
                <w:kern w:val="0"/>
                <w:sz w:val="24"/>
                <w:szCs w:val="24"/>
                <w:highlight w:val="none"/>
                <w:lang w:val="en-US" w:eastAsia="zh-CN" w:bidi="ar"/>
              </w:rPr>
              <w:t>篇</w:t>
            </w:r>
          </w:p>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（条）</w:t>
            </w: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2"/>
                <w:sz w:val="24"/>
                <w:szCs w:val="24"/>
                <w:highlight w:val="none"/>
                <w:lang w:val="en-US" w:eastAsia="zh-CN" w:bidi="ar"/>
              </w:rPr>
              <w:t>5</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081"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250"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抖音、微信、快手、小红书、B站各类平台在线观看人数</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2000</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万人次</w:t>
            </w: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5</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bidi="ar"/>
              </w:rPr>
            </w:pPr>
            <w:r>
              <w:rPr>
                <w:rFonts w:hint="eastAsia" w:ascii="宋体" w:hAnsi="宋体" w:eastAsia="宋体" w:cs="宋体"/>
                <w:kern w:val="0"/>
                <w:sz w:val="24"/>
                <w:szCs w:val="24"/>
                <w:highlight w:val="none"/>
                <w:lang w:val="en-US" w:eastAsia="zh-CN" w:bidi="ar"/>
              </w:rPr>
              <w:t>抖音、微信、快手、小红书、B站各类平台在线观看人数3000万+，较2023年增长50%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081"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250"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bidi="ar"/>
              </w:rPr>
            </w:pPr>
            <w:r>
              <w:rPr>
                <w:rFonts w:hint="eastAsia" w:ascii="宋体" w:hAnsi="宋体" w:eastAsia="宋体" w:cs="宋体"/>
                <w:kern w:val="0"/>
                <w:sz w:val="24"/>
                <w:szCs w:val="24"/>
                <w:highlight w:val="none"/>
                <w:lang w:val="en-US" w:eastAsia="zh-CN" w:bidi="ar"/>
              </w:rPr>
              <w:t>媒体宣传报道</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bidi="ar"/>
              </w:rPr>
            </w:pPr>
            <w:r>
              <w:rPr>
                <w:rFonts w:hint="eastAsia" w:ascii="宋体" w:hAnsi="宋体" w:eastAsia="宋体" w:cs="宋体"/>
                <w:kern w:val="0"/>
                <w:sz w:val="24"/>
                <w:szCs w:val="24"/>
                <w:highlight w:val="none"/>
                <w:lang w:val="en-US" w:eastAsia="zh-CN" w:bidi="ar"/>
              </w:rPr>
              <w:t>400</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bidi="ar"/>
              </w:rPr>
            </w:pPr>
            <w:r>
              <w:rPr>
                <w:rFonts w:hint="eastAsia" w:ascii="宋体" w:hAnsi="宋体" w:eastAsia="宋体" w:cs="宋体"/>
                <w:kern w:val="0"/>
                <w:sz w:val="24"/>
                <w:szCs w:val="24"/>
                <w:highlight w:val="none"/>
                <w:lang w:val="en-US" w:eastAsia="zh-CN" w:bidi="ar"/>
              </w:rPr>
              <w:t>家</w:t>
            </w: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5</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color w:val="000000"/>
                <w:kern w:val="2"/>
                <w:sz w:val="24"/>
                <w:szCs w:val="24"/>
                <w:highlight w:val="none"/>
                <w:lang w:val="en-US" w:eastAsia="zh-CN" w:bidi="ar"/>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p>
        </w:tc>
        <w:tc>
          <w:tcPr>
            <w:tcW w:w="1081"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276" w:lineRule="auto"/>
              <w:ind w:left="0" w:right="0"/>
              <w:jc w:val="center"/>
              <w:rPr>
                <w:rFonts w:hint="eastAsia" w:ascii="宋体" w:hAnsi="宋体" w:eastAsia="宋体" w:cs="宋体"/>
                <w:kern w:val="0"/>
                <w:sz w:val="24"/>
                <w:szCs w:val="24"/>
                <w:highlight w:val="none"/>
                <w:lang w:val="en-US"/>
              </w:rPr>
            </w:pPr>
          </w:p>
        </w:tc>
        <w:tc>
          <w:tcPr>
            <w:tcW w:w="125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质量指标</w:t>
            </w: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举办女儿节开幕式及其配套活动</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活动圆满完成，持续提升女儿节品牌价值和城市文化影响力。</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5</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081"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250"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举办欢乐文化周系列活动</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结合广元地域文化特色和大蜀道文化内涵，挖掘地方特色文化闪光点，策划并执行欢乐文化周活动。</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5</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081"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25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时效指标</w:t>
            </w: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完成时间</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定性</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2024年10月前</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276" w:lineRule="auto"/>
              <w:ind w:left="0" w:right="0"/>
              <w:jc w:val="center"/>
              <w:rPr>
                <w:rFonts w:hint="eastAsia" w:ascii="宋体" w:hAnsi="宋体" w:eastAsia="宋体" w:cs="宋体"/>
                <w:kern w:val="0"/>
                <w:sz w:val="24"/>
                <w:szCs w:val="24"/>
                <w:highlight w:val="none"/>
                <w:lang w:val="en-US"/>
              </w:rPr>
            </w:pP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5</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2024年10月前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081"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效益指标</w:t>
            </w:r>
          </w:p>
        </w:tc>
        <w:tc>
          <w:tcPr>
            <w:tcW w:w="125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社会效益指标</w:t>
            </w: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6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提升形象、扩大消费，进一步擦亮“剑门蜀道 女皇故里 红色热土 康养胜地”城市文化品牌。</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定性</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效果良好</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15</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效果良好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081"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25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可持续发展指标</w:t>
            </w: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autoSpaceDE/>
              <w:autoSpaceDN w:val="0"/>
              <w:spacing w:before="0" w:beforeAutospacing="0" w:after="160" w:afterAutospacing="0" w:line="36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擦亮广元城市文化品牌，提升广元城市知名度和影响力。</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定性</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效果良好</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val="0"/>
              <w:suppressLineNumbers w:val="0"/>
              <w:spacing w:before="0" w:beforeAutospacing="0" w:after="160" w:afterAutospacing="0" w:line="276" w:lineRule="auto"/>
              <w:ind w:left="0" w:right="0"/>
              <w:jc w:val="center"/>
              <w:rPr>
                <w:rFonts w:hint="eastAsia" w:ascii="宋体" w:hAnsi="宋体" w:eastAsia="宋体" w:cs="宋体"/>
                <w:kern w:val="0"/>
                <w:sz w:val="24"/>
                <w:szCs w:val="24"/>
                <w:highlight w:val="none"/>
                <w:lang w:val="en-US"/>
              </w:rPr>
            </w:pP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10</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效果良好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08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满意度指标</w:t>
            </w:r>
          </w:p>
        </w:tc>
        <w:tc>
          <w:tcPr>
            <w:tcW w:w="125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满意度指标</w:t>
            </w: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社会满意度</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95</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w:t>
            </w: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10</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rPr>
                <w:rFonts w:hint="default" w:ascii="Times New Roman" w:hAnsi="Times New Roman" w:cs="Times New Roman"/>
                <w:sz w:val="20"/>
                <w:szCs w:val="20"/>
                <w:highlight w:val="none"/>
              </w:rPr>
            </w:pPr>
          </w:p>
        </w:tc>
        <w:tc>
          <w:tcPr>
            <w:tcW w:w="108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成本指标</w:t>
            </w:r>
          </w:p>
        </w:tc>
        <w:tc>
          <w:tcPr>
            <w:tcW w:w="125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经济成本指标</w:t>
            </w:r>
          </w:p>
        </w:tc>
        <w:tc>
          <w:tcPr>
            <w:tcW w:w="131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筹委会工作经费</w:t>
            </w:r>
          </w:p>
        </w:tc>
        <w:tc>
          <w:tcPr>
            <w:tcW w:w="1127"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w:t>
            </w:r>
          </w:p>
        </w:tc>
        <w:tc>
          <w:tcPr>
            <w:tcW w:w="127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398</w:t>
            </w:r>
          </w:p>
        </w:tc>
        <w:tc>
          <w:tcPr>
            <w:tcW w:w="76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万元</w:t>
            </w:r>
          </w:p>
        </w:tc>
        <w:tc>
          <w:tcPr>
            <w:tcW w:w="93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276" w:lineRule="auto"/>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15</w:t>
            </w:r>
          </w:p>
        </w:tc>
        <w:tc>
          <w:tcPr>
            <w:tcW w:w="184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pPr>
              <w:keepNext w:val="0"/>
              <w:keepLines w:val="0"/>
              <w:widowControl/>
              <w:suppressLineNumbers w:val="0"/>
              <w:spacing w:before="0" w:beforeAutospacing="0" w:after="160" w:afterAutospacing="0" w:line="300" w:lineRule="exact"/>
              <w:ind w:left="0" w:right="0"/>
              <w:jc w:val="center"/>
              <w:textAlignment w:val="center"/>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bidi="ar"/>
              </w:rPr>
              <w:t>398</w:t>
            </w:r>
          </w:p>
        </w:tc>
      </w:tr>
    </w:tbl>
    <w:p>
      <w:pPr>
        <w:rPr>
          <w:rFonts w:hint="eastAsia"/>
          <w:highlight w:val="none"/>
        </w:rPr>
      </w:pPr>
    </w:p>
    <w:p>
      <w:pPr>
        <w:spacing w:line="578" w:lineRule="exact"/>
        <w:ind w:firstLine="640"/>
        <w:rPr>
          <w:rFonts w:hint="eastAsia" w:eastAsia="仿宋_GB2312" w:cs="仿宋_GB2312"/>
          <w:kern w:val="0"/>
          <w:sz w:val="32"/>
          <w:szCs w:val="32"/>
          <w:highlight w:val="none"/>
        </w:rPr>
      </w:pPr>
      <w:bookmarkStart w:id="112" w:name="_Toc15396618"/>
      <w:r>
        <w:rPr>
          <w:rFonts w:hint="eastAsia" w:eastAsia="仿宋_GB2312" w:cs="仿宋_GB2312"/>
          <w:kern w:val="0"/>
          <w:sz w:val="32"/>
          <w:szCs w:val="32"/>
          <w:highlight w:val="none"/>
        </w:rPr>
        <w:br w:type="page"/>
      </w:r>
    </w:p>
    <w:p>
      <w:pPr>
        <w:pStyle w:val="2"/>
        <w:spacing w:before="93"/>
        <w:rPr>
          <w:rFonts w:hint="eastAsia" w:ascii="Times New Roman" w:eastAsia="黑体" w:cs="黑体"/>
          <w:sz w:val="32"/>
          <w:szCs w:val="32"/>
          <w:highlight w:val="none"/>
          <w:shd w:val="clear" w:color="auto" w:fill="FFFFFF"/>
          <w:lang w:val="en-US" w:eastAsia="zh-CN"/>
        </w:rPr>
      </w:pPr>
      <w:r>
        <w:rPr>
          <w:rFonts w:hint="eastAsia" w:ascii="Times New Roman" w:eastAsia="黑体" w:cs="黑体"/>
          <w:sz w:val="32"/>
          <w:szCs w:val="32"/>
          <w:highlight w:val="none"/>
          <w:shd w:val="clear" w:color="auto" w:fill="FFFFFF"/>
          <w:lang w:val="zh-CN"/>
        </w:rPr>
        <w:t>附件</w:t>
      </w:r>
      <w:r>
        <w:rPr>
          <w:rFonts w:hint="eastAsia" w:ascii="Times New Roman" w:eastAsia="黑体" w:cs="黑体"/>
          <w:sz w:val="32"/>
          <w:szCs w:val="32"/>
          <w:highlight w:val="none"/>
          <w:shd w:val="clear" w:color="auto" w:fill="FFFFFF"/>
          <w:lang w:val="en-US" w:eastAsia="zh-CN"/>
        </w:rPr>
        <w:t>3</w:t>
      </w:r>
    </w:p>
    <w:p>
      <w:pPr>
        <w:rPr>
          <w:rFonts w:hint="eastAsia"/>
          <w:highlight w:val="none"/>
          <w:lang w:eastAsia="zh-CN"/>
        </w:rPr>
      </w:pPr>
    </w:p>
    <w:p>
      <w:pPr>
        <w:pStyle w:val="40"/>
        <w:spacing w:line="578" w:lineRule="exact"/>
        <w:jc w:val="center"/>
        <w:rPr>
          <w:rFonts w:hint="eastAsia" w:ascii="方正小标宋简体" w:hAnsi="方正小标宋简体" w:eastAsia="方正小标宋简体" w:cs="方正小标宋简体"/>
          <w:color w:val="auto"/>
          <w:kern w:val="2"/>
          <w:sz w:val="44"/>
          <w:szCs w:val="44"/>
          <w:highlight w:val="none"/>
          <w:lang w:val="en-US"/>
        </w:rPr>
      </w:pPr>
      <w:r>
        <w:rPr>
          <w:rFonts w:hint="eastAsia" w:ascii="方正小标宋简体" w:eastAsia="方正小标宋简体"/>
          <w:kern w:val="0"/>
          <w:sz w:val="44"/>
          <w:szCs w:val="44"/>
          <w:highlight w:val="none"/>
        </w:rPr>
        <w:t>“雄关古道 经纬中华——大蜀道上的天地人与中国精神”</w:t>
      </w:r>
      <w:r>
        <w:rPr>
          <w:rFonts w:hint="eastAsia" w:ascii="方正小标宋简体" w:eastAsia="方正小标宋简体"/>
          <w:kern w:val="0"/>
          <w:sz w:val="44"/>
          <w:szCs w:val="44"/>
          <w:highlight w:val="none"/>
          <w:lang w:eastAsia="zh-CN"/>
        </w:rPr>
        <w:t>开展仪式及研学签约仪式</w:t>
      </w:r>
      <w:r>
        <w:rPr>
          <w:rFonts w:hint="eastAsia" w:ascii="方正小标宋简体" w:hAnsi="方正小标宋简体" w:eastAsia="方正小标宋简体" w:cs="方正小标宋简体"/>
          <w:color w:val="auto"/>
          <w:kern w:val="2"/>
          <w:sz w:val="44"/>
          <w:szCs w:val="44"/>
          <w:highlight w:val="none"/>
          <w:lang w:val="en-US"/>
        </w:rPr>
        <w:t>专项预算绩效评价报告</w:t>
      </w:r>
    </w:p>
    <w:p>
      <w:pPr>
        <w:adjustRightInd w:val="0"/>
        <w:snapToGrid w:val="0"/>
        <w:spacing w:line="578" w:lineRule="exact"/>
        <w:ind w:firstLine="640" w:firstLineChars="200"/>
        <w:rPr>
          <w:rFonts w:hint="eastAsia" w:ascii="黑体" w:hAnsi="宋体" w:eastAsia="黑体"/>
          <w:sz w:val="32"/>
          <w:szCs w:val="32"/>
          <w:highlight w:val="none"/>
        </w:rPr>
      </w:pP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rPr>
        <w:t>一、</w:t>
      </w:r>
      <w:r>
        <w:rPr>
          <w:rFonts w:hint="eastAsia" w:ascii="方正黑体简体" w:hAnsi="方正黑体简体" w:eastAsia="方正黑体简体" w:cs="方正黑体简体"/>
          <w:sz w:val="32"/>
          <w:szCs w:val="32"/>
          <w:highlight w:val="none"/>
          <w:lang w:val="zh-CN"/>
        </w:rPr>
        <w:t>项</w:t>
      </w:r>
      <w:r>
        <w:rPr>
          <w:rFonts w:hint="eastAsia" w:ascii="方正黑体简体" w:hAnsi="方正黑体简体" w:eastAsia="方正黑体简体" w:cs="方正黑体简体"/>
          <w:b w:val="0"/>
          <w:bCs w:val="0"/>
          <w:color w:val="000000"/>
          <w:kern w:val="0"/>
          <w:sz w:val="32"/>
          <w:szCs w:val="32"/>
          <w:highlight w:val="none"/>
          <w:lang w:val="zh-CN"/>
        </w:rPr>
        <w:t>目概况</w:t>
      </w:r>
    </w:p>
    <w:p>
      <w:pPr>
        <w:keepNext w:val="0"/>
        <w:keepLines w:val="0"/>
        <w:pageBreakBefore w:val="0"/>
        <w:widowControl w:val="0"/>
        <w:suppressLineNumbers w:val="0"/>
        <w:suppressAutoHyphens/>
        <w:kinsoku/>
        <w:wordWrap/>
        <w:overflowPunct w:val="0"/>
        <w:topLinePunct w:val="0"/>
        <w:autoSpaceDE/>
        <w:autoSpaceDN/>
        <w:adjustRightInd/>
        <w:snapToGrid w:val="0"/>
        <w:spacing w:line="576" w:lineRule="exact"/>
        <w:ind w:left="0" w:firstLine="640" w:firstLineChars="20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 w:val="0"/>
          <w:bCs/>
          <w:color w:val="auto"/>
          <w:kern w:val="2"/>
          <w:sz w:val="32"/>
          <w:szCs w:val="32"/>
          <w:highlight w:val="none"/>
          <w:lang w:val="zh-CN" w:eastAsia="zh-CN" w:bidi="ar-SA"/>
        </w:rPr>
        <w:t>（一）设立背景及基本情况。</w:t>
      </w:r>
      <w:r>
        <w:rPr>
          <w:rFonts w:hint="eastAsia" w:ascii="仿宋_GB2312" w:hAnsi="仿宋_GB2312" w:eastAsia="仿宋_GB2312" w:cs="仿宋_GB2312"/>
          <w:sz w:val="32"/>
          <w:szCs w:val="32"/>
          <w:highlight w:val="none"/>
        </w:rPr>
        <w:t>“雄关古道 经纬中华——大蜀道上的天地人与中国精神”特展由国家文物局、省人民政府指导，省文化和旅游厅、省文物局、广元市人民政府主办，四川博物院、广元市文化广播电视和旅游局、剑阁县人民政府承办。2024年7月28日开幕，国家文物局党组成员、副局长罗文利，四川省人民政府副省长胡云，中国文物信息交流中心主任谭平，省文旅厅厅长戴允康和您等相关领导和嘉宾出席开幕式。重庆市、陕西省、甘肃省文旅部门主要负责同志，以及剑阁县、德阳市罗江区负责同志，省内外相关文博单位、相关行业组织及企业负责同志以及新闻媒体记者等参加开幕式。开幕式上，举行了蜀道（金牛道）文物主题游径发布、蜀道研学路线签约、广元蜀道翠云廊生态博物馆授牌、大蜀道联盟发布蜀道保护倡议等活动。</w:t>
      </w:r>
    </w:p>
    <w:p>
      <w:pPr>
        <w:pStyle w:val="40"/>
        <w:spacing w:line="578" w:lineRule="exact"/>
        <w:ind w:firstLine="640" w:firstLineChars="200"/>
        <w:jc w:val="both"/>
        <w:rPr>
          <w:rFonts w:hint="eastAsia" w:ascii="仿宋_GB2312" w:hAnsi="仿宋_GB2312" w:eastAsia="仿宋_GB2312" w:cs="仿宋_GB2312"/>
          <w:color w:val="auto"/>
          <w:kern w:val="2"/>
          <w:sz w:val="32"/>
          <w:szCs w:val="32"/>
          <w:highlight w:val="none"/>
          <w:lang w:val="en-US" w:eastAsia="zh-CN" w:bidi="ar-SA"/>
        </w:rPr>
      </w:pPr>
      <w:r>
        <w:rPr>
          <w:rFonts w:hint="eastAsia" w:ascii="方正楷体简体" w:hAnsi="方正楷体简体" w:eastAsia="方正楷体简体" w:cs="方正楷体简体"/>
          <w:b w:val="0"/>
          <w:bCs/>
          <w:color w:val="auto"/>
          <w:kern w:val="2"/>
          <w:sz w:val="32"/>
          <w:szCs w:val="32"/>
          <w:highlight w:val="none"/>
          <w:lang w:val="zh-CN" w:eastAsia="zh-CN" w:bidi="ar-SA"/>
        </w:rPr>
        <w:t>（二）实施目的及支持方向。</w:t>
      </w:r>
      <w:r>
        <w:rPr>
          <w:rFonts w:hint="eastAsia" w:ascii="仿宋_GB2312" w:hAnsi="仿宋_GB2312" w:eastAsia="仿宋_GB2312" w:cs="仿宋_GB2312"/>
          <w:color w:val="auto"/>
          <w:kern w:val="2"/>
          <w:sz w:val="32"/>
          <w:szCs w:val="32"/>
          <w:highlight w:val="none"/>
          <w:lang w:val="en-US" w:eastAsia="zh-CN" w:bidi="ar-SA"/>
        </w:rPr>
        <w:t>为深入学习贯彻习近平总书记来川来广视察关于把中华优秀传统文化传承好的重要指示精神，全面落实市委八届七次全会关于举办“中国蜀道文物展”安排部署，在习近平总书记视察广元一周年之际，对习总书记重要指示精神进行再部署、再推进、再落实。助力大蜀道国际文化旅游目的地和康养度假胜地建设以及蜀道翠云廊和世界级步游道建设，有序推进蜀道申遗工作，让千年蜀道绽放时代光彩、镌刻盛世华章。</w:t>
      </w:r>
    </w:p>
    <w:p>
      <w:pPr>
        <w:spacing w:line="576"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方正楷体简体" w:hAnsi="方正楷体简体" w:eastAsia="方正楷体简体" w:cs="方正楷体简体"/>
          <w:b w:val="0"/>
          <w:bCs/>
          <w:color w:val="auto"/>
          <w:kern w:val="2"/>
          <w:sz w:val="32"/>
          <w:szCs w:val="32"/>
          <w:highlight w:val="none"/>
          <w:lang w:val="zh-CN" w:eastAsia="zh-CN" w:bidi="ar-SA"/>
        </w:rPr>
        <w:t>（三）预算安排及分配管理。</w:t>
      </w:r>
      <w:r>
        <w:rPr>
          <w:rFonts w:hint="eastAsia" w:ascii="仿宋_GB2312" w:hAnsi="仿宋_GB2312" w:eastAsia="仿宋_GB2312" w:cs="仿宋_GB2312"/>
          <w:sz w:val="32"/>
          <w:szCs w:val="32"/>
          <w:highlight w:val="none"/>
          <w:lang w:val="en-US" w:eastAsia="zh-CN"/>
        </w:rPr>
        <w:t>经费预算为20万元，主要包括会场搭建、场地布置、会务相关用品设计与制作、会议现场组织、开幕式节目等方面开支。</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方正楷体简体" w:hAnsi="方正楷体简体" w:eastAsia="方正楷体简体" w:cs="方正楷体简体"/>
          <w:b w:val="0"/>
          <w:bCs/>
          <w:color w:val="auto"/>
          <w:kern w:val="2"/>
          <w:sz w:val="32"/>
          <w:szCs w:val="32"/>
          <w:highlight w:val="none"/>
          <w:lang w:val="zh-CN" w:eastAsia="zh-CN" w:bidi="ar-SA"/>
        </w:rPr>
        <w:t>（四）项目绩效目标设置。</w:t>
      </w:r>
      <w:r>
        <w:rPr>
          <w:rFonts w:hint="eastAsia" w:ascii="仿宋_GB2312" w:hAnsi="仿宋_GB2312" w:eastAsia="仿宋_GB2312" w:cs="仿宋_GB2312"/>
          <w:sz w:val="32"/>
          <w:szCs w:val="32"/>
          <w:highlight w:val="none"/>
          <w:lang w:val="zh-CN" w:eastAsia="zh-CN"/>
        </w:rPr>
        <w:t>绩效目标设置主要包括社会效益和可持续影响两个方面。文物展的举办</w:t>
      </w:r>
      <w:r>
        <w:rPr>
          <w:rFonts w:hint="eastAsia" w:ascii="仿宋_GB2312" w:hAnsi="仿宋_GB2312" w:eastAsia="仿宋_GB2312" w:cs="仿宋_GB2312"/>
          <w:sz w:val="32"/>
          <w:szCs w:val="32"/>
          <w:highlight w:val="none"/>
          <w:lang w:val="en-US" w:eastAsia="zh-CN"/>
        </w:rPr>
        <w:t>将进一步打响广元文旅品牌，加强我市蜀道文化传播，推动蜀道走出去，助力大蜀道国际文化旅游目的地建设，向世界讲好广元故事、蜀道故事、中国故事。</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rPr>
      </w:pPr>
      <w:r>
        <w:rPr>
          <w:rFonts w:hint="eastAsia" w:ascii="方正黑体简体" w:hAnsi="方正黑体简体" w:eastAsia="方正黑体简体" w:cs="方正黑体简体"/>
          <w:sz w:val="32"/>
          <w:szCs w:val="32"/>
          <w:highlight w:val="none"/>
        </w:rPr>
        <w:t>二、评价实施</w:t>
      </w:r>
    </w:p>
    <w:p>
      <w:pPr>
        <w:spacing w:line="578" w:lineRule="exact"/>
        <w:ind w:firstLine="640"/>
        <w:rPr>
          <w:rFonts w:hint="eastAsia" w:ascii="仿宋_GB2312" w:hAnsi="仿宋_GB2312" w:eastAsia="仿宋_GB2312" w:cs="仿宋_GB2312"/>
          <w:sz w:val="32"/>
          <w:szCs w:val="32"/>
          <w:highlight w:val="none"/>
          <w:lang w:val="zh-CN" w:eastAsia="zh-CN"/>
        </w:rPr>
      </w:pPr>
      <w:r>
        <w:rPr>
          <w:rFonts w:hint="eastAsia" w:ascii="方正楷体简体" w:hAnsi="方正楷体简体" w:eastAsia="方正楷体简体" w:cs="方正楷体简体"/>
          <w:b w:val="0"/>
          <w:bCs/>
          <w:color w:val="auto"/>
          <w:kern w:val="2"/>
          <w:sz w:val="32"/>
          <w:szCs w:val="32"/>
          <w:highlight w:val="none"/>
          <w:lang w:val="zh-CN" w:eastAsia="zh-CN" w:bidi="ar-SA"/>
        </w:rPr>
        <w:t>（一）评价目的。</w:t>
      </w:r>
      <w:r>
        <w:rPr>
          <w:rFonts w:hint="eastAsia" w:ascii="仿宋_GB2312" w:hAnsi="仿宋_GB2312" w:eastAsia="仿宋_GB2312" w:cs="仿宋_GB2312"/>
          <w:sz w:val="32"/>
          <w:szCs w:val="32"/>
          <w:highlight w:val="none"/>
          <w:lang w:val="zh-CN" w:eastAsia="zh-CN"/>
        </w:rPr>
        <w:t>总结经验和不足，为后续文物展览相关活动提供借鉴。</w:t>
      </w:r>
    </w:p>
    <w:p>
      <w:pPr>
        <w:spacing w:line="576" w:lineRule="exact"/>
        <w:ind w:firstLine="640" w:firstLineChars="200"/>
        <w:jc w:val="left"/>
        <w:rPr>
          <w:rFonts w:hint="eastAsia" w:ascii="仿宋_GB2312" w:hAnsi="仿宋_GB2312" w:eastAsia="仿宋_GB2312" w:cs="仿宋_GB2312"/>
          <w:sz w:val="32"/>
          <w:szCs w:val="32"/>
          <w:highlight w:val="none"/>
          <w:lang w:val="en-US" w:eastAsia="zh-CN"/>
        </w:rPr>
      </w:pPr>
      <w:r>
        <w:rPr>
          <w:rFonts w:hint="eastAsia" w:ascii="方正楷体简体" w:hAnsi="方正楷体简体" w:eastAsia="方正楷体简体" w:cs="方正楷体简体"/>
          <w:b w:val="0"/>
          <w:bCs/>
          <w:color w:val="auto"/>
          <w:kern w:val="2"/>
          <w:sz w:val="32"/>
          <w:szCs w:val="32"/>
          <w:highlight w:val="none"/>
          <w:lang w:val="zh-CN" w:eastAsia="zh-CN" w:bidi="ar-SA"/>
        </w:rPr>
        <w:t>（二）预设问题及评价重点。</w:t>
      </w:r>
      <w:r>
        <w:rPr>
          <w:rFonts w:hint="eastAsia" w:ascii="仿宋_GB2312" w:hAnsi="仿宋_GB2312" w:eastAsia="仿宋_GB2312" w:cs="仿宋_GB2312"/>
          <w:sz w:val="32"/>
          <w:szCs w:val="32"/>
          <w:highlight w:val="none"/>
          <w:lang w:val="zh-CN" w:eastAsia="zh-CN"/>
        </w:rPr>
        <w:t>活动组织的执行力，考察活动的筹备、执行、总结等环节的顺畅程度及效率。</w:t>
      </w:r>
    </w:p>
    <w:p>
      <w:pPr>
        <w:spacing w:line="576" w:lineRule="exact"/>
        <w:ind w:firstLine="640" w:firstLineChars="200"/>
        <w:jc w:val="left"/>
        <w:rPr>
          <w:rFonts w:hint="eastAsia" w:ascii="仿宋_GB2312" w:hAnsi="仿宋_GB2312" w:eastAsia="仿宋_GB2312" w:cs="仿宋_GB2312"/>
          <w:sz w:val="32"/>
          <w:szCs w:val="32"/>
          <w:highlight w:val="none"/>
          <w:lang w:val="zh-CN" w:eastAsia="zh-CN"/>
        </w:rPr>
      </w:pPr>
      <w:r>
        <w:rPr>
          <w:rFonts w:hint="eastAsia" w:ascii="方正楷体简体" w:hAnsi="方正楷体简体" w:eastAsia="方正楷体简体" w:cs="方正楷体简体"/>
          <w:b w:val="0"/>
          <w:bCs/>
          <w:color w:val="auto"/>
          <w:kern w:val="2"/>
          <w:sz w:val="32"/>
          <w:szCs w:val="32"/>
          <w:highlight w:val="none"/>
          <w:lang w:val="zh-CN" w:eastAsia="zh-CN" w:bidi="ar-SA"/>
        </w:rPr>
        <w:t>（三）评价选点。</w:t>
      </w:r>
      <w:r>
        <w:rPr>
          <w:rFonts w:hint="eastAsia" w:ascii="仿宋_GB2312" w:hAnsi="仿宋_GB2312" w:eastAsia="仿宋_GB2312" w:cs="仿宋_GB2312"/>
          <w:sz w:val="32"/>
          <w:szCs w:val="32"/>
          <w:highlight w:val="none"/>
          <w:lang w:val="zh-CN" w:eastAsia="zh-CN"/>
        </w:rPr>
        <w:t>无</w:t>
      </w:r>
    </w:p>
    <w:p>
      <w:pPr>
        <w:spacing w:line="576" w:lineRule="exact"/>
        <w:ind w:firstLine="640" w:firstLineChars="200"/>
        <w:jc w:val="left"/>
        <w:rPr>
          <w:rFonts w:hint="eastAsia" w:ascii="仿宋_GB2312" w:hAnsi="仿宋_GB2312" w:eastAsia="仿宋_GB2312" w:cs="仿宋_GB2312"/>
          <w:sz w:val="32"/>
          <w:szCs w:val="32"/>
          <w:highlight w:val="none"/>
          <w:lang w:val="zh-CN" w:eastAsia="zh-CN"/>
        </w:rPr>
      </w:pPr>
      <w:r>
        <w:rPr>
          <w:rFonts w:hint="default" w:ascii="方正楷体简体" w:hAnsi="方正楷体简体" w:eastAsia="方正楷体简体" w:cs="方正楷体简体"/>
          <w:b w:val="0"/>
          <w:bCs/>
          <w:color w:val="auto"/>
          <w:kern w:val="2"/>
          <w:sz w:val="32"/>
          <w:szCs w:val="32"/>
          <w:highlight w:val="none"/>
          <w:lang w:val="zh-CN" w:eastAsia="zh-CN" w:bidi="ar-SA"/>
        </w:rPr>
        <w:t>（四）评价方法。</w:t>
      </w:r>
      <w:r>
        <w:rPr>
          <w:rFonts w:hint="eastAsia" w:ascii="仿宋_GB2312" w:hAnsi="仿宋_GB2312" w:eastAsia="仿宋_GB2312" w:cs="仿宋_GB2312"/>
          <w:sz w:val="32"/>
          <w:szCs w:val="32"/>
          <w:highlight w:val="none"/>
          <w:lang w:val="zh-CN" w:eastAsia="zh-CN"/>
        </w:rPr>
        <w:t>自评。</w:t>
      </w:r>
    </w:p>
    <w:p>
      <w:pPr>
        <w:spacing w:line="578" w:lineRule="exact"/>
        <w:ind w:firstLine="640"/>
        <w:rPr>
          <w:rFonts w:hint="eastAsia" w:ascii="仿宋_GB2312" w:hAnsi="仿宋_GB2312" w:eastAsia="仿宋_GB2312" w:cs="仿宋_GB2312"/>
          <w:sz w:val="32"/>
          <w:szCs w:val="32"/>
          <w:highlight w:val="none"/>
          <w:lang w:val="zh-CN" w:eastAsia="zh-CN"/>
        </w:rPr>
      </w:pPr>
      <w:r>
        <w:rPr>
          <w:rFonts w:hint="eastAsia" w:ascii="方正楷体简体" w:hAnsi="方正楷体简体" w:eastAsia="方正楷体简体" w:cs="方正楷体简体"/>
          <w:b w:val="0"/>
          <w:bCs/>
          <w:color w:val="auto"/>
          <w:kern w:val="2"/>
          <w:sz w:val="32"/>
          <w:szCs w:val="32"/>
          <w:highlight w:val="none"/>
          <w:lang w:val="zh-CN" w:eastAsia="zh-CN" w:bidi="ar-SA"/>
        </w:rPr>
        <w:t>（五）评价组织。</w:t>
      </w:r>
      <w:r>
        <w:rPr>
          <w:rFonts w:hint="eastAsia" w:ascii="仿宋_GB2312" w:hAnsi="仿宋_GB2312" w:eastAsia="仿宋_GB2312" w:cs="仿宋_GB2312"/>
          <w:sz w:val="32"/>
          <w:szCs w:val="32"/>
          <w:highlight w:val="none"/>
          <w:lang w:val="zh-CN" w:eastAsia="zh-CN"/>
        </w:rPr>
        <w:t>博物馆管理科、文物科、财务科等相关科室组成评价小组，进行评价。</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rPr>
        <w:t>三、绩效分析</w:t>
      </w:r>
      <w:r>
        <w:rPr>
          <w:rFonts w:hint="eastAsia" w:ascii="方正黑体简体" w:hAnsi="方正黑体简体" w:eastAsia="方正黑体简体" w:cs="方正黑体简体"/>
          <w:sz w:val="32"/>
          <w:szCs w:val="32"/>
          <w:highlight w:val="none"/>
          <w:lang w:val="zh-CN"/>
        </w:rPr>
        <w:tab/>
      </w:r>
    </w:p>
    <w:p>
      <w:pPr>
        <w:keepNext w:val="0"/>
        <w:keepLines w:val="0"/>
        <w:pageBreakBefore w:val="0"/>
        <w:widowControl w:val="0"/>
        <w:suppressLineNumbers w:val="0"/>
        <w:suppressAutoHyphens/>
        <w:kinsoku/>
        <w:wordWrap/>
        <w:overflowPunct w:val="0"/>
        <w:topLinePunct w:val="0"/>
        <w:autoSpaceDE/>
        <w:autoSpaceDN/>
        <w:adjustRightInd/>
        <w:snapToGrid w:val="0"/>
        <w:spacing w:line="576" w:lineRule="exact"/>
        <w:ind w:left="0" w:firstLine="640" w:firstLineChars="200"/>
        <w:rPr>
          <w:rFonts w:hint="eastAsia" w:ascii="方正楷体简体" w:hAnsi="方正楷体简体" w:eastAsia="方正楷体简体" w:cs="方正楷体简体"/>
          <w:b w:val="0"/>
          <w:bCs/>
          <w:color w:val="auto"/>
          <w:kern w:val="2"/>
          <w:sz w:val="32"/>
          <w:szCs w:val="32"/>
          <w:highlight w:val="none"/>
          <w:lang w:val="zh-CN" w:eastAsia="zh-CN" w:bidi="ar-SA"/>
        </w:rPr>
      </w:pPr>
      <w:r>
        <w:rPr>
          <w:rFonts w:hint="eastAsia" w:ascii="方正楷体简体" w:hAnsi="方正楷体简体" w:eastAsia="方正楷体简体" w:cs="方正楷体简体"/>
          <w:b w:val="0"/>
          <w:bCs/>
          <w:color w:val="auto"/>
          <w:kern w:val="2"/>
          <w:sz w:val="32"/>
          <w:szCs w:val="32"/>
          <w:highlight w:val="none"/>
          <w:lang w:val="zh-CN" w:eastAsia="zh-CN" w:bidi="ar-SA"/>
        </w:rPr>
        <w:t>（一）通用指标绩效分析。</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rPr>
        <w:t>1.项目决策。</w:t>
      </w:r>
      <w:r>
        <w:rPr>
          <w:rFonts w:hint="eastAsia" w:ascii="仿宋_GB2312" w:hAnsi="仿宋_GB2312" w:eastAsia="仿宋_GB2312" w:cs="仿宋_GB2312"/>
          <w:sz w:val="32"/>
          <w:szCs w:val="32"/>
          <w:highlight w:val="none"/>
          <w:lang w:val="zh-CN" w:eastAsia="zh-CN"/>
        </w:rPr>
        <w:t>项目决策程序严密。局党组多次召开党组会，专题审议通过《关于蜀道文物展开展仪式及研学签约仪式活动资金使用建议方案》。规划论证合理，资金投向与文旅事业发展相匹配。</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2.项目管理。</w:t>
      </w:r>
      <w:r>
        <w:rPr>
          <w:rFonts w:hint="eastAsia" w:ascii="仿宋_GB2312" w:hAnsi="仿宋_GB2312" w:eastAsia="仿宋_GB2312" w:cs="仿宋_GB2312"/>
          <w:sz w:val="32"/>
          <w:szCs w:val="32"/>
          <w:highlight w:val="none"/>
          <w:lang w:val="zh-CN" w:eastAsia="zh-CN"/>
        </w:rPr>
        <w:t>严格相关采购办法进行采购，按中省市要求全面完成绩效管理工作。严格按照经费预算方案实施，并及时对项目实施进行绩效监管，切实提高项目效益。</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rPr>
        <w:t>3.项目实施。</w:t>
      </w:r>
      <w:r>
        <w:rPr>
          <w:rFonts w:hint="eastAsia" w:ascii="仿宋_GB2312" w:hAnsi="仿宋_GB2312" w:eastAsia="仿宋_GB2312" w:cs="仿宋_GB2312"/>
          <w:sz w:val="32"/>
          <w:szCs w:val="32"/>
          <w:highlight w:val="none"/>
          <w:lang w:val="zh-CN" w:eastAsia="zh-CN"/>
        </w:rPr>
        <w:t>预计使用资金</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zh-CN" w:eastAsia="zh-CN"/>
        </w:rPr>
        <w:t>0万元。项目资金使用、拨付符合国家财经法规、财务管理制度及有关专项资金管理制度办法规定和审批程序。</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rPr>
        <w:t>4.项目结果。</w:t>
      </w:r>
      <w:r>
        <w:rPr>
          <w:rFonts w:hint="eastAsia" w:ascii="仿宋_GB2312" w:hAnsi="仿宋_GB2312" w:eastAsia="仿宋_GB2312" w:cs="仿宋_GB2312"/>
          <w:sz w:val="32"/>
          <w:szCs w:val="32"/>
          <w:highlight w:val="none"/>
          <w:lang w:val="zh-CN" w:eastAsia="zh-CN"/>
        </w:rPr>
        <w:t>项目完成预期目标，实施结果与绩效目标相匹配，并在计划完成时间内完成。</w:t>
      </w:r>
    </w:p>
    <w:p>
      <w:pPr>
        <w:keepNext w:val="0"/>
        <w:keepLines w:val="0"/>
        <w:pageBreakBefore w:val="0"/>
        <w:widowControl w:val="0"/>
        <w:suppressLineNumbers w:val="0"/>
        <w:suppressAutoHyphens/>
        <w:kinsoku/>
        <w:wordWrap/>
        <w:overflowPunct w:val="0"/>
        <w:topLinePunct w:val="0"/>
        <w:autoSpaceDE/>
        <w:autoSpaceDN/>
        <w:adjustRightInd/>
        <w:snapToGrid w:val="0"/>
        <w:spacing w:line="576" w:lineRule="exact"/>
        <w:ind w:left="0" w:firstLine="640" w:firstLineChars="200"/>
        <w:rPr>
          <w:rFonts w:hint="eastAsia" w:ascii="方正楷体简体" w:hAnsi="方正楷体简体" w:eastAsia="方正楷体简体" w:cs="方正楷体简体"/>
          <w:b w:val="0"/>
          <w:bCs/>
          <w:color w:val="auto"/>
          <w:kern w:val="2"/>
          <w:sz w:val="32"/>
          <w:szCs w:val="32"/>
          <w:highlight w:val="none"/>
          <w:lang w:val="zh-CN" w:eastAsia="zh-CN" w:bidi="ar-SA"/>
        </w:rPr>
      </w:pPr>
      <w:r>
        <w:rPr>
          <w:rFonts w:hint="eastAsia" w:ascii="方正楷体简体" w:hAnsi="方正楷体简体" w:eastAsia="方正楷体简体" w:cs="方正楷体简体"/>
          <w:b w:val="0"/>
          <w:bCs/>
          <w:color w:val="auto"/>
          <w:kern w:val="2"/>
          <w:sz w:val="32"/>
          <w:szCs w:val="32"/>
          <w:highlight w:val="none"/>
          <w:lang w:val="zh-CN" w:eastAsia="zh-CN" w:bidi="ar-SA"/>
        </w:rPr>
        <w:t>（二）专用指标绩效分析。</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lang w:val="zh-CN" w:eastAsia="zh-CN"/>
        </w:rPr>
        <w:t>项目资金严格按规定用途、适用范围进行专项资金分配，实际用途符合专项资金管理要求。</w:t>
      </w:r>
    </w:p>
    <w:p>
      <w:pPr>
        <w:numPr>
          <w:ilvl w:val="0"/>
          <w:numId w:val="0"/>
        </w:numPr>
        <w:spacing w:line="576" w:lineRule="exact"/>
        <w:ind w:firstLine="640" w:firstLineChars="20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 w:val="0"/>
          <w:bCs/>
          <w:color w:val="auto"/>
          <w:kern w:val="2"/>
          <w:sz w:val="32"/>
          <w:szCs w:val="32"/>
          <w:highlight w:val="none"/>
          <w:lang w:val="zh-CN" w:eastAsia="zh-CN" w:bidi="ar-SA"/>
        </w:rPr>
        <w:t>（三）个性指标绩效分析。</w:t>
      </w:r>
      <w:r>
        <w:rPr>
          <w:rFonts w:hint="eastAsia" w:ascii="仿宋_GB2312" w:hAnsi="仿宋_GB2312" w:eastAsia="仿宋_GB2312" w:cs="仿宋_GB2312"/>
          <w:sz w:val="32"/>
          <w:szCs w:val="32"/>
          <w:highlight w:val="none"/>
          <w:lang w:val="zh-CN" w:eastAsia="zh-CN"/>
        </w:rPr>
        <w:t>开展仪式和签约仪式活动圆满成功，开展</w:t>
      </w:r>
      <w:r>
        <w:rPr>
          <w:rFonts w:hint="eastAsia" w:ascii="仿宋_GB2312" w:hAnsi="仿宋_GB2312" w:eastAsia="仿宋_GB2312" w:cs="仿宋_GB2312"/>
          <w:sz w:val="32"/>
          <w:szCs w:val="32"/>
          <w:highlight w:val="none"/>
        </w:rPr>
        <w:t>当天包括人民日报社、新华通讯社、中央电视台、中国新闻社等在内的33家媒体现场报道，全网共392个媒体平台参与报道</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受到了社会各界广泛关注，</w:t>
      </w:r>
      <w:r>
        <w:rPr>
          <w:rFonts w:hint="eastAsia" w:ascii="仿宋_GB2312" w:hAnsi="仿宋_GB2312" w:eastAsia="仿宋_GB2312" w:cs="仿宋_GB2312"/>
          <w:sz w:val="32"/>
          <w:szCs w:val="32"/>
          <w:highlight w:val="none"/>
          <w:lang w:eastAsia="zh-CN"/>
        </w:rPr>
        <w:t>蜀道</w:t>
      </w:r>
      <w:r>
        <w:rPr>
          <w:rFonts w:hint="eastAsia" w:ascii="仿宋_GB2312" w:hAnsi="仿宋_GB2312" w:eastAsia="仿宋_GB2312" w:cs="仿宋_GB2312"/>
          <w:sz w:val="32"/>
          <w:szCs w:val="32"/>
          <w:highlight w:val="none"/>
        </w:rPr>
        <w:t>品牌知名度</w:t>
      </w:r>
      <w:r>
        <w:rPr>
          <w:rFonts w:hint="eastAsia" w:ascii="仿宋_GB2312" w:hAnsi="仿宋_GB2312" w:eastAsia="仿宋_GB2312" w:cs="仿宋_GB2312"/>
          <w:sz w:val="32"/>
          <w:szCs w:val="32"/>
          <w:highlight w:val="none"/>
          <w:lang w:eastAsia="zh-CN"/>
        </w:rPr>
        <w:t>和美誉度</w:t>
      </w:r>
      <w:r>
        <w:rPr>
          <w:rFonts w:hint="eastAsia" w:ascii="仿宋_GB2312" w:hAnsi="仿宋_GB2312" w:eastAsia="仿宋_GB2312" w:cs="仿宋_GB2312"/>
          <w:sz w:val="32"/>
          <w:szCs w:val="32"/>
          <w:highlight w:val="none"/>
        </w:rPr>
        <w:t>显著提升。</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en-US" w:eastAsia="zh-CN"/>
        </w:rPr>
      </w:pPr>
      <w:r>
        <w:rPr>
          <w:rFonts w:hint="eastAsia" w:ascii="方正黑体简体" w:hAnsi="方正黑体简体" w:eastAsia="方正黑体简体" w:cs="方正黑体简体"/>
          <w:sz w:val="32"/>
          <w:szCs w:val="32"/>
          <w:highlight w:val="none"/>
          <w:lang w:val="en-US" w:eastAsia="zh-CN"/>
        </w:rPr>
        <w:t>四、评价结论</w:t>
      </w:r>
    </w:p>
    <w:p>
      <w:pPr>
        <w:pStyle w:val="2"/>
        <w:tabs>
          <w:tab w:val="left" w:pos="2160"/>
        </w:tabs>
        <w:spacing w:line="600" w:lineRule="exact"/>
        <w:ind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本项目项目绩效自评得分100分。</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en-US" w:eastAsia="zh-CN"/>
        </w:rPr>
      </w:pPr>
      <w:r>
        <w:rPr>
          <w:rFonts w:hint="eastAsia" w:ascii="方正黑体简体" w:hAnsi="方正黑体简体" w:eastAsia="方正黑体简体" w:cs="方正黑体简体"/>
          <w:sz w:val="32"/>
          <w:szCs w:val="32"/>
          <w:highlight w:val="none"/>
          <w:lang w:val="en-US" w:eastAsia="zh-CN"/>
        </w:rPr>
        <w:t>五、存在主要问题</w:t>
      </w:r>
    </w:p>
    <w:p>
      <w:pPr>
        <w:pStyle w:val="2"/>
        <w:tabs>
          <w:tab w:val="left" w:pos="2160"/>
        </w:tabs>
        <w:spacing w:line="600" w:lineRule="exact"/>
        <w:ind w:firstLine="640" w:firstLineChars="20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无。</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eastAsia="zh-CN"/>
        </w:rPr>
      </w:pPr>
      <w:r>
        <w:rPr>
          <w:rFonts w:hint="eastAsia" w:ascii="方正黑体简体" w:hAnsi="方正黑体简体" w:eastAsia="方正黑体简体" w:cs="方正黑体简体"/>
          <w:sz w:val="32"/>
          <w:szCs w:val="32"/>
          <w:highlight w:val="none"/>
          <w:lang w:val="zh-CN" w:eastAsia="zh-CN"/>
        </w:rPr>
        <w:t>六、改进建议</w:t>
      </w:r>
    </w:p>
    <w:p>
      <w:pPr>
        <w:tabs>
          <w:tab w:val="left" w:pos="1911"/>
        </w:tabs>
        <w:ind w:firstLine="640" w:firstLineChars="200"/>
        <w:jc w:val="left"/>
        <w:rPr>
          <w:rFonts w:hint="eastAsia" w:ascii="仿宋_GB2312" w:hAnsi="仿宋_GB2312" w:eastAsia="仿宋_GB2312" w:cs="仿宋_GB2312"/>
          <w:color w:val="auto"/>
          <w:kern w:val="2"/>
          <w:position w:val="0"/>
          <w:sz w:val="32"/>
          <w:szCs w:val="32"/>
          <w:highlight w:val="none"/>
          <w:lang w:val="zh-CN" w:eastAsia="zh-CN" w:bidi="ar-SA"/>
        </w:rPr>
      </w:pPr>
      <w:r>
        <w:rPr>
          <w:rFonts w:hint="eastAsia" w:ascii="仿宋_GB2312" w:hAnsi="仿宋_GB2312" w:eastAsia="仿宋_GB2312" w:cs="仿宋_GB2312"/>
          <w:color w:val="auto"/>
          <w:kern w:val="2"/>
          <w:position w:val="0"/>
          <w:sz w:val="32"/>
          <w:szCs w:val="32"/>
          <w:highlight w:val="none"/>
          <w:lang w:val="zh-CN" w:eastAsia="zh-CN" w:bidi="ar-SA"/>
        </w:rPr>
        <w:t>在前期项目准备策划过程中，科学规划项目实施过程，合理设置时效指标，保障项目在较充足的时间内实施。</w:t>
      </w:r>
    </w:p>
    <w:p>
      <w:pPr>
        <w:snapToGrid w:val="0"/>
        <w:spacing w:line="578" w:lineRule="exact"/>
        <w:ind w:firstLine="640" w:firstLineChars="200"/>
        <w:rPr>
          <w:rFonts w:hint="eastAsia" w:ascii="仿宋_GB2312" w:hAnsi="仿宋_GB2312" w:eastAsia="仿宋_GB2312" w:cs="仿宋_GB2312"/>
          <w:color w:val="000000"/>
          <w:kern w:val="0"/>
          <w:sz w:val="32"/>
          <w:szCs w:val="32"/>
          <w:highlight w:val="none"/>
          <w:shd w:val="clear" w:color="auto" w:fill="FFFFFF"/>
        </w:rPr>
      </w:pPr>
    </w:p>
    <w:p>
      <w:pPr>
        <w:tabs>
          <w:tab w:val="left" w:pos="1911"/>
        </w:tabs>
        <w:ind w:firstLine="640" w:firstLineChars="200"/>
        <w:jc w:val="left"/>
        <w:rPr>
          <w:rFonts w:hint="default" w:ascii="仿宋_GB2312" w:hAnsi="仿宋_GB2312" w:eastAsia="仿宋_GB2312" w:cs="仿宋_GB2312"/>
          <w:color w:val="auto"/>
          <w:kern w:val="2"/>
          <w:position w:val="0"/>
          <w:sz w:val="32"/>
          <w:szCs w:val="32"/>
          <w:highlight w:val="none"/>
          <w:lang w:val="en-US" w:eastAsia="zh-CN" w:bidi="ar-SA"/>
        </w:rPr>
      </w:pPr>
      <w:r>
        <w:rPr>
          <w:rFonts w:hint="eastAsia" w:ascii="仿宋_GB2312" w:hAnsi="仿宋_GB2312" w:eastAsia="仿宋_GB2312" w:cs="仿宋_GB2312"/>
          <w:color w:val="auto"/>
          <w:kern w:val="2"/>
          <w:position w:val="0"/>
          <w:sz w:val="32"/>
          <w:szCs w:val="32"/>
          <w:highlight w:val="none"/>
          <w:lang w:val="zh-CN" w:eastAsia="zh-CN" w:bidi="ar-SA"/>
        </w:rPr>
        <w:t>附表：</w:t>
      </w:r>
      <w:r>
        <w:rPr>
          <w:rFonts w:hint="default" w:ascii="仿宋_GB2312" w:hAnsi="仿宋_GB2312" w:eastAsia="仿宋_GB2312" w:cs="仿宋_GB2312"/>
          <w:color w:val="auto"/>
          <w:kern w:val="2"/>
          <w:position w:val="0"/>
          <w:sz w:val="32"/>
          <w:szCs w:val="32"/>
          <w:highlight w:val="none"/>
          <w:lang w:val="en-US" w:eastAsia="zh-CN" w:bidi="ar-SA"/>
        </w:rPr>
        <w:t>专项预算项目绩效目标完成情况自评表</w:t>
      </w:r>
    </w:p>
    <w:p>
      <w:pPr>
        <w:pStyle w:val="2"/>
        <w:rPr>
          <w:rFonts w:hint="default" w:ascii="仿宋_GB2312" w:hAnsi="仿宋_GB2312" w:eastAsia="仿宋_GB2312" w:cs="仿宋_GB2312"/>
          <w:color w:val="000000"/>
          <w:kern w:val="0"/>
          <w:sz w:val="32"/>
          <w:szCs w:val="32"/>
          <w:highlight w:val="none"/>
          <w:shd w:val="clear" w:color="auto" w:fill="FFFFFF"/>
          <w:lang w:val="en-US" w:eastAsia="zh-CN"/>
        </w:rPr>
      </w:pPr>
    </w:p>
    <w:p>
      <w:pPr>
        <w:rPr>
          <w:rFonts w:hint="default" w:ascii="仿宋_GB2312" w:hAnsi="仿宋_GB2312" w:eastAsia="仿宋_GB2312" w:cs="仿宋_GB2312"/>
          <w:color w:val="000000"/>
          <w:kern w:val="0"/>
          <w:sz w:val="32"/>
          <w:szCs w:val="32"/>
          <w:highlight w:val="none"/>
          <w:shd w:val="clear" w:color="auto" w:fill="FFFFFF"/>
          <w:lang w:val="en-US" w:eastAsia="zh-CN"/>
        </w:rPr>
      </w:pPr>
    </w:p>
    <w:p>
      <w:pPr>
        <w:pStyle w:val="2"/>
        <w:rPr>
          <w:rFonts w:hint="default" w:ascii="仿宋_GB2312" w:hAnsi="仿宋_GB2312" w:eastAsia="仿宋_GB2312" w:cs="仿宋_GB2312"/>
          <w:color w:val="000000"/>
          <w:kern w:val="0"/>
          <w:sz w:val="32"/>
          <w:szCs w:val="32"/>
          <w:highlight w:val="none"/>
          <w:shd w:val="clear" w:color="auto" w:fill="FFFFFF"/>
          <w:lang w:val="en-US" w:eastAsia="zh-CN"/>
        </w:rPr>
      </w:pPr>
    </w:p>
    <w:p>
      <w:pPr>
        <w:rPr>
          <w:rFonts w:hint="default" w:ascii="仿宋_GB2312" w:hAnsi="仿宋_GB2312" w:eastAsia="仿宋_GB2312" w:cs="仿宋_GB2312"/>
          <w:color w:val="000000"/>
          <w:kern w:val="0"/>
          <w:sz w:val="32"/>
          <w:szCs w:val="32"/>
          <w:highlight w:val="none"/>
          <w:shd w:val="clear" w:color="auto" w:fill="FFFFFF"/>
          <w:lang w:val="en-US" w:eastAsia="zh-CN"/>
        </w:rPr>
      </w:pPr>
    </w:p>
    <w:p>
      <w:pPr>
        <w:pStyle w:val="2"/>
        <w:rPr>
          <w:rFonts w:hint="default" w:ascii="仿宋_GB2312" w:hAnsi="仿宋_GB2312" w:eastAsia="仿宋_GB2312" w:cs="仿宋_GB2312"/>
          <w:color w:val="000000"/>
          <w:kern w:val="0"/>
          <w:sz w:val="32"/>
          <w:szCs w:val="32"/>
          <w:highlight w:val="none"/>
          <w:shd w:val="clear" w:color="auto" w:fill="FFFFFF"/>
          <w:lang w:val="en-US" w:eastAsia="zh-CN"/>
        </w:rPr>
      </w:pPr>
    </w:p>
    <w:p>
      <w:pPr>
        <w:rPr>
          <w:rFonts w:hint="default" w:ascii="仿宋_GB2312" w:hAnsi="仿宋_GB2312" w:eastAsia="仿宋_GB2312" w:cs="仿宋_GB2312"/>
          <w:color w:val="000000"/>
          <w:kern w:val="0"/>
          <w:sz w:val="32"/>
          <w:szCs w:val="32"/>
          <w:highlight w:val="none"/>
          <w:shd w:val="clear" w:color="auto" w:fill="FFFFFF"/>
          <w:lang w:val="en-US" w:eastAsia="zh-CN"/>
        </w:rPr>
      </w:pPr>
    </w:p>
    <w:p>
      <w:pPr>
        <w:pStyle w:val="2"/>
        <w:rPr>
          <w:rFonts w:hint="default" w:ascii="仿宋_GB2312" w:hAnsi="仿宋_GB2312" w:eastAsia="仿宋_GB2312" w:cs="仿宋_GB2312"/>
          <w:color w:val="000000"/>
          <w:kern w:val="0"/>
          <w:sz w:val="32"/>
          <w:szCs w:val="32"/>
          <w:highlight w:val="none"/>
          <w:shd w:val="clear" w:color="auto" w:fill="FFFFFF"/>
          <w:lang w:val="en-US" w:eastAsia="zh-CN"/>
        </w:rPr>
      </w:pPr>
    </w:p>
    <w:p>
      <w:pPr>
        <w:rPr>
          <w:rFonts w:hint="default" w:ascii="仿宋_GB2312" w:hAnsi="仿宋_GB2312" w:eastAsia="仿宋_GB2312" w:cs="仿宋_GB2312"/>
          <w:color w:val="000000"/>
          <w:kern w:val="0"/>
          <w:sz w:val="32"/>
          <w:szCs w:val="32"/>
          <w:highlight w:val="none"/>
          <w:shd w:val="clear" w:color="auto" w:fill="FFFFFF"/>
          <w:lang w:val="en-US" w:eastAsia="zh-CN"/>
        </w:rPr>
      </w:pPr>
    </w:p>
    <w:p>
      <w:pPr>
        <w:pStyle w:val="2"/>
        <w:rPr>
          <w:rFonts w:hint="default" w:ascii="仿宋_GB2312" w:hAnsi="仿宋_GB2312" w:eastAsia="仿宋_GB2312" w:cs="仿宋_GB2312"/>
          <w:color w:val="000000"/>
          <w:kern w:val="0"/>
          <w:sz w:val="32"/>
          <w:szCs w:val="32"/>
          <w:highlight w:val="none"/>
          <w:shd w:val="clear" w:color="auto" w:fill="FFFFFF"/>
          <w:lang w:val="en-US" w:eastAsia="zh-CN"/>
        </w:rPr>
      </w:pPr>
    </w:p>
    <w:p>
      <w:pPr>
        <w:rPr>
          <w:rFonts w:hint="default" w:ascii="仿宋_GB2312" w:hAnsi="仿宋_GB2312" w:eastAsia="仿宋_GB2312" w:cs="仿宋_GB2312"/>
          <w:color w:val="000000"/>
          <w:kern w:val="0"/>
          <w:sz w:val="32"/>
          <w:szCs w:val="32"/>
          <w:highlight w:val="none"/>
          <w:shd w:val="clear" w:color="auto" w:fill="FFFFFF"/>
          <w:lang w:val="en-US" w:eastAsia="zh-CN"/>
        </w:rPr>
      </w:pPr>
    </w:p>
    <w:p>
      <w:pPr>
        <w:pStyle w:val="2"/>
        <w:rPr>
          <w:rFonts w:hint="default" w:ascii="仿宋_GB2312" w:hAnsi="仿宋_GB2312" w:eastAsia="仿宋_GB2312" w:cs="仿宋_GB2312"/>
          <w:color w:val="000000"/>
          <w:kern w:val="0"/>
          <w:sz w:val="32"/>
          <w:szCs w:val="32"/>
          <w:highlight w:val="none"/>
          <w:shd w:val="clear" w:color="auto" w:fill="FFFFFF"/>
          <w:lang w:val="en-US" w:eastAsia="zh-CN"/>
        </w:rPr>
      </w:pPr>
    </w:p>
    <w:p>
      <w:pPr>
        <w:rPr>
          <w:rFonts w:hint="default" w:ascii="仿宋_GB2312" w:hAnsi="仿宋_GB2312" w:eastAsia="仿宋_GB2312" w:cs="仿宋_GB2312"/>
          <w:color w:val="000000"/>
          <w:kern w:val="0"/>
          <w:sz w:val="32"/>
          <w:szCs w:val="32"/>
          <w:highlight w:val="none"/>
          <w:shd w:val="clear" w:color="auto" w:fill="FFFFFF"/>
          <w:lang w:val="en-US" w:eastAsia="zh-CN"/>
        </w:rPr>
      </w:pPr>
    </w:p>
    <w:p>
      <w:pPr>
        <w:pStyle w:val="2"/>
        <w:rPr>
          <w:rFonts w:hint="default" w:ascii="仿宋_GB2312" w:hAnsi="仿宋_GB2312" w:eastAsia="仿宋_GB2312" w:cs="仿宋_GB2312"/>
          <w:color w:val="000000"/>
          <w:kern w:val="0"/>
          <w:sz w:val="32"/>
          <w:szCs w:val="32"/>
          <w:highlight w:val="none"/>
          <w:shd w:val="clear" w:color="auto" w:fill="FFFFFF"/>
          <w:lang w:val="en-US" w:eastAsia="zh-CN"/>
        </w:rPr>
      </w:pPr>
    </w:p>
    <w:p>
      <w:pPr>
        <w:rPr>
          <w:rFonts w:hint="default" w:ascii="仿宋_GB2312" w:hAnsi="仿宋_GB2312" w:eastAsia="仿宋_GB2312" w:cs="仿宋_GB2312"/>
          <w:color w:val="000000"/>
          <w:kern w:val="0"/>
          <w:sz w:val="32"/>
          <w:szCs w:val="32"/>
          <w:highlight w:val="none"/>
          <w:shd w:val="clear" w:color="auto" w:fill="FFFFFF"/>
          <w:lang w:val="en-US" w:eastAsia="zh-CN"/>
        </w:rPr>
      </w:pPr>
    </w:p>
    <w:p>
      <w:pPr>
        <w:pStyle w:val="2"/>
        <w:rPr>
          <w:rFonts w:hint="default" w:ascii="仿宋_GB2312" w:hAnsi="仿宋_GB2312" w:eastAsia="仿宋_GB2312" w:cs="仿宋_GB2312"/>
          <w:color w:val="000000"/>
          <w:kern w:val="0"/>
          <w:sz w:val="32"/>
          <w:szCs w:val="32"/>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tbl>
      <w:tblPr>
        <w:tblStyle w:val="21"/>
        <w:tblW w:w="94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636"/>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32" w:hRule="atLeast"/>
          <w:jc w:val="center"/>
        </w:trPr>
        <w:tc>
          <w:tcPr>
            <w:tcW w:w="9410" w:type="dxa"/>
            <w:gridSpan w:val="9"/>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576" w:lineRule="exact"/>
              <w:ind w:left="0" w:leftChars="0"/>
              <w:jc w:val="center"/>
              <w:textAlignment w:val="center"/>
              <w:rPr>
                <w:rFonts w:hint="default" w:ascii="Times New Roman" w:hAnsi="Times New Roman" w:eastAsia="黑体" w:cs="Times New Roman"/>
                <w:i w:val="0"/>
                <w:color w:val="auto"/>
                <w:sz w:val="30"/>
                <w:szCs w:val="30"/>
                <w:highlight w:val="none"/>
                <w:u w:val="none"/>
              </w:rPr>
            </w:pPr>
            <w:r>
              <w:rPr>
                <w:rFonts w:hint="default" w:ascii="Times New Roman" w:hAnsi="Times New Roman" w:eastAsia="方正小标宋简体" w:cs="Times New Roman"/>
                <w:i w:val="0"/>
                <w:color w:val="auto"/>
                <w:kern w:val="0"/>
                <w:sz w:val="40"/>
                <w:szCs w:val="40"/>
                <w:highlight w:val="none"/>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项目名称</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eastAsia" w:eastAsia="宋体" w:cs="Times New Roman"/>
                <w:i w:val="0"/>
                <w:color w:val="auto"/>
                <w:kern w:val="0"/>
                <w:sz w:val="20"/>
                <w:szCs w:val="20"/>
                <w:highlight w:val="none"/>
                <w:u w:val="none"/>
                <w:lang w:val="en-US" w:eastAsia="zh-CN" w:bidi="ar"/>
              </w:rPr>
              <w:t>蜀道文物展</w:t>
            </w:r>
            <w:r>
              <w:rPr>
                <w:rFonts w:hint="eastAsia" w:ascii="Times New Roman" w:hAnsi="Times New Roman" w:eastAsia="宋体" w:cs="Times New Roman"/>
                <w:i w:val="0"/>
                <w:color w:val="auto"/>
                <w:kern w:val="0"/>
                <w:sz w:val="20"/>
                <w:szCs w:val="20"/>
                <w:highlight w:val="none"/>
                <w:u w:val="none"/>
                <w:lang w:val="en-US" w:eastAsia="zh-CN" w:bidi="ar"/>
              </w:rPr>
              <w:t>开展仪式及研学签约仪式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预算单位</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市文化广电旅游局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项目类型</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中长期规划（名称、文号，仅指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常年项目）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资金管理办法（名称、文号）</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eastAsia" w:eastAsia="Wingdings 2" w:cs="Times New Roman"/>
                <w:i w:val="0"/>
                <w:color w:val="auto"/>
                <w:kern w:val="0"/>
                <w:sz w:val="20"/>
                <w:szCs w:val="20"/>
                <w:highlight w:val="none"/>
                <w:u w:val="none"/>
                <w:lang w:val="en-US" w:eastAsia="zh-CN" w:bidi="ar"/>
              </w:rPr>
              <w:t>√</w:t>
            </w:r>
            <w:r>
              <w:rPr>
                <w:rFonts w:hint="default" w:ascii="Times New Roman" w:hAnsi="Times New Roman" w:eastAsia="Wingdings 2" w:cs="Times New Roman"/>
                <w:i w:val="0"/>
                <w:color w:val="auto"/>
                <w:kern w:val="0"/>
                <w:sz w:val="20"/>
                <w:szCs w:val="20"/>
                <w:highlight w:val="none"/>
                <w:u w:val="none"/>
                <w:lang w:val="en-US" w:eastAsia="zh-CN" w:bidi="ar"/>
              </w:rPr>
              <w:t>项目法</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据实据效</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立项依据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使用范围</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kern w:val="0"/>
                <w:sz w:val="20"/>
                <w:szCs w:val="20"/>
                <w:highlight w:val="none"/>
                <w:u w:val="none"/>
                <w:lang w:val="en-US" w:eastAsia="zh-CN" w:bidi="ar"/>
              </w:rPr>
              <w:t>开</w:t>
            </w:r>
            <w:r>
              <w:rPr>
                <w:rFonts w:hint="eastAsia" w:ascii="Times New Roman" w:hAnsi="Times New Roman" w:eastAsia="宋体" w:cs="Times New Roman"/>
                <w:i w:val="0"/>
                <w:color w:val="auto"/>
                <w:kern w:val="0"/>
                <w:sz w:val="20"/>
                <w:szCs w:val="20"/>
                <w:highlight w:val="none"/>
                <w:u w:val="none"/>
                <w:lang w:val="en-US" w:eastAsia="zh-CN" w:bidi="ar"/>
              </w:rPr>
              <w:t>展仪式及研学签约仪式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申报（补助）条件</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项目起止年限</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2024年7月28日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项目资金</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年度资金总额：</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right"/>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其中：财政拨款</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right"/>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其他资金</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righ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总体 目标</w:t>
            </w: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pStyle w:val="40"/>
              <w:keepNext w:val="0"/>
              <w:keepLines w:val="0"/>
              <w:pageBreakBefore w:val="0"/>
              <w:widowControl w:val="0"/>
              <w:kinsoku/>
              <w:wordWrap/>
              <w:overflowPunct/>
              <w:topLinePunct w:val="0"/>
              <w:autoSpaceDE/>
              <w:autoSpaceDN/>
              <w:bidi w:val="0"/>
              <w:adjustRightInd/>
              <w:snapToGrid/>
              <w:spacing w:line="240" w:lineRule="exact"/>
              <w:ind w:firstLine="400" w:firstLineChars="200"/>
              <w:jc w:val="both"/>
              <w:textAlignment w:val="auto"/>
              <w:rPr>
                <w:rFonts w:hint="default" w:ascii="Times New Roman" w:hAnsi="Times New Roman" w:eastAsia="宋体" w:cs="Times New Roman"/>
                <w:i w:val="0"/>
                <w:color w:val="auto"/>
                <w:sz w:val="20"/>
                <w:szCs w:val="20"/>
                <w:highlight w:val="none"/>
                <w:u w:val="none"/>
              </w:rPr>
            </w:pPr>
            <w:r>
              <w:rPr>
                <w:rFonts w:hint="eastAsia" w:ascii="Times New Roman" w:hAnsi="Times New Roman" w:eastAsia="宋体" w:cs="Times New Roman"/>
                <w:i w:val="0"/>
                <w:color w:val="auto"/>
                <w:kern w:val="0"/>
                <w:sz w:val="20"/>
                <w:szCs w:val="20"/>
                <w:highlight w:val="none"/>
                <w:u w:val="none"/>
                <w:lang w:val="en-US" w:eastAsia="zh-CN" w:bidi="ar"/>
              </w:rPr>
              <w:t>为深入学习贯彻习近平总书记来川来广视察关于把中华优秀传统文化传承好的重要指示精神，全面落实市委八届七次全会关于举办“中国蜀道文物展”安排部署，在习近平总书记视察广元一周年之际，对习总书记重要指示精神进行再部署、再推进、再落实。助力大蜀道国际文化旅游目的地和康养度假胜地建设以及蜀道翠云廊和世界级步游道建设，有序推进蜀道申遗工作，让千年蜀道绽放时代光彩、镌刻盛世华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度量单位</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权重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实际完成指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产出指标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eastAsia" w:ascii="宋体" w:cs="宋体"/>
                <w:kern w:val="0"/>
                <w:sz w:val="18"/>
                <w:szCs w:val="18"/>
                <w:highlight w:val="none"/>
              </w:rPr>
              <w:t>举</w:t>
            </w:r>
            <w:r>
              <w:rPr>
                <w:rFonts w:hint="eastAsia" w:ascii="宋体" w:hAnsi="宋体" w:cs="宋体"/>
                <w:kern w:val="0"/>
                <w:sz w:val="18"/>
                <w:szCs w:val="18"/>
                <w:highlight w:val="none"/>
              </w:rPr>
              <w:t>办开展仪式和研学签约仪式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ascii="宋体" w:hAnsi="宋体" w:cs="宋体"/>
                <w:kern w:val="0"/>
                <w:sz w:val="18"/>
                <w:szCs w:val="18"/>
                <w:highlight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项</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5"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kern w:val="2"/>
                <w:sz w:val="20"/>
                <w:szCs w:val="20"/>
                <w:highlight w:val="none"/>
                <w:u w:val="none"/>
                <w:lang w:val="en-US" w:eastAsia="zh-CN" w:bidi="ar-SA"/>
              </w:rPr>
            </w:pPr>
            <w:r>
              <w:rPr>
                <w:rFonts w:ascii="宋体" w:cs="宋体"/>
                <w:kern w:val="0"/>
                <w:sz w:val="18"/>
                <w:szCs w:val="18"/>
                <w:highlight w:val="none"/>
                <w:lang w:bidi="ar"/>
              </w:rPr>
              <w:t>高质量完成</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ascii="宋体" w:hAnsi="宋体" w:cs="宋体"/>
                <w:kern w:val="0"/>
                <w:sz w:val="18"/>
                <w:szCs w:val="18"/>
                <w:highlight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95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ascii="宋体" w:hAnsi="宋体" w:cs="宋体"/>
                <w:kern w:val="0"/>
                <w:sz w:val="18"/>
                <w:szCs w:val="18"/>
                <w:highlight w:val="none"/>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eastAsia" w:ascii="宋体" w:cs="宋体"/>
                <w:spacing w:val="-8"/>
                <w:kern w:val="0"/>
                <w:sz w:val="18"/>
                <w:szCs w:val="18"/>
                <w:highlight w:val="none"/>
              </w:rPr>
              <w:t>任务完成时间</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ascii="宋体" w:hAnsi="宋体" w:cs="宋体"/>
                <w:kern w:val="0"/>
                <w:sz w:val="18"/>
                <w:szCs w:val="18"/>
                <w:highlight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天</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效益</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社会效益</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Times New Roman" w:hAnsi="Times New Roman" w:eastAsia="宋体" w:cs="Times New Roman"/>
                <w:i w:val="0"/>
                <w:color w:val="auto"/>
                <w:kern w:val="2"/>
                <w:sz w:val="20"/>
                <w:szCs w:val="20"/>
                <w:highlight w:val="none"/>
                <w:u w:val="none"/>
                <w:lang w:val="en-US" w:eastAsia="zh-CN" w:bidi="ar-SA"/>
              </w:rPr>
            </w:pPr>
            <w:r>
              <w:rPr>
                <w:rFonts w:hint="eastAsia" w:ascii="宋体" w:cs="宋体"/>
                <w:spacing w:val="-8"/>
                <w:kern w:val="0"/>
                <w:sz w:val="18"/>
                <w:szCs w:val="18"/>
                <w:highlight w:val="none"/>
              </w:rPr>
              <w:t>是否进一步加强我市蜀道文化传播，打响广元文旅品牌，助力大蜀道国际文化旅游目的地建设</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kern w:val="2"/>
                <w:sz w:val="20"/>
                <w:szCs w:val="20"/>
                <w:highlight w:val="none"/>
                <w:u w:val="none"/>
                <w:lang w:val="en-US" w:eastAsia="zh-CN" w:bidi="ar-SA"/>
              </w:rPr>
            </w:pPr>
            <w:r>
              <w:rPr>
                <w:rFonts w:hint="eastAsia" w:ascii="宋体" w:hAnsi="宋体" w:cs="宋体"/>
                <w:kern w:val="0"/>
                <w:sz w:val="18"/>
                <w:szCs w:val="18"/>
                <w:highlight w:val="none"/>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eastAsia="zh-CN"/>
              </w:rPr>
              <w:t>效果明显</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kern w:val="2"/>
                <w:sz w:val="20"/>
                <w:szCs w:val="20"/>
                <w:highlight w:val="none"/>
                <w:u w:val="none"/>
                <w:lang w:val="en-US" w:eastAsia="zh-CN" w:bidi="ar-SA"/>
              </w:rPr>
            </w:pP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eastAsia="zh-CN"/>
              </w:rPr>
              <w:t>效果明显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满意度</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服务对象</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eastAsia" w:ascii="宋体" w:cs="宋体"/>
                <w:spacing w:val="-8"/>
                <w:kern w:val="0"/>
                <w:sz w:val="18"/>
                <w:szCs w:val="18"/>
                <w:highlight w:val="none"/>
              </w:rPr>
              <w:t>参加开展仪式和研学签约仪式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ascii="宋体" w:hAnsi="宋体" w:cs="宋体"/>
                <w:kern w:val="0"/>
                <w:sz w:val="18"/>
                <w:szCs w:val="18"/>
                <w:highlight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95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ascii="宋体" w:hAnsi="宋体" w:cs="宋体"/>
                <w:kern w:val="0"/>
                <w:sz w:val="18"/>
                <w:szCs w:val="18"/>
                <w:highlight w:val="none"/>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经济成本</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控制总成本</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rPr>
            </w:pPr>
            <w:r>
              <w:rPr>
                <w:rFonts w:hint="eastAsia" w:eastAsia="宋体" w:cs="Times New Roman"/>
                <w:i w:val="0"/>
                <w:color w:val="auto"/>
                <w:sz w:val="20"/>
                <w:szCs w:val="20"/>
                <w:highlight w:val="none"/>
                <w:u w:val="none"/>
                <w:lang w:val="en-US" w:eastAsia="zh-CN"/>
              </w:rPr>
              <w:t>20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万元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w:t>
            </w:r>
          </w:p>
        </w:tc>
      </w:tr>
    </w:tbl>
    <w:p>
      <w:pPr>
        <w:rPr>
          <w:rFonts w:hint="default" w:ascii="仿宋_GB2312" w:hAnsi="仿宋_GB2312" w:eastAsia="仿宋_GB2312" w:cs="仿宋_GB2312"/>
          <w:color w:val="000000"/>
          <w:kern w:val="0"/>
          <w:sz w:val="32"/>
          <w:szCs w:val="32"/>
          <w:highlight w:val="none"/>
          <w:shd w:val="clear" w:color="auto" w:fill="FFFFFF"/>
          <w:lang w:val="en-US" w:eastAsia="zh-CN"/>
        </w:rPr>
      </w:pPr>
    </w:p>
    <w:p>
      <w:pPr>
        <w:pStyle w:val="2"/>
        <w:rPr>
          <w:rFonts w:hint="default" w:ascii="仿宋_GB2312" w:hAnsi="仿宋_GB2312" w:eastAsia="仿宋_GB2312" w:cs="仿宋_GB2312"/>
          <w:color w:val="000000"/>
          <w:kern w:val="0"/>
          <w:sz w:val="32"/>
          <w:szCs w:val="32"/>
          <w:highlight w:val="none"/>
          <w:shd w:val="clear" w:color="auto" w:fill="FFFFFF"/>
          <w:lang w:val="en-US" w:eastAsia="zh-CN"/>
        </w:rPr>
      </w:pPr>
    </w:p>
    <w:p>
      <w:pPr>
        <w:rPr>
          <w:rFonts w:hint="default" w:ascii="仿宋_GB2312" w:hAnsi="仿宋_GB2312" w:eastAsia="仿宋_GB2312" w:cs="仿宋_GB2312"/>
          <w:color w:val="000000"/>
          <w:kern w:val="0"/>
          <w:sz w:val="32"/>
          <w:szCs w:val="32"/>
          <w:highlight w:val="none"/>
          <w:shd w:val="clear" w:color="auto" w:fill="FFFFFF"/>
          <w:lang w:val="en-US" w:eastAsia="zh-CN"/>
        </w:rPr>
      </w:pPr>
    </w:p>
    <w:p>
      <w:pPr>
        <w:suppressAutoHyphens/>
        <w:bidi w:val="0"/>
        <w:spacing w:line="572" w:lineRule="exac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pPr>
        <w:suppressAutoHyphens/>
        <w:bidi w:val="0"/>
        <w:spacing w:line="572" w:lineRule="exact"/>
        <w:rPr>
          <w:rFonts w:hint="eastAsia" w:ascii="黑体" w:hAnsi="黑体" w:eastAsia="黑体" w:cs="黑体"/>
          <w:sz w:val="32"/>
          <w:szCs w:val="32"/>
          <w:highlight w:val="none"/>
          <w:lang w:val="en-US" w:eastAsia="zh-CN"/>
        </w:rPr>
      </w:pPr>
    </w:p>
    <w:p>
      <w:pPr>
        <w:pStyle w:val="40"/>
        <w:spacing w:line="576" w:lineRule="exact"/>
        <w:jc w:val="center"/>
        <w:rPr>
          <w:rFonts w:hint="eastAsia" w:ascii="方正小标宋简体" w:hAnsi="方正小标宋简体" w:eastAsia="方正小标宋简体" w:cs="方正小标宋简体"/>
          <w:color w:val="auto"/>
          <w:kern w:val="2"/>
          <w:sz w:val="44"/>
          <w:szCs w:val="44"/>
          <w:highlight w:val="none"/>
          <w:lang w:val="en-US"/>
        </w:rPr>
      </w:pPr>
      <w:r>
        <w:rPr>
          <w:rFonts w:hint="eastAsia" w:ascii="方正小标宋简体" w:hAnsi="方正小标宋简体" w:eastAsia="方正小标宋简体" w:cs="方正小标宋简体"/>
          <w:sz w:val="44"/>
          <w:szCs w:val="44"/>
          <w:highlight w:val="none"/>
          <w:lang w:val="en-US" w:eastAsia="zh-CN"/>
        </w:rPr>
        <w:t>支持重点文旅企业发展奖补资金</w:t>
      </w:r>
      <w:r>
        <w:rPr>
          <w:rFonts w:hint="eastAsia" w:ascii="方正小标宋简体" w:hAnsi="方正小标宋简体" w:eastAsia="方正小标宋简体" w:cs="方正小标宋简体"/>
          <w:color w:val="auto"/>
          <w:kern w:val="2"/>
          <w:sz w:val="44"/>
          <w:szCs w:val="44"/>
          <w:highlight w:val="none"/>
          <w:lang w:val="en-US"/>
        </w:rPr>
        <w:t>项目绩效评价报告</w:t>
      </w:r>
    </w:p>
    <w:p>
      <w:pPr>
        <w:pStyle w:val="40"/>
        <w:spacing w:line="576" w:lineRule="exact"/>
        <w:ind w:firstLine="640"/>
        <w:jc w:val="center"/>
        <w:rPr>
          <w:rFonts w:ascii="宋体" w:hAnsi="宋体"/>
          <w:color w:val="auto"/>
          <w:kern w:val="2"/>
          <w:sz w:val="32"/>
          <w:szCs w:val="32"/>
          <w:highlight w:val="none"/>
        </w:rPr>
      </w:pPr>
    </w:p>
    <w:p>
      <w:pPr>
        <w:adjustRightInd w:val="0"/>
        <w:snapToGrid w:val="0"/>
        <w:spacing w:line="576" w:lineRule="exact"/>
        <w:ind w:firstLine="642" w:firstLineChars="200"/>
        <w:rPr>
          <w:rFonts w:ascii="黑体" w:hAnsi="宋体" w:eastAsia="黑体"/>
          <w:b/>
          <w:bCs/>
          <w:sz w:val="32"/>
          <w:szCs w:val="32"/>
          <w:highlight w:val="none"/>
          <w:lang w:val="zh-CN"/>
        </w:rPr>
      </w:pPr>
      <w:r>
        <w:rPr>
          <w:rFonts w:hint="eastAsia" w:ascii="黑体" w:hAnsi="宋体" w:eastAsia="黑体"/>
          <w:b/>
          <w:bCs/>
          <w:sz w:val="32"/>
          <w:szCs w:val="32"/>
          <w:highlight w:val="none"/>
        </w:rPr>
        <w:t>一、</w:t>
      </w:r>
      <w:r>
        <w:rPr>
          <w:rFonts w:hint="eastAsia" w:ascii="黑体" w:hAnsi="宋体" w:eastAsia="黑体"/>
          <w:b/>
          <w:bCs/>
          <w:sz w:val="32"/>
          <w:szCs w:val="32"/>
          <w:highlight w:val="none"/>
          <w:lang w:val="zh-CN"/>
        </w:rPr>
        <w:t>项目概况</w:t>
      </w:r>
    </w:p>
    <w:p>
      <w:pPr>
        <w:widowControl/>
        <w:adjustRightInd w:val="0"/>
        <w:snapToGrid w:val="0"/>
        <w:spacing w:line="576" w:lineRule="exact"/>
        <w:ind w:firstLine="640" w:firstLineChars="200"/>
        <w:contextualSpacing/>
        <w:jc w:val="both"/>
        <w:rPr>
          <w:rFonts w:hint="eastAsia" w:ascii="仿宋_GB2312" w:hAnsi="仿宋_GB2312" w:eastAsia="仿宋_GB2312" w:cs="仿宋_GB2312"/>
          <w:color w:val="auto"/>
          <w:kern w:val="2"/>
          <w:position w:val="0"/>
          <w:sz w:val="32"/>
          <w:szCs w:val="32"/>
          <w:highlight w:val="none"/>
          <w:lang w:val="zh-CN" w:eastAsia="zh-CN" w:bidi="ar-SA"/>
        </w:rPr>
      </w:pPr>
      <w:r>
        <w:rPr>
          <w:rFonts w:hint="eastAsia" w:ascii="方正楷体简体" w:hAnsi="方正楷体简体" w:eastAsia="方正楷体简体" w:cs="方正楷体简体"/>
          <w:b w:val="0"/>
          <w:bCs/>
          <w:sz w:val="32"/>
          <w:szCs w:val="32"/>
          <w:highlight w:val="none"/>
          <w:lang w:val="zh-CN"/>
        </w:rPr>
        <w:t>（一）设立背景及基本情况。</w:t>
      </w:r>
      <w:r>
        <w:rPr>
          <w:rFonts w:hint="eastAsia" w:ascii="仿宋_GB2312" w:hAnsi="仿宋_GB2312" w:eastAsia="仿宋_GB2312" w:cs="仿宋_GB2312"/>
          <w:color w:val="auto"/>
          <w:kern w:val="2"/>
          <w:position w:val="0"/>
          <w:sz w:val="32"/>
          <w:szCs w:val="32"/>
          <w:highlight w:val="none"/>
          <w:lang w:val="zh-CN" w:eastAsia="zh-CN" w:bidi="ar-SA"/>
        </w:rPr>
        <w:t>为进一步恢复和扩大消费，充分挖掘消费热点和增长点，进一步提振消费信心、释放居民消费潜力，推动消费持续回暖，2023年6月30日，我局联合市商务局、市体育局、市财政局共同印发了《关于印发&lt;促进消费恢复发展十条措施&gt;的函》（广商函〔2023〕37号），其中第九条“支持重点文旅企业发展”有关奖补政策由局</w:t>
      </w:r>
      <w:r>
        <w:rPr>
          <w:rFonts w:hint="eastAsia" w:ascii="仿宋_GB2312" w:hAnsi="仿宋_GB2312" w:eastAsia="仿宋_GB2312" w:cs="仿宋_GB2312"/>
          <w:color w:val="auto"/>
          <w:kern w:val="2"/>
          <w:position w:val="0"/>
          <w:sz w:val="32"/>
          <w:szCs w:val="32"/>
          <w:highlight w:val="none"/>
          <w:lang w:val="en-US" w:eastAsia="zh-CN" w:bidi="ar-SA"/>
        </w:rPr>
        <w:t>牵头负责组织企业申报</w:t>
      </w:r>
      <w:r>
        <w:rPr>
          <w:rFonts w:hint="eastAsia" w:ascii="仿宋_GB2312" w:hAnsi="仿宋_GB2312" w:eastAsia="仿宋_GB2312" w:cs="仿宋_GB2312"/>
          <w:color w:val="auto"/>
          <w:kern w:val="2"/>
          <w:position w:val="0"/>
          <w:sz w:val="32"/>
          <w:szCs w:val="32"/>
          <w:highlight w:val="none"/>
          <w:lang w:val="zh-CN" w:eastAsia="zh-CN" w:bidi="ar-SA"/>
        </w:rPr>
        <w:t>。</w:t>
      </w:r>
    </w:p>
    <w:p>
      <w:pPr>
        <w:adjustRightInd w:val="0"/>
        <w:snapToGrid w:val="0"/>
        <w:spacing w:line="576" w:lineRule="exact"/>
        <w:ind w:firstLine="640" w:firstLineChars="200"/>
        <w:rPr>
          <w:rFonts w:hint="eastAsia" w:ascii="仿宋_GB2312" w:hAnsi="仿宋_GB2312" w:eastAsia="仿宋_GB2312" w:cs="仿宋_GB2312"/>
          <w:color w:val="auto"/>
          <w:kern w:val="2"/>
          <w:position w:val="0"/>
          <w:sz w:val="32"/>
          <w:szCs w:val="32"/>
          <w:highlight w:val="none"/>
          <w:lang w:val="zh-CN" w:eastAsia="zh-CN" w:bidi="ar-SA"/>
        </w:rPr>
      </w:pPr>
      <w:r>
        <w:rPr>
          <w:rFonts w:hint="eastAsia" w:ascii="方正楷体简体" w:hAnsi="方正楷体简体" w:eastAsia="方正楷体简体" w:cs="方正楷体简体"/>
          <w:b w:val="0"/>
          <w:bCs/>
          <w:sz w:val="32"/>
          <w:szCs w:val="32"/>
          <w:highlight w:val="none"/>
          <w:lang w:val="zh-CN"/>
        </w:rPr>
        <w:t>（二）实施目的及支持方向。</w:t>
      </w:r>
      <w:r>
        <w:rPr>
          <w:rFonts w:hint="eastAsia" w:ascii="仿宋_GB2312" w:hAnsi="仿宋_GB2312" w:eastAsia="仿宋_GB2312" w:cs="仿宋_GB2312"/>
          <w:color w:val="auto"/>
          <w:kern w:val="2"/>
          <w:position w:val="0"/>
          <w:sz w:val="32"/>
          <w:szCs w:val="32"/>
          <w:highlight w:val="none"/>
          <w:lang w:val="zh-CN" w:eastAsia="zh-CN" w:bidi="ar-SA"/>
        </w:rPr>
        <w:t>贯彻落实惠企政策措施，有效促进全市文旅消费振兴、文旅企业发展，支持本市重点文旅企业做优做强。对年营业收入首次超过一定数额的、限上企业成功创建为省级文化旅游龙头企业的、新开业的乡村旅游综合体或特色民宿新业态、年营业额达到500万元或吸纳就业常态化保持50人以上并进规入统的、限上演艺企业新创作演艺作品且年商业化演出达20场次以上的，市级财政给予补助。</w:t>
      </w:r>
    </w:p>
    <w:p>
      <w:pPr>
        <w:adjustRightInd w:val="0"/>
        <w:snapToGrid w:val="0"/>
        <w:spacing w:line="576"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方正楷体简体" w:hAnsi="方正楷体简体" w:eastAsia="方正楷体简体" w:cs="方正楷体简体"/>
          <w:b w:val="0"/>
          <w:bCs/>
          <w:sz w:val="32"/>
          <w:szCs w:val="32"/>
          <w:highlight w:val="none"/>
          <w:lang w:val="zh-CN"/>
        </w:rPr>
        <w:t>（三）预算安排及分配管理。</w:t>
      </w:r>
      <w:r>
        <w:rPr>
          <w:rFonts w:hint="eastAsia" w:ascii="仿宋_GB2312" w:hAnsi="仿宋_GB2312" w:eastAsia="仿宋_GB2312" w:cs="仿宋_GB2312"/>
          <w:b w:val="0"/>
          <w:sz w:val="32"/>
          <w:szCs w:val="32"/>
          <w:highlight w:val="none"/>
          <w:lang w:val="zh-CN"/>
        </w:rPr>
        <w:t>共计</w:t>
      </w:r>
      <w:r>
        <w:rPr>
          <w:rFonts w:hint="eastAsia" w:ascii="仿宋_GB2312" w:hAnsi="仿宋_GB2312" w:eastAsia="仿宋_GB2312" w:cs="仿宋_GB2312"/>
          <w:b w:val="0"/>
          <w:sz w:val="32"/>
          <w:szCs w:val="32"/>
          <w:highlight w:val="none"/>
          <w:lang w:val="en-US" w:eastAsia="zh-CN"/>
        </w:rPr>
        <w:t>4家企业参与申报</w:t>
      </w:r>
      <w:r>
        <w:rPr>
          <w:rFonts w:hint="eastAsia" w:ascii="仿宋_GB2312" w:hAnsi="仿宋_GB2312" w:eastAsia="仿宋_GB2312" w:cs="仿宋_GB2312"/>
          <w:sz w:val="32"/>
          <w:szCs w:val="32"/>
          <w:highlight w:val="none"/>
          <w:lang w:val="en-US" w:eastAsia="zh-CN"/>
        </w:rPr>
        <w:t>，其中申报</w:t>
      </w:r>
      <w:r>
        <w:rPr>
          <w:rFonts w:hint="eastAsia" w:ascii="仿宋_GB2312" w:hAnsi="仿宋_GB2312" w:eastAsia="仿宋_GB2312" w:cs="仿宋_GB2312"/>
          <w:sz w:val="32"/>
          <w:szCs w:val="32"/>
          <w:highlight w:val="none"/>
          <w:lang w:eastAsia="zh-CN"/>
        </w:rPr>
        <w:t>年营业收入首次超过一定数额奖补</w:t>
      </w:r>
      <w:r>
        <w:rPr>
          <w:rFonts w:hint="eastAsia" w:ascii="仿宋_GB2312" w:hAnsi="仿宋_GB2312" w:eastAsia="仿宋_GB2312" w:cs="仿宋_GB2312"/>
          <w:sz w:val="32"/>
          <w:szCs w:val="32"/>
          <w:highlight w:val="none"/>
          <w:lang w:val="en-US" w:eastAsia="zh-CN"/>
        </w:rPr>
        <w:t>1家，申报</w:t>
      </w:r>
      <w:r>
        <w:rPr>
          <w:rFonts w:hint="eastAsia" w:ascii="仿宋_GB2312" w:hAnsi="仿宋_GB2312" w:eastAsia="仿宋_GB2312" w:cs="仿宋_GB2312"/>
          <w:sz w:val="32"/>
          <w:szCs w:val="32"/>
          <w:highlight w:val="none"/>
          <w:lang w:eastAsia="zh-CN"/>
        </w:rPr>
        <w:t>限上演艺企业新创作演艺作品且年商业化演出达20场次以上奖补</w:t>
      </w:r>
      <w:r>
        <w:rPr>
          <w:rFonts w:hint="eastAsia" w:ascii="仿宋_GB2312" w:hAnsi="仿宋_GB2312" w:eastAsia="仿宋_GB2312" w:cs="仿宋_GB2312"/>
          <w:sz w:val="32"/>
          <w:szCs w:val="32"/>
          <w:highlight w:val="none"/>
          <w:lang w:val="en-US" w:eastAsia="zh-CN"/>
        </w:rPr>
        <w:t>3家，总计奖补12万元。</w:t>
      </w:r>
      <w:r>
        <w:rPr>
          <w:rFonts w:hint="eastAsia" w:ascii="仿宋_GB2312" w:hAnsi="仿宋_GB2312" w:eastAsia="仿宋_GB2312" w:cs="仿宋_GB2312"/>
          <w:sz w:val="32"/>
          <w:szCs w:val="32"/>
          <w:highlight w:val="none"/>
          <w:lang w:eastAsia="zh-CN"/>
        </w:rPr>
        <w:t>所需资金在市级公共文化和旅游产业专项资金中统筹解决。</w:t>
      </w:r>
    </w:p>
    <w:p>
      <w:pPr>
        <w:adjustRightInd w:val="0"/>
        <w:snapToGrid w:val="0"/>
        <w:spacing w:line="576"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1.根据《</w:t>
      </w:r>
      <w:r>
        <w:rPr>
          <w:rFonts w:hint="eastAsia" w:ascii="仿宋_GB2312" w:hAnsi="仿宋_GB2312" w:eastAsia="仿宋_GB2312" w:cs="仿宋_GB2312"/>
          <w:sz w:val="32"/>
          <w:szCs w:val="32"/>
          <w:highlight w:val="none"/>
          <w:lang w:val="en" w:eastAsia="zh-CN"/>
        </w:rPr>
        <w:t>促进消费恢复发展十条措施</w:t>
      </w:r>
      <w:r>
        <w:rPr>
          <w:rFonts w:hint="eastAsia" w:ascii="仿宋_GB2312" w:hAnsi="仿宋_GB2312" w:eastAsia="仿宋_GB2312" w:cs="仿宋_GB2312"/>
          <w:sz w:val="32"/>
          <w:szCs w:val="32"/>
          <w:highlight w:val="none"/>
          <w:lang w:val="en-US" w:eastAsia="zh-CN"/>
        </w:rPr>
        <w:t>》，对年营业收入首次超过8000万元、6000万元、4000万元的规上文化、体育和娱乐业企业、旅游企业，市级财政分别给予一次性不超过3万元、2万元、1万元奖励。经会商审核，剑门关旅游开发股份有限公司符合超过6000万元营收指标条件，拟奖补2万元；</w:t>
      </w:r>
    </w:p>
    <w:p>
      <w:pPr>
        <w:adjustRightInd w:val="0"/>
        <w:snapToGrid w:val="0"/>
        <w:spacing w:line="576" w:lineRule="exact"/>
        <w:ind w:firstLine="640" w:firstLineChars="200"/>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lang w:val="en-US" w:eastAsia="zh-CN"/>
        </w:rPr>
        <w:t>2.根据《</w:t>
      </w:r>
      <w:r>
        <w:rPr>
          <w:rFonts w:hint="eastAsia" w:ascii="仿宋_GB2312" w:hAnsi="仿宋_GB2312" w:eastAsia="仿宋_GB2312" w:cs="仿宋_GB2312"/>
          <w:sz w:val="32"/>
          <w:szCs w:val="32"/>
          <w:highlight w:val="none"/>
          <w:lang w:val="en" w:eastAsia="zh-CN"/>
        </w:rPr>
        <w:t>促进消费恢复发展十条措施</w:t>
      </w:r>
      <w:r>
        <w:rPr>
          <w:rFonts w:hint="eastAsia" w:ascii="仿宋_GB2312" w:hAnsi="仿宋_GB2312" w:eastAsia="仿宋_GB2312" w:cs="仿宋_GB2312"/>
          <w:sz w:val="32"/>
          <w:szCs w:val="32"/>
          <w:highlight w:val="none"/>
          <w:lang w:val="en-US" w:eastAsia="zh-CN"/>
        </w:rPr>
        <w:t>》，对限上演艺企业新创作演艺作品，年商业化演出达20场次以上的，市级财政一次性给予不超过5万元补助。该项补助拟根据企业对GDP指标贡献，实行阶梯式、差异化补助：年营业收入超过2000万元（不含)以上的企业，一次性补助5万元；超过1000万元（不含)、不超过</w:t>
      </w:r>
      <w:r>
        <w:rPr>
          <w:rFonts w:hint="eastAsia" w:ascii="仿宋_GB2312" w:hAnsi="仿宋_GB2312" w:eastAsia="仿宋_GB2312" w:cs="仿宋_GB2312"/>
          <w:sz w:val="32"/>
          <w:szCs w:val="32"/>
          <w:highlight w:val="none"/>
          <w:lang w:val="en" w:eastAsia="zh-CN"/>
        </w:rPr>
        <w:t>2000万元（</w:t>
      </w:r>
      <w:r>
        <w:rPr>
          <w:rFonts w:hint="eastAsia" w:ascii="仿宋_GB2312" w:hAnsi="仿宋_GB2312" w:eastAsia="仿宋_GB2312" w:cs="仿宋_GB2312"/>
          <w:sz w:val="32"/>
          <w:szCs w:val="32"/>
          <w:highlight w:val="none"/>
          <w:lang w:val="en-US" w:eastAsia="zh-CN"/>
        </w:rPr>
        <w:t>含)的，一次性补助4万元；年营业收入超过500万元、不超过1000万元（含)的企业，一次性补助3万元。经会商审核，旺苍龙狮鼓武艺术文化传媒有限公司符合营收超过1000万元（不含)、不超过</w:t>
      </w:r>
      <w:r>
        <w:rPr>
          <w:rFonts w:hint="eastAsia" w:ascii="仿宋_GB2312" w:hAnsi="仿宋_GB2312" w:eastAsia="仿宋_GB2312" w:cs="仿宋_GB2312"/>
          <w:sz w:val="32"/>
          <w:szCs w:val="32"/>
          <w:highlight w:val="none"/>
          <w:lang w:val="en" w:eastAsia="zh-CN"/>
        </w:rPr>
        <w:t>2000万元（</w:t>
      </w:r>
      <w:r>
        <w:rPr>
          <w:rFonts w:hint="eastAsia" w:ascii="仿宋_GB2312" w:hAnsi="仿宋_GB2312" w:eastAsia="仿宋_GB2312" w:cs="仿宋_GB2312"/>
          <w:sz w:val="32"/>
          <w:szCs w:val="32"/>
          <w:highlight w:val="none"/>
          <w:lang w:val="en-US" w:eastAsia="zh-CN"/>
        </w:rPr>
        <w:t>含)的条件，拟奖补4万元；广元市演艺有限责任公司和广元昭化西市景区管理有限公司符合年营业收入超过500万元、不超过1000万元（含)的条件，拟各奖补3万元。该项共计奖补6万元。</w:t>
      </w:r>
    </w:p>
    <w:p>
      <w:pPr>
        <w:widowControl/>
        <w:spacing w:line="576" w:lineRule="exact"/>
        <w:ind w:firstLine="640" w:firstLineChars="200"/>
        <w:jc w:val="left"/>
        <w:rPr>
          <w:rFonts w:hint="eastAsia" w:ascii="仿宋_GB2312" w:hAnsi="仿宋_GB2312" w:eastAsia="仿宋_GB2312" w:cs="仿宋_GB2312"/>
          <w:sz w:val="32"/>
          <w:szCs w:val="32"/>
          <w:highlight w:val="none"/>
          <w:lang w:val="zh-CN" w:eastAsia="zh-CN"/>
        </w:rPr>
      </w:pPr>
      <w:r>
        <w:rPr>
          <w:rFonts w:hint="eastAsia" w:ascii="方正楷体简体" w:hAnsi="方正楷体简体" w:eastAsia="方正楷体简体" w:cs="方正楷体简体"/>
          <w:b w:val="0"/>
          <w:bCs/>
          <w:sz w:val="32"/>
          <w:szCs w:val="32"/>
          <w:highlight w:val="none"/>
          <w:lang w:val="zh-CN"/>
        </w:rPr>
        <w:t>（四）项目绩效目标设置。</w:t>
      </w:r>
      <w:r>
        <w:rPr>
          <w:rFonts w:hint="eastAsia" w:ascii="仿宋_GB2312" w:hAnsi="仿宋_GB2312" w:eastAsia="仿宋_GB2312" w:cs="仿宋_GB2312"/>
          <w:sz w:val="32"/>
          <w:szCs w:val="32"/>
          <w:highlight w:val="none"/>
          <w:lang w:val="zh-CN" w:eastAsia="zh-CN"/>
        </w:rPr>
        <w:t>绩效目标设置主要包括促进</w:t>
      </w:r>
      <w:r>
        <w:rPr>
          <w:rFonts w:hint="eastAsia" w:ascii="仿宋_GB2312" w:hAnsi="仿宋_GB2312" w:eastAsia="仿宋_GB2312" w:cs="仿宋_GB2312"/>
          <w:sz w:val="32"/>
          <w:szCs w:val="32"/>
          <w:highlight w:val="none"/>
          <w:lang w:val="en-US" w:eastAsia="zh-CN"/>
        </w:rPr>
        <w:t>重点文旅企业发展，打造具有区域特色的文旅龙头企业，拉动经济增长，促进文旅相关产业就业。</w:t>
      </w:r>
    </w:p>
    <w:p>
      <w:pPr>
        <w:adjustRightInd w:val="0"/>
        <w:snapToGrid w:val="0"/>
        <w:spacing w:line="576" w:lineRule="exact"/>
        <w:ind w:firstLine="642" w:firstLineChars="200"/>
        <w:rPr>
          <w:rFonts w:hint="eastAsia" w:ascii="黑体" w:hAnsi="宋体" w:eastAsia="黑体"/>
          <w:b/>
          <w:bCs/>
          <w:sz w:val="32"/>
          <w:szCs w:val="32"/>
          <w:highlight w:val="none"/>
          <w:lang w:val="zh-CN"/>
        </w:rPr>
      </w:pPr>
      <w:r>
        <w:rPr>
          <w:rFonts w:hint="eastAsia" w:ascii="黑体" w:hAnsi="宋体" w:eastAsia="黑体"/>
          <w:b/>
          <w:bCs/>
          <w:sz w:val="32"/>
          <w:szCs w:val="32"/>
          <w:highlight w:val="none"/>
          <w:lang w:val="zh-CN"/>
        </w:rPr>
        <w:t>二、评价实施</w:t>
      </w:r>
    </w:p>
    <w:p>
      <w:pPr>
        <w:spacing w:line="576" w:lineRule="exact"/>
        <w:ind w:firstLine="64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 w:val="0"/>
          <w:bCs/>
          <w:sz w:val="32"/>
          <w:szCs w:val="32"/>
          <w:highlight w:val="none"/>
          <w:lang w:val="zh-CN"/>
        </w:rPr>
        <w:t>（一）评价目的。</w:t>
      </w:r>
      <w:r>
        <w:rPr>
          <w:rFonts w:hint="eastAsia" w:ascii="仿宋_GB2312" w:hAnsi="仿宋_GB2312" w:eastAsia="仿宋_GB2312" w:cs="仿宋_GB2312"/>
          <w:sz w:val="32"/>
          <w:szCs w:val="32"/>
          <w:highlight w:val="none"/>
          <w:lang w:val="zh-CN"/>
        </w:rPr>
        <w:t>总结</w:t>
      </w:r>
      <w:r>
        <w:rPr>
          <w:rFonts w:hint="eastAsia" w:ascii="仿宋_GB2312" w:hAnsi="仿宋_GB2312" w:eastAsia="仿宋_GB2312" w:cs="仿宋_GB2312"/>
          <w:sz w:val="32"/>
          <w:szCs w:val="32"/>
          <w:highlight w:val="none"/>
        </w:rPr>
        <w:t>奖补政策</w:t>
      </w:r>
      <w:r>
        <w:rPr>
          <w:rFonts w:hint="eastAsia" w:ascii="仿宋_GB2312" w:hAnsi="仿宋_GB2312" w:eastAsia="仿宋_GB2312" w:cs="仿宋_GB2312"/>
          <w:sz w:val="32"/>
          <w:szCs w:val="32"/>
          <w:highlight w:val="none"/>
          <w:lang w:val="zh-CN"/>
        </w:rPr>
        <w:t>的经验和不足，为后续相关政策提供借鉴</w:t>
      </w:r>
      <w:r>
        <w:rPr>
          <w:rFonts w:hint="eastAsia" w:ascii="仿宋_GB2312" w:hAnsi="仿宋_GB2312" w:eastAsia="仿宋_GB2312" w:cs="仿宋_GB2312"/>
          <w:sz w:val="32"/>
          <w:szCs w:val="32"/>
          <w:highlight w:val="none"/>
        </w:rPr>
        <w:t>。</w:t>
      </w:r>
    </w:p>
    <w:p>
      <w:pPr>
        <w:spacing w:line="576" w:lineRule="exact"/>
        <w:ind w:firstLine="640" w:firstLineChars="200"/>
        <w:jc w:val="left"/>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 w:val="0"/>
          <w:bCs/>
          <w:sz w:val="32"/>
          <w:szCs w:val="32"/>
          <w:highlight w:val="none"/>
          <w:lang w:val="zh-CN"/>
        </w:rPr>
        <w:t>（二）预设问题及评价重点。</w:t>
      </w:r>
      <w:r>
        <w:rPr>
          <w:rFonts w:hint="eastAsia" w:ascii="仿宋_GB2312" w:hAnsi="仿宋_GB2312" w:eastAsia="仿宋_GB2312" w:cs="仿宋_GB2312"/>
          <w:sz w:val="32"/>
          <w:szCs w:val="32"/>
          <w:highlight w:val="none"/>
          <w:lang w:val="zh-CN"/>
        </w:rPr>
        <w:t>一是数据真实性有待商榷，企业营收、就业等申报数据核查难度大</w:t>
      </w:r>
      <w:r>
        <w:rPr>
          <w:rFonts w:hint="eastAsia" w:ascii="仿宋_GB2312" w:hAnsi="仿宋_GB2312" w:eastAsia="仿宋_GB2312" w:cs="仿宋_GB2312"/>
          <w:sz w:val="32"/>
          <w:szCs w:val="32"/>
          <w:highlight w:val="none"/>
        </w:rPr>
        <w:t>；二是市场环境变化导致评价指标时效性不足；三是</w:t>
      </w:r>
      <w:r>
        <w:rPr>
          <w:rFonts w:hint="eastAsia" w:ascii="仿宋_GB2312" w:hAnsi="仿宋_GB2312" w:eastAsia="仿宋_GB2312" w:cs="仿宋_GB2312"/>
          <w:sz w:val="32"/>
          <w:szCs w:val="32"/>
          <w:highlight w:val="none"/>
          <w:lang w:eastAsia="zh-CN"/>
        </w:rPr>
        <w:t>符合申报条件的几乎均为大型文旅企业，影响市场竞争环境</w:t>
      </w:r>
      <w:r>
        <w:rPr>
          <w:rFonts w:hint="eastAsia" w:ascii="仿宋_GB2312" w:hAnsi="仿宋_GB2312" w:eastAsia="仿宋_GB2312" w:cs="仿宋_GB2312"/>
          <w:sz w:val="32"/>
          <w:szCs w:val="32"/>
          <w:highlight w:val="none"/>
        </w:rPr>
        <w:t>。主要参与商户为规模较大企业，中小型企业和商户报名参与较少。重点对项目管理、项目实施开展评价。</w:t>
      </w:r>
    </w:p>
    <w:p>
      <w:pPr>
        <w:adjustRightInd w:val="0"/>
        <w:snapToGrid w:val="0"/>
        <w:spacing w:line="576" w:lineRule="exact"/>
        <w:ind w:firstLine="640" w:firstLineChars="20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 w:val="0"/>
          <w:bCs/>
          <w:sz w:val="32"/>
          <w:szCs w:val="32"/>
          <w:highlight w:val="none"/>
          <w:lang w:val="zh-CN"/>
        </w:rPr>
        <w:t>（三）评价选点。</w:t>
      </w:r>
      <w:r>
        <w:rPr>
          <w:rFonts w:hint="eastAsia" w:ascii="仿宋_GB2312" w:hAnsi="仿宋_GB2312" w:eastAsia="仿宋_GB2312" w:cs="仿宋_GB2312"/>
          <w:sz w:val="32"/>
          <w:szCs w:val="32"/>
          <w:highlight w:val="none"/>
          <w:lang w:val="zh-CN"/>
        </w:rPr>
        <w:t>“支持重点文旅企业发展”包含4项支持类别，共有4家企业参与申报，申报金额共计17万元。</w:t>
      </w:r>
      <w:r>
        <w:rPr>
          <w:rFonts w:hint="eastAsia" w:ascii="仿宋_GB2312" w:hAnsi="仿宋_GB2312" w:eastAsia="仿宋_GB2312" w:cs="仿宋_GB2312"/>
          <w:sz w:val="32"/>
          <w:szCs w:val="32"/>
          <w:highlight w:val="none"/>
          <w:lang w:eastAsia="zh-CN"/>
        </w:rPr>
        <w:t>对这</w:t>
      </w:r>
      <w:r>
        <w:rPr>
          <w:rFonts w:hint="eastAsia" w:ascii="仿宋_GB2312" w:hAnsi="仿宋_GB2312" w:eastAsia="仿宋_GB2312" w:cs="仿宋_GB2312"/>
          <w:sz w:val="32"/>
          <w:szCs w:val="32"/>
          <w:highlight w:val="none"/>
          <w:lang w:val="en-US" w:eastAsia="zh-CN"/>
        </w:rPr>
        <w:t>4家</w:t>
      </w:r>
      <w:r>
        <w:rPr>
          <w:rFonts w:hint="eastAsia" w:ascii="仿宋_GB2312" w:hAnsi="仿宋_GB2312" w:eastAsia="仿宋_GB2312" w:cs="仿宋_GB2312"/>
          <w:sz w:val="32"/>
          <w:szCs w:val="32"/>
          <w:highlight w:val="none"/>
        </w:rPr>
        <w:t>重点企业进行评价。</w:t>
      </w:r>
    </w:p>
    <w:p>
      <w:pPr>
        <w:spacing w:line="576" w:lineRule="exact"/>
        <w:ind w:firstLine="64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 w:val="0"/>
          <w:bCs/>
          <w:sz w:val="32"/>
          <w:szCs w:val="32"/>
          <w:highlight w:val="none"/>
          <w:lang w:val="zh-CN"/>
        </w:rPr>
        <w:t>（四）评价方法。</w:t>
      </w:r>
      <w:r>
        <w:rPr>
          <w:rFonts w:hint="eastAsia" w:ascii="仿宋_GB2312" w:hAnsi="仿宋_GB2312" w:eastAsia="仿宋_GB2312" w:cs="仿宋_GB2312"/>
          <w:sz w:val="32"/>
          <w:szCs w:val="32"/>
          <w:highlight w:val="none"/>
          <w:lang w:val="zh-CN"/>
        </w:rPr>
        <w:t>本次评价主要采取</w:t>
      </w:r>
      <w:r>
        <w:rPr>
          <w:rFonts w:hint="eastAsia" w:ascii="仿宋_GB2312" w:hAnsi="仿宋_GB2312" w:eastAsia="仿宋_GB2312" w:cs="仿宋_GB2312"/>
          <w:sz w:val="32"/>
          <w:szCs w:val="32"/>
          <w:highlight w:val="none"/>
        </w:rPr>
        <w:t>座谈调研的方法，实地考察了解</w:t>
      </w:r>
      <w:r>
        <w:rPr>
          <w:rFonts w:hint="eastAsia" w:ascii="仿宋_GB2312" w:hAnsi="仿宋_GB2312" w:eastAsia="仿宋_GB2312" w:cs="仿宋_GB2312"/>
          <w:sz w:val="32"/>
          <w:szCs w:val="32"/>
          <w:highlight w:val="none"/>
          <w:lang w:eastAsia="zh-CN"/>
        </w:rPr>
        <w:t>企业营收状况、</w:t>
      </w:r>
      <w:r>
        <w:rPr>
          <w:rFonts w:hint="eastAsia" w:ascii="仿宋_GB2312" w:hAnsi="仿宋_GB2312" w:eastAsia="仿宋_GB2312" w:cs="仿宋_GB2312"/>
          <w:sz w:val="32"/>
          <w:szCs w:val="32"/>
          <w:highlight w:val="none"/>
          <w:lang w:val="zh-CN" w:eastAsia="zh-CN"/>
        </w:rPr>
        <w:t>奖补资金</w:t>
      </w:r>
      <w:r>
        <w:rPr>
          <w:rFonts w:hint="eastAsia" w:ascii="仿宋_GB2312" w:hAnsi="仿宋_GB2312" w:eastAsia="仿宋_GB2312" w:cs="仿宋_GB2312"/>
          <w:sz w:val="32"/>
          <w:szCs w:val="32"/>
          <w:highlight w:val="none"/>
          <w:lang w:eastAsia="zh-CN"/>
        </w:rPr>
        <w:t>使用</w:t>
      </w:r>
      <w:r>
        <w:rPr>
          <w:rFonts w:hint="eastAsia" w:ascii="仿宋_GB2312" w:hAnsi="仿宋_GB2312" w:eastAsia="仿宋_GB2312" w:cs="仿宋_GB2312"/>
          <w:sz w:val="32"/>
          <w:szCs w:val="32"/>
          <w:highlight w:val="none"/>
        </w:rPr>
        <w:t>等情况。</w:t>
      </w:r>
    </w:p>
    <w:p>
      <w:pPr>
        <w:spacing w:line="576" w:lineRule="exact"/>
        <w:ind w:firstLine="640"/>
        <w:rPr>
          <w:rFonts w:hint="eastAsia" w:ascii="仿宋_GB2312" w:hAnsi="仿宋_GB2312" w:eastAsia="仿宋_GB2312" w:cs="仿宋_GB2312"/>
          <w:sz w:val="32"/>
          <w:szCs w:val="32"/>
          <w:highlight w:val="none"/>
          <w:lang w:val="zh-CN"/>
        </w:rPr>
      </w:pPr>
      <w:r>
        <w:rPr>
          <w:rFonts w:hint="eastAsia" w:ascii="方正楷体简体" w:hAnsi="方正楷体简体" w:eastAsia="方正楷体简体" w:cs="方正楷体简体"/>
          <w:b w:val="0"/>
          <w:bCs/>
          <w:sz w:val="32"/>
          <w:szCs w:val="32"/>
          <w:highlight w:val="none"/>
          <w:lang w:val="zh-CN"/>
        </w:rPr>
        <w:t>（五）评价组织。</w:t>
      </w:r>
      <w:r>
        <w:rPr>
          <w:rFonts w:hint="eastAsia" w:ascii="仿宋_GB2312" w:hAnsi="仿宋_GB2312" w:eastAsia="仿宋_GB2312" w:cs="仿宋_GB2312"/>
          <w:sz w:val="32"/>
          <w:szCs w:val="32"/>
          <w:highlight w:val="none"/>
          <w:lang w:val="zh-CN"/>
        </w:rPr>
        <w:t>市文化广电旅游局产业</w:t>
      </w:r>
      <w:r>
        <w:rPr>
          <w:rFonts w:hint="eastAsia" w:ascii="仿宋_GB2312" w:hAnsi="仿宋_GB2312" w:eastAsia="仿宋_GB2312" w:cs="仿宋_GB2312"/>
          <w:sz w:val="32"/>
          <w:szCs w:val="32"/>
          <w:highlight w:val="none"/>
          <w:lang w:val="zh-CN" w:eastAsia="zh-CN"/>
        </w:rPr>
        <w:t>发展</w:t>
      </w:r>
      <w:r>
        <w:rPr>
          <w:rFonts w:hint="eastAsia" w:ascii="仿宋_GB2312" w:hAnsi="仿宋_GB2312" w:eastAsia="仿宋_GB2312" w:cs="仿宋_GB2312"/>
          <w:sz w:val="32"/>
          <w:szCs w:val="32"/>
          <w:highlight w:val="none"/>
          <w:lang w:val="zh-CN"/>
        </w:rPr>
        <w:t>科相关人员组成评价小组。负责核实申报企业的实际情况，现场考察企业。</w:t>
      </w:r>
    </w:p>
    <w:p>
      <w:pPr>
        <w:adjustRightInd w:val="0"/>
        <w:snapToGrid w:val="0"/>
        <w:spacing w:line="576" w:lineRule="exact"/>
        <w:ind w:firstLine="642" w:firstLineChars="200"/>
        <w:rPr>
          <w:rFonts w:hint="eastAsia" w:ascii="黑体" w:hAnsi="宋体" w:eastAsia="黑体"/>
          <w:b/>
          <w:bCs/>
          <w:sz w:val="32"/>
          <w:szCs w:val="32"/>
          <w:highlight w:val="none"/>
          <w:lang w:val="zh-CN"/>
        </w:rPr>
      </w:pPr>
      <w:r>
        <w:rPr>
          <w:rFonts w:hint="eastAsia" w:ascii="黑体" w:hAnsi="宋体" w:eastAsia="黑体"/>
          <w:b/>
          <w:bCs/>
          <w:sz w:val="32"/>
          <w:szCs w:val="32"/>
          <w:highlight w:val="none"/>
          <w:lang w:val="zh-CN"/>
        </w:rPr>
        <w:t>三、绩效分析</w:t>
      </w:r>
      <w:r>
        <w:rPr>
          <w:rFonts w:hint="eastAsia" w:ascii="黑体" w:hAnsi="宋体" w:eastAsia="黑体"/>
          <w:b/>
          <w:bCs/>
          <w:sz w:val="32"/>
          <w:szCs w:val="32"/>
          <w:highlight w:val="none"/>
          <w:lang w:val="zh-CN"/>
        </w:rPr>
        <w:tab/>
      </w:r>
    </w:p>
    <w:p>
      <w:pPr>
        <w:adjustRightInd w:val="0"/>
        <w:snapToGrid w:val="0"/>
        <w:spacing w:line="576" w:lineRule="exact"/>
        <w:ind w:firstLine="640" w:firstLineChars="200"/>
        <w:rPr>
          <w:rFonts w:hint="eastAsia" w:ascii="方正楷体简体" w:hAnsi="方正楷体简体" w:eastAsia="方正楷体简体" w:cs="方正楷体简体"/>
          <w:b w:val="0"/>
          <w:bCs/>
          <w:sz w:val="32"/>
          <w:szCs w:val="32"/>
          <w:highlight w:val="none"/>
          <w:lang w:val="zh-CN"/>
        </w:rPr>
      </w:pPr>
      <w:r>
        <w:rPr>
          <w:rFonts w:hint="eastAsia" w:ascii="方正楷体简体" w:hAnsi="方正楷体简体" w:eastAsia="方正楷体简体" w:cs="方正楷体简体"/>
          <w:b w:val="0"/>
          <w:bCs/>
          <w:sz w:val="32"/>
          <w:szCs w:val="32"/>
          <w:highlight w:val="none"/>
          <w:lang w:val="zh-CN"/>
        </w:rPr>
        <w:t>（一）通用指标绩效分析。</w:t>
      </w:r>
    </w:p>
    <w:p>
      <w:pPr>
        <w:spacing w:line="576" w:lineRule="exact"/>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1.项目决策。</w:t>
      </w:r>
      <w:r>
        <w:rPr>
          <w:rFonts w:hint="eastAsia" w:ascii="仿宋_GB2312" w:hAnsi="仿宋_GB2312" w:eastAsia="仿宋_GB2312" w:cs="仿宋_GB2312"/>
          <w:sz w:val="32"/>
          <w:szCs w:val="32"/>
          <w:highlight w:val="none"/>
          <w:lang w:val="zh-CN"/>
        </w:rPr>
        <w:t>项目决策程序严密。由产业</w:t>
      </w:r>
      <w:r>
        <w:rPr>
          <w:rFonts w:hint="eastAsia" w:ascii="仿宋_GB2312" w:hAnsi="仿宋_GB2312" w:eastAsia="仿宋_GB2312" w:cs="仿宋_GB2312"/>
          <w:sz w:val="32"/>
          <w:szCs w:val="32"/>
          <w:highlight w:val="none"/>
          <w:lang w:val="zh-CN" w:eastAsia="zh-CN"/>
        </w:rPr>
        <w:t>发展</w:t>
      </w:r>
      <w:r>
        <w:rPr>
          <w:rFonts w:hint="eastAsia" w:ascii="仿宋_GB2312" w:hAnsi="仿宋_GB2312" w:eastAsia="仿宋_GB2312" w:cs="仿宋_GB2312"/>
          <w:sz w:val="32"/>
          <w:szCs w:val="32"/>
          <w:highlight w:val="none"/>
          <w:lang w:val="zh-CN"/>
        </w:rPr>
        <w:t>科会同规划指导与资源开发科、艺术科、市场管理科、内部审计与监督科组成的评审小组召开了评审会议，</w:t>
      </w:r>
      <w:r>
        <w:rPr>
          <w:rFonts w:hint="eastAsia" w:ascii="仿宋_GB2312" w:hAnsi="仿宋_GB2312" w:eastAsia="仿宋_GB2312" w:cs="仿宋_GB2312"/>
          <w:sz w:val="32"/>
          <w:szCs w:val="32"/>
          <w:highlight w:val="none"/>
        </w:rPr>
        <w:t>审议通过《支持重点文旅企业发展奖补资金有关事项》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规划论证合理</w:t>
      </w:r>
      <w:r>
        <w:rPr>
          <w:rFonts w:hint="eastAsia" w:ascii="仿宋_GB2312" w:hAnsi="仿宋_GB2312" w:eastAsia="仿宋_GB2312" w:cs="仿宋_GB2312"/>
          <w:sz w:val="32"/>
          <w:szCs w:val="32"/>
          <w:highlight w:val="none"/>
          <w:lang w:eastAsia="zh-CN"/>
        </w:rPr>
        <w:t>。</w:t>
      </w:r>
    </w:p>
    <w:p>
      <w:pPr>
        <w:spacing w:line="576" w:lineRule="exact"/>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2.项目管理。制定了《</w:t>
      </w:r>
      <w:r>
        <w:rPr>
          <w:rFonts w:hint="eastAsia" w:ascii="仿宋_GB2312" w:hAnsi="仿宋_GB2312" w:eastAsia="仿宋_GB2312" w:cs="仿宋_GB2312"/>
          <w:sz w:val="32"/>
          <w:szCs w:val="32"/>
          <w:highlight w:val="none"/>
          <w:lang w:val="en-US" w:eastAsia="zh-CN"/>
        </w:rPr>
        <w:t>关于组织文旅企业申报支持重点文旅企业发展奖补资金的通知</w:t>
      </w:r>
      <w:r>
        <w:rPr>
          <w:rFonts w:hint="eastAsia" w:ascii="仿宋_GB2312" w:hAnsi="仿宋_GB2312" w:eastAsia="仿宋_GB2312" w:cs="仿宋_GB2312"/>
          <w:sz w:val="32"/>
          <w:szCs w:val="32"/>
          <w:highlight w:val="none"/>
        </w:rPr>
        <w:t>》，严格</w:t>
      </w:r>
      <w:r>
        <w:rPr>
          <w:rFonts w:hint="eastAsia" w:ascii="仿宋_GB2312" w:hAnsi="仿宋_GB2312" w:eastAsia="仿宋_GB2312" w:cs="仿宋_GB2312"/>
          <w:sz w:val="32"/>
          <w:szCs w:val="32"/>
          <w:highlight w:val="none"/>
          <w:lang w:eastAsia="zh-CN"/>
        </w:rPr>
        <w:t>按照</w:t>
      </w:r>
      <w:r>
        <w:rPr>
          <w:rFonts w:hint="eastAsia" w:ascii="仿宋_GB2312" w:hAnsi="仿宋_GB2312" w:eastAsia="仿宋_GB2312" w:cs="仿宋_GB2312"/>
          <w:sz w:val="32"/>
          <w:szCs w:val="32"/>
          <w:highlight w:val="none"/>
        </w:rPr>
        <w:t>《促进消费恢复发展十条措施》中</w:t>
      </w:r>
      <w:r>
        <w:rPr>
          <w:rFonts w:hint="eastAsia" w:ascii="仿宋_GB2312" w:hAnsi="仿宋_GB2312" w:eastAsia="仿宋_GB2312" w:cs="仿宋_GB2312"/>
          <w:sz w:val="32"/>
          <w:szCs w:val="32"/>
          <w:highlight w:val="none"/>
          <w:lang w:val="en-US" w:eastAsia="zh-CN"/>
        </w:rPr>
        <w:t>有关</w:t>
      </w:r>
      <w:r>
        <w:rPr>
          <w:rFonts w:hint="eastAsia" w:ascii="仿宋_GB2312" w:hAnsi="仿宋_GB2312" w:eastAsia="仿宋_GB2312" w:cs="仿宋_GB2312"/>
          <w:sz w:val="32"/>
          <w:szCs w:val="32"/>
          <w:highlight w:val="none"/>
        </w:rPr>
        <w:t>规定</w:t>
      </w:r>
      <w:r>
        <w:rPr>
          <w:rFonts w:hint="eastAsia" w:ascii="仿宋_GB2312" w:hAnsi="仿宋_GB2312" w:eastAsia="仿宋_GB2312" w:cs="仿宋_GB2312"/>
          <w:sz w:val="32"/>
          <w:szCs w:val="32"/>
          <w:highlight w:val="none"/>
          <w:lang w:eastAsia="zh-CN"/>
        </w:rPr>
        <w:t>发放补贴，</w:t>
      </w:r>
      <w:r>
        <w:rPr>
          <w:rFonts w:hint="eastAsia" w:ascii="仿宋_GB2312" w:hAnsi="仿宋_GB2312" w:eastAsia="仿宋_GB2312" w:cs="仿宋_GB2312"/>
          <w:sz w:val="32"/>
          <w:szCs w:val="32"/>
          <w:highlight w:val="none"/>
          <w:lang w:val="en-US" w:eastAsia="zh-CN"/>
        </w:rPr>
        <w:t>结合行业实际</w:t>
      </w:r>
      <w:r>
        <w:rPr>
          <w:rFonts w:hint="eastAsia" w:ascii="仿宋_GB2312" w:hAnsi="仿宋_GB2312" w:eastAsia="仿宋_GB2312" w:cs="仿宋_GB2312"/>
          <w:sz w:val="32"/>
          <w:szCs w:val="32"/>
          <w:highlight w:val="none"/>
          <w:lang w:eastAsia="zh-CN"/>
        </w:rPr>
        <w:t>根据企业对GDP指标贡献，实行阶梯式、差异化补助</w:t>
      </w:r>
      <w:r>
        <w:rPr>
          <w:rFonts w:hint="eastAsia" w:ascii="仿宋_GB2312" w:hAnsi="仿宋_GB2312" w:eastAsia="仿宋_GB2312" w:cs="仿宋_GB2312"/>
          <w:sz w:val="32"/>
          <w:szCs w:val="32"/>
          <w:highlight w:val="none"/>
        </w:rPr>
        <w:t>。</w:t>
      </w:r>
    </w:p>
    <w:p>
      <w:pPr>
        <w:spacing w:line="576" w:lineRule="exact"/>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3.项目实施。预计发放补贴资金</w:t>
      </w: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万元。项目资金使用、拨付符合国家财经法规、财务管理制度及有关专项资金管理制度办法规定和审批程序。</w:t>
      </w:r>
    </w:p>
    <w:p>
      <w:pPr>
        <w:spacing w:line="576" w:lineRule="exact"/>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4.项目结果。项目完成预期目标，实施结果与绩效目标相匹配，并在计划时间内完成。</w:t>
      </w:r>
    </w:p>
    <w:p>
      <w:pPr>
        <w:adjustRightInd w:val="0"/>
        <w:snapToGrid w:val="0"/>
        <w:spacing w:line="576" w:lineRule="exact"/>
        <w:ind w:firstLine="640" w:firstLineChars="200"/>
        <w:rPr>
          <w:rFonts w:hint="eastAsia" w:ascii="方正楷体简体" w:hAnsi="方正楷体简体" w:eastAsia="方正楷体简体" w:cs="方正楷体简体"/>
          <w:b w:val="0"/>
          <w:bCs/>
          <w:sz w:val="32"/>
          <w:szCs w:val="32"/>
          <w:highlight w:val="none"/>
          <w:lang w:val="zh-CN"/>
        </w:rPr>
      </w:pPr>
      <w:r>
        <w:rPr>
          <w:rFonts w:hint="eastAsia" w:ascii="方正楷体简体" w:hAnsi="方正楷体简体" w:eastAsia="方正楷体简体" w:cs="方正楷体简体"/>
          <w:b w:val="0"/>
          <w:bCs/>
          <w:sz w:val="32"/>
          <w:szCs w:val="32"/>
          <w:highlight w:val="none"/>
          <w:lang w:val="zh-CN"/>
        </w:rPr>
        <w:t>（二）专用指标绩效分析。</w:t>
      </w:r>
    </w:p>
    <w:p>
      <w:pPr>
        <w:spacing w:line="576" w:lineRule="exact"/>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项目实施与市委市政府重点支持促</w:t>
      </w:r>
      <w:r>
        <w:rPr>
          <w:rFonts w:hint="eastAsia" w:ascii="仿宋_GB2312" w:hAnsi="仿宋_GB2312" w:eastAsia="仿宋_GB2312" w:cs="仿宋_GB2312"/>
          <w:sz w:val="32"/>
          <w:szCs w:val="32"/>
          <w:highlight w:val="none"/>
          <w:lang w:eastAsia="zh-CN"/>
        </w:rPr>
        <w:t>经济发展</w:t>
      </w:r>
      <w:r>
        <w:rPr>
          <w:rFonts w:hint="eastAsia" w:ascii="仿宋_GB2312" w:hAnsi="仿宋_GB2312" w:eastAsia="仿宋_GB2312" w:cs="仿宋_GB2312"/>
          <w:sz w:val="32"/>
          <w:szCs w:val="32"/>
          <w:highlight w:val="none"/>
        </w:rPr>
        <w:t>政策相符。每万元补贴带动3-5倍社会资本投入</w:t>
      </w:r>
      <w:r>
        <w:rPr>
          <w:rFonts w:hint="eastAsia" w:ascii="仿宋_GB2312" w:hAnsi="仿宋_GB2312" w:eastAsia="仿宋_GB2312" w:cs="仿宋_GB2312"/>
          <w:sz w:val="32"/>
          <w:szCs w:val="32"/>
          <w:highlight w:val="none"/>
          <w:lang w:eastAsia="zh-CN"/>
        </w:rPr>
        <w:t>，重点企业每岗位补贴可衍生2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3个关联岗位，拉动就业；促进经济增长</w:t>
      </w:r>
      <w:r>
        <w:rPr>
          <w:rFonts w:hint="eastAsia" w:ascii="仿宋_GB2312" w:hAnsi="仿宋_GB2312" w:eastAsia="仿宋_GB2312" w:cs="仿宋_GB2312"/>
          <w:sz w:val="32"/>
          <w:szCs w:val="32"/>
          <w:highlight w:val="none"/>
        </w:rPr>
        <w:t>。</w:t>
      </w:r>
    </w:p>
    <w:p>
      <w:pPr>
        <w:spacing w:line="576" w:lineRule="exact"/>
        <w:ind w:firstLine="640"/>
        <w:rPr>
          <w:rFonts w:hint="eastAsia" w:ascii="仿宋_GB2312" w:hAnsi="仿宋_GB2312" w:eastAsia="仿宋_GB2312" w:cs="仿宋_GB2312"/>
          <w:sz w:val="32"/>
          <w:szCs w:val="32"/>
          <w:highlight w:val="none"/>
          <w:lang w:eastAsia="zh-CN"/>
        </w:rPr>
      </w:pPr>
      <w:r>
        <w:rPr>
          <w:rFonts w:hint="eastAsia" w:ascii="方正楷体简体" w:hAnsi="方正楷体简体" w:eastAsia="方正楷体简体" w:cs="方正楷体简体"/>
          <w:b w:val="0"/>
          <w:bCs/>
          <w:sz w:val="32"/>
          <w:szCs w:val="32"/>
          <w:highlight w:val="none"/>
          <w:lang w:val="zh-CN"/>
        </w:rPr>
        <w:t>（三）个性指标绩效分析。</w:t>
      </w:r>
      <w:r>
        <w:rPr>
          <w:rFonts w:hint="eastAsia" w:ascii="仿宋_GB2312" w:hAnsi="仿宋_GB2312" w:eastAsia="仿宋_GB2312" w:cs="仿宋_GB2312"/>
          <w:sz w:val="32"/>
          <w:szCs w:val="32"/>
          <w:highlight w:val="none"/>
        </w:rPr>
        <w:t>一是</w:t>
      </w:r>
      <w:r>
        <w:rPr>
          <w:rFonts w:hint="eastAsia" w:ascii="仿宋_GB2312" w:hAnsi="仿宋_GB2312" w:eastAsia="仿宋_GB2312" w:cs="仿宋_GB2312"/>
          <w:sz w:val="32"/>
          <w:szCs w:val="32"/>
          <w:highlight w:val="none"/>
          <w:lang w:eastAsia="zh-CN"/>
        </w:rPr>
        <w:t>企业获得了真金白银的资金支持，缓解资金压力，促进企业</w:t>
      </w:r>
      <w:r>
        <w:rPr>
          <w:rFonts w:hint="eastAsia" w:ascii="仿宋_GB2312" w:hAnsi="仿宋_GB2312" w:eastAsia="仿宋_GB2312" w:cs="仿宋_GB2312"/>
          <w:sz w:val="32"/>
          <w:szCs w:val="32"/>
          <w:highlight w:val="none"/>
          <w:lang w:val="en-US" w:eastAsia="zh-CN"/>
        </w:rPr>
        <w:t>长效发展。</w:t>
      </w:r>
    </w:p>
    <w:p>
      <w:pPr>
        <w:spacing w:line="576" w:lineRule="exact"/>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二是</w:t>
      </w:r>
      <w:r>
        <w:rPr>
          <w:rFonts w:hint="eastAsia" w:ascii="仿宋_GB2312" w:hAnsi="仿宋_GB2312" w:eastAsia="仿宋_GB2312" w:cs="仿宋_GB2312"/>
          <w:sz w:val="32"/>
          <w:szCs w:val="32"/>
          <w:highlight w:val="none"/>
          <w:lang w:eastAsia="zh-CN"/>
        </w:rPr>
        <w:t>倒逼企业升级，产生竞争力</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为了达到补贴标准，企业自发创新升级，提升</w:t>
      </w:r>
      <w:r>
        <w:rPr>
          <w:rFonts w:hint="eastAsia" w:ascii="仿宋_GB2312" w:hAnsi="仿宋_GB2312" w:eastAsia="仿宋_GB2312" w:cs="仿宋_GB2312"/>
          <w:sz w:val="32"/>
          <w:szCs w:val="32"/>
          <w:highlight w:val="none"/>
          <w:lang w:val="en-US" w:eastAsia="zh-CN"/>
        </w:rPr>
        <w:t>市场</w:t>
      </w:r>
      <w:r>
        <w:rPr>
          <w:rFonts w:hint="eastAsia" w:ascii="仿宋_GB2312" w:hAnsi="仿宋_GB2312" w:eastAsia="仿宋_GB2312" w:cs="仿宋_GB2312"/>
          <w:sz w:val="32"/>
          <w:szCs w:val="32"/>
          <w:highlight w:val="none"/>
          <w:lang w:eastAsia="zh-CN"/>
        </w:rPr>
        <w:t>竞争力。</w:t>
      </w:r>
    </w:p>
    <w:p>
      <w:pPr>
        <w:spacing w:line="576" w:lineRule="exact"/>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三是维持文旅产业链稳定发展。</w:t>
      </w:r>
      <w:r>
        <w:rPr>
          <w:rFonts w:hint="eastAsia" w:ascii="仿宋_GB2312" w:hAnsi="仿宋_GB2312" w:eastAsia="仿宋_GB2312" w:cs="仿宋_GB2312"/>
          <w:sz w:val="32"/>
          <w:szCs w:val="32"/>
          <w:highlight w:val="none"/>
          <w:lang w:eastAsia="zh-CN"/>
        </w:rPr>
        <w:t>通过这项政策为文旅企业发展指明行业升级方向，避免盲目发展。同时也促进品牌培育，打造具有区域特色的文旅龙头企业。</w:t>
      </w:r>
    </w:p>
    <w:p>
      <w:pPr>
        <w:pStyle w:val="2"/>
        <w:tabs>
          <w:tab w:val="left" w:pos="2160"/>
        </w:tabs>
        <w:spacing w:line="576" w:lineRule="exact"/>
        <w:ind w:firstLine="642" w:firstLineChars="200"/>
        <w:rPr>
          <w:rFonts w:hint="eastAsia" w:ascii="黑体" w:hAnsi="宋体" w:eastAsia="黑体" w:cs="Times New Roman"/>
          <w:b/>
          <w:bCs/>
          <w:kern w:val="2"/>
          <w:sz w:val="32"/>
          <w:szCs w:val="32"/>
          <w:highlight w:val="none"/>
          <w:lang w:val="zh-CN" w:eastAsia="zh-CN" w:bidi="ar-SA"/>
        </w:rPr>
      </w:pPr>
      <w:r>
        <w:rPr>
          <w:rFonts w:hint="eastAsia" w:ascii="黑体" w:hAnsi="宋体" w:eastAsia="黑体" w:cs="Times New Roman"/>
          <w:b/>
          <w:bCs/>
          <w:kern w:val="2"/>
          <w:sz w:val="32"/>
          <w:szCs w:val="32"/>
          <w:highlight w:val="none"/>
          <w:lang w:val="zh-CN" w:eastAsia="zh-CN" w:bidi="ar-SA"/>
        </w:rPr>
        <w:t>四、评价结论</w:t>
      </w:r>
    </w:p>
    <w:p>
      <w:pPr>
        <w:pStyle w:val="2"/>
        <w:tabs>
          <w:tab w:val="left" w:pos="2160"/>
        </w:tabs>
        <w:spacing w:line="576" w:lineRule="exact"/>
        <w:ind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本项目绩效自评得分9</w:t>
      </w:r>
      <w:r>
        <w:rPr>
          <w:rFonts w:hint="eastAsia" w:ascii="仿宋_GB2312" w:hAnsi="仿宋_GB2312" w:eastAsia="仿宋_GB2312" w:cs="仿宋_GB2312"/>
          <w:kern w:val="2"/>
          <w:sz w:val="32"/>
          <w:szCs w:val="32"/>
          <w:highlight w:val="none"/>
          <w:lang w:val="en" w:eastAsia="zh-CN" w:bidi="ar-SA"/>
        </w:rPr>
        <w:t>0</w:t>
      </w:r>
      <w:r>
        <w:rPr>
          <w:rFonts w:hint="eastAsia" w:ascii="仿宋_GB2312" w:hAnsi="仿宋_GB2312" w:eastAsia="仿宋_GB2312" w:cs="仿宋_GB2312"/>
          <w:kern w:val="2"/>
          <w:sz w:val="32"/>
          <w:szCs w:val="32"/>
          <w:highlight w:val="none"/>
          <w:lang w:val="en-US" w:eastAsia="zh-CN" w:bidi="ar-SA"/>
        </w:rPr>
        <w:t>分。</w:t>
      </w:r>
    </w:p>
    <w:p>
      <w:pPr>
        <w:pStyle w:val="2"/>
        <w:tabs>
          <w:tab w:val="left" w:pos="2160"/>
        </w:tabs>
        <w:spacing w:line="576" w:lineRule="exact"/>
        <w:ind w:firstLine="642" w:firstLineChars="200"/>
        <w:rPr>
          <w:rFonts w:hint="eastAsia" w:ascii="黑体" w:hAnsi="宋体" w:eastAsia="黑体" w:cs="Times New Roman"/>
          <w:b/>
          <w:bCs/>
          <w:kern w:val="2"/>
          <w:sz w:val="32"/>
          <w:szCs w:val="32"/>
          <w:highlight w:val="none"/>
          <w:lang w:val="zh-CN" w:eastAsia="zh-CN" w:bidi="ar-SA"/>
        </w:rPr>
      </w:pPr>
      <w:r>
        <w:rPr>
          <w:rFonts w:hint="eastAsia" w:ascii="黑体" w:hAnsi="宋体" w:eastAsia="黑体" w:cs="Times New Roman"/>
          <w:b/>
          <w:bCs/>
          <w:kern w:val="2"/>
          <w:sz w:val="32"/>
          <w:szCs w:val="32"/>
          <w:highlight w:val="none"/>
          <w:lang w:val="zh-CN" w:eastAsia="zh-CN" w:bidi="ar-SA"/>
        </w:rPr>
        <w:t>五、存在主要问题</w:t>
      </w:r>
    </w:p>
    <w:p>
      <w:pPr>
        <w:pStyle w:val="2"/>
        <w:tabs>
          <w:tab w:val="left" w:pos="2160"/>
        </w:tabs>
        <w:spacing w:line="576" w:lineRule="exact"/>
        <w:ind w:firstLine="640" w:firstLineChars="200"/>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由于重点企业的认定标准较高，很多新兴但快速发展的企业被排除在外；补贴的资金可能被挪作他用等问题也时有出现。</w:t>
      </w:r>
    </w:p>
    <w:p>
      <w:pPr>
        <w:pStyle w:val="2"/>
        <w:tabs>
          <w:tab w:val="left" w:pos="2160"/>
        </w:tabs>
        <w:spacing w:line="576" w:lineRule="exact"/>
        <w:ind w:firstLine="642" w:firstLineChars="200"/>
        <w:rPr>
          <w:rFonts w:hint="eastAsia" w:ascii="黑体" w:hAnsi="宋体" w:eastAsia="黑体" w:cs="Times New Roman"/>
          <w:b/>
          <w:bCs/>
          <w:kern w:val="2"/>
          <w:sz w:val="32"/>
          <w:szCs w:val="32"/>
          <w:highlight w:val="none"/>
          <w:lang w:val="zh-CN" w:eastAsia="zh-CN" w:bidi="ar-SA"/>
        </w:rPr>
      </w:pPr>
      <w:r>
        <w:rPr>
          <w:rFonts w:hint="eastAsia" w:ascii="黑体" w:hAnsi="宋体" w:eastAsia="黑体" w:cs="Times New Roman"/>
          <w:b/>
          <w:bCs/>
          <w:kern w:val="2"/>
          <w:sz w:val="32"/>
          <w:szCs w:val="32"/>
          <w:highlight w:val="none"/>
          <w:lang w:val="zh-CN" w:eastAsia="zh-CN" w:bidi="ar-SA"/>
        </w:rPr>
        <w:t>六、改进建议</w:t>
      </w:r>
    </w:p>
    <w:p>
      <w:pPr>
        <w:spacing w:line="576" w:lineRule="exact"/>
        <w:ind w:firstLine="640"/>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一是建立多种标准的评估模型。对不同类型的企业进行不同标准的认定，但需注意公平性。</w:t>
      </w:r>
    </w:p>
    <w:p>
      <w:pPr>
        <w:spacing w:line="576" w:lineRule="exact"/>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zh-CN"/>
        </w:rPr>
        <w:t>二是设置负面清单。在项目实施过程中，若发现企业将补贴用作其他途径，则将该企业拉入负面清单，不再纳入下一次的补贴名单。</w:t>
      </w:r>
    </w:p>
    <w:p>
      <w:pPr>
        <w:snapToGrid w:val="0"/>
        <w:spacing w:line="576" w:lineRule="exact"/>
        <w:ind w:firstLine="640" w:firstLineChars="200"/>
        <w:rPr>
          <w:rFonts w:hint="eastAsia" w:ascii="仿宋_GB2312" w:hAnsi="仿宋_GB2312" w:eastAsia="仿宋_GB2312" w:cs="仿宋_GB2312"/>
          <w:color w:val="000000"/>
          <w:kern w:val="0"/>
          <w:sz w:val="32"/>
          <w:szCs w:val="32"/>
          <w:highlight w:val="none"/>
          <w:lang w:val="zh-CN"/>
        </w:rPr>
      </w:pPr>
    </w:p>
    <w:p>
      <w:pPr>
        <w:spacing w:line="576" w:lineRule="exact"/>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附表：</w:t>
      </w:r>
      <w:r>
        <w:rPr>
          <w:rFonts w:hint="eastAsia" w:ascii="仿宋_GB2312" w:hAnsi="仿宋_GB2312" w:eastAsia="仿宋_GB2312" w:cs="仿宋_GB2312"/>
          <w:sz w:val="32"/>
          <w:szCs w:val="32"/>
          <w:highlight w:val="none"/>
          <w:lang w:val="en-US" w:eastAsia="zh-CN"/>
        </w:rPr>
        <w:t>专项预算项目绩效目标完成情况自评表</w:t>
      </w:r>
    </w:p>
    <w:p>
      <w:pPr>
        <w:pStyle w:val="17"/>
        <w:spacing w:after="0" w:line="578" w:lineRule="exact"/>
        <w:ind w:leftChars="0" w:firstLine="0" w:firstLineChars="0"/>
        <w:rPr>
          <w:rFonts w:ascii="黑体" w:hAnsi="黑体" w:eastAsia="黑体" w:cs="黑体"/>
          <w:sz w:val="24"/>
          <w:szCs w:val="24"/>
          <w:highlight w:val="none"/>
        </w:rPr>
      </w:pPr>
    </w:p>
    <w:p>
      <w:pPr>
        <w:rPr>
          <w:highlight w:val="none"/>
        </w:rPr>
      </w:pPr>
    </w:p>
    <w:p>
      <w:pPr>
        <w:pStyle w:val="2"/>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highlight w:val="none"/>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tbl>
      <w:tblPr>
        <w:tblStyle w:val="21"/>
        <w:tblW w:w="10233" w:type="dxa"/>
        <w:jc w:val="center"/>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tblPrEx>
          <w:tblCellMar>
            <w:top w:w="15" w:type="dxa"/>
            <w:left w:w="15" w:type="dxa"/>
            <w:bottom w:w="15" w:type="dxa"/>
            <w:right w:w="15" w:type="dxa"/>
          </w:tblCellMar>
        </w:tblPrEx>
        <w:trPr>
          <w:trHeight w:val="576" w:hRule="atLeast"/>
          <w:jc w:val="center"/>
        </w:trPr>
        <w:tc>
          <w:tcPr>
            <w:tcW w:w="10233" w:type="dxa"/>
            <w:gridSpan w:val="9"/>
            <w:noWrap w:val="0"/>
            <w:vAlign w:val="center"/>
          </w:tcPr>
          <w:p>
            <w:pPr>
              <w:widowControl/>
              <w:spacing w:line="240" w:lineRule="auto"/>
              <w:jc w:val="center"/>
              <w:textAlignment w:val="center"/>
              <w:rPr>
                <w:rFonts w:ascii="黑体" w:hAnsi="宋体" w:eastAsia="黑体" w:cs="黑体"/>
                <w:color w:val="000000"/>
                <w:sz w:val="30"/>
                <w:szCs w:val="30"/>
                <w:highlight w:val="none"/>
              </w:rPr>
            </w:pPr>
            <w:r>
              <w:rPr>
                <w:rFonts w:hint="eastAsia" w:ascii="方正小标宋简体" w:hAnsi="方正小标宋简体" w:eastAsia="方正小标宋简体" w:cs="方正小标宋简体"/>
                <w:color w:val="000000"/>
                <w:kern w:val="0"/>
                <w:sz w:val="40"/>
                <w:szCs w:val="40"/>
                <w:highlight w:val="none"/>
                <w:lang w:bidi="ar"/>
              </w:rPr>
              <w:t>专项预算项目绩效目标完成情况自评表</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项目名称</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重点文旅企业发展奖补项目</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预算单位</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广元市文化广播电视和旅游局</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项目类型</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left"/>
              <w:rPr>
                <w:rFonts w:hint="eastAsia"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bidi="ar"/>
              </w:rPr>
              <w:t>中长期规划（名称、文号，仅指</w:t>
            </w:r>
          </w:p>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常年项目）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《广元市2023消费促进年工作实施方案》（广府办函〔2023〕60号</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资金管理办法（名称、文号）</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left"/>
              <w:rPr>
                <w:rFonts w:hint="eastAsia"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Wingdings 2" w:hAnsi="Wingdings 2" w:eastAsia="Wingdings 2" w:cs="Wingdings 2"/>
                <w:color w:val="000000"/>
                <w:sz w:val="24"/>
                <w:szCs w:val="24"/>
                <w:highlight w:val="none"/>
              </w:rPr>
            </w:pPr>
            <w:r>
              <w:rPr>
                <w:rFonts w:ascii="Wingdings 2" w:hAnsi="Wingdings 2" w:eastAsia="Wingdings 2" w:cs="Wingdings 2"/>
                <w:color w:val="000000"/>
                <w:kern w:val="0"/>
                <w:sz w:val="24"/>
                <w:szCs w:val="24"/>
                <w:highlight w:val="none"/>
                <w:lang w:bidi="ar"/>
              </w:rPr>
              <w:t></w:t>
            </w:r>
            <w:r>
              <w:rPr>
                <w:rFonts w:ascii="宋体" w:hAnsi="宋体" w:eastAsia="宋体" w:cs="宋体"/>
                <w:color w:val="000000"/>
                <w:kern w:val="0"/>
                <w:sz w:val="24"/>
                <w:szCs w:val="24"/>
                <w:highlight w:val="none"/>
                <w:lang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Wingdings 2" w:hAnsi="Wingdings 2" w:eastAsia="Wingdings 2" w:cs="Wingdings 2"/>
                <w:color w:val="000000"/>
                <w:sz w:val="24"/>
                <w:szCs w:val="24"/>
                <w:highlight w:val="none"/>
              </w:rPr>
            </w:pPr>
            <w:r>
              <w:rPr>
                <w:rFonts w:ascii="Wingdings 2" w:hAnsi="Wingdings 2" w:eastAsia="Wingdings 2" w:cs="Wingdings 2"/>
                <w:color w:val="000000"/>
                <w:kern w:val="0"/>
                <w:sz w:val="24"/>
                <w:szCs w:val="24"/>
                <w:highlight w:val="none"/>
                <w:lang w:bidi="ar"/>
              </w:rPr>
              <w:sym w:font="Wingdings 2" w:char="0052"/>
            </w:r>
            <w:r>
              <w:rPr>
                <w:rFonts w:ascii="Wingdings 2" w:hAnsi="Wingdings 2" w:eastAsia="Wingdings 2" w:cs="Wingdings 2"/>
                <w:color w:val="000000"/>
                <w:kern w:val="0"/>
                <w:sz w:val="24"/>
                <w:szCs w:val="24"/>
                <w:highlight w:val="none"/>
                <w:lang w:bidi="ar"/>
              </w:rPr>
              <w:t>项目法</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Wingdings 2" w:hAnsi="Wingdings 2" w:eastAsia="Wingdings 2" w:cs="Wingdings 2"/>
                <w:color w:val="000000"/>
                <w:sz w:val="24"/>
                <w:szCs w:val="24"/>
                <w:highlight w:val="none"/>
              </w:rPr>
            </w:pPr>
            <w:r>
              <w:rPr>
                <w:rFonts w:ascii="Wingdings 2" w:hAnsi="Wingdings 2" w:eastAsia="Wingdings 2" w:cs="Wingdings 2"/>
                <w:color w:val="000000"/>
                <w:kern w:val="0"/>
                <w:sz w:val="24"/>
                <w:szCs w:val="24"/>
                <w:highlight w:val="none"/>
                <w:lang w:bidi="ar"/>
              </w:rPr>
              <w:t></w:t>
            </w:r>
            <w:r>
              <w:rPr>
                <w:rFonts w:ascii="宋体" w:hAnsi="宋体" w:eastAsia="宋体" w:cs="宋体"/>
                <w:color w:val="000000"/>
                <w:kern w:val="0"/>
                <w:sz w:val="24"/>
                <w:szCs w:val="24"/>
                <w:highlight w:val="none"/>
                <w:lang w:bidi="ar"/>
              </w:rPr>
              <w:t>据实据效</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Wingdings 2" w:hAnsi="Wingdings 2" w:eastAsia="Wingdings 2" w:cs="Wingdings 2"/>
                <w:color w:val="000000"/>
                <w:sz w:val="24"/>
                <w:szCs w:val="24"/>
                <w:highlight w:val="none"/>
              </w:rPr>
            </w:pPr>
            <w:r>
              <w:rPr>
                <w:rFonts w:ascii="Wingdings 2" w:hAnsi="Wingdings 2" w:eastAsia="Wingdings 2" w:cs="Wingdings 2"/>
                <w:color w:val="000000"/>
                <w:kern w:val="0"/>
                <w:sz w:val="24"/>
                <w:szCs w:val="24"/>
                <w:highlight w:val="none"/>
                <w:lang w:bidi="ar"/>
              </w:rPr>
              <w:t></w:t>
            </w:r>
            <w:r>
              <w:rPr>
                <w:rFonts w:ascii="宋体" w:hAnsi="宋体" w:eastAsia="宋体" w:cs="宋体"/>
                <w:color w:val="000000"/>
                <w:kern w:val="0"/>
                <w:sz w:val="24"/>
                <w:szCs w:val="24"/>
                <w:highlight w:val="none"/>
                <w:lang w:bidi="ar"/>
              </w:rPr>
              <w:t>因素法与项目法相结合</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立项依据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关于印发《促进消费恢复发展十条措施》的函</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广商函〔2023〕37号</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使用范围</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重点文旅企业发展奖补</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申报（补助）条件</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left"/>
              <w:rPr>
                <w:rFonts w:hint="eastAsia"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项目起止年限</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2023.</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p>
        </w:tc>
      </w:tr>
      <w:tr>
        <w:tblPrEx>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bidi="ar"/>
              </w:rPr>
              <w:t>项目资金</w:t>
            </w:r>
          </w:p>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 xml:space="preserve">  年度资金总额：</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12</w:t>
            </w:r>
          </w:p>
        </w:tc>
      </w:tr>
      <w:tr>
        <w:tblPrEx>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 xml:space="preserve">     </w:t>
            </w:r>
            <w:r>
              <w:rPr>
                <w:rFonts w:hint="eastAsia" w:ascii="宋体" w:hAnsi="宋体" w:eastAsia="宋体" w:cs="宋体"/>
                <w:color w:val="000000"/>
                <w:kern w:val="0"/>
                <w:sz w:val="24"/>
                <w:szCs w:val="24"/>
                <w:highlight w:val="none"/>
                <w:lang w:bidi="ar"/>
              </w:rPr>
              <w:t xml:space="preserve"> </w:t>
            </w:r>
            <w:r>
              <w:rPr>
                <w:rFonts w:ascii="宋体" w:hAnsi="宋体" w:eastAsia="宋体" w:cs="宋体"/>
                <w:color w:val="000000"/>
                <w:kern w:val="0"/>
                <w:sz w:val="24"/>
                <w:szCs w:val="24"/>
                <w:highlight w:val="none"/>
                <w:lang w:bidi="ar"/>
              </w:rPr>
              <w:t>其中：财政拨款</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12</w:t>
            </w:r>
          </w:p>
        </w:tc>
      </w:tr>
      <w:tr>
        <w:tblPrEx>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 xml:space="preserve">            其他资金</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0</w:t>
            </w: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总体 目标</w:t>
            </w: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年度目标</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通过对重点文旅企业的补贴，促进</w:t>
            </w:r>
            <w:r>
              <w:rPr>
                <w:rFonts w:hint="eastAsia" w:ascii="宋体" w:hAnsi="宋体" w:eastAsia="宋体" w:cs="宋体"/>
                <w:color w:val="000000"/>
                <w:sz w:val="24"/>
                <w:szCs w:val="24"/>
                <w:highlight w:val="none"/>
              </w:rPr>
              <w:t>进一步恢复和扩大消费，充分挖掘消费热点和增长点，进一步提振消费信心、释放居民消费潜力，推动消费持续回暖</w:t>
            </w:r>
            <w:r>
              <w:rPr>
                <w:rFonts w:hint="eastAsia" w:ascii="宋体" w:hAnsi="宋体" w:eastAsia="宋体" w:cs="宋体"/>
                <w:color w:val="000000"/>
                <w:sz w:val="24"/>
                <w:szCs w:val="24"/>
                <w:highlight w:val="none"/>
                <w:lang w:eastAsia="zh-CN"/>
              </w:rPr>
              <w:t>。</w:t>
            </w: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auto"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度量单位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权重</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实际完成指标值</w:t>
            </w:r>
          </w:p>
        </w:tc>
      </w:tr>
      <w:tr>
        <w:tblPrEx>
          <w:tblCellMar>
            <w:top w:w="15" w:type="dxa"/>
            <w:left w:w="15" w:type="dxa"/>
            <w:bottom w:w="15" w:type="dxa"/>
            <w:right w:w="15" w:type="dxa"/>
          </w:tblCellMar>
        </w:tblPrEx>
        <w:trPr>
          <w:trHeight w:val="804" w:hRule="atLeast"/>
          <w:jc w:val="center"/>
        </w:trPr>
        <w:tc>
          <w:tcPr>
            <w:tcW w:w="652" w:type="dxa"/>
            <w:vMerge w:val="continue"/>
            <w:tcBorders>
              <w:top w:val="single" w:color="auto" w:sz="4" w:space="0"/>
              <w:left w:val="single" w:color="000000" w:sz="4" w:space="0"/>
              <w:bottom w:val="single" w:color="auto" w:sz="4" w:space="0"/>
            </w:tcBorders>
            <w:noWrap w:val="0"/>
            <w:vAlign w:val="center"/>
          </w:tcPr>
          <w:p>
            <w:pPr>
              <w:spacing w:line="240" w:lineRule="auto"/>
              <w:jc w:val="center"/>
              <w:rPr>
                <w:rFonts w:hint="eastAsia" w:ascii="宋体" w:hAnsi="宋体" w:eastAsia="宋体" w:cs="宋体"/>
                <w:color w:val="000000"/>
                <w:sz w:val="24"/>
                <w:szCs w:val="24"/>
                <w:highlight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产出指标</w:t>
            </w:r>
          </w:p>
        </w:tc>
        <w:tc>
          <w:tcPr>
            <w:tcW w:w="1250" w:type="dxa"/>
            <w:tcBorders>
              <w:top w:val="single" w:color="000000" w:sz="4" w:space="0"/>
              <w:left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数量指标</w:t>
            </w:r>
          </w:p>
        </w:tc>
        <w:tc>
          <w:tcPr>
            <w:tcW w:w="1312" w:type="dxa"/>
            <w:tcBorders>
              <w:top w:val="single" w:color="000000" w:sz="4" w:space="0"/>
              <w:left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申报企业数量</w:t>
            </w:r>
          </w:p>
        </w:tc>
        <w:tc>
          <w:tcPr>
            <w:tcW w:w="1127" w:type="dxa"/>
            <w:tcBorders>
              <w:top w:val="single" w:color="000000" w:sz="4" w:space="0"/>
              <w:left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w:t>
            </w:r>
          </w:p>
        </w:tc>
        <w:tc>
          <w:tcPr>
            <w:tcW w:w="971" w:type="dxa"/>
            <w:tcBorders>
              <w:top w:val="single" w:color="000000" w:sz="4" w:space="0"/>
              <w:left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4</w:t>
            </w:r>
          </w:p>
        </w:tc>
        <w:tc>
          <w:tcPr>
            <w:tcW w:w="1061" w:type="dxa"/>
            <w:tcBorders>
              <w:top w:val="single" w:color="000000" w:sz="4" w:space="0"/>
              <w:left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个</w:t>
            </w:r>
          </w:p>
        </w:tc>
        <w:tc>
          <w:tcPr>
            <w:tcW w:w="938" w:type="dxa"/>
            <w:tcBorders>
              <w:top w:val="single" w:color="000000" w:sz="4" w:space="0"/>
              <w:left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val="en-US" w:eastAsia="zh-CN" w:bidi="ar"/>
              </w:rPr>
            </w:pPr>
            <w:r>
              <w:rPr>
                <w:rFonts w:ascii="宋体" w:hAnsi="宋体" w:eastAsia="宋体" w:cs="宋体"/>
                <w:color w:val="000000"/>
                <w:kern w:val="0"/>
                <w:sz w:val="24"/>
                <w:szCs w:val="24"/>
                <w:highlight w:val="none"/>
                <w:lang w:val="en-US" w:eastAsia="zh-CN" w:bidi="ar"/>
              </w:rPr>
              <w:t>10</w:t>
            </w:r>
          </w:p>
        </w:tc>
        <w:tc>
          <w:tcPr>
            <w:tcW w:w="1841" w:type="dxa"/>
            <w:tcBorders>
              <w:top w:val="single" w:color="000000" w:sz="4" w:space="0"/>
              <w:left w:val="single" w:color="000000" w:sz="4" w:space="0"/>
              <w:right w:val="single" w:color="000000" w:sz="4" w:space="0"/>
            </w:tcBorders>
            <w:noWrap w:val="0"/>
            <w:vAlign w:val="center"/>
          </w:tcPr>
          <w:p>
            <w:pPr>
              <w:spacing w:line="240" w:lineRule="auto"/>
              <w:jc w:val="center"/>
              <w:rPr>
                <w:rFonts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90" w:hRule="atLeast"/>
          <w:jc w:val="center"/>
        </w:trPr>
        <w:tc>
          <w:tcPr>
            <w:tcW w:w="652" w:type="dxa"/>
            <w:vMerge w:val="continue"/>
            <w:tcBorders>
              <w:top w:val="single" w:color="auto" w:sz="4" w:space="0"/>
              <w:left w:val="single" w:color="000000" w:sz="4" w:space="0"/>
              <w:bottom w:val="single" w:color="auto" w:sz="4" w:space="0"/>
            </w:tcBorders>
            <w:noWrap w:val="0"/>
            <w:vAlign w:val="center"/>
          </w:tcPr>
          <w:p>
            <w:pPr>
              <w:spacing w:line="240" w:lineRule="auto"/>
              <w:jc w:val="center"/>
              <w:rPr>
                <w:rFonts w:hint="eastAsia" w:ascii="宋体" w:hAnsi="宋体" w:eastAsia="宋体" w:cs="宋体"/>
                <w:color w:val="000000"/>
                <w:sz w:val="24"/>
                <w:szCs w:val="24"/>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4"/>
                <w:szCs w:val="24"/>
                <w:highlight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严格按照《促进消费恢复发展十条措施》规定审核</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100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20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1506" w:hRule="atLeast"/>
          <w:jc w:val="center"/>
        </w:trPr>
        <w:tc>
          <w:tcPr>
            <w:tcW w:w="652" w:type="dxa"/>
            <w:vMerge w:val="continue"/>
            <w:tcBorders>
              <w:top w:val="single" w:color="auto" w:sz="4" w:space="0"/>
              <w:left w:val="single" w:color="000000" w:sz="4" w:space="0"/>
              <w:bottom w:val="single" w:color="auto" w:sz="4" w:space="0"/>
            </w:tcBorders>
            <w:noWrap w:val="0"/>
            <w:vAlign w:val="center"/>
          </w:tcPr>
          <w:p>
            <w:pPr>
              <w:spacing w:line="240" w:lineRule="auto"/>
              <w:jc w:val="center"/>
              <w:rPr>
                <w:rFonts w:hint="eastAsia" w:ascii="宋体" w:hAnsi="宋体" w:eastAsia="宋体" w:cs="宋体"/>
                <w:color w:val="000000"/>
                <w:sz w:val="24"/>
                <w:szCs w:val="24"/>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4"/>
                <w:szCs w:val="24"/>
                <w:highlight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奖补资金发放至企业账户时间</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6</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月</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 xml:space="preserve"> </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1905" w:hRule="atLeast"/>
          <w:jc w:val="center"/>
        </w:trPr>
        <w:tc>
          <w:tcPr>
            <w:tcW w:w="652" w:type="dxa"/>
            <w:vMerge w:val="continue"/>
            <w:tcBorders>
              <w:top w:val="single" w:color="auto" w:sz="4" w:space="0"/>
              <w:left w:val="single" w:color="000000" w:sz="4" w:space="0"/>
              <w:bottom w:val="single" w:color="auto" w:sz="4" w:space="0"/>
            </w:tcBorders>
            <w:noWrap w:val="0"/>
            <w:vAlign w:val="center"/>
          </w:tcPr>
          <w:p>
            <w:pPr>
              <w:spacing w:line="240" w:lineRule="auto"/>
              <w:jc w:val="center"/>
              <w:rPr>
                <w:rFonts w:hint="eastAsia" w:ascii="宋体" w:hAnsi="宋体" w:eastAsia="宋体" w:cs="宋体"/>
                <w:color w:val="000000"/>
                <w:sz w:val="24"/>
                <w:szCs w:val="24"/>
                <w:highlight w:val="none"/>
              </w:rPr>
            </w:pPr>
          </w:p>
        </w:tc>
        <w:tc>
          <w:tcPr>
            <w:tcW w:w="1081" w:type="dxa"/>
            <w:tcBorders>
              <w:top w:val="single" w:color="000000" w:sz="4" w:space="0"/>
              <w:left w:val="single" w:color="000000" w:sz="4" w:space="0"/>
              <w:bottom w:val="single" w:color="auto" w:sz="4" w:space="0"/>
              <w:right w:val="single" w:color="000000" w:sz="4" w:space="0"/>
            </w:tcBorders>
            <w:noWrap w:val="0"/>
            <w:vAlign w:val="center"/>
          </w:tcPr>
          <w:p>
            <w:pPr>
              <w:spacing w:line="240" w:lineRule="auto"/>
              <w:jc w:val="center"/>
              <w:rPr>
                <w:rFonts w:ascii="宋体" w:hAnsi="宋体" w:eastAsia="宋体" w:cs="宋体"/>
                <w:color w:val="000000"/>
                <w:kern w:val="0"/>
                <w:sz w:val="24"/>
                <w:szCs w:val="24"/>
                <w:highlight w:val="none"/>
                <w:lang w:bidi="ar"/>
              </w:rPr>
            </w:pPr>
          </w:p>
          <w:p>
            <w:pPr>
              <w:spacing w:line="240" w:lineRule="auto"/>
              <w:jc w:val="center"/>
              <w:rPr>
                <w:rFonts w:ascii="宋体" w:hAnsi="宋体" w:eastAsia="宋体" w:cs="宋体"/>
                <w:color w:val="000000"/>
                <w:kern w:val="0"/>
                <w:sz w:val="24"/>
                <w:szCs w:val="24"/>
                <w:highlight w:val="none"/>
                <w:lang w:bidi="ar"/>
              </w:rPr>
            </w:pPr>
          </w:p>
          <w:p>
            <w:pPr>
              <w:spacing w:line="240" w:lineRule="auto"/>
              <w:jc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bidi="ar"/>
              </w:rPr>
              <w:t>效益指标</w:t>
            </w:r>
          </w:p>
          <w:p>
            <w:pPr>
              <w:spacing w:line="240" w:lineRule="auto"/>
              <w:jc w:val="center"/>
              <w:rPr>
                <w:rFonts w:ascii="宋体" w:hAnsi="宋体" w:eastAsia="宋体" w:cs="宋体"/>
                <w:color w:val="000000"/>
                <w:kern w:val="0"/>
                <w:sz w:val="24"/>
                <w:szCs w:val="24"/>
                <w:highlight w:val="none"/>
                <w:lang w:bidi="ar"/>
              </w:rPr>
            </w:pPr>
          </w:p>
          <w:p>
            <w:pPr>
              <w:spacing w:line="240" w:lineRule="auto"/>
              <w:jc w:val="center"/>
              <w:rPr>
                <w:rFonts w:ascii="宋体" w:hAnsi="宋体" w:eastAsia="宋体" w:cs="宋体"/>
                <w:color w:val="000000"/>
                <w:sz w:val="24"/>
                <w:szCs w:val="24"/>
                <w:highlight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bidi="ar"/>
              </w:rPr>
              <w:t>经济效益</w:t>
            </w:r>
          </w:p>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指标</w:t>
            </w:r>
          </w:p>
        </w:tc>
        <w:tc>
          <w:tcPr>
            <w:tcW w:w="1312" w:type="dxa"/>
            <w:tcBorders>
              <w:top w:val="single" w:color="000000"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是否帮助企业减轻部分经营压力，提高企业经济效益</w:t>
            </w:r>
          </w:p>
        </w:tc>
        <w:tc>
          <w:tcPr>
            <w:tcW w:w="1127" w:type="dxa"/>
            <w:tcBorders>
              <w:top w:val="single" w:color="000000"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定性</w:t>
            </w:r>
          </w:p>
        </w:tc>
        <w:tc>
          <w:tcPr>
            <w:tcW w:w="971" w:type="dxa"/>
            <w:tcBorders>
              <w:top w:val="single" w:color="000000"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是</w:t>
            </w:r>
          </w:p>
        </w:tc>
        <w:tc>
          <w:tcPr>
            <w:tcW w:w="1061" w:type="dxa"/>
            <w:tcBorders>
              <w:top w:val="single" w:color="000000"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p>
        </w:tc>
        <w:tc>
          <w:tcPr>
            <w:tcW w:w="938" w:type="dxa"/>
            <w:tcBorders>
              <w:top w:val="single" w:color="000000"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20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312" w:hRule="atLeast"/>
          <w:jc w:val="center"/>
        </w:trPr>
        <w:tc>
          <w:tcPr>
            <w:tcW w:w="652" w:type="dxa"/>
            <w:vMerge w:val="continue"/>
            <w:tcBorders>
              <w:top w:val="single" w:color="auto" w:sz="4" w:space="0"/>
              <w:left w:val="single" w:color="000000" w:sz="4" w:space="0"/>
              <w:bottom w:val="single" w:color="auto" w:sz="4" w:space="0"/>
            </w:tcBorders>
            <w:noWrap w:val="0"/>
            <w:vAlign w:val="center"/>
          </w:tcPr>
          <w:p>
            <w:pPr>
              <w:spacing w:line="240" w:lineRule="auto"/>
              <w:jc w:val="center"/>
              <w:rPr>
                <w:rFonts w:hint="eastAsia" w:ascii="宋体" w:hAnsi="宋体" w:eastAsia="宋体" w:cs="宋体"/>
                <w:color w:val="000000"/>
                <w:sz w:val="24"/>
                <w:szCs w:val="24"/>
                <w:highlight w:val="none"/>
              </w:rPr>
            </w:pPr>
          </w:p>
        </w:tc>
        <w:tc>
          <w:tcPr>
            <w:tcW w:w="1081" w:type="dxa"/>
            <w:tcBorders>
              <w:top w:val="single" w:color="auto" w:sz="4" w:space="0"/>
              <w:left w:val="single" w:color="000000" w:sz="4" w:space="0"/>
              <w:bottom w:val="single" w:color="auto"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bidi="ar"/>
              </w:rPr>
              <w:t>满意度</w:t>
            </w:r>
          </w:p>
          <w:p>
            <w:pPr>
              <w:spacing w:line="240" w:lineRule="auto"/>
              <w:jc w:val="center"/>
              <w:rPr>
                <w:rFonts w:hint="eastAsia"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指标</w:t>
            </w:r>
          </w:p>
        </w:tc>
        <w:tc>
          <w:tcPr>
            <w:tcW w:w="1250" w:type="dxa"/>
            <w:tcBorders>
              <w:top w:val="single" w:color="000000" w:sz="4" w:space="0"/>
              <w:left w:val="single" w:color="000000" w:sz="4" w:space="0"/>
              <w:bottom w:val="single" w:color="auto"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bidi="ar"/>
              </w:rPr>
              <w:t>服务对象</w:t>
            </w:r>
          </w:p>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满意度指标</w:t>
            </w:r>
          </w:p>
        </w:tc>
        <w:tc>
          <w:tcPr>
            <w:tcW w:w="1312"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申报文旅企业对支持文旅企业发展工作的满意度</w:t>
            </w:r>
          </w:p>
        </w:tc>
        <w:tc>
          <w:tcPr>
            <w:tcW w:w="1127"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w:t>
            </w:r>
          </w:p>
        </w:tc>
        <w:tc>
          <w:tcPr>
            <w:tcW w:w="971"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95</w:t>
            </w:r>
          </w:p>
        </w:tc>
        <w:tc>
          <w:tcPr>
            <w:tcW w:w="1061"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w:t>
            </w:r>
          </w:p>
        </w:tc>
        <w:tc>
          <w:tcPr>
            <w:tcW w:w="938"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10</w:t>
            </w:r>
          </w:p>
        </w:tc>
        <w:tc>
          <w:tcPr>
            <w:tcW w:w="1841" w:type="dxa"/>
            <w:tcBorders>
              <w:top w:val="single" w:color="000000" w:sz="4" w:space="0"/>
              <w:left w:val="single" w:color="000000" w:sz="4" w:space="0"/>
              <w:bottom w:val="single" w:color="auto" w:sz="4" w:space="0"/>
              <w:right w:val="single" w:color="000000" w:sz="4" w:space="0"/>
            </w:tcBorders>
            <w:noWrap w:val="0"/>
            <w:vAlign w:val="center"/>
          </w:tcPr>
          <w:p>
            <w:pPr>
              <w:spacing w:line="240" w:lineRule="auto"/>
              <w:jc w:val="center"/>
              <w:rPr>
                <w:rFonts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2971" w:hRule="atLeast"/>
          <w:jc w:val="center"/>
        </w:trPr>
        <w:tc>
          <w:tcPr>
            <w:tcW w:w="652" w:type="dxa"/>
            <w:vMerge w:val="restart"/>
            <w:tcBorders>
              <w:top w:val="single" w:color="auto" w:sz="4" w:space="0"/>
              <w:left w:val="single" w:color="000000" w:sz="4" w:space="0"/>
              <w:bottom w:val="single" w:color="auto" w:sz="4" w:space="0"/>
            </w:tcBorders>
            <w:noWrap w:val="0"/>
            <w:vAlign w:val="center"/>
          </w:tcPr>
          <w:p>
            <w:pPr>
              <w:spacing w:line="240" w:lineRule="auto"/>
              <w:jc w:val="center"/>
              <w:rPr>
                <w:rFonts w:hint="eastAsia" w:ascii="宋体" w:hAnsi="宋体" w:eastAsia="宋体" w:cs="宋体"/>
                <w:color w:val="000000"/>
                <w:sz w:val="24"/>
                <w:szCs w:val="24"/>
                <w:highlight w:val="none"/>
              </w:rPr>
            </w:pPr>
          </w:p>
        </w:tc>
        <w:tc>
          <w:tcPr>
            <w:tcW w:w="1081" w:type="dxa"/>
            <w:vMerge w:val="restart"/>
            <w:tcBorders>
              <w:top w:val="single" w:color="auto" w:sz="4" w:space="0"/>
              <w:left w:val="single" w:color="000000" w:sz="4" w:space="0"/>
              <w:bottom w:val="single" w:color="auto"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成本指标</w:t>
            </w:r>
          </w:p>
        </w:tc>
        <w:tc>
          <w:tcPr>
            <w:tcW w:w="1250" w:type="dxa"/>
            <w:vMerge w:val="restart"/>
            <w:tcBorders>
              <w:top w:val="single" w:color="auto" w:sz="4" w:space="0"/>
              <w:left w:val="single" w:color="000000" w:sz="4" w:space="0"/>
              <w:bottom w:val="single" w:color="auto" w:sz="4" w:space="0"/>
              <w:right w:val="single" w:color="000000" w:sz="4" w:space="0"/>
            </w:tcBorders>
            <w:noWrap w:val="0"/>
            <w:vAlign w:val="center"/>
          </w:tcPr>
          <w:p>
            <w:pPr>
              <w:widowControl/>
              <w:spacing w:line="240" w:lineRule="auto"/>
              <w:jc w:val="center"/>
              <w:textAlignment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bidi="ar"/>
              </w:rPr>
              <w:t>经济成本</w:t>
            </w:r>
          </w:p>
          <w:p>
            <w:pPr>
              <w:widowControl/>
              <w:spacing w:line="240" w:lineRule="auto"/>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指标</w:t>
            </w:r>
          </w:p>
        </w:tc>
        <w:tc>
          <w:tcPr>
            <w:tcW w:w="1312" w:type="dxa"/>
            <w:tcBorders>
              <w:top w:val="single" w:color="auto"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对限上演艺企业新创作演艺作品，年商业化演出达20场次以上的，给予一次性补助</w:t>
            </w:r>
          </w:p>
        </w:tc>
        <w:tc>
          <w:tcPr>
            <w:tcW w:w="1127"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w:t>
            </w:r>
          </w:p>
        </w:tc>
        <w:tc>
          <w:tcPr>
            <w:tcW w:w="971"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5</w:t>
            </w:r>
          </w:p>
        </w:tc>
        <w:tc>
          <w:tcPr>
            <w:tcW w:w="1061"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万元</w:t>
            </w:r>
          </w:p>
        </w:tc>
        <w:tc>
          <w:tcPr>
            <w:tcW w:w="938"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10</w:t>
            </w:r>
          </w:p>
        </w:tc>
        <w:tc>
          <w:tcPr>
            <w:tcW w:w="1841" w:type="dxa"/>
            <w:tcBorders>
              <w:top w:val="single" w:color="auto" w:sz="4" w:space="0"/>
              <w:left w:val="single" w:color="000000" w:sz="4" w:space="0"/>
              <w:bottom w:val="single" w:color="auto" w:sz="4" w:space="0"/>
              <w:right w:val="single" w:color="000000" w:sz="4" w:space="0"/>
            </w:tcBorders>
            <w:noWrap w:val="0"/>
            <w:vAlign w:val="center"/>
          </w:tcPr>
          <w:p>
            <w:pPr>
              <w:spacing w:line="240" w:lineRule="auto"/>
              <w:jc w:val="center"/>
              <w:rPr>
                <w:rFonts w:hint="eastAsia" w:ascii="宋体" w:hAnsi="宋体" w:eastAsia="宋体" w:cs="宋体"/>
                <w:color w:val="000000"/>
                <w:sz w:val="24"/>
                <w:szCs w:val="24"/>
                <w:highlight w:val="none"/>
                <w:lang w:eastAsia="zh-CN"/>
              </w:rPr>
            </w:pPr>
          </w:p>
        </w:tc>
      </w:tr>
      <w:tr>
        <w:tblPrEx>
          <w:tblCellMar>
            <w:top w:w="15" w:type="dxa"/>
            <w:left w:w="15" w:type="dxa"/>
            <w:bottom w:w="15" w:type="dxa"/>
            <w:right w:w="15" w:type="dxa"/>
          </w:tblCellMar>
        </w:tblPrEx>
        <w:trPr>
          <w:trHeight w:val="3111" w:hRule="atLeast"/>
          <w:jc w:val="center"/>
        </w:trPr>
        <w:tc>
          <w:tcPr>
            <w:tcW w:w="652" w:type="dxa"/>
            <w:vMerge w:val="continue"/>
            <w:tcBorders>
              <w:top w:val="single" w:color="auto" w:sz="4" w:space="0"/>
              <w:left w:val="single" w:color="000000" w:sz="4" w:space="0"/>
              <w:bottom w:val="single" w:color="auto" w:sz="4" w:space="0"/>
            </w:tcBorders>
            <w:noWrap w:val="0"/>
            <w:vAlign w:val="center"/>
          </w:tcPr>
          <w:p>
            <w:pPr>
              <w:spacing w:line="240" w:lineRule="auto"/>
              <w:rPr>
                <w:highlight w:val="none"/>
              </w:rPr>
            </w:pPr>
          </w:p>
        </w:tc>
        <w:tc>
          <w:tcPr>
            <w:tcW w:w="1081" w:type="dxa"/>
            <w:vMerge w:val="continue"/>
            <w:tcBorders>
              <w:top w:val="single" w:color="auto" w:sz="4" w:space="0"/>
              <w:left w:val="single" w:color="000000" w:sz="4" w:space="0"/>
              <w:bottom w:val="single" w:color="auto" w:sz="4" w:space="0"/>
              <w:right w:val="single" w:color="000000" w:sz="4" w:space="0"/>
            </w:tcBorders>
            <w:noWrap w:val="0"/>
            <w:vAlign w:val="center"/>
          </w:tcPr>
          <w:p>
            <w:pPr>
              <w:spacing w:line="240" w:lineRule="auto"/>
              <w:rPr>
                <w:highlight w:val="none"/>
              </w:rPr>
            </w:pPr>
          </w:p>
        </w:tc>
        <w:tc>
          <w:tcPr>
            <w:tcW w:w="1250" w:type="dxa"/>
            <w:vMerge w:val="continue"/>
            <w:tcBorders>
              <w:top w:val="single" w:color="auto" w:sz="4" w:space="0"/>
              <w:left w:val="single" w:color="000000" w:sz="4" w:space="0"/>
              <w:bottom w:val="single" w:color="auto" w:sz="4" w:space="0"/>
              <w:right w:val="single" w:color="000000" w:sz="4" w:space="0"/>
            </w:tcBorders>
            <w:noWrap w:val="0"/>
            <w:vAlign w:val="center"/>
          </w:tcPr>
          <w:p>
            <w:pPr>
              <w:spacing w:line="240" w:lineRule="auto"/>
              <w:rPr>
                <w:highlight w:val="none"/>
              </w:rPr>
            </w:pPr>
          </w:p>
        </w:tc>
        <w:tc>
          <w:tcPr>
            <w:tcW w:w="1312" w:type="dxa"/>
            <w:tcBorders>
              <w:top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对年营业收入首次超过6000万元的规上文化、体育和娱乐、旅游企业，给予一次性奖励</w:t>
            </w:r>
          </w:p>
        </w:tc>
        <w:tc>
          <w:tcPr>
            <w:tcW w:w="1127" w:type="dxa"/>
            <w:tcBorders>
              <w:top w:val="single" w:color="auto"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w:t>
            </w:r>
          </w:p>
        </w:tc>
        <w:tc>
          <w:tcPr>
            <w:tcW w:w="971" w:type="dxa"/>
            <w:tcBorders>
              <w:top w:val="single" w:color="auto"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2</w:t>
            </w:r>
          </w:p>
        </w:tc>
        <w:tc>
          <w:tcPr>
            <w:tcW w:w="1061" w:type="dxa"/>
            <w:tcBorders>
              <w:top w:val="single" w:color="auto"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万元</w:t>
            </w:r>
          </w:p>
        </w:tc>
        <w:tc>
          <w:tcPr>
            <w:tcW w:w="938" w:type="dxa"/>
            <w:tcBorders>
              <w:top w:val="single" w:color="auto"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val="en-US" w:eastAsia="zh-CN" w:bidi="ar"/>
              </w:rPr>
              <w:t>10</w:t>
            </w:r>
          </w:p>
        </w:tc>
        <w:tc>
          <w:tcPr>
            <w:tcW w:w="1841" w:type="dxa"/>
            <w:tcBorders>
              <w:top w:val="single" w:color="auto"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4"/>
                <w:szCs w:val="24"/>
                <w:highlight w:val="none"/>
              </w:rPr>
            </w:pPr>
          </w:p>
        </w:tc>
      </w:tr>
    </w:tbl>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suppressAutoHyphens/>
        <w:bidi w:val="0"/>
        <w:spacing w:line="572" w:lineRule="exac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w:t>
      </w:r>
    </w:p>
    <w:p>
      <w:pPr>
        <w:suppressAutoHyphens/>
        <w:bidi w:val="0"/>
        <w:spacing w:line="572" w:lineRule="exact"/>
        <w:rPr>
          <w:rFonts w:hint="eastAsia" w:ascii="黑体" w:hAnsi="黑体" w:eastAsia="黑体" w:cs="黑体"/>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广元市文化广电旅游局</w:t>
      </w:r>
      <w:r>
        <w:rPr>
          <w:rFonts w:hint="default" w:ascii="Times New Roman" w:hAnsi="Times New Roman" w:eastAsia="方正小标宋简体" w:cs="Times New Roman"/>
          <w:color w:val="auto"/>
          <w:kern w:val="2"/>
          <w:sz w:val="44"/>
          <w:szCs w:val="44"/>
          <w:highlight w:val="none"/>
          <w:lang w:val="en-US" w:eastAsia="zh-CN"/>
        </w:rPr>
        <w:t>市本级两新组织</w:t>
      </w:r>
    </w:p>
    <w:p>
      <w:pPr>
        <w:pStyle w:val="40"/>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default" w:ascii="Times New Roman" w:hAnsi="Times New Roman" w:eastAsia="方正小标宋简体" w:cs="Times New Roman"/>
          <w:color w:val="auto"/>
          <w:kern w:val="2"/>
          <w:sz w:val="44"/>
          <w:szCs w:val="44"/>
          <w:highlight w:val="none"/>
          <w:lang w:val="en-US" w:eastAsia="zh-CN"/>
        </w:rPr>
        <w:t>党建工作经费</w:t>
      </w:r>
      <w:r>
        <w:rPr>
          <w:rFonts w:hint="eastAsia" w:ascii="方正小标宋简体" w:hAnsi="方正小标宋简体" w:eastAsia="方正小标宋简体" w:cs="方正小标宋简体"/>
          <w:color w:val="auto"/>
          <w:kern w:val="2"/>
          <w:sz w:val="44"/>
          <w:szCs w:val="44"/>
          <w:highlight w:val="none"/>
          <w:lang w:val="en-US" w:eastAsia="zh-CN"/>
        </w:rPr>
        <w:t>项目绩效评价报告</w:t>
      </w:r>
    </w:p>
    <w:p>
      <w:pPr>
        <w:pStyle w:val="40"/>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cs="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bCs w:val="0"/>
          <w:color w:val="auto"/>
          <w:sz w:val="32"/>
          <w:szCs w:val="32"/>
          <w:highlight w:val="none"/>
          <w:lang w:val="zh-CN"/>
        </w:rPr>
      </w:pPr>
      <w:r>
        <w:rPr>
          <w:rFonts w:hint="eastAsia" w:ascii="方正黑体简体" w:hAnsi="方正黑体简体" w:eastAsia="方正黑体简体" w:cs="方正黑体简体"/>
          <w:b w:val="0"/>
          <w:bCs w:val="0"/>
          <w:color w:val="auto"/>
          <w:sz w:val="32"/>
          <w:szCs w:val="32"/>
          <w:highlight w:val="none"/>
        </w:rPr>
        <w:t>一、</w:t>
      </w:r>
      <w:r>
        <w:rPr>
          <w:rFonts w:hint="eastAsia" w:ascii="方正黑体简体" w:hAnsi="方正黑体简体" w:eastAsia="方正黑体简体" w:cs="方正黑体简体"/>
          <w:b w:val="0"/>
          <w:bCs w:val="0"/>
          <w:color w:val="auto"/>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仿宋_GB2312" w:eastAsia="仿宋_GB2312" w:cs="仿宋_GB2312"/>
          <w:sz w:val="32"/>
          <w:szCs w:val="32"/>
          <w:highlight w:val="none"/>
          <w:lang w:val="zh-CN" w:eastAsia="zh-CN"/>
        </w:rPr>
      </w:pPr>
      <w:r>
        <w:rPr>
          <w:rFonts w:hint="eastAsia" w:ascii="方正楷体简体" w:hAnsi="方正楷体简体" w:eastAsia="方正楷体简体" w:cs="方正楷体简体"/>
          <w:b w:val="0"/>
          <w:bCs w:val="0"/>
          <w:color w:val="auto"/>
          <w:sz w:val="32"/>
          <w:szCs w:val="32"/>
          <w:highlight w:val="none"/>
          <w:u w:val="none"/>
          <w:lang w:val="zh-CN"/>
        </w:rPr>
        <w:t>（一）设立背景及基本情况。</w:t>
      </w:r>
      <w:r>
        <w:rPr>
          <w:rFonts w:hint="eastAsia" w:ascii="仿宋_GB2312" w:hAnsi="仿宋_GB2312" w:eastAsia="仿宋_GB2312" w:cs="仿宋_GB2312"/>
          <w:sz w:val="32"/>
          <w:szCs w:val="32"/>
          <w:highlight w:val="none"/>
          <w:lang w:val="zh-CN" w:eastAsia="zh-CN"/>
        </w:rPr>
        <w:t>根据广元市委组织部、广元市财政局、广元市国家税务局、广元市地方税务联合印发的《关于进一步加强“两新”组织党建工作经费保障的通知》</w:t>
      </w:r>
      <w:r>
        <w:rPr>
          <w:rFonts w:hint="eastAsia" w:ascii="仿宋_GB2312" w:hAnsi="仿宋_GB2312" w:eastAsia="仿宋_GB2312" w:cs="仿宋_GB2312"/>
          <w:sz w:val="32"/>
          <w:szCs w:val="32"/>
          <w:highlight w:val="none"/>
          <w:lang w:eastAsia="zh-CN"/>
        </w:rPr>
        <w:t>（广组通〔20</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41号</w:t>
      </w:r>
      <w:r>
        <w:rPr>
          <w:rFonts w:hint="eastAsia" w:ascii="仿宋_GB2312" w:hAnsi="仿宋_GB2312" w:eastAsia="仿宋_GB2312" w:cs="仿宋_GB2312"/>
          <w:sz w:val="32"/>
          <w:szCs w:val="32"/>
          <w:highlight w:val="none"/>
          <w:lang w:eastAsia="zh-CN"/>
        </w:rPr>
        <w:t>）相关要求，为进一步建立健全非公有制企业和社会组织（以下简称“两新”组织）党组织稳定的工作经费保障机制，特设立此项目。</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u w:val="none"/>
          <w:lang w:val="zh-CN"/>
        </w:rPr>
      </w:pPr>
      <w:r>
        <w:rPr>
          <w:rFonts w:hint="eastAsia" w:ascii="方正楷体简体" w:hAnsi="方正楷体简体" w:eastAsia="方正楷体简体" w:cs="方正楷体简体"/>
          <w:b w:val="0"/>
          <w:bCs w:val="0"/>
          <w:color w:val="auto"/>
          <w:sz w:val="32"/>
          <w:szCs w:val="32"/>
          <w:highlight w:val="none"/>
          <w:u w:val="none"/>
          <w:lang w:val="zh-CN"/>
        </w:rPr>
        <w:t>（二）</w:t>
      </w:r>
      <w:r>
        <w:rPr>
          <w:rFonts w:hint="eastAsia" w:ascii="方正楷体简体" w:hAnsi="方正楷体简体" w:eastAsia="方正楷体简体" w:cs="方正楷体简体"/>
          <w:b w:val="0"/>
          <w:bCs w:val="0"/>
          <w:color w:val="auto"/>
          <w:sz w:val="32"/>
          <w:szCs w:val="32"/>
          <w:highlight w:val="none"/>
          <w:u w:val="none"/>
          <w:lang w:val="en-US" w:eastAsia="zh-CN"/>
        </w:rPr>
        <w:t>实施目的及支持方向。</w:t>
      </w:r>
      <w:r>
        <w:rPr>
          <w:rFonts w:hint="eastAsia" w:ascii="仿宋_GB2312" w:hAnsi="仿宋_GB2312" w:eastAsia="仿宋_GB2312" w:cs="仿宋_GB2312"/>
          <w:sz w:val="32"/>
          <w:szCs w:val="32"/>
          <w:highlight w:val="none"/>
          <w:lang w:val="en-US" w:eastAsia="zh-CN"/>
        </w:rPr>
        <w:t>加强文广旅行业党委建设，强化文旅行业两新组织党组织培养建设。</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方正楷体简体" w:hAnsi="方正楷体简体" w:eastAsia="方正楷体简体" w:cs="方正楷体简体"/>
          <w:b w:val="0"/>
          <w:bCs w:val="0"/>
          <w:color w:val="auto"/>
          <w:sz w:val="32"/>
          <w:szCs w:val="32"/>
          <w:highlight w:val="none"/>
          <w:u w:val="none"/>
          <w:lang w:val="zh-CN" w:eastAsia="zh-CN"/>
        </w:rPr>
        <w:t>（三）</w:t>
      </w:r>
      <w:r>
        <w:rPr>
          <w:rFonts w:hint="eastAsia" w:ascii="方正楷体简体" w:hAnsi="方正楷体简体" w:eastAsia="方正楷体简体" w:cs="方正楷体简体"/>
          <w:b w:val="0"/>
          <w:bCs w:val="0"/>
          <w:color w:val="auto"/>
          <w:sz w:val="32"/>
          <w:szCs w:val="32"/>
          <w:highlight w:val="none"/>
          <w:u w:val="none"/>
          <w:lang w:val="en-US" w:eastAsia="zh-CN"/>
        </w:rPr>
        <w:t>预算安排及分配管理</w:t>
      </w:r>
      <w:r>
        <w:rPr>
          <w:rFonts w:hint="eastAsia" w:ascii="方正楷体简体" w:hAnsi="方正楷体简体" w:eastAsia="方正楷体简体" w:cs="方正楷体简体"/>
          <w:b w:val="0"/>
          <w:bCs w:val="0"/>
          <w:color w:val="auto"/>
          <w:sz w:val="32"/>
          <w:szCs w:val="32"/>
          <w:highlight w:val="none"/>
          <w:u w:val="none"/>
          <w:lang w:val="zh-CN" w:eastAsia="zh-CN"/>
        </w:rPr>
        <w:t>。</w:t>
      </w:r>
      <w:r>
        <w:rPr>
          <w:rFonts w:hint="eastAsia" w:ascii="仿宋_GB2312" w:hAnsi="仿宋_GB2312" w:eastAsia="仿宋_GB2312" w:cs="仿宋_GB2312"/>
          <w:sz w:val="32"/>
          <w:szCs w:val="32"/>
          <w:highlight w:val="none"/>
          <w:lang w:val="en-US" w:eastAsia="zh-CN"/>
        </w:rPr>
        <w:t>总计安排金额1.84万元，其中市文广旅行业党委党建工作经费1万元，万安博物馆党支部0.42万元，文旅协会党支部0.42万元。</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仿宋_GB2312" w:hAnsi="仿宋_GB2312" w:eastAsia="仿宋_GB2312" w:cs="仿宋_GB2312"/>
          <w:sz w:val="32"/>
          <w:szCs w:val="32"/>
          <w:highlight w:val="none"/>
          <w:lang w:val="zh-CN" w:eastAsia="zh-CN"/>
        </w:rPr>
      </w:pPr>
      <w:r>
        <w:rPr>
          <w:rFonts w:hint="eastAsia" w:ascii="方正楷体简体" w:hAnsi="方正楷体简体" w:eastAsia="方正楷体简体" w:cs="方正楷体简体"/>
          <w:b w:val="0"/>
          <w:bCs w:val="0"/>
          <w:color w:val="auto"/>
          <w:sz w:val="32"/>
          <w:szCs w:val="32"/>
          <w:highlight w:val="none"/>
          <w:u w:val="none"/>
          <w:lang w:val="zh-CN" w:eastAsia="zh-CN"/>
        </w:rPr>
        <w:t>（四）项目绩效目标设置。</w:t>
      </w:r>
      <w:r>
        <w:rPr>
          <w:rFonts w:hint="eastAsia" w:ascii="仿宋_GB2312" w:hAnsi="仿宋_GB2312" w:eastAsia="仿宋_GB2312" w:cs="仿宋_GB2312"/>
          <w:sz w:val="32"/>
          <w:szCs w:val="32"/>
          <w:highlight w:val="none"/>
          <w:lang w:val="zh-CN" w:eastAsia="zh-CN"/>
        </w:rPr>
        <w:t>两新党建工作推进情况。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方正黑体简体" w:hAnsi="方正黑体简体" w:eastAsia="方正黑体简体" w:cs="方正黑体简体"/>
          <w:b w:val="0"/>
          <w:bCs w:val="0"/>
          <w:color w:val="auto"/>
          <w:sz w:val="32"/>
          <w:szCs w:val="32"/>
          <w:highlight w:val="none"/>
          <w:lang w:eastAsia="zh-CN"/>
        </w:rPr>
      </w:pPr>
      <w:r>
        <w:rPr>
          <w:rFonts w:hint="eastAsia" w:ascii="方正黑体简体" w:hAnsi="方正黑体简体" w:eastAsia="方正黑体简体" w:cs="方正黑体简体"/>
          <w:b w:val="0"/>
          <w:bCs w:val="0"/>
          <w:color w:val="auto"/>
          <w:sz w:val="32"/>
          <w:szCs w:val="32"/>
          <w:highlight w:val="none"/>
        </w:rPr>
        <w:t>二、</w:t>
      </w:r>
      <w:r>
        <w:rPr>
          <w:rFonts w:hint="eastAsia" w:ascii="方正黑体简体" w:hAnsi="方正黑体简体" w:eastAsia="方正黑体简体" w:cs="方正黑体简体"/>
          <w:b w:val="0"/>
          <w:bCs w:val="0"/>
          <w:color w:val="auto"/>
          <w:sz w:val="32"/>
          <w:szCs w:val="32"/>
          <w:highlight w:val="none"/>
          <w:lang w:eastAsia="zh-CN"/>
        </w:rPr>
        <w:t>评价实施</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 w:val="0"/>
          <w:bCs w:val="0"/>
          <w:color w:val="auto"/>
          <w:sz w:val="32"/>
          <w:szCs w:val="32"/>
          <w:highlight w:val="none"/>
          <w:u w:val="none"/>
          <w:lang w:val="zh-CN"/>
        </w:rPr>
        <w:t>（一）评价目的。</w:t>
      </w:r>
      <w:r>
        <w:rPr>
          <w:rFonts w:hint="eastAsia" w:ascii="仿宋_GB2312" w:hAnsi="仿宋_GB2312" w:eastAsia="仿宋_GB2312" w:cs="仿宋_GB2312"/>
          <w:sz w:val="32"/>
          <w:szCs w:val="32"/>
          <w:highlight w:val="none"/>
          <w:lang w:eastAsia="zh-CN"/>
        </w:rPr>
        <w:t>加强对文广旅行业两新组织党组织工作的指导和支持力度。</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仿宋_GB2312" w:hAnsi="仿宋_GB2312" w:eastAsia="仿宋_GB2312" w:cs="仿宋_GB2312"/>
          <w:sz w:val="32"/>
          <w:szCs w:val="32"/>
          <w:highlight w:val="none"/>
          <w:lang w:eastAsia="zh-CN"/>
        </w:rPr>
      </w:pPr>
      <w:r>
        <w:rPr>
          <w:rFonts w:hint="eastAsia" w:ascii="方正楷体简体" w:hAnsi="方正楷体简体" w:eastAsia="方正楷体简体" w:cs="方正楷体简体"/>
          <w:b w:val="0"/>
          <w:bCs w:val="0"/>
          <w:color w:val="auto"/>
          <w:sz w:val="32"/>
          <w:szCs w:val="32"/>
          <w:highlight w:val="none"/>
          <w:u w:val="none"/>
          <w:lang w:val="zh-CN"/>
        </w:rPr>
        <w:t>（二）预设问题及评价重点。</w:t>
      </w:r>
      <w:r>
        <w:rPr>
          <w:rFonts w:hint="eastAsia" w:ascii="仿宋_GB2312" w:hAnsi="仿宋_GB2312" w:eastAsia="仿宋_GB2312" w:cs="仿宋_GB2312"/>
          <w:sz w:val="32"/>
          <w:szCs w:val="32"/>
          <w:highlight w:val="none"/>
          <w:lang w:eastAsia="zh-CN"/>
        </w:rPr>
        <w:t>一是项目经费是否用于文广旅行业党委和两新组织党组织的工作开展；二是两新组织党组织工作成效。</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仿宋_GB2312" w:hAnsi="仿宋_GB2312" w:eastAsia="仿宋_GB2312" w:cs="仿宋_GB2312"/>
          <w:sz w:val="32"/>
          <w:szCs w:val="32"/>
          <w:highlight w:val="none"/>
          <w:lang w:val="zh-CN" w:eastAsia="zh-CN"/>
        </w:rPr>
      </w:pPr>
      <w:r>
        <w:rPr>
          <w:rFonts w:hint="eastAsia" w:ascii="方正楷体简体" w:hAnsi="方正楷体简体" w:eastAsia="方正楷体简体" w:cs="方正楷体简体"/>
          <w:b w:val="0"/>
          <w:bCs w:val="0"/>
          <w:color w:val="auto"/>
          <w:sz w:val="32"/>
          <w:szCs w:val="32"/>
          <w:highlight w:val="none"/>
          <w:u w:val="none"/>
          <w:lang w:val="zh-CN"/>
        </w:rPr>
        <w:t>（三）评价选点。</w:t>
      </w:r>
      <w:r>
        <w:rPr>
          <w:rFonts w:hint="eastAsia" w:ascii="仿宋_GB2312" w:hAnsi="仿宋_GB2312" w:eastAsia="仿宋_GB2312" w:cs="仿宋_GB2312"/>
          <w:sz w:val="32"/>
          <w:szCs w:val="32"/>
          <w:highlight w:val="none"/>
        </w:rPr>
        <w:t>选取具有代表性的</w:t>
      </w:r>
      <w:r>
        <w:rPr>
          <w:rFonts w:hint="eastAsia" w:ascii="仿宋_GB2312" w:hAnsi="仿宋_GB2312" w:eastAsia="仿宋_GB2312" w:cs="仿宋_GB2312"/>
          <w:sz w:val="32"/>
          <w:szCs w:val="32"/>
          <w:highlight w:val="none"/>
          <w:lang w:eastAsia="zh-CN"/>
        </w:rPr>
        <w:t>两新组织党组织</w:t>
      </w:r>
      <w:r>
        <w:rPr>
          <w:rFonts w:hint="eastAsia" w:ascii="仿宋_GB2312" w:hAnsi="仿宋_GB2312" w:eastAsia="仿宋_GB2312" w:cs="仿宋_GB2312"/>
          <w:sz w:val="32"/>
          <w:szCs w:val="32"/>
          <w:highlight w:val="none"/>
        </w:rPr>
        <w:t>作为评价选点</w:t>
      </w:r>
      <w:r>
        <w:rPr>
          <w:rFonts w:hint="eastAsia" w:ascii="仿宋_GB2312" w:hAnsi="仿宋_GB2312" w:eastAsia="仿宋_GB2312" w:cs="仿宋_GB2312"/>
          <w:sz w:val="32"/>
          <w:szCs w:val="32"/>
          <w:highlight w:val="none"/>
          <w:lang w:eastAsia="zh-CN"/>
        </w:rPr>
        <w:t>。</w:t>
      </w:r>
    </w:p>
    <w:p>
      <w:pPr>
        <w:spacing w:line="578" w:lineRule="exact"/>
        <w:ind w:firstLine="640"/>
        <w:rPr>
          <w:rFonts w:hint="eastAsia" w:ascii="仿宋_GB2312" w:hAnsi="仿宋_GB2312" w:eastAsia="仿宋_GB2312" w:cs="仿宋_GB2312"/>
          <w:sz w:val="32"/>
          <w:szCs w:val="32"/>
          <w:highlight w:val="none"/>
        </w:rPr>
      </w:pPr>
      <w:r>
        <w:rPr>
          <w:rFonts w:hint="eastAsia" w:ascii="方正楷体简体" w:hAnsi="方正楷体简体" w:eastAsia="方正楷体简体" w:cs="方正楷体简体"/>
          <w:b w:val="0"/>
          <w:bCs w:val="0"/>
          <w:color w:val="auto"/>
          <w:sz w:val="32"/>
          <w:szCs w:val="32"/>
          <w:highlight w:val="none"/>
          <w:u w:val="none"/>
          <w:lang w:val="zh-CN"/>
        </w:rPr>
        <w:t>（四）评价方法。</w:t>
      </w:r>
      <w:r>
        <w:rPr>
          <w:rFonts w:hint="eastAsia" w:ascii="仿宋_GB2312" w:hAnsi="仿宋_GB2312" w:eastAsia="仿宋_GB2312" w:cs="仿宋_GB2312"/>
          <w:sz w:val="32"/>
          <w:szCs w:val="32"/>
          <w:highlight w:val="none"/>
          <w:lang w:val="zh-CN"/>
        </w:rPr>
        <w:t>采用访谈、支部书记述职、现场调研等方法进行全面客观的评价</w:t>
      </w:r>
      <w:r>
        <w:rPr>
          <w:rFonts w:hint="eastAsia" w:ascii="仿宋_GB2312" w:hAnsi="仿宋_GB2312" w:eastAsia="仿宋_GB2312" w:cs="仿宋_GB2312"/>
          <w:sz w:val="32"/>
          <w:szCs w:val="32"/>
          <w:highlight w:val="none"/>
        </w:rPr>
        <w:t>。</w:t>
      </w:r>
    </w:p>
    <w:p>
      <w:pPr>
        <w:spacing w:line="578" w:lineRule="exact"/>
        <w:ind w:firstLine="640"/>
        <w:rPr>
          <w:rFonts w:hint="eastAsia" w:ascii="仿宋_GB2312" w:hAnsi="仿宋_GB2312" w:eastAsia="仿宋_GB2312" w:cs="仿宋_GB2312"/>
          <w:sz w:val="32"/>
          <w:szCs w:val="32"/>
          <w:highlight w:val="none"/>
          <w:lang w:val="zh-CN" w:eastAsia="zh-CN"/>
        </w:rPr>
      </w:pPr>
      <w:r>
        <w:rPr>
          <w:rFonts w:hint="eastAsia" w:ascii="方正楷体简体" w:hAnsi="方正楷体简体" w:eastAsia="方正楷体简体" w:cs="方正楷体简体"/>
          <w:b w:val="0"/>
          <w:bCs w:val="0"/>
          <w:color w:val="auto"/>
          <w:sz w:val="32"/>
          <w:szCs w:val="32"/>
          <w:highlight w:val="none"/>
          <w:u w:val="none"/>
          <w:lang w:val="zh-CN"/>
        </w:rPr>
        <w:t>（五）评价组织。</w:t>
      </w:r>
      <w:r>
        <w:rPr>
          <w:rFonts w:hint="eastAsia" w:ascii="仿宋_GB2312" w:hAnsi="仿宋_GB2312" w:eastAsia="仿宋_GB2312" w:cs="仿宋_GB2312"/>
          <w:sz w:val="32"/>
          <w:szCs w:val="32"/>
          <w:highlight w:val="none"/>
          <w:lang w:val="zh-CN"/>
        </w:rPr>
        <w:t>市文化广电旅游局机关党委、内部监督与审计科相关人员组成评价小组，对项目实施进行评价。</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zh-CN"/>
        </w:rPr>
      </w:pPr>
      <w:r>
        <w:rPr>
          <w:rFonts w:hint="eastAsia" w:ascii="方正黑体简体" w:hAnsi="方正黑体简体" w:eastAsia="方正黑体简体" w:cs="方正黑体简体"/>
          <w:b w:val="0"/>
          <w:bCs w:val="0"/>
          <w:color w:val="auto"/>
          <w:sz w:val="32"/>
          <w:szCs w:val="32"/>
          <w:highlight w:val="none"/>
        </w:rPr>
        <w:t>三、</w:t>
      </w:r>
      <w:r>
        <w:rPr>
          <w:rFonts w:hint="eastAsia" w:ascii="方正黑体简体" w:hAnsi="方正黑体简体" w:eastAsia="方正黑体简体" w:cs="方正黑体简体"/>
          <w:b w:val="0"/>
          <w:bCs w:val="0"/>
          <w:color w:val="auto"/>
          <w:sz w:val="32"/>
          <w:szCs w:val="32"/>
          <w:highlight w:val="none"/>
          <w:lang w:eastAsia="zh-CN"/>
        </w:rPr>
        <w:t>绩效分析</w:t>
      </w:r>
      <w:r>
        <w:rPr>
          <w:rFonts w:hint="eastAsia" w:ascii="仿宋_GB2312" w:hAnsi="仿宋_GB2312" w:eastAsia="仿宋_GB2312" w:cs="仿宋_GB2312"/>
          <w:b w:val="0"/>
          <w:bCs w:val="0"/>
          <w:color w:val="auto"/>
          <w:sz w:val="32"/>
          <w:szCs w:val="32"/>
          <w:highlight w:val="none"/>
          <w:u w:val="none"/>
          <w:lang w:val="zh-CN"/>
        </w:rPr>
        <w:tab/>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方正楷体简体" w:hAnsi="方正楷体简体" w:eastAsia="方正楷体简体" w:cs="方正楷体简体"/>
          <w:b w:val="0"/>
          <w:bCs w:val="0"/>
          <w:color w:val="auto"/>
          <w:sz w:val="32"/>
          <w:szCs w:val="32"/>
          <w:highlight w:val="none"/>
          <w:u w:val="none"/>
          <w:lang w:val="en-US" w:eastAsia="zh-CN"/>
        </w:rPr>
      </w:pPr>
      <w:r>
        <w:rPr>
          <w:rFonts w:hint="eastAsia" w:ascii="方正楷体简体" w:hAnsi="方正楷体简体" w:eastAsia="方正楷体简体" w:cs="方正楷体简体"/>
          <w:b w:val="0"/>
          <w:bCs w:val="0"/>
          <w:color w:val="auto"/>
          <w:sz w:val="32"/>
          <w:szCs w:val="32"/>
          <w:highlight w:val="none"/>
          <w:u w:val="none"/>
          <w:lang w:val="zh-CN"/>
        </w:rPr>
        <w:t>（一）</w:t>
      </w:r>
      <w:r>
        <w:rPr>
          <w:rFonts w:hint="eastAsia" w:ascii="方正楷体简体" w:hAnsi="方正楷体简体" w:eastAsia="方正楷体简体" w:cs="方正楷体简体"/>
          <w:b w:val="0"/>
          <w:bCs w:val="0"/>
          <w:color w:val="auto"/>
          <w:sz w:val="32"/>
          <w:szCs w:val="32"/>
          <w:highlight w:val="none"/>
          <w:u w:val="none"/>
          <w:lang w:val="en-US" w:eastAsia="zh-CN"/>
        </w:rPr>
        <w:t>通用指标</w:t>
      </w:r>
      <w:r>
        <w:rPr>
          <w:rFonts w:hint="eastAsia" w:ascii="方正楷体简体" w:hAnsi="方正楷体简体" w:eastAsia="方正楷体简体" w:cs="方正楷体简体"/>
          <w:b w:val="0"/>
          <w:bCs w:val="0"/>
          <w:color w:val="auto"/>
          <w:sz w:val="32"/>
          <w:szCs w:val="32"/>
          <w:highlight w:val="none"/>
          <w:u w:val="none"/>
          <w:lang w:val="zh-CN"/>
        </w:rPr>
        <w:t>绩效分析。</w:t>
      </w:r>
    </w:p>
    <w:p>
      <w:pPr>
        <w:spacing w:line="578" w:lineRule="exact"/>
        <w:ind w:firstLine="640"/>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zh-CN" w:eastAsia="zh-CN"/>
        </w:rPr>
        <w:t>项目决策。</w:t>
      </w:r>
      <w:r>
        <w:rPr>
          <w:rFonts w:hint="eastAsia" w:ascii="仿宋_GB2312" w:hAnsi="仿宋_GB2312" w:eastAsia="仿宋_GB2312" w:cs="仿宋_GB2312"/>
          <w:sz w:val="32"/>
          <w:szCs w:val="32"/>
          <w:highlight w:val="none"/>
          <w:lang w:val="zh-CN"/>
        </w:rPr>
        <w:t>根据局内相关制度，项目实施经分管领导和局主要领导研究决策，符合相关规定和程序要求。</w:t>
      </w:r>
    </w:p>
    <w:p>
      <w:pPr>
        <w:spacing w:line="578" w:lineRule="exact"/>
        <w:ind w:firstLine="640"/>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zh-CN" w:eastAsia="zh-CN"/>
        </w:rPr>
        <w:t>项目管理。</w:t>
      </w:r>
      <w:r>
        <w:rPr>
          <w:rFonts w:hint="eastAsia" w:ascii="仿宋_GB2312" w:hAnsi="仿宋_GB2312" w:eastAsia="仿宋_GB2312" w:cs="仿宋_GB2312"/>
          <w:sz w:val="32"/>
          <w:szCs w:val="32"/>
          <w:highlight w:val="none"/>
          <w:lang w:val="zh-CN"/>
        </w:rPr>
        <w:t>制定了详细的项目实施方案和管理制度，确保项目按计划有序推进</w:t>
      </w:r>
    </w:p>
    <w:p>
      <w:pPr>
        <w:spacing w:line="578" w:lineRule="exact"/>
        <w:ind w:firstLine="640"/>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lang w:val="en-US" w:eastAsia="zh-CN"/>
        </w:rPr>
        <w:t>3.项目实施。项目实施顺利，</w:t>
      </w:r>
      <w:r>
        <w:rPr>
          <w:rFonts w:hint="eastAsia" w:ascii="仿宋_GB2312" w:hAnsi="仿宋_GB2312" w:eastAsia="仿宋_GB2312" w:cs="仿宋_GB2312"/>
          <w:sz w:val="32"/>
          <w:szCs w:val="32"/>
          <w:highlight w:val="none"/>
          <w:lang w:val="zh-CN"/>
        </w:rPr>
        <w:t>未出现重大失误或延误</w:t>
      </w:r>
      <w:r>
        <w:rPr>
          <w:rFonts w:hint="eastAsia" w:ascii="仿宋_GB2312" w:hAnsi="仿宋_GB2312" w:eastAsia="仿宋_GB2312" w:cs="仿宋_GB2312"/>
          <w:sz w:val="32"/>
          <w:szCs w:val="32"/>
          <w:highlight w:val="none"/>
          <w:lang w:val="zh-CN" w:eastAsia="zh-CN"/>
        </w:rPr>
        <w:t>。</w:t>
      </w:r>
    </w:p>
    <w:p>
      <w:pPr>
        <w:spacing w:line="578" w:lineRule="exact"/>
        <w:ind w:firstLine="640"/>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lang w:val="en-US" w:eastAsia="zh-CN"/>
        </w:rPr>
        <w:t>4.项目结果。有力地保障了市文广旅行业党委和两新组织党组织工作顺利开展</w:t>
      </w:r>
      <w:r>
        <w:rPr>
          <w:rFonts w:hint="eastAsia" w:ascii="仿宋_GB2312" w:hAnsi="仿宋_GB2312" w:eastAsia="仿宋_GB2312" w:cs="仿宋_GB2312"/>
          <w:sz w:val="32"/>
          <w:szCs w:val="32"/>
          <w:highlight w:val="none"/>
          <w:lang w:val="zh-CN"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highlight w:val="none"/>
          <w:lang w:val="zh-CN"/>
        </w:rPr>
      </w:pPr>
      <w:r>
        <w:rPr>
          <w:rFonts w:hint="eastAsia" w:ascii="方正楷体简体" w:hAnsi="方正楷体简体" w:eastAsia="方正楷体简体" w:cs="方正楷体简体"/>
          <w:b w:val="0"/>
          <w:bCs w:val="0"/>
          <w:color w:val="auto"/>
          <w:sz w:val="32"/>
          <w:szCs w:val="32"/>
          <w:highlight w:val="none"/>
          <w:u w:val="none"/>
          <w:lang w:val="en-US" w:eastAsia="zh-CN"/>
        </w:rPr>
        <w:t>（二）专用指标</w:t>
      </w:r>
      <w:r>
        <w:rPr>
          <w:rFonts w:hint="eastAsia" w:ascii="方正楷体简体" w:hAnsi="方正楷体简体" w:eastAsia="方正楷体简体" w:cs="方正楷体简体"/>
          <w:b w:val="0"/>
          <w:bCs w:val="0"/>
          <w:color w:val="auto"/>
          <w:sz w:val="32"/>
          <w:szCs w:val="32"/>
          <w:highlight w:val="none"/>
          <w:u w:val="none"/>
          <w:lang w:val="zh-CN"/>
        </w:rPr>
        <w:t>绩效分析。</w:t>
      </w:r>
      <w:r>
        <w:rPr>
          <w:rFonts w:hint="eastAsia" w:ascii="仿宋_GB2312" w:hAnsi="仿宋_GB2312" w:eastAsia="仿宋_GB2312" w:cs="仿宋_GB2312"/>
          <w:sz w:val="32"/>
          <w:szCs w:val="32"/>
          <w:highlight w:val="none"/>
          <w:lang w:val="zh-CN"/>
        </w:rPr>
        <w:t>项目实施与市委市政府</w:t>
      </w:r>
      <w:r>
        <w:rPr>
          <w:rFonts w:hint="eastAsia" w:ascii="仿宋_GB2312" w:hAnsi="仿宋_GB2312" w:eastAsia="仿宋_GB2312" w:cs="仿宋_GB2312"/>
          <w:sz w:val="32"/>
          <w:szCs w:val="32"/>
          <w:highlight w:val="none"/>
          <w:lang w:val="zh-CN" w:eastAsia="zh-CN"/>
        </w:rPr>
        <w:t>加强两新组织党组织建设的安排部署</w:t>
      </w:r>
      <w:r>
        <w:rPr>
          <w:rFonts w:hint="eastAsia" w:ascii="仿宋_GB2312" w:hAnsi="仿宋_GB2312" w:eastAsia="仿宋_GB2312" w:cs="仿宋_GB2312"/>
          <w:sz w:val="32"/>
          <w:szCs w:val="32"/>
          <w:highlight w:val="none"/>
          <w:lang w:val="zh-CN"/>
        </w:rPr>
        <w:t>高度契合，</w:t>
      </w:r>
      <w:r>
        <w:rPr>
          <w:rFonts w:hint="eastAsia" w:ascii="仿宋_GB2312" w:hAnsi="仿宋_GB2312" w:eastAsia="仿宋_GB2312" w:cs="仿宋_GB2312"/>
          <w:sz w:val="32"/>
          <w:szCs w:val="32"/>
          <w:highlight w:val="none"/>
          <w:lang w:val="en-US" w:eastAsia="zh-CN"/>
        </w:rPr>
        <w:t>有力地保障了市文广旅行业党委和两新组织党组织工作顺利开展</w:t>
      </w:r>
      <w:r>
        <w:rPr>
          <w:rFonts w:hint="eastAsia" w:ascii="仿宋_GB2312" w:hAnsi="仿宋_GB2312" w:eastAsia="仿宋_GB2312" w:cs="仿宋_GB2312"/>
          <w:sz w:val="32"/>
          <w:szCs w:val="32"/>
          <w:highlight w:val="none"/>
          <w:lang w:val="zh-CN" w:eastAsia="zh-CN"/>
        </w:rPr>
        <w:t>，对加快全市文化广电旅游事业高质量发展有极大地促进作用</w:t>
      </w:r>
      <w:r>
        <w:rPr>
          <w:rFonts w:hint="eastAsia" w:ascii="仿宋_GB2312" w:hAnsi="仿宋_GB2312" w:eastAsia="仿宋_GB2312" w:cs="仿宋_GB2312"/>
          <w:sz w:val="32"/>
          <w:szCs w:val="32"/>
          <w:highlight w:val="none"/>
          <w:lang w:val="zh-CN"/>
        </w:rPr>
        <w:t>。</w:t>
      </w:r>
    </w:p>
    <w:p>
      <w:pPr>
        <w:widowControl/>
        <w:spacing w:line="576" w:lineRule="exact"/>
        <w:ind w:firstLine="640" w:firstLineChars="200"/>
        <w:rPr>
          <w:rFonts w:hint="eastAsia" w:ascii="仿宋_GB2312" w:hAnsi="仿宋_GB2312" w:eastAsia="仿宋_GB2312" w:cs="仿宋_GB2312"/>
          <w:sz w:val="32"/>
          <w:szCs w:val="32"/>
          <w:highlight w:val="none"/>
          <w:lang w:val="zh-CN"/>
        </w:rPr>
      </w:pPr>
      <w:r>
        <w:rPr>
          <w:rFonts w:hint="eastAsia" w:ascii="方正楷体简体" w:hAnsi="方正楷体简体" w:eastAsia="方正楷体简体" w:cs="方正楷体简体"/>
          <w:b w:val="0"/>
          <w:bCs w:val="0"/>
          <w:color w:val="auto"/>
          <w:sz w:val="32"/>
          <w:szCs w:val="32"/>
          <w:highlight w:val="none"/>
          <w:u w:val="none"/>
          <w:lang w:val="zh-CN" w:eastAsia="zh-CN"/>
        </w:rPr>
        <w:t>（三）</w:t>
      </w:r>
      <w:r>
        <w:rPr>
          <w:rFonts w:hint="eastAsia" w:ascii="方正楷体简体" w:hAnsi="方正楷体简体" w:eastAsia="方正楷体简体" w:cs="方正楷体简体"/>
          <w:b w:val="0"/>
          <w:bCs w:val="0"/>
          <w:color w:val="auto"/>
          <w:sz w:val="32"/>
          <w:szCs w:val="32"/>
          <w:highlight w:val="none"/>
          <w:u w:val="none"/>
          <w:lang w:val="en-US" w:eastAsia="zh-CN"/>
        </w:rPr>
        <w:t>个性指标</w:t>
      </w:r>
      <w:r>
        <w:rPr>
          <w:rFonts w:hint="eastAsia" w:ascii="方正楷体简体" w:hAnsi="方正楷体简体" w:eastAsia="方正楷体简体" w:cs="方正楷体简体"/>
          <w:b w:val="0"/>
          <w:bCs w:val="0"/>
          <w:color w:val="auto"/>
          <w:sz w:val="32"/>
          <w:szCs w:val="32"/>
          <w:highlight w:val="none"/>
          <w:u w:val="none"/>
          <w:lang w:val="zh-CN" w:eastAsia="zh-CN"/>
        </w:rPr>
        <w:t>绩效分析。</w:t>
      </w:r>
      <w:r>
        <w:rPr>
          <w:rFonts w:hint="eastAsia" w:ascii="仿宋_GB2312" w:hAnsi="仿宋_GB2312" w:eastAsia="仿宋_GB2312" w:cs="仿宋_GB2312"/>
          <w:sz w:val="32"/>
          <w:szCs w:val="32"/>
          <w:highlight w:val="none"/>
          <w:lang w:val="zh-CN" w:eastAsia="zh-CN"/>
        </w:rPr>
        <w:t>该项目的顺利实施，保障了工作的正常开展，有利于两新组织党组织的培育，</w:t>
      </w:r>
      <w:r>
        <w:rPr>
          <w:rFonts w:hint="eastAsia" w:ascii="仿宋_GB2312" w:hAnsi="仿宋_GB2312" w:eastAsia="仿宋_GB2312" w:cs="仿宋_GB2312"/>
          <w:sz w:val="32"/>
          <w:szCs w:val="32"/>
          <w:highlight w:val="none"/>
          <w:lang w:val="zh-CN"/>
        </w:rPr>
        <w:t>摸清</w:t>
      </w:r>
      <w:r>
        <w:rPr>
          <w:rFonts w:hint="eastAsia" w:ascii="仿宋_GB2312" w:hAnsi="仿宋_GB2312" w:eastAsia="仿宋_GB2312" w:cs="仿宋_GB2312"/>
          <w:sz w:val="32"/>
          <w:szCs w:val="32"/>
          <w:highlight w:val="none"/>
          <w:lang w:val="zh-CN" w:eastAsia="zh-CN"/>
        </w:rPr>
        <w:t>文旅行业</w:t>
      </w:r>
      <w:r>
        <w:rPr>
          <w:rFonts w:hint="eastAsia" w:ascii="仿宋_GB2312" w:hAnsi="仿宋_GB2312" w:eastAsia="仿宋_GB2312" w:cs="仿宋_GB2312"/>
          <w:sz w:val="32"/>
          <w:szCs w:val="32"/>
          <w:highlight w:val="none"/>
          <w:lang w:val="zh-CN"/>
        </w:rPr>
        <w:t>“两新”组织情况，确保实现“两个覆盖”，引导“两新”组织党组织、党员积极投身文明城市创建</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基层治理</w:t>
      </w:r>
      <w:r>
        <w:rPr>
          <w:rFonts w:hint="eastAsia" w:ascii="仿宋_GB2312" w:hAnsi="仿宋_GB2312" w:eastAsia="仿宋_GB2312" w:cs="仿宋_GB2312"/>
          <w:sz w:val="32"/>
          <w:szCs w:val="32"/>
          <w:highlight w:val="none"/>
          <w:lang w:val="zh-CN" w:eastAsia="zh-CN"/>
        </w:rPr>
        <w:t>等工作</w:t>
      </w:r>
      <w:r>
        <w:rPr>
          <w:rFonts w:hint="eastAsia" w:ascii="仿宋_GB2312" w:hAnsi="仿宋_GB2312" w:eastAsia="仿宋_GB2312" w:cs="仿宋_GB2312"/>
          <w:sz w:val="32"/>
          <w:szCs w:val="32"/>
          <w:highlight w:val="none"/>
          <w:lang w:val="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方正黑体简体" w:hAnsi="方正黑体简体" w:eastAsia="方正黑体简体" w:cs="方正黑体简体"/>
          <w:b w:val="0"/>
          <w:bCs w:val="0"/>
          <w:color w:val="auto"/>
          <w:sz w:val="32"/>
          <w:szCs w:val="32"/>
          <w:highlight w:val="none"/>
        </w:rPr>
      </w:pPr>
      <w:r>
        <w:rPr>
          <w:rFonts w:hint="eastAsia" w:ascii="方正黑体简体" w:hAnsi="方正黑体简体" w:eastAsia="方正黑体简体" w:cs="方正黑体简体"/>
          <w:b w:val="0"/>
          <w:bCs w:val="0"/>
          <w:color w:val="auto"/>
          <w:sz w:val="32"/>
          <w:szCs w:val="32"/>
          <w:highlight w:val="none"/>
          <w:lang w:eastAsia="zh-CN"/>
        </w:rPr>
        <w:t>四</w:t>
      </w:r>
      <w:r>
        <w:rPr>
          <w:rFonts w:hint="eastAsia" w:ascii="方正黑体简体" w:hAnsi="方正黑体简体" w:eastAsia="方正黑体简体" w:cs="方正黑体简体"/>
          <w:b w:val="0"/>
          <w:bCs w:val="0"/>
          <w:color w:val="auto"/>
          <w:sz w:val="32"/>
          <w:szCs w:val="32"/>
          <w:highlight w:val="none"/>
        </w:rPr>
        <w:t>、评价结论</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2024年度，我局两新组织党建工作经费项目使用支出绩效目标完成良好，绩效自评得分93分</w:t>
      </w:r>
      <w:r>
        <w:rPr>
          <w:rFonts w:hint="eastAsia" w:hAnsi="仿宋_GB2312" w:cs="仿宋_GB2312"/>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方正黑体简体" w:hAnsi="方正黑体简体" w:eastAsia="方正黑体简体" w:cs="方正黑体简体"/>
          <w:b w:val="0"/>
          <w:bCs w:val="0"/>
          <w:color w:val="auto"/>
          <w:sz w:val="32"/>
          <w:szCs w:val="32"/>
          <w:highlight w:val="none"/>
          <w:lang w:eastAsia="zh-CN"/>
        </w:rPr>
      </w:pPr>
      <w:r>
        <w:rPr>
          <w:rFonts w:hint="eastAsia" w:ascii="方正黑体简体" w:hAnsi="方正黑体简体" w:eastAsia="方正黑体简体" w:cs="方正黑体简体"/>
          <w:b w:val="0"/>
          <w:bCs w:val="0"/>
          <w:color w:val="auto"/>
          <w:sz w:val="32"/>
          <w:szCs w:val="32"/>
          <w:highlight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无。</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方正黑体简体" w:hAnsi="方正黑体简体" w:eastAsia="方正黑体简体" w:cs="方正黑体简体"/>
          <w:b w:val="0"/>
          <w:bCs w:val="0"/>
          <w:color w:val="auto"/>
          <w:sz w:val="32"/>
          <w:szCs w:val="32"/>
          <w:highlight w:val="none"/>
          <w:lang w:val="zh-CN" w:eastAsia="zh-CN"/>
        </w:rPr>
      </w:pPr>
      <w:r>
        <w:rPr>
          <w:rFonts w:hint="eastAsia" w:ascii="方正黑体简体" w:hAnsi="方正黑体简体" w:eastAsia="方正黑体简体" w:cs="方正黑体简体"/>
          <w:b w:val="0"/>
          <w:bCs w:val="0"/>
          <w:color w:val="auto"/>
          <w:sz w:val="32"/>
          <w:szCs w:val="32"/>
          <w:highlight w:val="none"/>
          <w:lang w:val="zh-CN" w:eastAsia="zh-CN"/>
        </w:rPr>
        <w:t>六、改进建议</w:t>
      </w:r>
    </w:p>
    <w:p>
      <w:pPr>
        <w:keepNext w:val="0"/>
        <w:keepLines w:val="0"/>
        <w:pageBreakBefore w:val="0"/>
        <w:tabs>
          <w:tab w:val="left" w:pos="1911"/>
        </w:tabs>
        <w:kinsoku/>
        <w:wordWrap/>
        <w:overflowPunct/>
        <w:topLinePunct w:val="0"/>
        <w:autoSpaceDE/>
        <w:autoSpaceDN/>
        <w:bidi w:val="0"/>
        <w:spacing w:line="576" w:lineRule="exact"/>
        <w:jc w:val="left"/>
        <w:rPr>
          <w:rFonts w:hint="eastAsia" w:ascii="仿宋_GB2312" w:hAnsi="仿宋_GB2312" w:eastAsia="仿宋_GB2312" w:cs="仿宋_GB2312"/>
          <w:kern w:val="2"/>
          <w:sz w:val="32"/>
          <w:szCs w:val="32"/>
          <w:highlight w:val="none"/>
          <w:lang w:val="en" w:eastAsia="zh-CN" w:bidi="ar-SA"/>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 xml:space="preserve"> </w:t>
      </w:r>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 </w:t>
      </w:r>
      <w:r>
        <w:rPr>
          <w:rFonts w:hint="eastAsia" w:ascii="仿宋_GB2312" w:hAnsi="仿宋_GB2312" w:eastAsia="仿宋_GB2312" w:cs="仿宋_GB2312"/>
          <w:kern w:val="2"/>
          <w:sz w:val="32"/>
          <w:szCs w:val="32"/>
          <w:highlight w:val="none"/>
          <w:lang w:val="en-US" w:eastAsia="zh-CN" w:bidi="ar-SA"/>
        </w:rPr>
        <w:t xml:space="preserve">  无。</w:t>
      </w:r>
    </w:p>
    <w:p>
      <w:pPr>
        <w:keepNext w:val="0"/>
        <w:keepLines w:val="0"/>
        <w:pageBreakBefore w:val="0"/>
        <w:kinsoku/>
        <w:wordWrap/>
        <w:overflowPunct/>
        <w:topLinePunct w:val="0"/>
        <w:autoSpaceDE/>
        <w:autoSpaceDN/>
        <w:bidi w:val="0"/>
        <w:adjustRightInd/>
        <w:snapToGrid w:val="0"/>
        <w:spacing w:line="576" w:lineRule="exact"/>
        <w:ind w:left="0" w:leftChars="0" w:firstLine="420" w:firstLineChars="200"/>
        <w:textAlignment w:val="auto"/>
        <w:outlineLvl w:val="9"/>
        <w:rPr>
          <w:rFonts w:hint="default" w:ascii="Times New Roman" w:hAnsi="Times New Roman" w:cs="Times New Roman"/>
          <w:b w:val="0"/>
          <w:bCs w:val="0"/>
          <w:color w:val="auto"/>
          <w:kern w:val="0"/>
          <w:szCs w:val="32"/>
          <w:highlight w:val="none"/>
          <w:shd w:val="clear" w:color="auto" w:fill="FFFFFF"/>
          <w:lang w:val="zh-CN" w:eastAsia="zh-CN"/>
        </w:rPr>
      </w:pPr>
    </w:p>
    <w:p>
      <w:pPr>
        <w:suppressAutoHyphens/>
        <w:bidi w:val="0"/>
        <w:snapToGrid w:val="0"/>
        <w:spacing w:line="572" w:lineRule="exact"/>
        <w:ind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附表：</w:t>
      </w:r>
      <w:bookmarkStart w:id="113" w:name="_Toc32296"/>
      <w:r>
        <w:rPr>
          <w:rFonts w:hint="eastAsia" w:ascii="仿宋_GB2312" w:hAnsi="仿宋_GB2312" w:eastAsia="仿宋_GB2312" w:cs="仿宋_GB2312"/>
          <w:kern w:val="2"/>
          <w:sz w:val="32"/>
          <w:szCs w:val="32"/>
          <w:highlight w:val="none"/>
          <w:lang w:val="en-US" w:eastAsia="zh-CN" w:bidi="ar-SA"/>
        </w:rPr>
        <w:t>专项预算项目绩效目标完成情况自评表</w:t>
      </w:r>
      <w:bookmarkEnd w:id="113"/>
    </w:p>
    <w:p>
      <w:pPr>
        <w:keepNext w:val="0"/>
        <w:keepLines w:val="0"/>
        <w:pageBreakBefore w:val="0"/>
        <w:kinsoku/>
        <w:wordWrap/>
        <w:overflowPunct/>
        <w:topLinePunct w:val="0"/>
        <w:autoSpaceDE/>
        <w:autoSpaceDN/>
        <w:bidi w:val="0"/>
        <w:adjustRightInd/>
        <w:snapToGrid w:val="0"/>
        <w:spacing w:line="576" w:lineRule="exact"/>
        <w:ind w:left="0" w:leftChars="0" w:firstLine="420" w:firstLineChars="200"/>
        <w:textAlignment w:val="auto"/>
        <w:outlineLvl w:val="9"/>
        <w:rPr>
          <w:rFonts w:hint="default" w:ascii="Times New Roman" w:hAnsi="Times New Roman" w:cs="Times New Roman"/>
          <w:b w:val="0"/>
          <w:bCs w:val="0"/>
          <w:color w:val="auto"/>
          <w:kern w:val="0"/>
          <w:szCs w:val="32"/>
          <w:highlight w:val="none"/>
          <w:shd w:val="clear" w:color="auto" w:fill="FFFFFF"/>
          <w:lang w:val="zh-CN"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highlight w:val="none"/>
          <w:lang w:val="en-US"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tbl>
      <w:tblPr>
        <w:tblStyle w:val="21"/>
        <w:tblW w:w="94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636"/>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32" w:hRule="atLeast"/>
          <w:jc w:val="center"/>
        </w:trPr>
        <w:tc>
          <w:tcPr>
            <w:tcW w:w="9410" w:type="dxa"/>
            <w:gridSpan w:val="9"/>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576" w:lineRule="exact"/>
              <w:ind w:left="0" w:leftChars="0"/>
              <w:jc w:val="center"/>
              <w:textAlignment w:val="center"/>
              <w:rPr>
                <w:rFonts w:hint="default" w:ascii="Times New Roman" w:hAnsi="Times New Roman" w:eastAsia="黑体" w:cs="Times New Roman"/>
                <w:i w:val="0"/>
                <w:color w:val="auto"/>
                <w:sz w:val="30"/>
                <w:szCs w:val="30"/>
                <w:highlight w:val="none"/>
                <w:u w:val="none"/>
              </w:rPr>
            </w:pPr>
            <w:r>
              <w:rPr>
                <w:rFonts w:hint="default" w:ascii="Times New Roman" w:hAnsi="Times New Roman" w:eastAsia="方正小标宋简体" w:cs="Times New Roman"/>
                <w:i w:val="0"/>
                <w:color w:val="auto"/>
                <w:kern w:val="0"/>
                <w:sz w:val="40"/>
                <w:szCs w:val="40"/>
                <w:highlight w:val="none"/>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项目名称</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市本级两新组织党建工作经费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预算单位</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广元市文化广电旅游局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项目类型</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中长期规划（名称、文号，仅指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常年项目）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资金管理办法（名称、文号）</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eastAsia" w:eastAsia="Wingdings 2" w:cs="Times New Roman"/>
                <w:i w:val="0"/>
                <w:color w:val="auto"/>
                <w:kern w:val="0"/>
                <w:sz w:val="20"/>
                <w:szCs w:val="20"/>
                <w:highlight w:val="none"/>
                <w:u w:val="none"/>
                <w:lang w:val="en-US" w:eastAsia="zh-CN" w:bidi="ar"/>
              </w:rPr>
              <w:t>√</w:t>
            </w:r>
            <w:r>
              <w:rPr>
                <w:rFonts w:hint="default" w:ascii="Times New Roman" w:hAnsi="Times New Roman" w:eastAsia="Wingdings 2" w:cs="Times New Roman"/>
                <w:i w:val="0"/>
                <w:color w:val="auto"/>
                <w:kern w:val="0"/>
                <w:sz w:val="20"/>
                <w:szCs w:val="20"/>
                <w:highlight w:val="none"/>
                <w:u w:val="none"/>
                <w:lang w:val="en-US" w:eastAsia="zh-CN" w:bidi="ar"/>
              </w:rPr>
              <w:t>项目法</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据实据效</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立项依据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使用范围</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市本级两新组织党建工作经费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申报（补助）条件</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项目起止年限</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项目资金</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年度资金总额：</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其中：财政拨款</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其他资金</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righ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总体 目标</w:t>
            </w: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组建行业党委，推进两新组织标准化，加强党在文广旅行业的覆盖面和影响力。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度量单位</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权重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实际完成指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产出指标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两新组织个数</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等线" w:hAnsi="等线" w:eastAsia="等线" w:cs="等线"/>
                <w:i w:val="0"/>
                <w:iCs w:val="0"/>
                <w:color w:val="000000"/>
                <w:kern w:val="2"/>
                <w:sz w:val="18"/>
                <w:szCs w:val="18"/>
                <w:highlight w:val="none"/>
                <w:u w:val="none"/>
                <w:lang w:val="en-US" w:eastAsia="zh-CN" w:bidi="ar-SA"/>
              </w:rPr>
            </w:pPr>
            <w:r>
              <w:rPr>
                <w:rFonts w:hint="default" w:ascii="等线" w:hAnsi="等线" w:eastAsia="等线" w:cs="等线"/>
                <w:i w:val="0"/>
                <w:iCs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3</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个</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4"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等线" w:hAnsi="等线" w:eastAsia="等线" w:cs="等线"/>
                <w:i w:val="0"/>
                <w:iCs w:val="0"/>
                <w:color w:val="000000"/>
                <w:kern w:val="2"/>
                <w:sz w:val="18"/>
                <w:szCs w:val="18"/>
                <w:highlight w:val="none"/>
                <w:u w:val="none"/>
                <w:lang w:val="en-US" w:eastAsia="zh-CN" w:bidi="ar-SA"/>
              </w:rPr>
            </w:pPr>
            <w:r>
              <w:rPr>
                <w:rFonts w:hint="default" w:ascii="Times New Roman" w:hAnsi="Times New Roman" w:eastAsia="宋体" w:cs="Times New Roman"/>
                <w:i w:val="0"/>
                <w:color w:val="auto"/>
                <w:kern w:val="0"/>
                <w:sz w:val="20"/>
                <w:szCs w:val="20"/>
                <w:highlight w:val="none"/>
                <w:u w:val="none"/>
                <w:lang w:val="en-US" w:eastAsia="zh-CN" w:bidi="ar"/>
              </w:rPr>
              <w:t>组建行业党委</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等线" w:hAnsi="等线" w:eastAsia="等线" w:cs="等线"/>
                <w:i w:val="0"/>
                <w:iCs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个</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两新组织达标率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完成时效</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年</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效益指标</w:t>
            </w:r>
          </w:p>
        </w:tc>
        <w:tc>
          <w:tcPr>
            <w:tcW w:w="1250"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社会效益</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kern w:val="2"/>
                <w:sz w:val="20"/>
                <w:szCs w:val="20"/>
                <w:highlight w:val="none"/>
                <w:u w:val="none"/>
                <w:lang w:val="en-US" w:eastAsia="zh-CN" w:bidi="ar-SA"/>
              </w:rPr>
            </w:pPr>
            <w:r>
              <w:rPr>
                <w:rFonts w:hint="default" w:ascii="Times New Roman" w:hAnsi="Times New Roman" w:eastAsia="宋体" w:cs="Times New Roman"/>
                <w:i w:val="0"/>
                <w:color w:val="auto"/>
                <w:sz w:val="20"/>
                <w:szCs w:val="20"/>
                <w:highlight w:val="none"/>
                <w:u w:val="none"/>
              </w:rPr>
              <w:t>加强党在文广旅行业的覆盖面和影响力</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等线" w:hAnsi="等线" w:eastAsia="等线" w:cs="等线"/>
                <w:i w:val="0"/>
                <w:iCs w:val="0"/>
                <w:color w:val="000000"/>
                <w:kern w:val="2"/>
                <w:sz w:val="18"/>
                <w:szCs w:val="18"/>
                <w:highlight w:val="none"/>
                <w:u w:val="none"/>
                <w:lang w:val="en-US" w:eastAsia="zh-CN" w:bidi="ar-SA"/>
              </w:rPr>
            </w:pPr>
            <w:r>
              <w:rPr>
                <w:rFonts w:hint="default" w:ascii="等线" w:hAnsi="等线" w:eastAsia="等线" w:cs="等线"/>
                <w:i w:val="0"/>
                <w:iCs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default" w:ascii="Times New Roman" w:hAnsi="Times New Roman" w:eastAsia="宋体" w:cs="Times New Roman"/>
                <w:i w:val="0"/>
                <w:color w:val="auto"/>
                <w:sz w:val="20"/>
                <w:szCs w:val="20"/>
                <w:highlight w:val="none"/>
                <w:u w:val="none"/>
              </w:rPr>
              <w:t>进一步加强</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ascii="Times New Roman" w:hAnsi="Times New Roman" w:eastAsia="宋体" w:cs="Times New Roman"/>
                <w:i w:val="0"/>
                <w:color w:val="auto"/>
                <w:kern w:val="2"/>
                <w:sz w:val="20"/>
                <w:szCs w:val="20"/>
                <w:highlight w:val="none"/>
                <w:u w:val="none"/>
                <w:lang w:val="en-US" w:eastAsia="zh-CN" w:bidi="ar-SA"/>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default" w:ascii="Times New Roman" w:hAnsi="Times New Roman" w:eastAsia="宋体" w:cs="Times New Roman"/>
                <w:i w:val="0"/>
                <w:color w:val="auto"/>
                <w:sz w:val="20"/>
                <w:szCs w:val="20"/>
                <w:highlight w:val="none"/>
                <w:u w:val="none"/>
              </w:rPr>
              <w:t>进一步加强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满意度</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服务对象满意度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经济成本</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预算执行成本</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1.84</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万元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1.84</w:t>
            </w:r>
          </w:p>
        </w:tc>
      </w:tr>
    </w:tbl>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sz w:val="24"/>
          <w:szCs w:val="24"/>
          <w:highlight w:val="none"/>
          <w:lang w:val="en-US" w:eastAsia="zh-CN"/>
        </w:rPr>
      </w:pP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6</w:t>
      </w: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eastAsia" w:ascii="黑体" w:hAnsi="黑体" w:eastAsia="黑体" w:cs="黑体"/>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default" w:ascii="Times New Roman" w:hAnsi="Times New Roman" w:eastAsia="方正小标宋简体" w:cs="Times New Roman"/>
          <w:color w:val="auto"/>
          <w:kern w:val="2"/>
          <w:sz w:val="44"/>
          <w:szCs w:val="44"/>
          <w:highlight w:val="none"/>
          <w:lang w:val="en-US" w:eastAsia="zh-CN"/>
        </w:rPr>
        <w:t>《广元“十五五”时期建设大蜀道国际文化旅游目的地和康养度假胜地研究》课题报告专项预算绩效自评报告</w:t>
      </w:r>
    </w:p>
    <w:p>
      <w:pPr>
        <w:pStyle w:val="40"/>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cs="Times New Roman"/>
          <w:color w:val="auto"/>
          <w:kern w:val="2"/>
          <w:sz w:val="32"/>
          <w:szCs w:val="32"/>
          <w:highlight w:val="none"/>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kern w:val="0"/>
          <w:sz w:val="32"/>
          <w:szCs w:val="32"/>
          <w:highlight w:val="none"/>
          <w:shd w:val="clear" w:color="auto" w:fill="FFFFFF"/>
          <w:lang w:val="zh-CN" w:eastAsia="zh-CN"/>
        </w:rPr>
      </w:pPr>
      <w:r>
        <w:rPr>
          <w:rFonts w:hint="eastAsia" w:ascii="方正黑体简体" w:hAnsi="方正黑体简体" w:eastAsia="方正黑体简体" w:cs="方正黑体简体"/>
          <w:color w:val="auto"/>
          <w:kern w:val="0"/>
          <w:sz w:val="32"/>
          <w:szCs w:val="32"/>
          <w:highlight w:val="none"/>
          <w:shd w:val="clear" w:color="auto" w:fill="FFFFFF"/>
          <w:lang w:val="en-US" w:eastAsia="zh-CN"/>
        </w:rPr>
        <w:t>一、</w:t>
      </w:r>
      <w:r>
        <w:rPr>
          <w:rFonts w:hint="eastAsia" w:ascii="方正黑体简体" w:hAnsi="方正黑体简体" w:eastAsia="方正黑体简体" w:cs="方正黑体简体"/>
          <w:color w:val="auto"/>
          <w:kern w:val="0"/>
          <w:sz w:val="32"/>
          <w:szCs w:val="32"/>
          <w:highlight w:val="none"/>
          <w:shd w:val="clear" w:color="auto" w:fill="FFFFFF"/>
          <w:lang w:val="zh-CN" w:eastAsia="zh-CN"/>
        </w:rPr>
        <w:t>项目概况</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kern w:val="2"/>
          <w:sz w:val="32"/>
          <w:szCs w:val="32"/>
          <w:highlight w:val="none"/>
          <w:lang w:val="en-US" w:eastAsia="zh-CN" w:bidi="ar-SA"/>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（一）设立背景及基本情况。</w:t>
      </w:r>
      <w:r>
        <w:rPr>
          <w:rFonts w:hint="eastAsia" w:ascii="仿宋_GB2312" w:hAnsi="仿宋_GB2312" w:eastAsia="仿宋_GB2312" w:cs="仿宋_GB2312"/>
          <w:kern w:val="2"/>
          <w:sz w:val="32"/>
          <w:szCs w:val="32"/>
          <w:highlight w:val="none"/>
          <w:lang w:val="en-US" w:eastAsia="zh-CN" w:bidi="ar-SA"/>
        </w:rPr>
        <w:t>按照广元市“十五五”规划编制工作机制办公室（市发展改革委）《关于关于印发〈广元市“十五五”规划编制工作方案〉的通知》（广规机办〔2024〕3号）和《关于做好“十五五”规划编制近期重点工作的通知》要求，为做好“十五五”规划编制前期研究工作，全市共确定20个研究课题，其中我局承担《广元“十五五”时期建设大蜀道国际文化旅游目的地和康养度假胜地研究》课题。</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kern w:val="2"/>
          <w:sz w:val="32"/>
          <w:szCs w:val="32"/>
          <w:highlight w:val="none"/>
          <w:lang w:val="zh-CN" w:eastAsia="zh-CN" w:bidi="ar-SA"/>
        </w:rPr>
      </w:pPr>
      <w:r>
        <w:rPr>
          <w:rFonts w:hint="eastAsia" w:ascii="方正楷体简体" w:hAnsi="方正楷体简体" w:eastAsia="方正楷体简体" w:cs="方正楷体简体"/>
          <w:color w:val="auto"/>
          <w:kern w:val="0"/>
          <w:sz w:val="32"/>
          <w:szCs w:val="32"/>
          <w:highlight w:val="none"/>
          <w:shd w:val="clear" w:color="auto" w:fill="FFFFFF"/>
          <w:lang w:val="en-US" w:eastAsia="zh-CN"/>
        </w:rPr>
        <w:t>（二）实施目的及支持方向。</w:t>
      </w:r>
      <w:r>
        <w:rPr>
          <w:rFonts w:hint="eastAsia" w:ascii="仿宋_GB2312" w:hAnsi="仿宋_GB2312" w:eastAsia="仿宋_GB2312" w:cs="仿宋_GB2312"/>
          <w:kern w:val="2"/>
          <w:sz w:val="32"/>
          <w:szCs w:val="32"/>
          <w:highlight w:val="none"/>
          <w:lang w:val="en-US" w:eastAsia="zh-CN" w:bidi="ar-SA"/>
        </w:rPr>
        <w:t>通过《广元“十五五”时期建设大蜀道国际文化旅游目的地和康养度假胜地研究》课题前期调研和课题报告编写，为广元市“十五五”文化旅游发展规划编制工作提供参考和指引</w:t>
      </w:r>
      <w:r>
        <w:rPr>
          <w:rFonts w:hint="eastAsia" w:ascii="仿宋_GB2312" w:hAnsi="仿宋_GB2312" w:eastAsia="仿宋_GB2312" w:cs="仿宋_GB2312"/>
          <w:kern w:val="2"/>
          <w:sz w:val="32"/>
          <w:szCs w:val="32"/>
          <w:highlight w:val="none"/>
          <w:lang w:val="zh-CN" w:eastAsia="zh-CN" w:bidi="ar-SA"/>
        </w:rPr>
        <w:t>。</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kern w:val="2"/>
          <w:sz w:val="32"/>
          <w:szCs w:val="32"/>
          <w:highlight w:val="none"/>
          <w:lang w:val="en-US" w:eastAsia="zh-CN" w:bidi="ar-SA"/>
        </w:rPr>
      </w:pPr>
      <w:r>
        <w:rPr>
          <w:rFonts w:hint="eastAsia" w:ascii="方正楷体简体" w:hAnsi="方正楷体简体" w:eastAsia="方正楷体简体" w:cs="方正楷体简体"/>
          <w:color w:val="auto"/>
          <w:kern w:val="0"/>
          <w:sz w:val="32"/>
          <w:szCs w:val="32"/>
          <w:highlight w:val="none"/>
          <w:shd w:val="clear" w:color="auto" w:fill="FFFFFF"/>
          <w:lang w:val="en-US" w:eastAsia="zh-CN"/>
        </w:rPr>
        <w:t>（三）预算安排及分配管理。</w:t>
      </w:r>
      <w:r>
        <w:rPr>
          <w:rFonts w:hint="eastAsia" w:ascii="仿宋_GB2312" w:hAnsi="仿宋_GB2312" w:eastAsia="仿宋_GB2312" w:cs="仿宋_GB2312"/>
          <w:kern w:val="2"/>
          <w:sz w:val="32"/>
          <w:szCs w:val="32"/>
          <w:highlight w:val="none"/>
          <w:lang w:val="en-US" w:eastAsia="zh-CN" w:bidi="ar-SA"/>
        </w:rPr>
        <w:t>课题项目总费用5万，包括前期调研和课题报告编制。</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（四）项目绩效目标设置。</w:t>
      </w:r>
      <w:r>
        <w:rPr>
          <w:rFonts w:hint="eastAsia" w:ascii="仿宋_GB2312" w:hAnsi="仿宋_GB2312" w:eastAsia="仿宋_GB2312" w:cs="仿宋_GB2312"/>
          <w:kern w:val="2"/>
          <w:sz w:val="32"/>
          <w:szCs w:val="32"/>
          <w:highlight w:val="none"/>
          <w:lang w:val="zh-CN" w:eastAsia="zh-CN" w:bidi="ar-SA"/>
        </w:rPr>
        <w:t>编制</w:t>
      </w:r>
      <w:r>
        <w:rPr>
          <w:rFonts w:hint="eastAsia" w:ascii="仿宋_GB2312" w:hAnsi="仿宋_GB2312" w:eastAsia="仿宋_GB2312" w:cs="仿宋_GB2312"/>
          <w:kern w:val="2"/>
          <w:sz w:val="32"/>
          <w:szCs w:val="32"/>
          <w:highlight w:val="none"/>
          <w:lang w:val="en-US" w:eastAsia="zh-CN" w:bidi="ar-SA"/>
        </w:rPr>
        <w:t>《广元“十五五”时期建设大</w:t>
      </w:r>
      <w:r>
        <w:rPr>
          <w:rFonts w:hint="eastAsia" w:ascii="仿宋_GB2312" w:hAnsi="仿宋_GB2312" w:eastAsia="仿宋_GB2312" w:cs="仿宋_GB2312"/>
          <w:color w:val="auto"/>
          <w:kern w:val="0"/>
          <w:sz w:val="32"/>
          <w:szCs w:val="32"/>
          <w:highlight w:val="none"/>
          <w:shd w:val="clear" w:color="auto" w:fill="FFFFFF"/>
          <w:lang w:val="en-US" w:eastAsia="zh-CN"/>
        </w:rPr>
        <w:t>蜀道国际文化旅游目的地和康养度假胜地研究》课题报告。</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kern w:val="0"/>
          <w:sz w:val="32"/>
          <w:szCs w:val="32"/>
          <w:highlight w:val="none"/>
          <w:shd w:val="clear" w:color="auto" w:fill="FFFFFF"/>
          <w:lang w:val="en-US" w:eastAsia="zh-CN"/>
        </w:rPr>
      </w:pPr>
      <w:r>
        <w:rPr>
          <w:rFonts w:hint="eastAsia" w:ascii="方正黑体简体" w:hAnsi="方正黑体简体" w:eastAsia="方正黑体简体" w:cs="方正黑体简体"/>
          <w:color w:val="auto"/>
          <w:kern w:val="0"/>
          <w:sz w:val="32"/>
          <w:szCs w:val="32"/>
          <w:highlight w:val="none"/>
          <w:shd w:val="clear" w:color="auto" w:fill="FFFFFF"/>
          <w:lang w:val="en-US" w:eastAsia="zh-CN"/>
        </w:rPr>
        <w:t>二、评价实施</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（一）评价目的。</w:t>
      </w:r>
      <w:r>
        <w:rPr>
          <w:rFonts w:hint="eastAsia" w:ascii="仿宋_GB2312" w:hAnsi="仿宋_GB2312" w:eastAsia="仿宋_GB2312" w:cs="仿宋_GB2312"/>
          <w:color w:val="auto"/>
          <w:kern w:val="0"/>
          <w:sz w:val="32"/>
          <w:szCs w:val="32"/>
          <w:highlight w:val="none"/>
          <w:shd w:val="clear" w:color="auto" w:fill="FFFFFF"/>
          <w:lang w:val="zh-CN" w:eastAsia="zh-CN"/>
        </w:rPr>
        <w:t>编制</w:t>
      </w:r>
      <w:r>
        <w:rPr>
          <w:rFonts w:hint="eastAsia" w:ascii="仿宋_GB2312" w:hAnsi="仿宋_GB2312" w:eastAsia="仿宋_GB2312" w:cs="仿宋_GB2312"/>
          <w:color w:val="auto"/>
          <w:kern w:val="0"/>
          <w:sz w:val="32"/>
          <w:szCs w:val="32"/>
          <w:highlight w:val="none"/>
          <w:shd w:val="clear" w:color="auto" w:fill="FFFFFF"/>
          <w:lang w:val="en-US" w:eastAsia="zh-CN"/>
        </w:rPr>
        <w:t>《广元“十五五”时期建设大蜀道国际文化旅游目的地和康养度假胜地研究》课题报告编写，为广元市“十五五”文化旅游发展规划编制工作提供参考和指引</w:t>
      </w:r>
      <w:r>
        <w:rPr>
          <w:rFonts w:hint="eastAsia" w:ascii="仿宋_GB2312" w:hAnsi="仿宋_GB2312" w:eastAsia="仿宋_GB2312" w:cs="仿宋_GB2312"/>
          <w:color w:val="auto"/>
          <w:kern w:val="0"/>
          <w:sz w:val="32"/>
          <w:szCs w:val="32"/>
          <w:highlight w:val="none"/>
          <w:shd w:val="clear" w:color="auto" w:fill="FFFFFF"/>
          <w:lang w:val="zh-CN" w:eastAsia="zh-CN"/>
        </w:rPr>
        <w:t>。</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（二）预设问题及评价重点。</w:t>
      </w:r>
      <w:r>
        <w:rPr>
          <w:rFonts w:hint="eastAsia" w:ascii="仿宋_GB2312" w:hAnsi="仿宋_GB2312" w:eastAsia="仿宋_GB2312" w:cs="仿宋_GB2312"/>
          <w:color w:val="auto"/>
          <w:kern w:val="0"/>
          <w:sz w:val="32"/>
          <w:szCs w:val="32"/>
          <w:highlight w:val="none"/>
          <w:shd w:val="clear" w:color="auto" w:fill="FFFFFF"/>
          <w:lang w:val="en-US" w:eastAsia="zh-CN"/>
        </w:rPr>
        <w:t>《广元“十五五”时期建设大蜀道国际文化旅游目的地和康养度假胜地研究》课题报告编制质量。</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（三）评价选点。</w:t>
      </w:r>
      <w:r>
        <w:rPr>
          <w:rFonts w:hint="eastAsia" w:ascii="仿宋_GB2312" w:hAnsi="仿宋_GB2312" w:eastAsia="仿宋_GB2312" w:cs="仿宋_GB2312"/>
          <w:color w:val="auto"/>
          <w:kern w:val="0"/>
          <w:sz w:val="32"/>
          <w:szCs w:val="32"/>
          <w:highlight w:val="none"/>
          <w:shd w:val="clear" w:color="auto" w:fill="FFFFFF"/>
          <w:lang w:val="zh-CN" w:eastAsia="zh-CN"/>
        </w:rPr>
        <w:t>无</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（四）评价方法。</w:t>
      </w:r>
      <w:r>
        <w:rPr>
          <w:rFonts w:hint="eastAsia" w:ascii="仿宋_GB2312" w:hAnsi="仿宋_GB2312" w:eastAsia="仿宋_GB2312" w:cs="仿宋_GB2312"/>
          <w:color w:val="auto"/>
          <w:kern w:val="0"/>
          <w:sz w:val="32"/>
          <w:szCs w:val="32"/>
          <w:highlight w:val="none"/>
          <w:shd w:val="clear" w:color="auto" w:fill="FFFFFF"/>
          <w:lang w:val="en-US" w:eastAsia="zh-CN"/>
        </w:rPr>
        <w:t>自评。</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（五）评价组织。</w:t>
      </w:r>
      <w:r>
        <w:rPr>
          <w:rFonts w:hint="eastAsia" w:ascii="仿宋_GB2312" w:hAnsi="仿宋_GB2312" w:eastAsia="仿宋_GB2312" w:cs="仿宋_GB2312"/>
          <w:color w:val="auto"/>
          <w:kern w:val="0"/>
          <w:sz w:val="32"/>
          <w:szCs w:val="32"/>
          <w:highlight w:val="none"/>
          <w:shd w:val="clear" w:color="auto" w:fill="FFFFFF"/>
          <w:lang w:val="zh-CN" w:eastAsia="zh-CN"/>
        </w:rPr>
        <w:t>规划资源科、财务科、内部监督与审计科等相关科室组成评价小组，进行评价。</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kern w:val="0"/>
          <w:sz w:val="32"/>
          <w:szCs w:val="32"/>
          <w:highlight w:val="none"/>
          <w:shd w:val="clear" w:color="auto" w:fill="FFFFFF"/>
          <w:lang w:val="zh-CN" w:eastAsia="zh-CN"/>
        </w:rPr>
      </w:pPr>
      <w:r>
        <w:rPr>
          <w:rFonts w:hint="eastAsia" w:ascii="方正黑体简体" w:hAnsi="方正黑体简体" w:eastAsia="方正黑体简体" w:cs="方正黑体简体"/>
          <w:color w:val="auto"/>
          <w:kern w:val="0"/>
          <w:sz w:val="32"/>
          <w:szCs w:val="32"/>
          <w:highlight w:val="none"/>
          <w:shd w:val="clear" w:color="auto" w:fill="FFFFFF"/>
          <w:lang w:val="en-US" w:eastAsia="zh-CN"/>
        </w:rPr>
        <w:t>三、绩效分析</w:t>
      </w:r>
      <w:r>
        <w:rPr>
          <w:rFonts w:hint="eastAsia" w:ascii="方正黑体简体" w:hAnsi="方正黑体简体" w:eastAsia="方正黑体简体" w:cs="方正黑体简体"/>
          <w:color w:val="auto"/>
          <w:kern w:val="0"/>
          <w:sz w:val="32"/>
          <w:szCs w:val="32"/>
          <w:highlight w:val="none"/>
          <w:shd w:val="clear" w:color="auto" w:fill="FFFFFF"/>
          <w:lang w:val="zh-CN" w:eastAsia="zh-CN"/>
        </w:rPr>
        <w:tab/>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楷体简体" w:hAnsi="方正楷体简体" w:eastAsia="方正楷体简体" w:cs="方正楷体简体"/>
          <w:color w:val="auto"/>
          <w:kern w:val="0"/>
          <w:sz w:val="32"/>
          <w:szCs w:val="32"/>
          <w:highlight w:val="none"/>
          <w:shd w:val="clear" w:color="auto" w:fill="FFFFFF"/>
          <w:lang w:val="en-US" w:eastAsia="zh-CN"/>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（一）</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通用指标</w:t>
      </w:r>
      <w:r>
        <w:rPr>
          <w:rFonts w:hint="eastAsia" w:ascii="方正楷体简体" w:hAnsi="方正楷体简体" w:eastAsia="方正楷体简体" w:cs="方正楷体简体"/>
          <w:color w:val="auto"/>
          <w:kern w:val="0"/>
          <w:sz w:val="32"/>
          <w:szCs w:val="32"/>
          <w:highlight w:val="none"/>
          <w:shd w:val="clear" w:color="auto" w:fill="FFFFFF"/>
          <w:lang w:val="zh-CN" w:eastAsia="zh-CN"/>
        </w:rPr>
        <w:t>绩效分析。</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1.项目决策。局党组召开党组会，专题研究该课题实施情况和资金来源、使用情况等。</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2.项目管理。严格按照市文化广电旅游局资金管理办法规定，对项目进行审核、决策、拨付。</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3.项目实施。预计使用资金3万元，实际使用3万元。项目资金使用、拨付符合国家财经法规、财务管理制度及有关专项资金管理制度办法规定和审批程序。</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4.项目结果。项目完成预期目标，实施结果与绩效目标相匹配，并在计划完成时间内完成。</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（二）</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专用指标</w:t>
      </w:r>
      <w:r>
        <w:rPr>
          <w:rFonts w:hint="eastAsia" w:ascii="方正楷体简体" w:hAnsi="方正楷体简体" w:eastAsia="方正楷体简体" w:cs="方正楷体简体"/>
          <w:color w:val="auto"/>
          <w:kern w:val="0"/>
          <w:sz w:val="32"/>
          <w:szCs w:val="32"/>
          <w:highlight w:val="none"/>
          <w:shd w:val="clear" w:color="auto" w:fill="FFFFFF"/>
          <w:lang w:val="zh-CN" w:eastAsia="zh-CN"/>
        </w:rPr>
        <w:t>绩效分析。</w:t>
      </w:r>
      <w:r>
        <w:rPr>
          <w:rFonts w:hint="eastAsia" w:ascii="仿宋_GB2312" w:hAnsi="仿宋_GB2312" w:eastAsia="仿宋_GB2312" w:cs="仿宋_GB2312"/>
          <w:color w:val="auto"/>
          <w:kern w:val="0"/>
          <w:sz w:val="32"/>
          <w:szCs w:val="32"/>
          <w:highlight w:val="none"/>
          <w:shd w:val="clear" w:color="auto" w:fill="FFFFFF"/>
          <w:lang w:val="zh-CN" w:eastAsia="zh-CN"/>
        </w:rPr>
        <w:t>项目资金严格按规定用途、适用范围进行专项资金分配，实际用途符合专项资金管理要求。</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方正楷体简体" w:hAnsi="方正楷体简体" w:eastAsia="方正楷体简体" w:cs="方正楷体简体"/>
          <w:color w:val="auto"/>
          <w:kern w:val="0"/>
          <w:sz w:val="32"/>
          <w:szCs w:val="32"/>
          <w:highlight w:val="none"/>
          <w:shd w:val="clear" w:color="auto" w:fill="FFFFFF"/>
          <w:lang w:val="zh-CN" w:eastAsia="zh-CN"/>
        </w:rPr>
        <w:t>（三）</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个性指标</w:t>
      </w:r>
      <w:r>
        <w:rPr>
          <w:rFonts w:hint="eastAsia" w:ascii="方正楷体简体" w:hAnsi="方正楷体简体" w:eastAsia="方正楷体简体" w:cs="方正楷体简体"/>
          <w:color w:val="auto"/>
          <w:kern w:val="0"/>
          <w:sz w:val="32"/>
          <w:szCs w:val="32"/>
          <w:highlight w:val="none"/>
          <w:shd w:val="clear" w:color="auto" w:fill="FFFFFF"/>
          <w:lang w:val="zh-CN" w:eastAsia="zh-CN"/>
        </w:rPr>
        <w:t>绩效分析。</w:t>
      </w:r>
      <w:r>
        <w:rPr>
          <w:rFonts w:hint="eastAsia" w:ascii="仿宋_GB2312" w:hAnsi="仿宋_GB2312" w:eastAsia="仿宋_GB2312" w:cs="仿宋_GB2312"/>
          <w:color w:val="auto"/>
          <w:kern w:val="0"/>
          <w:sz w:val="32"/>
          <w:szCs w:val="32"/>
          <w:highlight w:val="none"/>
          <w:shd w:val="clear" w:color="auto" w:fill="FFFFFF"/>
          <w:lang w:val="zh-CN" w:eastAsia="zh-CN"/>
        </w:rPr>
        <w:t>编制</w:t>
      </w:r>
      <w:r>
        <w:rPr>
          <w:rFonts w:hint="eastAsia" w:ascii="仿宋_GB2312" w:hAnsi="仿宋_GB2312" w:eastAsia="仿宋_GB2312" w:cs="仿宋_GB2312"/>
          <w:color w:val="auto"/>
          <w:kern w:val="0"/>
          <w:sz w:val="32"/>
          <w:szCs w:val="32"/>
          <w:highlight w:val="none"/>
          <w:shd w:val="clear" w:color="auto" w:fill="FFFFFF"/>
          <w:lang w:val="en-US" w:eastAsia="zh-CN"/>
        </w:rPr>
        <w:t>《广元“十五五”时期建设大蜀道国际文化旅游目的地和康养度假胜地研究》课题报告1份。</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kern w:val="0"/>
          <w:sz w:val="32"/>
          <w:szCs w:val="32"/>
          <w:highlight w:val="none"/>
          <w:shd w:val="clear" w:color="auto" w:fill="FFFFFF"/>
          <w:lang w:val="en-US" w:eastAsia="zh-CN"/>
        </w:rPr>
      </w:pPr>
      <w:r>
        <w:rPr>
          <w:rFonts w:hint="eastAsia" w:ascii="方正黑体简体" w:hAnsi="方正黑体简体" w:eastAsia="方正黑体简体" w:cs="方正黑体简体"/>
          <w:color w:val="auto"/>
          <w:kern w:val="0"/>
          <w:sz w:val="32"/>
          <w:szCs w:val="32"/>
          <w:highlight w:val="none"/>
          <w:shd w:val="clear" w:color="auto" w:fill="FFFFFF"/>
          <w:lang w:val="en-US" w:eastAsia="zh-CN"/>
        </w:rPr>
        <w:t>四、评价结论</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本项目项目绩效自评得分96分。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kern w:val="0"/>
          <w:sz w:val="32"/>
          <w:szCs w:val="32"/>
          <w:highlight w:val="none"/>
          <w:shd w:val="clear" w:color="auto" w:fill="FFFFFF"/>
          <w:lang w:val="en-US" w:eastAsia="zh-CN"/>
        </w:rPr>
      </w:pPr>
      <w:r>
        <w:rPr>
          <w:rFonts w:hint="eastAsia" w:ascii="方正黑体简体" w:hAnsi="方正黑体简体" w:eastAsia="方正黑体简体" w:cs="方正黑体简体"/>
          <w:color w:val="auto"/>
          <w:kern w:val="0"/>
          <w:sz w:val="32"/>
          <w:szCs w:val="32"/>
          <w:highlight w:val="none"/>
          <w:shd w:val="clear" w:color="auto" w:fill="FFFFFF"/>
          <w:lang w:val="en-US" w:eastAsia="zh-CN"/>
        </w:rPr>
        <w:t>五、存在主要问题</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无</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kern w:val="0"/>
          <w:sz w:val="32"/>
          <w:szCs w:val="32"/>
          <w:highlight w:val="none"/>
          <w:shd w:val="clear" w:color="auto" w:fill="FFFFFF"/>
          <w:lang w:val="zh-CN" w:eastAsia="zh-CN"/>
        </w:rPr>
      </w:pPr>
      <w:r>
        <w:rPr>
          <w:rFonts w:hint="eastAsia" w:ascii="方正黑体简体" w:hAnsi="方正黑体简体" w:eastAsia="方正黑体简体" w:cs="方正黑体简体"/>
          <w:color w:val="auto"/>
          <w:kern w:val="0"/>
          <w:sz w:val="32"/>
          <w:szCs w:val="32"/>
          <w:highlight w:val="none"/>
          <w:shd w:val="clear" w:color="auto" w:fill="FFFFFF"/>
          <w:lang w:val="zh-CN" w:eastAsia="zh-CN"/>
        </w:rPr>
        <w:t>六、改进建议</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rPr>
      </w:pPr>
      <w:r>
        <w:rPr>
          <w:rFonts w:hint="eastAsia" w:ascii="仿宋_GB2312" w:hAnsi="仿宋_GB2312" w:eastAsia="仿宋_GB2312" w:cs="仿宋_GB2312"/>
          <w:color w:val="auto"/>
          <w:kern w:val="0"/>
          <w:sz w:val="32"/>
          <w:szCs w:val="32"/>
          <w:highlight w:val="none"/>
          <w:shd w:val="clear" w:color="auto" w:fill="FFFFFF"/>
          <w:lang w:val="zh-CN" w:eastAsia="zh-CN"/>
        </w:rPr>
        <w:t xml:space="preserve"> 提前谋划，加强与国土空间规划等衔接，确保课题报告的指导参考性。</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附表：专项预算项目绩效目标完成情况自评表</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default" w:ascii="仿宋_GB2312" w:hAnsi="仿宋_GB2312" w:eastAsia="仿宋_GB2312" w:cs="仿宋_GB2312"/>
          <w:color w:val="auto"/>
          <w:kern w:val="0"/>
          <w:sz w:val="32"/>
          <w:szCs w:val="32"/>
          <w:highlight w:val="none"/>
          <w:shd w:val="clear" w:color="auto" w:fill="FFFFFF"/>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tbl>
      <w:tblPr>
        <w:tblStyle w:val="21"/>
        <w:tblW w:w="94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636"/>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32" w:hRule="atLeast"/>
          <w:jc w:val="center"/>
        </w:trPr>
        <w:tc>
          <w:tcPr>
            <w:tcW w:w="9410" w:type="dxa"/>
            <w:gridSpan w:val="9"/>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576" w:lineRule="exact"/>
              <w:ind w:left="0" w:leftChars="0"/>
              <w:jc w:val="center"/>
              <w:textAlignment w:val="center"/>
              <w:rPr>
                <w:rFonts w:hint="default" w:ascii="Times New Roman" w:hAnsi="Times New Roman" w:eastAsia="黑体" w:cs="Times New Roman"/>
                <w:i w:val="0"/>
                <w:color w:val="auto"/>
                <w:sz w:val="30"/>
                <w:szCs w:val="30"/>
                <w:highlight w:val="none"/>
                <w:u w:val="none"/>
              </w:rPr>
            </w:pPr>
            <w:r>
              <w:rPr>
                <w:rFonts w:hint="default" w:ascii="Times New Roman" w:hAnsi="Times New Roman" w:eastAsia="方正小标宋简体" w:cs="Times New Roman"/>
                <w:i w:val="0"/>
                <w:color w:val="auto"/>
                <w:kern w:val="0"/>
                <w:sz w:val="40"/>
                <w:szCs w:val="40"/>
                <w:highlight w:val="none"/>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项目名称</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编制《广元“十五五”时期建设大蜀道国际文化旅游目的地和康养度假胜地研究》课题报告项目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预算单位</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项目类型</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中长期规划（名称、文号，仅指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常年项目）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资金管理办法（名称、文号）</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w:t>
            </w:r>
            <w:r>
              <w:rPr>
                <w:rFonts w:hint="default" w:ascii="Times New Roman" w:hAnsi="Times New Roman" w:eastAsia="Wingdings 2" w:cs="Times New Roman"/>
                <w:i w:val="0"/>
                <w:color w:val="auto"/>
                <w:kern w:val="0"/>
                <w:sz w:val="20"/>
                <w:szCs w:val="20"/>
                <w:highlight w:val="none"/>
                <w:u w:val="none"/>
                <w:lang w:val="en-US" w:eastAsia="zh-CN" w:bidi="ar"/>
              </w:rPr>
              <w:t>项目法</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据实据效</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立项依据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《广元市发展和改革委员会关于做“十五五”规划前期工作的通知》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使用范围</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编制《广元“十五五”时期建设大蜀道国际文化旅游目的地和康养度假胜地研究》课题报告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申报（补助）条件</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项目起止年限</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2024年9月-2024年11月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项目资金</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年度资金总额：</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其中：财政拨款</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其他资金</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righ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总体 目标</w:t>
            </w: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完成</w:t>
            </w:r>
            <w:r>
              <w:rPr>
                <w:rFonts w:hint="default" w:ascii="Times New Roman" w:hAnsi="Times New Roman" w:eastAsia="宋体" w:cs="Times New Roman"/>
                <w:i w:val="0"/>
                <w:color w:val="auto"/>
                <w:sz w:val="20"/>
                <w:szCs w:val="20"/>
                <w:highlight w:val="none"/>
                <w:u w:val="none"/>
              </w:rPr>
              <w:t>“十五五”</w:t>
            </w:r>
            <w:r>
              <w:rPr>
                <w:rFonts w:hint="eastAsia" w:eastAsia="宋体" w:cs="Times New Roman"/>
                <w:i w:val="0"/>
                <w:color w:val="auto"/>
                <w:sz w:val="20"/>
                <w:szCs w:val="20"/>
                <w:highlight w:val="none"/>
                <w:u w:val="none"/>
                <w:lang w:eastAsia="zh-CN"/>
              </w:rPr>
              <w:t>文化旅游发展规划前期研究，形成</w:t>
            </w:r>
            <w:r>
              <w:rPr>
                <w:rFonts w:hint="default" w:ascii="Times New Roman" w:hAnsi="Times New Roman" w:eastAsia="宋体" w:cs="Times New Roman"/>
                <w:i w:val="0"/>
                <w:color w:val="auto"/>
                <w:sz w:val="20"/>
                <w:szCs w:val="20"/>
                <w:highlight w:val="none"/>
                <w:u w:val="none"/>
              </w:rPr>
              <w:t>《广元“十五五”时期建设大蜀道国际文化旅游目的地和康养度假胜地研究》课题报告</w:t>
            </w:r>
            <w:r>
              <w:rPr>
                <w:rFonts w:hint="eastAsia" w:eastAsia="宋体" w:cs="Times New Roman"/>
                <w:i w:val="0"/>
                <w:color w:val="auto"/>
                <w:sz w:val="20"/>
                <w:szCs w:val="20"/>
                <w:highlight w:val="none"/>
                <w:u w:val="none"/>
                <w:lang w:eastAsia="zh-CN"/>
              </w:rPr>
              <w:t>，为“十五五”文化旅游发展规划编制提供指导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8"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度量单位</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权重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实际完成指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产出指标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课题研究报告</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份</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2"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课题编制质量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级</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5"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完成时间</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3</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月</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效益指标</w:t>
            </w:r>
          </w:p>
        </w:tc>
        <w:tc>
          <w:tcPr>
            <w:tcW w:w="1250"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社会效益</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eastAsia="zh-CN"/>
              </w:rPr>
              <w:t>助力广元文旅产业高质量发展</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default" w:ascii="Times New Roman" w:hAnsi="Times New Roman" w:eastAsia="宋体" w:cs="Times New Roman"/>
                <w:i w:val="0"/>
                <w:color w:val="auto"/>
                <w:sz w:val="20"/>
                <w:szCs w:val="20"/>
                <w:highlight w:val="none"/>
                <w:u w:val="none"/>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default" w:ascii="Times New Roman" w:hAnsi="Times New Roman" w:eastAsia="宋体" w:cs="Times New Roman"/>
                <w:i w:val="0"/>
                <w:color w:val="auto"/>
                <w:sz w:val="20"/>
                <w:szCs w:val="20"/>
                <w:highlight w:val="none"/>
                <w:u w:val="none"/>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default" w:ascii="Times New Roman" w:hAnsi="Times New Roman" w:eastAsia="宋体" w:cs="Times New Roman"/>
                <w:i w:val="0"/>
                <w:color w:val="auto"/>
                <w:sz w:val="20"/>
                <w:szCs w:val="20"/>
                <w:highlight w:val="none"/>
                <w:u w:val="none"/>
              </w:rPr>
              <w:t>级</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满意度</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服务对象</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服务对象满意度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95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b/>
                <w:bCs/>
                <w:i w:val="0"/>
                <w:color w:val="auto"/>
                <w:sz w:val="20"/>
                <w:szCs w:val="20"/>
                <w:highlight w:val="none"/>
                <w:u w:val="none"/>
              </w:rPr>
            </w:pPr>
            <w:r>
              <w:rPr>
                <w:rFonts w:hint="default" w:eastAsia="宋体" w:cs="Times New Roman"/>
                <w:i w:val="0"/>
                <w:color w:val="auto"/>
                <w:sz w:val="20"/>
                <w:szCs w:val="20"/>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经济成本</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预算执行经费</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ascii="Times New Roman" w:hAnsi="Times New Roman" w:eastAsia="宋体" w:cs="Times New Roman"/>
                <w:i w:val="0"/>
                <w:color w:val="auto"/>
                <w:sz w:val="20"/>
                <w:szCs w:val="20"/>
                <w:highlight w:val="none"/>
                <w:u w:val="none"/>
                <w:lang w:val="en-US" w:eastAsia="zh-CN"/>
              </w:rPr>
              <w:t>30000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ascii="Times New Roman" w:hAnsi="Times New Roman" w:eastAsia="宋体" w:cs="Times New Roman"/>
                <w:i w:val="0"/>
                <w:color w:val="auto"/>
                <w:sz w:val="20"/>
                <w:szCs w:val="20"/>
                <w:highlight w:val="none"/>
                <w:u w:val="none"/>
                <w:lang w:eastAsia="zh-CN"/>
              </w:rPr>
              <w:t>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w:t>
            </w:r>
          </w:p>
        </w:tc>
      </w:tr>
    </w:tbl>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17"/>
        <w:keepNext w:val="0"/>
        <w:keepLines w:val="0"/>
        <w:pageBreakBefore w:val="0"/>
        <w:widowControl w:val="0"/>
        <w:kinsoku/>
        <w:wordWrap/>
        <w:overflowPunct/>
        <w:topLinePunct w:val="0"/>
        <w:autoSpaceDE/>
        <w:autoSpaceDN/>
        <w:bidi w:val="0"/>
        <w:adjustRightInd/>
        <w:snapToGrid/>
        <w:spacing w:after="0" w:line="576" w:lineRule="exact"/>
        <w:ind w:left="0" w:leftChars="0" w:firstLine="0" w:firstLineChars="0"/>
        <w:textAlignment w:val="auto"/>
        <w:rPr>
          <w:rFonts w:hint="default" w:ascii="Times New Roman" w:hAnsi="Times New Roman" w:eastAsia="黑体" w:cs="Times New Roman"/>
          <w:color w:val="auto"/>
          <w:sz w:val="24"/>
          <w:szCs w:val="24"/>
          <w:highlight w:val="none"/>
          <w:lang w:val="en-US" w:eastAsia="zh-CN"/>
        </w:rPr>
      </w:pP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7</w:t>
      </w: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wordWrap/>
        <w:overflowPunct/>
        <w:topLinePunct w:val="0"/>
        <w:autoSpaceDE/>
        <w:autoSpaceDN/>
        <w:bidi w:val="0"/>
        <w:spacing w:line="540" w:lineRule="exact"/>
        <w:jc w:val="center"/>
        <w:textAlignment w:val="auto"/>
        <w:outlineLvl w:val="9"/>
        <w:rPr>
          <w:rFonts w:hint="eastAsia" w:ascii="方正小标宋简体" w:eastAsia="方正小标宋简体" w:cs="方正小标宋简体"/>
          <w:color w:val="000000"/>
          <w:sz w:val="44"/>
          <w:szCs w:val="44"/>
          <w:highlight w:val="none"/>
          <w:lang w:bidi="ar-SA"/>
        </w:rPr>
      </w:pPr>
      <w:r>
        <w:rPr>
          <w:rFonts w:hint="eastAsia" w:ascii="方正小标宋简体" w:eastAsia="方正小标宋简体" w:cs="方正小标宋简体"/>
          <w:color w:val="000000"/>
          <w:sz w:val="44"/>
          <w:szCs w:val="44"/>
          <w:highlight w:val="none"/>
          <w:lang w:bidi="ar-SA"/>
        </w:rPr>
        <w:t>广元市文化广播电视和旅游局</w:t>
      </w:r>
    </w:p>
    <w:p>
      <w:pPr>
        <w:keepNext w:val="0"/>
        <w:keepLines w:val="0"/>
        <w:pageBreakBefore w:val="0"/>
        <w:widowControl w:val="0"/>
        <w:kinsoku/>
        <w:wordWrap/>
        <w:overflowPunct/>
        <w:topLinePunct w:val="0"/>
        <w:autoSpaceDE/>
        <w:autoSpaceDN/>
        <w:spacing w:line="540" w:lineRule="exact"/>
        <w:jc w:val="center"/>
        <w:rPr>
          <w:rFonts w:hint="eastAsia" w:ascii="方正小标宋简体" w:eastAsia="方正小标宋简体" w:cs="方正小标宋简体"/>
          <w:color w:val="000000"/>
          <w:sz w:val="44"/>
          <w:szCs w:val="44"/>
          <w:highlight w:val="none"/>
          <w:lang w:bidi="ar-SA"/>
        </w:rPr>
      </w:pPr>
      <w:r>
        <w:rPr>
          <w:rFonts w:hint="eastAsia" w:ascii="方正小标宋简体" w:eastAsia="方正小标宋简体" w:cs="方正小标宋简体"/>
          <w:color w:val="000000"/>
          <w:sz w:val="44"/>
          <w:szCs w:val="44"/>
          <w:highlight w:val="none"/>
          <w:lang w:bidi="ar-SA"/>
        </w:rPr>
        <w:t>关于2024年“中央文化人才专项经费”</w:t>
      </w:r>
    </w:p>
    <w:p>
      <w:pPr>
        <w:keepNext w:val="0"/>
        <w:keepLines w:val="0"/>
        <w:pageBreakBefore w:val="0"/>
        <w:widowControl w:val="0"/>
        <w:kinsoku/>
        <w:wordWrap/>
        <w:overflowPunct/>
        <w:topLinePunct w:val="0"/>
        <w:autoSpaceDE/>
        <w:autoSpaceDN/>
        <w:spacing w:line="540" w:lineRule="exact"/>
        <w:jc w:val="center"/>
        <w:rPr>
          <w:rFonts w:hint="eastAsia" w:ascii="方正小标宋简体" w:eastAsia="方正小标宋简体" w:cs="方正小标宋简体"/>
          <w:color w:val="000000"/>
          <w:sz w:val="44"/>
          <w:szCs w:val="44"/>
          <w:highlight w:val="none"/>
          <w:lang w:bidi="ar-SA"/>
        </w:rPr>
      </w:pPr>
      <w:r>
        <w:rPr>
          <w:rFonts w:hint="eastAsia" w:ascii="方正小标宋简体" w:eastAsia="方正小标宋简体" w:cs="方正小标宋简体"/>
          <w:color w:val="000000"/>
          <w:sz w:val="44"/>
          <w:szCs w:val="44"/>
          <w:highlight w:val="none"/>
          <w:lang w:bidi="ar-SA"/>
        </w:rPr>
        <w:t>绩效自评情况的报告</w:t>
      </w:r>
    </w:p>
    <w:p>
      <w:pPr>
        <w:rPr>
          <w:rFonts w:hint="eastAsia"/>
          <w:highlight w:val="none"/>
        </w:rPr>
      </w:pPr>
    </w:p>
    <w:p>
      <w:pPr>
        <w:keepNext w:val="0"/>
        <w:keepLines w:val="0"/>
        <w:pageBreakBefore w:val="0"/>
        <w:widowControl w:val="0"/>
        <w:kinsoku/>
        <w:wordWrap/>
        <w:overflowPunct/>
        <w:topLinePunct w:val="0"/>
        <w:autoSpaceDE/>
        <w:autoSpaceDN/>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rPr>
      </w:pPr>
      <w:r>
        <w:rPr>
          <w:rFonts w:hint="eastAsia" w:ascii="方正黑体简体" w:hAnsi="方正黑体简体" w:eastAsia="方正黑体简体" w:cs="方正黑体简体"/>
          <w:sz w:val="32"/>
          <w:szCs w:val="32"/>
          <w:highlight w:val="none"/>
          <w:lang w:val="zh-CN" w:eastAsia="zh-CN"/>
        </w:rPr>
        <w:t>一、项目概况</w:t>
      </w:r>
    </w:p>
    <w:p>
      <w:pPr>
        <w:pStyle w:val="17"/>
        <w:keepNext w:val="0"/>
        <w:keepLines w:val="0"/>
        <w:pageBreakBefore w:val="0"/>
        <w:widowControl w:val="0"/>
        <w:spacing w:after="0"/>
        <w:ind w:left="0" w:leftChars="0" w:firstLine="640" w:firstLineChars="200"/>
        <w:rPr>
          <w:rFonts w:hint="eastAsia" w:ascii="方正楷体简体" w:hAnsi="方正楷体简体" w:eastAsia="方正楷体简体" w:cs="方正楷体简体"/>
          <w:bCs/>
          <w:sz w:val="32"/>
          <w:szCs w:val="32"/>
          <w:highlight w:val="none"/>
          <w:lang w:val="zh-CN" w:eastAsia="zh-CN" w:bidi="ar-SA"/>
        </w:rPr>
      </w:pPr>
      <w:r>
        <w:rPr>
          <w:rFonts w:hint="eastAsia" w:ascii="方正楷体简体" w:hAnsi="方正楷体简体" w:eastAsia="方正楷体简体" w:cs="方正楷体简体"/>
          <w:bCs/>
          <w:sz w:val="32"/>
          <w:szCs w:val="32"/>
          <w:highlight w:val="none"/>
          <w:lang w:val="zh-CN" w:eastAsia="zh-CN" w:bidi="ar-SA"/>
        </w:rPr>
        <w:t>（一）项目基本情况</w:t>
      </w:r>
    </w:p>
    <w:p>
      <w:pPr>
        <w:pStyle w:val="17"/>
        <w:keepNext w:val="0"/>
        <w:keepLines w:val="0"/>
        <w:pageBreakBefore w:val="0"/>
        <w:widowControl w:val="0"/>
        <w:spacing w:after="0"/>
        <w:ind w:left="0" w:leftChars="0"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en-US" w:bidi="ar-SA"/>
        </w:rPr>
        <w:t>根据《</w:t>
      </w:r>
      <w:r>
        <w:rPr>
          <w:rFonts w:hint="eastAsia" w:ascii="仿宋_GB2312" w:hAnsi="仿宋_GB2312" w:eastAsia="仿宋_GB2312" w:cs="仿宋_GB2312"/>
          <w:color w:val="auto"/>
          <w:kern w:val="0"/>
          <w:sz w:val="32"/>
          <w:szCs w:val="32"/>
          <w:highlight w:val="none"/>
          <w:shd w:val="clear" w:color="auto" w:fill="FFFFFF"/>
          <w:lang w:val="zh-CN" w:eastAsia="zh-CN" w:bidi="ar-SA"/>
        </w:rPr>
        <w:t>四川省文化和旅游厅关于印发</w:t>
      </w:r>
      <w:r>
        <w:rPr>
          <w:rFonts w:hint="eastAsia" w:hAnsi="仿宋_GB2312" w:eastAsia="仿宋_GB2312" w:cs="仿宋_GB2312"/>
          <w:color w:val="auto"/>
          <w:kern w:val="0"/>
          <w:sz w:val="32"/>
          <w:szCs w:val="32"/>
          <w:highlight w:val="none"/>
          <w:shd w:val="clear" w:color="auto" w:fill="FFFFFF"/>
          <w:lang w:val="zh-CN" w:eastAsia="zh-CN" w:bidi="ar-SA"/>
        </w:rPr>
        <w:t>〈</w:t>
      </w:r>
      <w:r>
        <w:rPr>
          <w:rFonts w:hint="eastAsia" w:ascii="仿宋_GB2312" w:hAnsi="仿宋_GB2312" w:eastAsia="仿宋_GB2312" w:cs="仿宋_GB2312"/>
          <w:color w:val="auto"/>
          <w:kern w:val="0"/>
          <w:sz w:val="32"/>
          <w:szCs w:val="32"/>
          <w:highlight w:val="none"/>
          <w:shd w:val="clear" w:color="auto" w:fill="FFFFFF"/>
          <w:lang w:val="zh-CN" w:eastAsia="zh-CN" w:bidi="ar-SA"/>
        </w:rPr>
        <w:t>2023年文旅工作者服务支持艰苦边远地区和基层一线专项实施方案</w:t>
      </w:r>
      <w:r>
        <w:rPr>
          <w:rFonts w:hint="eastAsia" w:hAnsi="仿宋_GB2312" w:eastAsia="仿宋_GB2312" w:cs="仿宋_GB2312"/>
          <w:color w:val="auto"/>
          <w:kern w:val="0"/>
          <w:sz w:val="32"/>
          <w:szCs w:val="32"/>
          <w:highlight w:val="none"/>
          <w:shd w:val="clear" w:color="auto" w:fill="FFFFFF"/>
          <w:lang w:val="zh-CN" w:eastAsia="zh-CN" w:bidi="ar-SA"/>
        </w:rPr>
        <w:t>〉的通知》</w:t>
      </w:r>
      <w:r>
        <w:rPr>
          <w:rFonts w:hint="eastAsia" w:ascii="仿宋_GB2312" w:hAnsi="仿宋_GB2312" w:eastAsia="仿宋_GB2312" w:cs="仿宋_GB2312"/>
          <w:color w:val="auto"/>
          <w:kern w:val="0"/>
          <w:sz w:val="32"/>
          <w:szCs w:val="32"/>
          <w:highlight w:val="none"/>
          <w:shd w:val="clear" w:color="auto" w:fill="FFFFFF"/>
          <w:lang w:val="zh-CN" w:eastAsia="zh-CN" w:bidi="ar-SA"/>
        </w:rPr>
        <w:t>（川文旅字〔2023〕117号）精神，我局实施了“广元市文旅体融合发展专题培训班”脱产培训项目，</w:t>
      </w:r>
      <w:r>
        <w:rPr>
          <w:rFonts w:hint="eastAsia" w:ascii="仿宋_GB2312" w:hAnsi="仿宋_GB2312" w:eastAsia="仿宋_GB2312" w:cs="仿宋_GB2312"/>
          <w:color w:val="auto"/>
          <w:kern w:val="0"/>
          <w:sz w:val="32"/>
          <w:szCs w:val="32"/>
          <w:highlight w:val="none"/>
          <w:shd w:val="clear" w:color="auto" w:fill="FFFFFF"/>
          <w:lang w:val="en-US" w:eastAsia="zh-CN" w:bidi="ar-SA"/>
        </w:rPr>
        <w:t>培训人数115人，培训天数5天，项目经费6.90万元。</w:t>
      </w:r>
    </w:p>
    <w:p>
      <w:pPr>
        <w:pStyle w:val="17"/>
        <w:keepNext w:val="0"/>
        <w:keepLines w:val="0"/>
        <w:pageBreakBefore w:val="0"/>
        <w:widowControl w:val="0"/>
        <w:spacing w:after="0"/>
        <w:ind w:left="0" w:leftChars="0"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脱产培训于2024年5月20日至2024年5月25日在广元市博物馆学术报告厅和青川县开展，学制5天，培训人员115名，其中：局机关部分科室负责人，直属各单位负责人28名；各县区文化广播电视体育和旅游局分管领导、相关股室负责人14名；部分涉旅乡镇（街道）相关负责同志24名；部分A级旅游景区、文旅企业负责人33名；“蜀道英才五进”专家服务团16名。</w:t>
      </w:r>
    </w:p>
    <w:p>
      <w:pPr>
        <w:pStyle w:val="17"/>
        <w:keepNext w:val="0"/>
        <w:keepLines w:val="0"/>
        <w:pageBreakBefore w:val="0"/>
        <w:widowControl w:val="0"/>
        <w:spacing w:after="0"/>
        <w:ind w:left="0" w:leftChars="0" w:firstLine="640" w:firstLineChars="200"/>
        <w:rPr>
          <w:rFonts w:hint="eastAsia" w:ascii="方正楷体简体" w:hAnsi="方正楷体简体" w:eastAsia="方正楷体简体" w:cs="方正楷体简体"/>
          <w:bCs/>
          <w:sz w:val="32"/>
          <w:szCs w:val="32"/>
          <w:highlight w:val="none"/>
          <w:lang w:val="zh-CN" w:eastAsia="zh-CN" w:bidi="ar-SA"/>
        </w:rPr>
      </w:pPr>
      <w:r>
        <w:rPr>
          <w:rFonts w:hint="eastAsia" w:ascii="方正楷体简体" w:hAnsi="方正楷体简体" w:eastAsia="方正楷体简体" w:cs="方正楷体简体"/>
          <w:bCs/>
          <w:sz w:val="32"/>
          <w:szCs w:val="32"/>
          <w:highlight w:val="none"/>
          <w:lang w:val="zh-CN" w:eastAsia="zh-CN" w:bidi="ar-SA"/>
        </w:rPr>
        <w:t>（二）资金下达及使用情况</w:t>
      </w:r>
    </w:p>
    <w:p>
      <w:pPr>
        <w:pStyle w:val="17"/>
        <w:keepNext w:val="0"/>
        <w:keepLines w:val="0"/>
        <w:pageBreakBefore w:val="0"/>
        <w:widowControl w:val="0"/>
        <w:spacing w:after="0"/>
        <w:ind w:left="0" w:leftChars="0"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2023年10月11日，《四川省文化和旅游厅关于印发</w:t>
      </w:r>
      <w:r>
        <w:rPr>
          <w:rFonts w:hint="eastAsia" w:hAnsi="仿宋_GB2312" w:eastAsia="仿宋_GB2312" w:cs="仿宋_GB2312"/>
          <w:color w:val="auto"/>
          <w:kern w:val="0"/>
          <w:sz w:val="32"/>
          <w:szCs w:val="32"/>
          <w:highlight w:val="none"/>
          <w:shd w:val="clear" w:color="auto" w:fill="FFFFFF"/>
          <w:lang w:val="zh-CN" w:eastAsia="zh-CN" w:bidi="ar-SA"/>
        </w:rPr>
        <w:t>〈</w:t>
      </w:r>
      <w:r>
        <w:rPr>
          <w:rFonts w:hint="eastAsia" w:ascii="仿宋_GB2312" w:hAnsi="仿宋_GB2312" w:eastAsia="仿宋_GB2312" w:cs="仿宋_GB2312"/>
          <w:color w:val="auto"/>
          <w:kern w:val="0"/>
          <w:sz w:val="32"/>
          <w:szCs w:val="32"/>
          <w:highlight w:val="none"/>
          <w:shd w:val="clear" w:color="auto" w:fill="FFFFFF"/>
          <w:lang w:val="zh-CN" w:eastAsia="zh-CN" w:bidi="ar-SA"/>
        </w:rPr>
        <w:t>2023年文旅工作者服务支持艰苦边远地区和基层一线专项实施方案〉的通知》（川文旅字〔2023〕117号）批复项目预算经费6.90万元。2024年2月2日，广元市财政局下达该项目预算指标6.90万元，资金到位率100%。截至2024年9月30日，实际支付6.89万元，预算执行进度99.85%。</w:t>
      </w:r>
    </w:p>
    <w:p>
      <w:pPr>
        <w:pStyle w:val="17"/>
        <w:keepNext w:val="0"/>
        <w:keepLines w:val="0"/>
        <w:pageBreakBefore w:val="0"/>
        <w:widowControl w:val="0"/>
        <w:spacing w:after="0"/>
        <w:ind w:left="0" w:leftChars="0" w:firstLine="640" w:firstLineChars="200"/>
        <w:rPr>
          <w:rFonts w:hint="eastAsia" w:ascii="方正楷体简体" w:hAnsi="方正楷体简体" w:eastAsia="方正楷体简体" w:cs="方正楷体简体"/>
          <w:bCs/>
          <w:sz w:val="32"/>
          <w:szCs w:val="32"/>
          <w:highlight w:val="none"/>
          <w:lang w:val="zh-CN" w:eastAsia="zh-CN" w:bidi="ar-SA"/>
        </w:rPr>
      </w:pPr>
      <w:r>
        <w:rPr>
          <w:rFonts w:hint="eastAsia" w:ascii="方正楷体简体" w:hAnsi="方正楷体简体" w:eastAsia="方正楷体简体" w:cs="方正楷体简体"/>
          <w:bCs/>
          <w:sz w:val="32"/>
          <w:szCs w:val="32"/>
          <w:highlight w:val="none"/>
          <w:lang w:val="zh-CN" w:eastAsia="zh-CN" w:bidi="ar-SA"/>
        </w:rPr>
        <w:t>（三）项目绩效目标完成情况</w:t>
      </w:r>
    </w:p>
    <w:p>
      <w:pPr>
        <w:pStyle w:val="2"/>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《四川省文化和旅游厅关于印发</w:t>
      </w:r>
      <w:r>
        <w:rPr>
          <w:rFonts w:hint="eastAsia" w:hAnsi="仿宋_GB2312" w:cs="仿宋_GB2312"/>
          <w:color w:val="auto"/>
          <w:kern w:val="0"/>
          <w:sz w:val="32"/>
          <w:szCs w:val="32"/>
          <w:highlight w:val="none"/>
          <w:shd w:val="clear" w:color="auto" w:fill="FFFFFF"/>
          <w:lang w:val="en-US" w:eastAsia="zh-CN" w:bidi="ar-SA"/>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2023年文旅工作者服务支持艰苦边远地区和基层一线专项实施方案</w:t>
      </w:r>
      <w:r>
        <w:rPr>
          <w:rFonts w:hint="eastAsia" w:hAnsi="仿宋_GB2312" w:cs="仿宋_GB2312"/>
          <w:color w:val="auto"/>
          <w:kern w:val="0"/>
          <w:sz w:val="32"/>
          <w:szCs w:val="32"/>
          <w:highlight w:val="none"/>
          <w:shd w:val="clear" w:color="auto" w:fill="FFFFFF"/>
          <w:lang w:val="en-US" w:eastAsia="zh-CN" w:bidi="ar-SA"/>
        </w:rPr>
        <w:t>〉的通知》</w:t>
      </w:r>
      <w:r>
        <w:rPr>
          <w:rFonts w:hint="eastAsia" w:ascii="仿宋_GB2312" w:hAnsi="仿宋_GB2312" w:eastAsia="仿宋_GB2312" w:cs="仿宋_GB2312"/>
          <w:color w:val="auto"/>
          <w:kern w:val="0"/>
          <w:sz w:val="32"/>
          <w:szCs w:val="32"/>
          <w:highlight w:val="none"/>
          <w:shd w:val="clear" w:color="auto" w:fill="FFFFFF"/>
          <w:lang w:val="en-US" w:eastAsia="zh-CN" w:bidi="ar-SA"/>
        </w:rPr>
        <w:t>（川文旅字〔2023〕117号）中，安排广元市脱产培训项目人数</w:t>
      </w:r>
      <w:r>
        <w:rPr>
          <w:rFonts w:hint="eastAsia" w:ascii="仿宋_GB2312" w:hAnsi="仿宋_GB2312" w:eastAsia="仿宋_GB2312" w:cs="仿宋_GB2312"/>
          <w:color w:val="auto"/>
          <w:kern w:val="0"/>
          <w:sz w:val="32"/>
          <w:szCs w:val="32"/>
          <w:highlight w:val="none"/>
          <w:shd w:val="clear" w:color="auto" w:fill="FFFFFF"/>
          <w:lang w:val="zh-CN" w:eastAsia="zh-CN" w:bidi="ar-SA"/>
        </w:rPr>
        <w:t>115人，实际组织116人，开展为期5天的脱产培训，有效提升参训人员的文旅服务能力和综合水平。</w:t>
      </w:r>
    </w:p>
    <w:p>
      <w:pPr>
        <w:keepNext w:val="0"/>
        <w:keepLines w:val="0"/>
        <w:pageBreakBefore w:val="0"/>
        <w:widowControl w:val="0"/>
        <w:kinsoku/>
        <w:wordWrap/>
        <w:overflowPunct/>
        <w:topLinePunct w:val="0"/>
        <w:autoSpaceDE/>
        <w:autoSpaceDN/>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eastAsia="zh-CN"/>
        </w:rPr>
      </w:pPr>
      <w:r>
        <w:rPr>
          <w:rFonts w:hint="eastAsia" w:ascii="方正黑体简体" w:hAnsi="方正黑体简体" w:eastAsia="方正黑体简体" w:cs="方正黑体简体"/>
          <w:sz w:val="32"/>
          <w:szCs w:val="32"/>
          <w:highlight w:val="none"/>
          <w:lang w:val="zh-CN" w:eastAsia="zh-CN"/>
        </w:rPr>
        <w:t>二、绩效分析</w:t>
      </w:r>
    </w:p>
    <w:p>
      <w:pPr>
        <w:pStyle w:val="17"/>
        <w:keepNext w:val="0"/>
        <w:keepLines w:val="0"/>
        <w:pageBreakBefore w:val="0"/>
        <w:widowControl w:val="0"/>
        <w:spacing w:after="0"/>
        <w:ind w:left="0" w:leftChars="0" w:firstLine="640" w:firstLineChars="200"/>
        <w:rPr>
          <w:rFonts w:hint="eastAsia" w:ascii="方正楷体简体" w:hAnsi="方正楷体简体" w:eastAsia="方正楷体简体" w:cs="方正楷体简体"/>
          <w:bCs/>
          <w:sz w:val="32"/>
          <w:szCs w:val="32"/>
          <w:highlight w:val="none"/>
          <w:lang w:val="zh-CN" w:eastAsia="zh-CN" w:bidi="ar-SA"/>
        </w:rPr>
      </w:pPr>
      <w:r>
        <w:rPr>
          <w:rFonts w:hint="eastAsia" w:ascii="方正楷体简体" w:hAnsi="方正楷体简体" w:eastAsia="方正楷体简体" w:cs="方正楷体简体"/>
          <w:bCs/>
          <w:sz w:val="32"/>
          <w:szCs w:val="32"/>
          <w:highlight w:val="none"/>
          <w:lang w:val="zh-CN" w:eastAsia="zh-CN" w:bidi="ar-SA"/>
        </w:rPr>
        <w:t>（一）项目决策</w:t>
      </w:r>
    </w:p>
    <w:p>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一是决策程序。2023年5月15日，广元市文化广播电视和旅游局《关于〈2023年度文旅工作者服务支持艰苦边远地区和基层一线专项项目申报情况&gt;的报告》（广文广旅</w:t>
      </w:r>
      <w:r>
        <w:rPr>
          <w:rFonts w:hint="eastAsia" w:ascii="仿宋_GB2312" w:hAnsi="仿宋_GB2312" w:eastAsia="仿宋_GB2312" w:cs="仿宋_GB2312"/>
          <w:color w:val="auto"/>
          <w:kern w:val="0"/>
          <w:sz w:val="32"/>
          <w:szCs w:val="32"/>
          <w:highlight w:val="none"/>
          <w:shd w:val="clear" w:color="auto" w:fill="FFFFFF"/>
          <w:lang w:val="zh-CN" w:eastAsia="zh-CN" w:bidi="ar-SA"/>
        </w:rPr>
        <w:t>〔2023〕</w:t>
      </w:r>
      <w:r>
        <w:rPr>
          <w:rFonts w:hint="eastAsia" w:ascii="仿宋_GB2312" w:hAnsi="仿宋_GB2312" w:eastAsia="仿宋_GB2312" w:cs="仿宋_GB2312"/>
          <w:color w:val="auto"/>
          <w:kern w:val="0"/>
          <w:sz w:val="32"/>
          <w:szCs w:val="32"/>
          <w:highlight w:val="none"/>
          <w:shd w:val="clear" w:color="auto" w:fill="FFFFFF"/>
          <w:lang w:val="en-US" w:eastAsia="zh-CN" w:bidi="ar-SA"/>
        </w:rPr>
        <w:t>55号）向四川省文化和旅游厅申报短期脱产培训项目，申报培训天数5天，培训人员95名，经费预算5.70万元。2023年10月11日，</w:t>
      </w:r>
      <w:r>
        <w:rPr>
          <w:rFonts w:hint="eastAsia" w:ascii="仿宋_GB2312" w:hAnsi="仿宋_GB2312" w:eastAsia="仿宋_GB2312" w:cs="仿宋_GB2312"/>
          <w:color w:val="auto"/>
          <w:kern w:val="0"/>
          <w:sz w:val="32"/>
          <w:szCs w:val="32"/>
          <w:highlight w:val="none"/>
          <w:shd w:val="clear" w:color="auto" w:fill="FFFFFF"/>
          <w:lang w:val="zh-CN" w:eastAsia="zh-CN" w:bidi="ar-SA"/>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四川省</w:t>
      </w:r>
      <w:r>
        <w:rPr>
          <w:rFonts w:hint="eastAsia" w:ascii="仿宋_GB2312" w:hAnsi="仿宋_GB2312" w:eastAsia="仿宋_GB2312" w:cs="仿宋_GB2312"/>
          <w:color w:val="auto"/>
          <w:kern w:val="0"/>
          <w:sz w:val="32"/>
          <w:szCs w:val="32"/>
          <w:highlight w:val="none"/>
          <w:shd w:val="clear" w:color="auto" w:fill="FFFFFF"/>
          <w:lang w:val="zh-CN" w:eastAsia="zh-CN" w:bidi="ar-SA"/>
        </w:rPr>
        <w:t>文化和旅游厅关于</w:t>
      </w:r>
      <w:r>
        <w:rPr>
          <w:rFonts w:hint="eastAsia" w:ascii="仿宋_GB2312" w:hAnsi="仿宋_GB2312" w:eastAsia="仿宋_GB2312" w:cs="仿宋_GB2312"/>
          <w:color w:val="auto"/>
          <w:kern w:val="0"/>
          <w:sz w:val="32"/>
          <w:szCs w:val="32"/>
          <w:highlight w:val="none"/>
          <w:shd w:val="clear" w:color="auto" w:fill="FFFFFF"/>
          <w:lang w:val="en-US" w:eastAsia="zh-CN" w:bidi="ar-SA"/>
        </w:rPr>
        <w:t>印发〈</w:t>
      </w:r>
      <w:r>
        <w:rPr>
          <w:rFonts w:hint="eastAsia" w:ascii="仿宋_GB2312" w:hAnsi="仿宋_GB2312" w:eastAsia="仿宋_GB2312" w:cs="仿宋_GB2312"/>
          <w:color w:val="auto"/>
          <w:kern w:val="0"/>
          <w:sz w:val="32"/>
          <w:szCs w:val="32"/>
          <w:highlight w:val="none"/>
          <w:shd w:val="clear" w:color="auto" w:fill="FFFFFF"/>
          <w:lang w:val="zh-CN" w:eastAsia="zh-CN" w:bidi="ar-SA"/>
        </w:rPr>
        <w:t>2023年文</w:t>
      </w:r>
      <w:r>
        <w:rPr>
          <w:rFonts w:hint="eastAsia" w:ascii="仿宋_GB2312" w:hAnsi="仿宋_GB2312" w:eastAsia="仿宋_GB2312" w:cs="仿宋_GB2312"/>
          <w:color w:val="auto"/>
          <w:kern w:val="0"/>
          <w:sz w:val="32"/>
          <w:szCs w:val="32"/>
          <w:highlight w:val="none"/>
          <w:shd w:val="clear" w:color="auto" w:fill="FFFFFF"/>
          <w:lang w:val="en-US" w:eastAsia="zh-CN" w:bidi="ar-SA"/>
        </w:rPr>
        <w:t>旅工作者</w:t>
      </w:r>
      <w:r>
        <w:rPr>
          <w:rFonts w:hint="eastAsia" w:ascii="仿宋_GB2312" w:hAnsi="仿宋_GB2312" w:eastAsia="仿宋_GB2312" w:cs="仿宋_GB2312"/>
          <w:color w:val="auto"/>
          <w:kern w:val="0"/>
          <w:sz w:val="32"/>
          <w:szCs w:val="32"/>
          <w:highlight w:val="none"/>
          <w:shd w:val="clear" w:color="auto" w:fill="FFFFFF"/>
          <w:lang w:val="zh-CN" w:eastAsia="zh-CN" w:bidi="ar-SA"/>
        </w:rPr>
        <w:t>服务支持艰苦边远地区和基层一线专项实施方案〉的通知》（</w:t>
      </w:r>
      <w:r>
        <w:rPr>
          <w:rFonts w:hint="eastAsia" w:ascii="仿宋_GB2312" w:hAnsi="仿宋_GB2312" w:eastAsia="仿宋_GB2312" w:cs="仿宋_GB2312"/>
          <w:color w:val="auto"/>
          <w:kern w:val="0"/>
          <w:sz w:val="32"/>
          <w:szCs w:val="32"/>
          <w:highlight w:val="none"/>
          <w:shd w:val="clear" w:color="auto" w:fill="FFFFFF"/>
          <w:lang w:val="en-US" w:eastAsia="zh-CN" w:bidi="ar-SA"/>
        </w:rPr>
        <w:t>川文旅字</w:t>
      </w:r>
      <w:r>
        <w:rPr>
          <w:rFonts w:hint="eastAsia" w:ascii="仿宋_GB2312" w:hAnsi="仿宋_GB2312" w:eastAsia="仿宋_GB2312" w:cs="仿宋_GB2312"/>
          <w:color w:val="auto"/>
          <w:kern w:val="0"/>
          <w:sz w:val="32"/>
          <w:szCs w:val="32"/>
          <w:highlight w:val="none"/>
          <w:shd w:val="clear" w:color="auto" w:fill="FFFFFF"/>
          <w:lang w:val="zh-CN" w:eastAsia="zh-CN" w:bidi="ar-SA"/>
        </w:rPr>
        <w:t>〔2023〕</w:t>
      </w:r>
      <w:r>
        <w:rPr>
          <w:rFonts w:hint="eastAsia" w:ascii="仿宋_GB2312" w:hAnsi="仿宋_GB2312" w:eastAsia="仿宋_GB2312" w:cs="仿宋_GB2312"/>
          <w:color w:val="auto"/>
          <w:kern w:val="0"/>
          <w:sz w:val="32"/>
          <w:szCs w:val="32"/>
          <w:highlight w:val="none"/>
          <w:shd w:val="clear" w:color="auto" w:fill="FFFFFF"/>
          <w:lang w:val="en-US" w:eastAsia="zh-CN" w:bidi="ar-SA"/>
        </w:rPr>
        <w:t>117</w:t>
      </w:r>
      <w:r>
        <w:rPr>
          <w:rFonts w:hint="eastAsia" w:ascii="仿宋_GB2312" w:hAnsi="仿宋_GB2312" w:eastAsia="仿宋_GB2312" w:cs="仿宋_GB2312"/>
          <w:color w:val="auto"/>
          <w:kern w:val="0"/>
          <w:sz w:val="32"/>
          <w:szCs w:val="32"/>
          <w:highlight w:val="none"/>
          <w:shd w:val="clear" w:color="auto" w:fill="FFFFFF"/>
          <w:lang w:val="zh-CN" w:eastAsia="zh-CN" w:bidi="ar-SA"/>
        </w:rPr>
        <w:t>号）</w:t>
      </w:r>
      <w:r>
        <w:rPr>
          <w:rFonts w:hint="eastAsia" w:ascii="仿宋_GB2312" w:hAnsi="仿宋_GB2312" w:eastAsia="仿宋_GB2312" w:cs="仿宋_GB2312"/>
          <w:color w:val="auto"/>
          <w:kern w:val="0"/>
          <w:sz w:val="32"/>
          <w:szCs w:val="32"/>
          <w:highlight w:val="none"/>
          <w:shd w:val="clear" w:color="auto" w:fill="FFFFFF"/>
          <w:lang w:val="en-US" w:eastAsia="zh-CN" w:bidi="ar-SA"/>
        </w:rPr>
        <w:t>批复项目开展“文旅康养产业发展人才”脱产培训项目，培训人数115名，培训天数5天，预算经费6.90万元。项目设立符合资金管理基本规范和决策程序要</w:t>
      </w:r>
      <w:r>
        <w:rPr>
          <w:rFonts w:hint="eastAsia" w:ascii="仿宋_GB2312" w:hAnsi="仿宋_GB2312" w:eastAsia="仿宋_GB2312" w:cs="仿宋_GB2312"/>
          <w:color w:val="auto"/>
          <w:kern w:val="0"/>
          <w:sz w:val="32"/>
          <w:szCs w:val="32"/>
          <w:highlight w:val="none"/>
          <w:shd w:val="clear" w:color="auto" w:fill="FFFFFF"/>
          <w:lang w:val="zh-CN" w:eastAsia="zh-CN" w:bidi="ar-SA"/>
        </w:rPr>
        <w:t>求。</w:t>
      </w:r>
    </w:p>
    <w:p>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二是规划论证。培训方案提出“提升全市文旅系统干部队伍开展实际工作的能力水平，提升文旅产业项目管理能力和管理水平，培育文旅企业发展实力，助推全市文旅产业高质量发展。”项目规划符合中央、省委省政府的决策部署安排。项目立项充分必要、合理可行。</w:t>
      </w:r>
    </w:p>
    <w:p>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三是绩效目标合理性。数量指标</w:t>
      </w:r>
      <w:r>
        <w:rPr>
          <w:rFonts w:hint="eastAsia" w:ascii="仿宋_GB2312" w:hAnsi="仿宋_GB2312" w:eastAsia="仿宋_GB2312" w:cs="仿宋_GB2312"/>
          <w:color w:val="auto"/>
          <w:kern w:val="0"/>
          <w:sz w:val="32"/>
          <w:szCs w:val="32"/>
          <w:highlight w:val="none"/>
          <w:shd w:val="clear" w:color="auto" w:fill="FFFFFF"/>
          <w:lang w:val="en-US" w:eastAsia="en-US" w:bidi="ar-SA"/>
        </w:rPr>
        <w:t>培训人数115人，培训天数5天，</w:t>
      </w:r>
      <w:r>
        <w:rPr>
          <w:rFonts w:hint="eastAsia" w:ascii="仿宋_GB2312" w:hAnsi="仿宋_GB2312" w:eastAsia="仿宋_GB2312" w:cs="仿宋_GB2312"/>
          <w:color w:val="auto"/>
          <w:kern w:val="0"/>
          <w:sz w:val="32"/>
          <w:szCs w:val="32"/>
          <w:highlight w:val="none"/>
          <w:shd w:val="clear" w:color="auto" w:fill="FFFFFF"/>
          <w:lang w:val="en-US" w:eastAsia="zh-CN" w:bidi="ar-SA"/>
        </w:rPr>
        <w:t>质量</w:t>
      </w:r>
      <w:r>
        <w:rPr>
          <w:rFonts w:hint="eastAsia" w:ascii="仿宋_GB2312" w:hAnsi="仿宋_GB2312" w:eastAsia="仿宋_GB2312" w:cs="仿宋_GB2312"/>
          <w:color w:val="auto"/>
          <w:kern w:val="0"/>
          <w:sz w:val="32"/>
          <w:szCs w:val="32"/>
          <w:highlight w:val="none"/>
          <w:shd w:val="clear" w:color="auto" w:fill="FFFFFF"/>
          <w:lang w:val="zh-CN" w:eastAsia="zh-CN" w:bidi="ar-SA"/>
        </w:rPr>
        <w:t>指标</w:t>
      </w:r>
      <w:r>
        <w:rPr>
          <w:rFonts w:hint="eastAsia" w:ascii="仿宋_GB2312" w:hAnsi="仿宋_GB2312" w:eastAsia="仿宋_GB2312" w:cs="仿宋_GB2312"/>
          <w:color w:val="auto"/>
          <w:kern w:val="0"/>
          <w:sz w:val="32"/>
          <w:szCs w:val="32"/>
          <w:highlight w:val="none"/>
          <w:shd w:val="clear" w:color="auto" w:fill="FFFFFF"/>
          <w:lang w:val="en-US" w:eastAsia="zh-CN" w:bidi="ar-SA"/>
        </w:rPr>
        <w:t>选派人员考核合格率大于95%，满意度指标培训学员满意度大于95%，项目绩效目标设置合理。</w:t>
      </w:r>
    </w:p>
    <w:p>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四是资金投向。截至2024年9月30日，该项目实际执行数6.89万元，主要用于培训人员伙食费、培训用品及资料费和车辆租赁费等，资金投向符合《2023年文旅工作者服务支持艰苦边远地区和基层一线专项实施方案》使用范围，属于政府支持范围，且符合财政事权支出。资金投向与项目总体规划、相关行业事业发展相匹配，未与其他同类项目或部门内部相关项目交叉重复。</w:t>
      </w:r>
    </w:p>
    <w:p>
      <w:pPr>
        <w:pStyle w:val="17"/>
        <w:keepNext w:val="0"/>
        <w:keepLines w:val="0"/>
        <w:pageBreakBefore w:val="0"/>
        <w:widowControl w:val="0"/>
        <w:spacing w:after="0"/>
        <w:ind w:left="0" w:leftChars="0" w:firstLine="640" w:firstLineChars="200"/>
        <w:rPr>
          <w:rFonts w:hint="eastAsia" w:ascii="方正楷体简体" w:hAnsi="方正楷体简体" w:eastAsia="方正楷体简体" w:cs="方正楷体简体"/>
          <w:bCs/>
          <w:sz w:val="32"/>
          <w:szCs w:val="32"/>
          <w:highlight w:val="none"/>
          <w:lang w:val="zh-CN" w:eastAsia="zh-CN" w:bidi="ar-SA"/>
        </w:rPr>
      </w:pPr>
      <w:r>
        <w:rPr>
          <w:rFonts w:hint="eastAsia" w:ascii="方正楷体简体" w:hAnsi="方正楷体简体" w:eastAsia="方正楷体简体" w:cs="方正楷体简体"/>
          <w:bCs/>
          <w:sz w:val="32"/>
          <w:szCs w:val="32"/>
          <w:highlight w:val="none"/>
          <w:lang w:val="zh-CN" w:eastAsia="zh-CN" w:bidi="ar-SA"/>
        </w:rPr>
        <w:t>（二）项目管理</w:t>
      </w:r>
    </w:p>
    <w:p>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color w:val="auto"/>
          <w:kern w:val="0"/>
          <w:sz w:val="32"/>
          <w:szCs w:val="32"/>
          <w:highlight w:val="none"/>
          <w:shd w:val="clear" w:color="auto" w:fill="FFFFFF"/>
          <w:lang w:val="zh-CN" w:eastAsia="zh-CN" w:bidi="ar-SA"/>
        </w:rPr>
        <w:t>一是制度办法。项目单位制定了《干部教育培训学员管理规定》，该办法对培训期间人员的学习、食宿等作出规定要求；项目资金管理按照《广元市文化广播电视和旅游局经费支出管理办法》进行审批报销。</w:t>
      </w:r>
    </w:p>
    <w:p>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二是分配管理。该项目的资金分配采用项目分配法，实施按规定程序履行项目审批；项目实施内容明确、具体，进度安排合理；资金分配严格按管理办法执行，决策程序符合管理要求。</w:t>
      </w:r>
    </w:p>
    <w:p>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三是绩效监管。根据《四川省文化和旅游厅关于开展2023年“三区计划”文旅工作者专项资金支出绩效自评相关工作的通知》（BW〔2024〕140号）要求，对该项目开展绩效自评工作，完成项目自评报告，前期已完成绩效目标申报、绩效自评等预算绩效管理工作。</w:t>
      </w:r>
    </w:p>
    <w:p>
      <w:pPr>
        <w:pStyle w:val="17"/>
        <w:keepNext w:val="0"/>
        <w:keepLines w:val="0"/>
        <w:pageBreakBefore w:val="0"/>
        <w:widowControl w:val="0"/>
        <w:spacing w:after="0"/>
        <w:ind w:left="0" w:leftChars="0" w:firstLine="640" w:firstLineChars="200"/>
        <w:rPr>
          <w:rFonts w:hint="eastAsia" w:ascii="方正楷体简体" w:hAnsi="方正楷体简体" w:eastAsia="方正楷体简体" w:cs="方正楷体简体"/>
          <w:bCs/>
          <w:sz w:val="32"/>
          <w:szCs w:val="32"/>
          <w:highlight w:val="none"/>
          <w:lang w:val="zh-CN" w:eastAsia="zh-CN" w:bidi="ar-SA"/>
        </w:rPr>
      </w:pPr>
      <w:r>
        <w:rPr>
          <w:rFonts w:hint="eastAsia" w:ascii="方正楷体简体" w:hAnsi="方正楷体简体" w:eastAsia="方正楷体简体" w:cs="方正楷体简体"/>
          <w:bCs/>
          <w:sz w:val="32"/>
          <w:szCs w:val="32"/>
          <w:highlight w:val="none"/>
          <w:lang w:val="zh-CN" w:eastAsia="zh-CN" w:bidi="ar-SA"/>
        </w:rPr>
        <w:t>（三）项目实施</w:t>
      </w:r>
    </w:p>
    <w:p>
      <w:pPr>
        <w:pStyle w:val="17"/>
        <w:keepNext w:val="0"/>
        <w:keepLines w:val="0"/>
        <w:pageBreakBefore w:val="0"/>
        <w:widowControl w:val="0"/>
        <w:spacing w:after="0"/>
        <w:ind w:left="0" w:leftChars="0"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一是预算执行。2023年10月11日，《四川省财政厅 四川省文化和旅游厅关于下达</w:t>
      </w:r>
      <w:r>
        <w:rPr>
          <w:rFonts w:hint="eastAsia" w:hAnsi="仿宋_GB2312" w:eastAsia="仿宋_GB2312" w:cs="仿宋_GB2312"/>
          <w:color w:val="auto"/>
          <w:kern w:val="0"/>
          <w:sz w:val="32"/>
          <w:szCs w:val="32"/>
          <w:highlight w:val="none"/>
          <w:shd w:val="clear" w:color="auto" w:fill="FFFFFF"/>
          <w:lang w:val="en-US" w:eastAsia="zh-CN" w:bidi="ar-SA"/>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2023年中央文化人才专项经费预算</w:t>
      </w:r>
      <w:r>
        <w:rPr>
          <w:rFonts w:hint="eastAsia" w:hAnsi="仿宋_GB2312" w:eastAsia="仿宋_GB2312" w:cs="仿宋_GB2312"/>
          <w:color w:val="auto"/>
          <w:kern w:val="0"/>
          <w:sz w:val="32"/>
          <w:szCs w:val="32"/>
          <w:highlight w:val="none"/>
          <w:shd w:val="clear" w:color="auto" w:fill="FFFFFF"/>
          <w:lang w:val="en-US" w:eastAsia="zh-CN" w:bidi="ar-SA"/>
        </w:rPr>
        <w:t>〉的通知》</w:t>
      </w:r>
      <w:r>
        <w:rPr>
          <w:rFonts w:hint="eastAsia" w:ascii="仿宋_GB2312" w:hAnsi="仿宋_GB2312" w:eastAsia="仿宋_GB2312" w:cs="仿宋_GB2312"/>
          <w:color w:val="auto"/>
          <w:kern w:val="0"/>
          <w:sz w:val="32"/>
          <w:szCs w:val="32"/>
          <w:highlight w:val="none"/>
          <w:shd w:val="clear" w:color="auto" w:fill="FFFFFF"/>
          <w:lang w:val="en-US" w:eastAsia="zh-CN" w:bidi="ar-SA"/>
        </w:rPr>
        <w:t>（川财教〔2023〕111号）下达该项目专项预算资金6.90万元。2024年2月2日，广元市财政局下达项目预算指标6.90万元，资金到位率100%。截至2024年9月30日，该项目全年资金预算6.90万元，实际拨付6.90万元，资金拨付率100%，资金实际使用6.89万元，资金使用率99.85%。</w:t>
      </w:r>
    </w:p>
    <w:p>
      <w:pPr>
        <w:pStyle w:val="17"/>
        <w:keepNext w:val="0"/>
        <w:keepLines w:val="0"/>
        <w:pageBreakBefore w:val="0"/>
        <w:widowControl w:val="0"/>
        <w:spacing w:after="0"/>
        <w:ind w:left="0" w:leftChars="0"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二是资金使用。截至2024年9月30日，中央专项资金实际支付6.89万元，预算执行进度99.85%，用于培训人员伙食费、培训用品及资料费和车辆租赁费等，资金使用符合《2023年文旅工作者服务支持艰苦边远地区和基层一线专项实施方案》规定的范围。</w:t>
      </w:r>
    </w:p>
    <w:p>
      <w:pPr>
        <w:keepNext w:val="0"/>
        <w:keepLines w:val="0"/>
        <w:pageBreakBefore w:val="0"/>
        <w:widowControl w:val="0"/>
        <w:kinsoku/>
        <w:wordWrap/>
        <w:overflowPunct/>
        <w:topLinePunct w:val="0"/>
        <w:autoSpaceDE/>
        <w:autoSpaceDN/>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eastAsia="zh-CN"/>
        </w:rPr>
      </w:pPr>
      <w:r>
        <w:rPr>
          <w:rFonts w:hint="eastAsia" w:ascii="方正黑体简体" w:hAnsi="方正黑体简体" w:eastAsia="方正黑体简体" w:cs="方正黑体简体"/>
          <w:sz w:val="32"/>
          <w:szCs w:val="32"/>
          <w:highlight w:val="none"/>
          <w:lang w:val="zh-CN" w:eastAsia="zh-CN"/>
        </w:rPr>
        <w:t>三、评价结论</w:t>
      </w:r>
    </w:p>
    <w:p>
      <w:pPr>
        <w:pStyle w:val="43"/>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一是目标完成情况。根据《四川省文化和旅游厅关于印发〈2023年文旅工作者服务支持艰苦边远地区和基层一线专项实施方案〉的通知》中安排广元市文化广播电视和旅游局脱产培训人数115人，2023年该项目实际培训人数116人，完成预期目标任务。该项目实际培训人数116人中，1人为培训中途自愿参与培训，项目单位未额外为其支付费用。</w:t>
      </w:r>
    </w:p>
    <w:p>
      <w:pPr>
        <w:pStyle w:val="43"/>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二是完成时效情况。根据《全市文旅康养产业发展专题培训班方案》《全市文旅康养产业发展专题培训班签到手册》显示，该项目计划培训时间5天，实际培训时间5天。</w:t>
      </w:r>
    </w:p>
    <w:p>
      <w:pPr>
        <w:pStyle w:val="43"/>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三是民生保障情况。该项目资金支持对象为参加文旅康养产业发展专题培训班的学员，培训学员均为广元市文旅系统中的相关负责人和文旅相关的企业人员，符合资金支持的对象范围。项目依据《四川省省直机关培训费管理办法》第三章第八条，参照三类培训的伙食费标准120元/人/天测算项目经费；第三章第九条，核算授课老师讲课费。项目资金标准明确合理。</w:t>
      </w:r>
    </w:p>
    <w:p>
      <w:pPr>
        <w:pStyle w:val="43"/>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四是产出成果情况。</w:t>
      </w:r>
      <w:r>
        <w:rPr>
          <w:rFonts w:hint="eastAsia" w:ascii="仿宋_GB2312" w:hAnsi="仿宋_GB2312" w:eastAsia="仿宋_GB2312" w:cs="仿宋_GB2312"/>
          <w:color w:val="auto"/>
          <w:kern w:val="0"/>
          <w:sz w:val="32"/>
          <w:szCs w:val="32"/>
          <w:highlight w:val="none"/>
          <w:shd w:val="clear" w:color="auto" w:fill="FFFFFF"/>
          <w:lang w:val="en-US" w:eastAsia="zh-CN" w:bidi="ar-SA"/>
        </w:rPr>
        <w:t>该项目制定《全市文旅康养产业发展专题培训班方案》和学员手册，对培训教学作出详细时间安排，培训班次分为上午和下午两个班次。根据《全市文旅康养产业发展专题培训班签到手册》，培训班学员于每个培训班次进行签到。《全市文旅康养产业发展专题培训班方案》于2024年5月8日报广元市文化广播电视和旅游局领导班子审议，2024年5月9日审议通过。该项目依据《四川省省直机关培训费管理办法》第三章第八条，参照三类培训的伙食费标准120元/人/天测算项目经费；第三章第九条，核算授课老师讲课费。</w:t>
      </w:r>
    </w:p>
    <w:p>
      <w:pPr>
        <w:pStyle w:val="43"/>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五是社会效益情况。该项目为助推广元市康养旅游产业健康发展，培养知识储备丰富、从业能力强的文化旅游人才骨干队伍，加快建设大蜀道国际文化旅游目的地和康养度假胜地提供有力的人才支撑。提升文旅产业的项目管理能力和管理水平。</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kern w:val="0"/>
          <w:sz w:val="32"/>
          <w:szCs w:val="32"/>
          <w:highlight w:val="none"/>
          <w:shd w:val="clear" w:color="auto" w:fill="FFFFFF"/>
          <w:lang w:val="en-US" w:eastAsia="zh-CN"/>
        </w:rPr>
      </w:pPr>
      <w:r>
        <w:rPr>
          <w:rFonts w:hint="eastAsia" w:ascii="方正黑体简体" w:hAnsi="方正黑体简体" w:eastAsia="方正黑体简体" w:cs="方正黑体简体"/>
          <w:color w:val="auto"/>
          <w:kern w:val="0"/>
          <w:sz w:val="32"/>
          <w:szCs w:val="32"/>
          <w:highlight w:val="none"/>
          <w:shd w:val="clear" w:color="auto" w:fill="FFFFFF"/>
          <w:lang w:val="en-US" w:eastAsia="zh-CN"/>
        </w:rPr>
        <w:t>四、评价结论</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本项目项目绩效自评得分96分。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kern w:val="0"/>
          <w:sz w:val="32"/>
          <w:szCs w:val="32"/>
          <w:highlight w:val="none"/>
          <w:shd w:val="clear" w:color="auto" w:fill="FFFFFF"/>
          <w:lang w:val="en-US" w:eastAsia="zh-CN"/>
        </w:rPr>
      </w:pPr>
      <w:r>
        <w:rPr>
          <w:rFonts w:hint="eastAsia" w:ascii="方正黑体简体" w:hAnsi="方正黑体简体" w:eastAsia="方正黑体简体" w:cs="方正黑体简体"/>
          <w:color w:val="auto"/>
          <w:kern w:val="0"/>
          <w:sz w:val="32"/>
          <w:szCs w:val="32"/>
          <w:highlight w:val="none"/>
          <w:shd w:val="clear" w:color="auto" w:fill="FFFFFF"/>
          <w:lang w:val="en-US" w:eastAsia="zh-CN"/>
        </w:rPr>
        <w:t>五、存在主要问题</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无</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kern w:val="0"/>
          <w:sz w:val="32"/>
          <w:szCs w:val="32"/>
          <w:highlight w:val="none"/>
          <w:shd w:val="clear" w:color="auto" w:fill="FFFFFF"/>
          <w:lang w:val="zh-CN" w:eastAsia="zh-CN"/>
        </w:rPr>
      </w:pPr>
      <w:r>
        <w:rPr>
          <w:rFonts w:hint="eastAsia" w:ascii="方正黑体简体" w:hAnsi="方正黑体简体" w:eastAsia="方正黑体简体" w:cs="方正黑体简体"/>
          <w:color w:val="auto"/>
          <w:kern w:val="0"/>
          <w:sz w:val="32"/>
          <w:szCs w:val="32"/>
          <w:highlight w:val="none"/>
          <w:shd w:val="clear" w:color="auto" w:fill="FFFFFF"/>
          <w:lang w:val="zh-CN" w:eastAsia="zh-CN"/>
        </w:rPr>
        <w:t>六、改进建议</w:t>
      </w:r>
    </w:p>
    <w:p>
      <w:pPr>
        <w:pStyle w:val="43"/>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无</w:t>
      </w:r>
    </w:p>
    <w:p>
      <w:pPr>
        <w:pStyle w:val="43"/>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ascii="Times New Roman" w:hAnsi="Times New Roman" w:eastAsia="黑体" w:cs="Times New Roman"/>
          <w:color w:val="auto"/>
          <w:kern w:val="0"/>
          <w:sz w:val="32"/>
          <w:szCs w:val="32"/>
          <w:highlight w:val="none"/>
          <w:u w:val="none"/>
          <w:shd w:val="clear" w:color="auto" w:fill="FFFFFF"/>
          <w:lang w:val="en-US" w:eastAsia="zh-CN" w:bidi="ar-SA"/>
        </w:rPr>
      </w:pPr>
      <w:r>
        <w:rPr>
          <w:rFonts w:hint="eastAsia" w:ascii="黑体" w:eastAsia="黑体" w:cs="黑体"/>
          <w:color w:val="auto"/>
          <w:kern w:val="0"/>
          <w:sz w:val="32"/>
          <w:szCs w:val="32"/>
          <w:highlight w:val="none"/>
          <w:u w:val="none"/>
          <w:shd w:val="clear" w:color="auto" w:fill="FFFFFF"/>
          <w:lang w:val="zh-CN" w:eastAsia="zh-CN" w:bidi="ar-SA"/>
        </w:rPr>
        <w:t>附表</w:t>
      </w:r>
    </w:p>
    <w:tbl>
      <w:tblPr>
        <w:tblStyle w:val="21"/>
        <w:tblW w:w="9409" w:type="dxa"/>
        <w:jc w:val="center"/>
        <w:tblLayout w:type="fixed"/>
        <w:tblCellMar>
          <w:top w:w="15" w:type="dxa"/>
          <w:left w:w="15" w:type="dxa"/>
          <w:bottom w:w="15" w:type="dxa"/>
          <w:right w:w="15" w:type="dxa"/>
        </w:tblCellMar>
      </w:tblPr>
      <w:tblGrid>
        <w:gridCol w:w="652"/>
        <w:gridCol w:w="1081"/>
        <w:gridCol w:w="1250"/>
        <w:gridCol w:w="1312"/>
        <w:gridCol w:w="1127"/>
        <w:gridCol w:w="971"/>
        <w:gridCol w:w="1061"/>
        <w:gridCol w:w="636"/>
        <w:gridCol w:w="1320"/>
      </w:tblGrid>
      <w:tr>
        <w:tblPrEx>
          <w:tblCellMar>
            <w:top w:w="15" w:type="dxa"/>
            <w:left w:w="15" w:type="dxa"/>
            <w:bottom w:w="15" w:type="dxa"/>
            <w:right w:w="15" w:type="dxa"/>
          </w:tblCellMar>
        </w:tblPrEx>
        <w:trPr>
          <w:trHeight w:val="832" w:hRule="atLeast"/>
          <w:jc w:val="center"/>
        </w:trPr>
        <w:tc>
          <w:tcPr>
            <w:tcW w:w="9410" w:type="dxa"/>
            <w:gridSpan w:val="9"/>
            <w:tcBorders>
              <w:top w:val="nil"/>
              <w:left w:val="nil"/>
              <w:bottom w:val="nil"/>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576" w:lineRule="exact"/>
              <w:ind w:left="0"/>
              <w:jc w:val="center"/>
              <w:textAlignment w:val="center"/>
              <w:rPr>
                <w:rFonts w:hint="default" w:ascii="Times New Roman" w:hAnsi="Times New Roman" w:eastAsia="黑体" w:cs="Times New Roman"/>
                <w:color w:val="auto"/>
                <w:sz w:val="30"/>
                <w:szCs w:val="30"/>
                <w:highlight w:val="none"/>
                <w:u w:val="none"/>
                <w:lang w:bidi="ar-SA"/>
              </w:rPr>
            </w:pPr>
            <w:r>
              <w:rPr>
                <w:rFonts w:hint="default" w:ascii="Times New Roman" w:hAnsi="Times New Roman" w:eastAsia="方正小标宋简体" w:cs="Times New Roman"/>
                <w:color w:val="auto"/>
                <w:kern w:val="0"/>
                <w:sz w:val="40"/>
                <w:szCs w:val="40"/>
                <w:highlight w:val="none"/>
                <w:u w:val="none"/>
                <w:lang w:val="en-US" w:eastAsia="zh-CN" w:bidi="ar"/>
              </w:rPr>
              <w:t>专项预算项目绩效目标完成情况自评表</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项目名称</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中央文化人才专项经费</w:t>
            </w:r>
          </w:p>
        </w:tc>
      </w:tr>
      <w:tr>
        <w:tblPrEx>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预算单位</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广元市文化广播电视和旅游局</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项目类型</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民生保障</w:t>
            </w: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kern w:val="0"/>
                <w:sz w:val="20"/>
                <w:szCs w:val="20"/>
                <w:highlight w:val="none"/>
                <w:u w:val="none"/>
                <w:lang w:val="en-US" w:eastAsia="zh-CN" w:bidi="ar"/>
              </w:rPr>
            </w:pPr>
            <w:r>
              <w:rPr>
                <w:rFonts w:hint="default" w:ascii="Times New Roman" w:hAnsi="Times New Roman" w:eastAsia="宋体" w:cs="Times New Roman"/>
                <w:color w:val="auto"/>
                <w:kern w:val="0"/>
                <w:sz w:val="20"/>
                <w:szCs w:val="20"/>
                <w:highlight w:val="none"/>
                <w:u w:val="none"/>
                <w:lang w:val="en-US" w:eastAsia="zh-CN" w:bidi="ar"/>
              </w:rPr>
              <w:t>中长期规划（名称、文号，仅指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常年项目）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《四川省中长期人才发展规划纲要（2010-2020年）》、《四川省农村扶贫开发纲要（2010-2020年）》</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资金管理办法（名称、文号）</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default" w:ascii="Times New Roman" w:hAnsi="Times New Roman" w:eastAsia="宋体" w:cs="Times New Roman"/>
                <w:color w:val="auto"/>
                <w:sz w:val="20"/>
                <w:szCs w:val="20"/>
                <w:highlight w:val="none"/>
                <w:u w:val="none"/>
                <w:lang w:bidi="ar-SA"/>
              </w:rPr>
            </w:pPr>
            <w:r>
              <w:rPr>
                <w:rFonts w:hint="eastAsia" w:eastAsia="宋体"/>
                <w:sz w:val="20"/>
                <w:szCs w:val="20"/>
                <w:highlight w:val="none"/>
                <w:lang w:bidi="ar"/>
              </w:rPr>
              <w:t>《关于下达2023年中央文化人才专项经费预算的通知》（川财教〔2023〕111号）</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Wingdings 2" w:cs="Times New Roman"/>
                <w:color w:val="auto"/>
                <w:sz w:val="20"/>
                <w:szCs w:val="20"/>
                <w:highlight w:val="none"/>
                <w:u w:val="none"/>
                <w:lang w:bidi="ar-SA"/>
              </w:rPr>
            </w:pPr>
            <w:r>
              <w:rPr>
                <w:rFonts w:hint="default" w:ascii="Times New Roman" w:hAnsi="Times New Roman" w:eastAsia="Wingdings 2" w:cs="Times New Roman"/>
                <w:color w:val="auto"/>
                <w:kern w:val="0"/>
                <w:sz w:val="20"/>
                <w:szCs w:val="20"/>
                <w:highlight w:val="none"/>
                <w:u w:val="none"/>
                <w:lang w:val="en-US" w:eastAsia="zh-CN" w:bidi="ar"/>
              </w:rPr>
              <w:t>£</w:t>
            </w:r>
            <w:r>
              <w:rPr>
                <w:rFonts w:hint="default" w:ascii="Times New Roman" w:hAnsi="Times New Roman" w:eastAsia="宋体" w:cs="Times New Roman"/>
                <w:color w:val="auto"/>
                <w:kern w:val="0"/>
                <w:sz w:val="20"/>
                <w:szCs w:val="20"/>
                <w:highlight w:val="none"/>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Wingdings 2" w:cs="Times New Roman"/>
                <w:color w:val="auto"/>
                <w:sz w:val="20"/>
                <w:szCs w:val="20"/>
                <w:highlight w:val="none"/>
                <w:u w:val="none"/>
                <w:lang w:bidi="ar-SA"/>
              </w:rPr>
            </w:pPr>
            <w:r>
              <w:rPr>
                <w:rFonts w:hint="default" w:ascii="Times New Roman" w:hAnsi="Times New Roman" w:eastAsia="Wingdings 2" w:cs="Times New Roman"/>
                <w:color w:val="auto"/>
                <w:kern w:val="0"/>
                <w:sz w:val="20"/>
                <w:szCs w:val="20"/>
                <w:highlight w:val="none"/>
                <w:u w:val="none"/>
                <w:lang w:val="en-US" w:eastAsia="zh-CN" w:bidi="ar"/>
              </w:rPr>
              <w:t>£项目法</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Wingdings 2" w:cs="Times New Roman"/>
                <w:color w:val="auto"/>
                <w:sz w:val="20"/>
                <w:szCs w:val="20"/>
                <w:highlight w:val="none"/>
                <w:u w:val="none"/>
                <w:lang w:bidi="ar-SA"/>
              </w:rPr>
            </w:pPr>
            <w:r>
              <w:rPr>
                <w:rFonts w:hint="default" w:ascii="Times New Roman" w:hAnsi="Times New Roman" w:eastAsia="Wingdings 2" w:cs="Times New Roman"/>
                <w:color w:val="auto"/>
                <w:kern w:val="0"/>
                <w:sz w:val="20"/>
                <w:szCs w:val="20"/>
                <w:highlight w:val="none"/>
                <w:u w:val="none"/>
                <w:lang w:val="en-US" w:eastAsia="zh-CN" w:bidi="ar"/>
              </w:rPr>
              <w:t>£</w:t>
            </w:r>
            <w:r>
              <w:rPr>
                <w:rFonts w:hint="default" w:ascii="Times New Roman" w:hAnsi="Times New Roman" w:eastAsia="宋体" w:cs="Times New Roman"/>
                <w:color w:val="auto"/>
                <w:kern w:val="0"/>
                <w:sz w:val="20"/>
                <w:szCs w:val="20"/>
                <w:highlight w:val="none"/>
                <w:u w:val="none"/>
                <w:lang w:val="en-US" w:eastAsia="zh-CN" w:bidi="ar"/>
              </w:rPr>
              <w:t>据实据效</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Wingdings 2" w:cs="Times New Roman"/>
                <w:color w:val="auto"/>
                <w:sz w:val="20"/>
                <w:szCs w:val="20"/>
                <w:highlight w:val="none"/>
                <w:u w:val="none"/>
                <w:lang w:bidi="ar-SA"/>
              </w:rPr>
            </w:pPr>
            <w:r>
              <w:rPr>
                <w:rFonts w:hint="default" w:ascii="Times New Roman" w:hAnsi="Times New Roman" w:eastAsia="Wingdings 2" w:cs="Times New Roman"/>
                <w:color w:val="auto"/>
                <w:kern w:val="0"/>
                <w:sz w:val="20"/>
                <w:szCs w:val="20"/>
                <w:highlight w:val="none"/>
                <w:u w:val="none"/>
                <w:lang w:val="en-US" w:eastAsia="zh-CN" w:bidi="ar"/>
              </w:rPr>
              <w:t>£</w:t>
            </w:r>
            <w:r>
              <w:rPr>
                <w:rFonts w:hint="default" w:ascii="Times New Roman" w:hAnsi="Times New Roman" w:eastAsia="宋体" w:cs="Times New Roman"/>
                <w:color w:val="auto"/>
                <w:kern w:val="0"/>
                <w:sz w:val="20"/>
                <w:szCs w:val="20"/>
                <w:highlight w:val="none"/>
                <w:u w:val="none"/>
                <w:lang w:val="en-US" w:eastAsia="zh-CN" w:bidi="ar"/>
              </w:rPr>
              <w:t>因素法与项目法相结合</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立项依据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default" w:ascii="Times New Roman" w:hAnsi="Times New Roman" w:eastAsia="宋体" w:cs="Times New Roman"/>
                <w:color w:val="auto"/>
                <w:sz w:val="20"/>
                <w:szCs w:val="20"/>
                <w:highlight w:val="none"/>
                <w:u w:val="none"/>
                <w:lang w:bidi="ar-SA"/>
              </w:rPr>
            </w:pPr>
            <w:r>
              <w:rPr>
                <w:rFonts w:eastAsia="宋体"/>
                <w:sz w:val="20"/>
                <w:szCs w:val="20"/>
                <w:highlight w:val="none"/>
              </w:rPr>
              <w:t>《关于印发</w:t>
            </w:r>
            <w:r>
              <w:rPr>
                <w:rFonts w:hint="eastAsia"/>
                <w:sz w:val="20"/>
                <w:szCs w:val="20"/>
                <w:highlight w:val="none"/>
                <w:lang w:eastAsia="zh-CN"/>
              </w:rPr>
              <w:t>〈</w:t>
            </w:r>
            <w:r>
              <w:rPr>
                <w:rFonts w:eastAsia="宋体"/>
                <w:sz w:val="20"/>
                <w:szCs w:val="20"/>
                <w:highlight w:val="none"/>
              </w:rPr>
              <w:t>2023年文旅工作者服务支持艰苦边远地区和基层一线专项实施方案</w:t>
            </w:r>
            <w:r>
              <w:rPr>
                <w:rFonts w:hint="eastAsia"/>
                <w:sz w:val="20"/>
                <w:szCs w:val="20"/>
                <w:highlight w:val="none"/>
                <w:lang w:eastAsia="zh-CN"/>
              </w:rPr>
              <w:t>〉的通知》（</w:t>
            </w:r>
            <w:r>
              <w:rPr>
                <w:rFonts w:eastAsia="宋体"/>
                <w:sz w:val="20"/>
                <w:szCs w:val="20"/>
                <w:highlight w:val="none"/>
              </w:rPr>
              <w:t>川文旅字〔2023〕117)</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使用范围</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对全</w:t>
            </w:r>
            <w:r>
              <w:rPr>
                <w:rFonts w:hint="eastAsia" w:eastAsia="宋体"/>
                <w:sz w:val="20"/>
                <w:szCs w:val="20"/>
                <w:highlight w:val="none"/>
                <w:lang w:bidi="ar"/>
              </w:rPr>
              <w:t>市</w:t>
            </w:r>
            <w:r>
              <w:rPr>
                <w:rFonts w:eastAsia="宋体"/>
                <w:sz w:val="20"/>
                <w:szCs w:val="20"/>
                <w:highlight w:val="none"/>
                <w:lang w:bidi="ar"/>
              </w:rPr>
              <w:t>的</w:t>
            </w:r>
            <w:r>
              <w:rPr>
                <w:rFonts w:hint="eastAsia" w:eastAsia="宋体"/>
                <w:sz w:val="20"/>
                <w:szCs w:val="20"/>
                <w:highlight w:val="none"/>
                <w:lang w:bidi="ar"/>
              </w:rPr>
              <w:t>文</w:t>
            </w:r>
            <w:r>
              <w:rPr>
                <w:rFonts w:eastAsia="宋体"/>
                <w:sz w:val="20"/>
                <w:szCs w:val="20"/>
                <w:highlight w:val="none"/>
                <w:lang w:bidi="ar"/>
              </w:rPr>
              <w:t>旅工作者进行脱产培训</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申报（补助）条件</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财政拨款</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项目起止年限</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2023</w:t>
            </w:r>
            <w:r>
              <w:rPr>
                <w:rFonts w:hint="eastAsia" w:ascii="Times New Roman" w:hAnsi="Times New Roman" w:eastAsia="宋体" w:cs="Times New Roman"/>
                <w:color w:val="auto"/>
                <w:sz w:val="20"/>
                <w:szCs w:val="20"/>
                <w:highlight w:val="none"/>
                <w:u w:val="none"/>
                <w:lang w:bidi="ar-SA"/>
              </w:rPr>
              <w:t>—2024</w:t>
            </w:r>
            <w:r>
              <w:rPr>
                <w:rFonts w:ascii="Times New Roman" w:hAnsi="Times New Roman" w:eastAsia="宋体" w:cs="Times New Roman"/>
                <w:color w:val="auto"/>
                <w:sz w:val="20"/>
                <w:szCs w:val="20"/>
                <w:highlight w:val="none"/>
                <w:u w:val="none"/>
                <w:lang w:bidi="ar-SA"/>
              </w:rPr>
              <w:t>年度</w:t>
            </w:r>
          </w:p>
        </w:tc>
      </w:tr>
      <w:tr>
        <w:tblPrEx>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kern w:val="0"/>
                <w:sz w:val="20"/>
                <w:szCs w:val="20"/>
                <w:highlight w:val="none"/>
                <w:u w:val="none"/>
                <w:lang w:val="en-US" w:eastAsia="zh-CN" w:bidi="ar"/>
              </w:rPr>
            </w:pPr>
            <w:r>
              <w:rPr>
                <w:rFonts w:hint="default" w:ascii="Times New Roman" w:hAnsi="Times New Roman" w:eastAsia="宋体" w:cs="Times New Roman"/>
                <w:color w:val="auto"/>
                <w:kern w:val="0"/>
                <w:sz w:val="20"/>
                <w:szCs w:val="20"/>
                <w:highlight w:val="none"/>
                <w:u w:val="none"/>
                <w:lang w:val="en-US" w:eastAsia="zh-CN" w:bidi="ar"/>
              </w:rPr>
              <w:t>项目资金</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 xml:space="preserve">  年度资金总额：</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6.9</w:t>
            </w:r>
          </w:p>
        </w:tc>
      </w:tr>
      <w:tr>
        <w:tblPrEx>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 xml:space="preserve">      其中：财政拨款</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6.9</w:t>
            </w:r>
          </w:p>
        </w:tc>
      </w:tr>
      <w:tr>
        <w:tblPrEx>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left"/>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 xml:space="preserve">            其他资金</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0</w:t>
            </w: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总体 目标</w:t>
            </w: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年度目标</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度量单位</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权重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kern w:val="0"/>
                <w:sz w:val="20"/>
                <w:szCs w:val="20"/>
                <w:highlight w:val="none"/>
                <w:u w:val="none"/>
                <w:lang w:val="en-US" w:eastAsia="zh-CN" w:bidi="ar"/>
              </w:rPr>
            </w:pPr>
            <w:r>
              <w:rPr>
                <w:rFonts w:hint="default" w:ascii="Times New Roman" w:hAnsi="Times New Roman" w:eastAsia="宋体" w:cs="Times New Roman"/>
                <w:color w:val="auto"/>
                <w:kern w:val="0"/>
                <w:sz w:val="20"/>
                <w:szCs w:val="20"/>
                <w:highlight w:val="none"/>
                <w:u w:val="none"/>
                <w:lang w:val="en-US" w:eastAsia="zh-CN" w:bidi="ar"/>
              </w:rPr>
              <w:t>实际完成指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标值</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nil"/>
            </w:tcBorders>
            <w:noWrap w:val="0"/>
            <w:vAlign w:val="center"/>
          </w:tcPr>
          <w:p>
            <w:pPr>
              <w:rPr>
                <w:highlight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产出指标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rPr>
                <w:rFonts w:hint="default" w:ascii="Times New Roman" w:hAnsi="Times New Roman" w:eastAsia="宋体" w:cs="Times New Roman"/>
                <w:color w:val="auto"/>
                <w:sz w:val="20"/>
                <w:szCs w:val="20"/>
                <w:highlight w:val="none"/>
                <w:u w:val="none"/>
                <w:lang w:bidi="ar-SA"/>
              </w:rPr>
            </w:pPr>
            <w:r>
              <w:rPr>
                <w:rFonts w:eastAsia="宋体"/>
                <w:sz w:val="20"/>
                <w:szCs w:val="20"/>
                <w:highlight w:val="none"/>
                <w:lang w:bidi="ar-SA"/>
              </w:rPr>
              <w:t>培养（训）三区地区文化人才数量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hint="eastAsia" w:ascii="Times New Roman" w:hAnsi="Times New Roman" w:eastAsia="宋体" w:cs="Times New Roman"/>
                <w:color w:val="auto"/>
                <w:sz w:val="20"/>
                <w:szCs w:val="20"/>
                <w:highlight w:val="none"/>
                <w:u w:val="none"/>
                <w:lang w:bidi="ar-SA"/>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115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116</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nil"/>
            </w:tcBorders>
            <w:noWrap w:val="0"/>
            <w:vAlign w:val="center"/>
          </w:tcPr>
          <w:p>
            <w:pPr>
              <w:rPr>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eastAsia="宋体"/>
                <w:sz w:val="20"/>
                <w:szCs w:val="20"/>
                <w:highlight w:val="none"/>
                <w:lang w:bidi="ar-SA"/>
              </w:rPr>
              <w:t>培养天数</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天</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5</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nil"/>
            </w:tcBorders>
            <w:noWrap w:val="0"/>
            <w:vAlign w:val="center"/>
          </w:tcPr>
          <w:p>
            <w:pPr>
              <w:rPr>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培训通过率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hint="eastAsia" w:ascii="Times New Roman" w:hAnsi="Times New Roman" w:eastAsia="宋体" w:cs="Times New Roman"/>
                <w:color w:val="auto"/>
                <w:sz w:val="20"/>
                <w:szCs w:val="20"/>
                <w:highlight w:val="none"/>
                <w:u w:val="none"/>
                <w:lang w:bidi="ar-SA"/>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95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100</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nil"/>
            </w:tcBorders>
            <w:noWrap w:val="0"/>
            <w:vAlign w:val="center"/>
          </w:tcPr>
          <w:p>
            <w:pPr>
              <w:rPr>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推动基层文化事业发展</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hint="eastAsia" w:ascii="Times New Roman" w:hAnsi="Times New Roman" w:eastAsia="宋体" w:cs="Times New Roman"/>
                <w:color w:val="auto"/>
                <w:sz w:val="20"/>
                <w:szCs w:val="20"/>
                <w:highlight w:val="none"/>
                <w:u w:val="none"/>
                <w:lang w:bidi="ar-SA"/>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长期</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优</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nil"/>
            </w:tcBorders>
            <w:noWrap w:val="0"/>
            <w:vAlign w:val="center"/>
          </w:tcPr>
          <w:p>
            <w:pPr>
              <w:rPr>
                <w:highlight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highlight w:val="none"/>
              </w:rPr>
            </w:pPr>
            <w:r>
              <w:rPr>
                <w:rFonts w:hint="default" w:eastAsia="宋体"/>
                <w:kern w:val="0"/>
                <w:sz w:val="20"/>
                <w:szCs w:val="20"/>
                <w:highlight w:val="none"/>
                <w:lang w:bidi="ar"/>
              </w:rPr>
              <w:t>效益指标</w:t>
            </w:r>
          </w:p>
        </w:tc>
        <w:tc>
          <w:tcPr>
            <w:tcW w:w="1250" w:type="dxa"/>
            <w:vMerge w:val="restar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kern w:val="0"/>
                <w:sz w:val="20"/>
                <w:szCs w:val="20"/>
                <w:highlight w:val="none"/>
                <w:u w:val="none"/>
                <w:lang w:val="en-US" w:eastAsia="zh-CN" w:bidi="ar"/>
              </w:rPr>
            </w:pPr>
            <w:r>
              <w:rPr>
                <w:rFonts w:hint="default" w:ascii="Times New Roman" w:hAnsi="Times New Roman" w:eastAsia="宋体" w:cs="Times New Roman"/>
                <w:color w:val="auto"/>
                <w:kern w:val="0"/>
                <w:sz w:val="20"/>
                <w:szCs w:val="20"/>
                <w:highlight w:val="none"/>
                <w:u w:val="none"/>
                <w:lang w:val="en-US" w:eastAsia="zh-CN" w:bidi="ar"/>
              </w:rPr>
              <w:t>社会效益</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基层文化工作人员的专业水平</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hint="eastAsia" w:ascii="Times New Roman" w:hAnsi="Times New Roman" w:eastAsia="宋体" w:cs="Times New Roman"/>
                <w:color w:val="auto"/>
                <w:sz w:val="20"/>
                <w:szCs w:val="20"/>
                <w:highlight w:val="none"/>
                <w:u w:val="none"/>
                <w:lang w:bidi="ar-SA"/>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长期</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优</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nil"/>
            </w:tcBorders>
            <w:noWrap w:val="0"/>
            <w:vAlign w:val="center"/>
          </w:tcPr>
          <w:p>
            <w:pPr>
              <w:rPr>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250" w:type="dxa"/>
            <w:vMerge w:val="continue"/>
            <w:tcBorders>
              <w:top w:val="single" w:color="000000" w:sz="4" w:space="0"/>
              <w:left w:val="single" w:color="000000" w:sz="4" w:space="0"/>
              <w:bottom w:val="nil"/>
              <w:right w:val="single" w:color="000000" w:sz="4" w:space="0"/>
            </w:tcBorders>
            <w:noWrap w:val="0"/>
            <w:vAlign w:val="center"/>
          </w:tcPr>
          <w:p>
            <w:pPr>
              <w:rPr>
                <w:highlight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提升基层文化旅游服务质量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hint="eastAsia" w:ascii="Times New Roman" w:hAnsi="Times New Roman" w:eastAsia="宋体" w:cs="Times New Roman"/>
                <w:color w:val="auto"/>
                <w:sz w:val="20"/>
                <w:szCs w:val="20"/>
                <w:highlight w:val="none"/>
                <w:u w:val="none"/>
                <w:lang w:bidi="ar-SA"/>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长期</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优</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nil"/>
            </w:tcBorders>
            <w:noWrap w:val="0"/>
            <w:vAlign w:val="center"/>
          </w:tcPr>
          <w:p>
            <w:pPr>
              <w:rPr>
                <w:highlight w:val="none"/>
              </w:rPr>
            </w:pPr>
          </w:p>
        </w:tc>
        <w:tc>
          <w:tcPr>
            <w:tcW w:w="1081"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kern w:val="0"/>
                <w:sz w:val="20"/>
                <w:szCs w:val="20"/>
                <w:highlight w:val="none"/>
                <w:u w:val="none"/>
                <w:lang w:val="en-US" w:eastAsia="zh-CN" w:bidi="ar"/>
              </w:rPr>
            </w:pPr>
            <w:r>
              <w:rPr>
                <w:rFonts w:hint="default" w:ascii="Times New Roman" w:hAnsi="Times New Roman" w:eastAsia="宋体" w:cs="Times New Roman"/>
                <w:color w:val="auto"/>
                <w:kern w:val="0"/>
                <w:sz w:val="20"/>
                <w:szCs w:val="20"/>
                <w:highlight w:val="none"/>
                <w:u w:val="none"/>
                <w:lang w:val="en-US" w:eastAsia="zh-CN" w:bidi="ar"/>
              </w:rPr>
              <w:t>满意度</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指标</w:t>
            </w:r>
          </w:p>
        </w:tc>
        <w:tc>
          <w:tcPr>
            <w:tcW w:w="1250"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kern w:val="0"/>
                <w:sz w:val="20"/>
                <w:szCs w:val="20"/>
                <w:highlight w:val="none"/>
                <w:u w:val="none"/>
                <w:lang w:val="en-US" w:eastAsia="zh-CN" w:bidi="ar"/>
              </w:rPr>
            </w:pPr>
            <w:r>
              <w:rPr>
                <w:rFonts w:hint="default" w:ascii="Times New Roman" w:hAnsi="Times New Roman" w:eastAsia="宋体" w:cs="Times New Roman"/>
                <w:color w:val="auto"/>
                <w:kern w:val="0"/>
                <w:sz w:val="20"/>
                <w:szCs w:val="20"/>
                <w:highlight w:val="none"/>
                <w:u w:val="none"/>
                <w:lang w:val="en-US" w:eastAsia="zh-CN" w:bidi="ar"/>
              </w:rPr>
              <w:t>服务对象</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hint="eastAsia" w:eastAsia="宋体"/>
                <w:sz w:val="20"/>
                <w:szCs w:val="20"/>
                <w:highlight w:val="none"/>
                <w:lang w:bidi="ar-SA"/>
              </w:rPr>
              <w:t>培训学员满意度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hint="eastAsia" w:ascii="Times New Roman" w:hAnsi="Times New Roman" w:eastAsia="宋体" w:cs="Times New Roman"/>
                <w:color w:val="auto"/>
                <w:sz w:val="20"/>
                <w:szCs w:val="20"/>
                <w:highlight w:val="none"/>
                <w:u w:val="none"/>
                <w:lang w:bidi="ar-SA"/>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95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99</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nil"/>
            </w:tcBorders>
            <w:noWrap w:val="0"/>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kern w:val="0"/>
                <w:sz w:val="20"/>
                <w:szCs w:val="20"/>
                <w:highlight w:val="none"/>
                <w:u w:val="none"/>
                <w:lang w:val="en-US" w:eastAsia="zh-CN" w:bidi="ar"/>
              </w:rPr>
            </w:pPr>
            <w:r>
              <w:rPr>
                <w:rFonts w:hint="default" w:ascii="Times New Roman" w:hAnsi="Times New Roman" w:eastAsia="宋体" w:cs="Times New Roman"/>
                <w:color w:val="auto"/>
                <w:kern w:val="0"/>
                <w:sz w:val="20"/>
                <w:szCs w:val="20"/>
                <w:highlight w:val="none"/>
                <w:u w:val="none"/>
                <w:lang w:val="en-US" w:eastAsia="zh-CN" w:bidi="ar"/>
              </w:rPr>
              <w:t>经济成本</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jc w:val="center"/>
              <w:textAlignment w:val="center"/>
              <w:rPr>
                <w:rFonts w:hint="default" w:ascii="Times New Roman" w:hAnsi="Times New Roman" w:eastAsia="宋体" w:cs="Times New Roman"/>
                <w:color w:val="auto"/>
                <w:sz w:val="20"/>
                <w:szCs w:val="20"/>
                <w:highlight w:val="none"/>
                <w:u w:val="none"/>
                <w:lang w:bidi="ar-SA"/>
              </w:rPr>
            </w:pPr>
            <w:r>
              <w:rPr>
                <w:rFonts w:hint="default" w:ascii="Times New Roman" w:hAnsi="Times New Roman" w:eastAsia="宋体" w:cs="Times New Roman"/>
                <w:color w:val="auto"/>
                <w:kern w:val="0"/>
                <w:sz w:val="20"/>
                <w:szCs w:val="20"/>
                <w:highlight w:val="none"/>
                <w:u w:val="none"/>
                <w:lang w:val="en-US" w:eastAsia="zh-CN" w:bidi="ar"/>
              </w:rPr>
              <w:t>指标</w:t>
            </w:r>
          </w:p>
        </w:tc>
        <w:tc>
          <w:tcPr>
            <w:tcW w:w="1312"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人均培训费用</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120元/天</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rPr>
                <w:rFonts w:hint="default" w:ascii="Times New Roman" w:hAnsi="Times New Roman" w:eastAsia="宋体" w:cs="Times New Roman"/>
                <w:color w:val="auto"/>
                <w:sz w:val="20"/>
                <w:szCs w:val="20"/>
                <w:highlight w:val="none"/>
                <w:u w:val="none"/>
                <w:lang w:bidi="ar-SA"/>
              </w:rPr>
            </w:pPr>
            <w:r>
              <w:rPr>
                <w:rFonts w:ascii="Times New Roman" w:hAnsi="Times New Roman" w:eastAsia="宋体" w:cs="Times New Roman"/>
                <w:color w:val="auto"/>
                <w:sz w:val="20"/>
                <w:szCs w:val="20"/>
                <w:highlight w:val="none"/>
                <w:u w:val="none"/>
                <w:lang w:bidi="ar-SA"/>
              </w:rPr>
              <w:t>120元/天</w:t>
            </w:r>
          </w:p>
        </w:tc>
      </w:tr>
    </w:tbl>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eastAsia" w:ascii="黑体" w:hAnsi="黑体" w:eastAsia="黑体" w:cs="黑体"/>
          <w:sz w:val="32"/>
          <w:szCs w:val="32"/>
          <w:highlight w:val="none"/>
          <w:lang w:val="en-US" w:eastAsia="zh-CN"/>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suppressAutoHyphens/>
        <w:bidi w:val="0"/>
        <w:spacing w:line="550" w:lineRule="exac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8</w:t>
      </w:r>
    </w:p>
    <w:p>
      <w:pPr>
        <w:pStyle w:val="40"/>
        <w:spacing w:line="578" w:lineRule="exact"/>
        <w:rPr>
          <w:rFonts w:hint="eastAsia" w:ascii="方正小标宋简体" w:hAnsi="方正小标宋简体" w:eastAsia="方正小标宋简体" w:cs="方正小标宋简体"/>
          <w:color w:val="auto"/>
          <w:kern w:val="2"/>
          <w:sz w:val="44"/>
          <w:szCs w:val="44"/>
          <w:highlight w:val="none"/>
          <w:lang w:val="en-US"/>
        </w:rPr>
      </w:pPr>
    </w:p>
    <w:p>
      <w:pPr>
        <w:spacing w:line="576" w:lineRule="exact"/>
        <w:jc w:val="center"/>
        <w:rPr>
          <w:rFonts w:ascii="方正小标宋简体" w:eastAsia="方正小标宋简体" w:cs="方正小标宋简体"/>
          <w:color w:val="auto"/>
          <w:sz w:val="44"/>
          <w:szCs w:val="44"/>
          <w:highlight w:val="none"/>
        </w:rPr>
      </w:pPr>
      <w:r>
        <w:rPr>
          <w:rFonts w:hint="eastAsia" w:ascii="方正小标宋简体" w:eastAsia="方正小标宋简体"/>
          <w:color w:val="auto"/>
          <w:sz w:val="44"/>
          <w:szCs w:val="44"/>
          <w:highlight w:val="none"/>
        </w:rPr>
        <w:t>举办2024年</w:t>
      </w:r>
      <w:r>
        <w:rPr>
          <w:rFonts w:hint="eastAsia" w:ascii="方正小标宋简体" w:hAnsi="Calibri" w:eastAsia="方正小标宋简体"/>
          <w:color w:val="auto"/>
          <w:sz w:val="44"/>
          <w:szCs w:val="44"/>
          <w:highlight w:val="none"/>
        </w:rPr>
        <w:t>广元市导游员、讲解员</w:t>
      </w:r>
      <w:r>
        <w:rPr>
          <w:rFonts w:hint="eastAsia" w:ascii="方正小标宋简体" w:eastAsia="方正小标宋简体"/>
          <w:color w:val="auto"/>
          <w:sz w:val="44"/>
          <w:szCs w:val="44"/>
          <w:highlight w:val="none"/>
        </w:rPr>
        <w:t>及</w:t>
      </w:r>
      <w:r>
        <w:rPr>
          <w:rFonts w:hint="eastAsia" w:ascii="方正小标宋简体" w:hAnsi="Calibri" w:eastAsia="方正小标宋简体"/>
          <w:color w:val="auto"/>
          <w:sz w:val="44"/>
          <w:szCs w:val="44"/>
          <w:highlight w:val="none"/>
        </w:rPr>
        <w:t>研学旅行指导师大赛</w:t>
      </w:r>
      <w:r>
        <w:rPr>
          <w:rFonts w:hint="eastAsia" w:ascii="方正小标宋简体" w:eastAsia="方正小标宋简体" w:cs="方正小标宋简体"/>
          <w:color w:val="auto"/>
          <w:sz w:val="44"/>
          <w:szCs w:val="44"/>
          <w:highlight w:val="none"/>
        </w:rPr>
        <w:t>绩效评价报告</w:t>
      </w:r>
    </w:p>
    <w:p>
      <w:pPr>
        <w:pStyle w:val="40"/>
        <w:spacing w:line="578" w:lineRule="exact"/>
        <w:ind w:firstLine="640"/>
        <w:jc w:val="center"/>
        <w:rPr>
          <w:rFonts w:hint="eastAsia" w:ascii="仿宋_GB2312" w:hAnsi="仿宋_GB2312" w:eastAsia="仿宋_GB2312" w:cs="仿宋_GB2312"/>
          <w:color w:val="auto"/>
          <w:kern w:val="2"/>
          <w:sz w:val="32"/>
          <w:szCs w:val="32"/>
          <w:highlight w:val="none"/>
          <w:lang w:val="en-US"/>
        </w:rPr>
      </w:pP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lang w:val="zh-CN"/>
        </w:rPr>
      </w:pPr>
      <w:r>
        <w:rPr>
          <w:rFonts w:hint="eastAsia" w:ascii="方正黑体简体" w:hAnsi="方正黑体简体" w:eastAsia="方正黑体简体" w:cs="方正黑体简体"/>
          <w:color w:val="auto"/>
          <w:sz w:val="32"/>
          <w:szCs w:val="32"/>
          <w:highlight w:val="none"/>
        </w:rPr>
        <w:t>一、</w:t>
      </w:r>
      <w:r>
        <w:rPr>
          <w:rFonts w:hint="eastAsia" w:ascii="方正黑体简体" w:hAnsi="方正黑体简体" w:eastAsia="方正黑体简体" w:cs="方正黑体简体"/>
          <w:color w:val="auto"/>
          <w:sz w:val="32"/>
          <w:szCs w:val="32"/>
          <w:highlight w:val="none"/>
          <w:lang w:val="zh-CN"/>
        </w:rPr>
        <w:t>项目概况</w:t>
      </w:r>
    </w:p>
    <w:p>
      <w:pPr>
        <w:pStyle w:val="2"/>
        <w:widowControl w:val="0"/>
        <w:tabs>
          <w:tab w:val="left" w:pos="2160"/>
        </w:tabs>
        <w:spacing w:line="54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rPr>
        <w:t>（一）设立背景及基本情况。</w:t>
      </w:r>
      <w:r>
        <w:rPr>
          <w:rFonts w:hint="eastAsia" w:ascii="仿宋_GB2312" w:hAnsi="仿宋_GB2312" w:eastAsia="仿宋_GB2312" w:cs="仿宋_GB2312"/>
          <w:color w:val="auto"/>
          <w:kern w:val="0"/>
          <w:sz w:val="32"/>
          <w:szCs w:val="32"/>
          <w:highlight w:val="none"/>
          <w:shd w:val="clear" w:color="auto" w:fill="FFFFFF"/>
          <w:lang w:val="en-US" w:eastAsia="zh-CN" w:bidi="ar-SA"/>
        </w:rPr>
        <w:t>为进一步提升我市旅游从业人员素养，加强我市旅游人队伍建设，我市拟在2024年选拔一批业务精良、风采出众的优秀导游员、讲解员和研学旅行指导师，发挥以点带面的示范引领作用，提升旅游从业人员队伍服务水平，切实“讲好广元故事、传播好广元声音、树立好行业形象”，为文化和旅游行业高质量发展奠定人才基础。</w:t>
      </w:r>
    </w:p>
    <w:p>
      <w:pPr>
        <w:spacing w:line="576"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（二）实施目的及支持方向。</w:t>
      </w:r>
      <w:r>
        <w:rPr>
          <w:rFonts w:hint="eastAsia" w:ascii="仿宋_GB2312" w:hAnsi="仿宋_GB2312" w:eastAsia="仿宋_GB2312" w:cs="仿宋_GB2312"/>
          <w:color w:val="auto"/>
          <w:kern w:val="0"/>
          <w:sz w:val="32"/>
          <w:szCs w:val="32"/>
          <w:highlight w:val="none"/>
          <w:shd w:val="clear" w:color="auto" w:fill="FFFFFF"/>
          <w:lang w:val="zh-CN" w:eastAsia="zh-CN" w:bidi="ar-SA"/>
        </w:rPr>
        <w:t>该项</w:t>
      </w:r>
      <w:r>
        <w:rPr>
          <w:rFonts w:hint="eastAsia" w:ascii="仿宋_GB2312" w:hAnsi="仿宋_GB2312" w:eastAsia="仿宋_GB2312" w:cs="仿宋_GB2312"/>
          <w:color w:val="auto"/>
          <w:kern w:val="0"/>
          <w:sz w:val="32"/>
          <w:szCs w:val="32"/>
          <w:highlight w:val="none"/>
          <w:shd w:val="clear" w:color="auto" w:fill="FFFFFF"/>
          <w:lang w:val="en-US" w:eastAsia="zh-CN" w:bidi="ar-SA"/>
        </w:rPr>
        <w:t>资金主要广元市导游员、讲解员及研学旅行指导师大赛奖项设置、评委劳务费、宣传推广、荣誉证书制作费、资料印制费等，总预算金额为6.30万元。</w:t>
      </w:r>
    </w:p>
    <w:p>
      <w:pPr>
        <w:spacing w:line="576"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（三）预算安排及分配管理。</w:t>
      </w:r>
      <w:r>
        <w:rPr>
          <w:rFonts w:hint="eastAsia" w:ascii="仿宋_GB2312" w:hAnsi="仿宋_GB2312" w:eastAsia="仿宋_GB2312" w:cs="仿宋_GB2312"/>
          <w:color w:val="auto"/>
          <w:kern w:val="0"/>
          <w:sz w:val="32"/>
          <w:szCs w:val="32"/>
          <w:highlight w:val="none"/>
          <w:shd w:val="clear" w:color="auto" w:fill="FFFFFF"/>
          <w:lang w:val="zh-CN" w:eastAsia="zh-CN" w:bidi="ar-SA"/>
        </w:rPr>
        <w:t>一是</w:t>
      </w:r>
      <w:r>
        <w:rPr>
          <w:rFonts w:hint="eastAsia" w:ascii="仿宋_GB2312" w:hAnsi="仿宋_GB2312" w:eastAsia="仿宋_GB2312" w:cs="仿宋_GB2312"/>
          <w:color w:val="auto"/>
          <w:kern w:val="0"/>
          <w:sz w:val="32"/>
          <w:szCs w:val="32"/>
          <w:highlight w:val="none"/>
          <w:shd w:val="clear" w:color="auto" w:fill="FFFFFF"/>
          <w:lang w:val="en-US" w:eastAsia="zh-CN" w:bidi="ar-SA"/>
        </w:rPr>
        <w:t>奖项设置及费用12300.00元。二是评委人工费费7500.00元（5位评委）。三是宣传推广费用20000元。在广元日报等主流媒体和微信、微博、抖音等平台以软文和小视频方式对赛事进行宣传推广。四是主持人费用2000元。五是评委、工作人员餐费19200元（餐费80元/人天×80人×3天=19200元）。六是荣誉证书制作费、资料印制费等其他杂费2000元。</w:t>
      </w:r>
    </w:p>
    <w:p>
      <w:pPr>
        <w:spacing w:line="576" w:lineRule="exact"/>
        <w:ind w:firstLine="640" w:firstLineChars="200"/>
        <w:rPr>
          <w:rFonts w:hint="eastAsia" w:ascii="仿宋_GB2312" w:hAnsi="仿宋_GB2312" w:eastAsia="仿宋_GB2312" w:cs="仿宋_GB2312"/>
          <w:color w:val="auto"/>
          <w:kern w:val="0"/>
          <w:position w:val="3"/>
          <w:sz w:val="32"/>
          <w:szCs w:val="32"/>
          <w:highlight w:val="none"/>
          <w:lang w:val="zh-CN"/>
        </w:rPr>
      </w:pP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（四）项目绩效目标设置。</w:t>
      </w:r>
      <w:r>
        <w:rPr>
          <w:rFonts w:hint="eastAsia" w:ascii="仿宋_GB2312" w:hAnsi="仿宋_GB2312" w:eastAsia="仿宋_GB2312" w:cs="仿宋_GB2312"/>
          <w:color w:val="auto"/>
          <w:kern w:val="0"/>
          <w:sz w:val="32"/>
          <w:szCs w:val="32"/>
          <w:highlight w:val="none"/>
          <w:shd w:val="clear" w:color="auto" w:fill="FFFFFF"/>
          <w:lang w:val="zh-CN" w:eastAsia="zh-CN" w:bidi="ar-SA"/>
        </w:rPr>
        <w:t>绩效目标设置主要包括活动策划及实施，宣传推广等方面。通过大赛的举办，进一步提升了我市旅游从业人员形象、展现了我市旅游从业人员风采。</w:t>
      </w: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rPr>
      </w:pPr>
      <w:r>
        <w:rPr>
          <w:rFonts w:hint="eastAsia" w:ascii="方正黑体简体" w:hAnsi="方正黑体简体" w:eastAsia="方正黑体简体" w:cs="方正黑体简体"/>
          <w:color w:val="auto"/>
          <w:sz w:val="32"/>
          <w:szCs w:val="32"/>
          <w:highlight w:val="none"/>
        </w:rPr>
        <w:t>二、评价实施</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（一）评价目的。</w:t>
      </w:r>
      <w:r>
        <w:rPr>
          <w:rFonts w:hint="eastAsia" w:ascii="仿宋_GB2312" w:hAnsi="仿宋_GB2312" w:eastAsia="仿宋_GB2312" w:cs="仿宋_GB2312"/>
          <w:color w:val="auto"/>
          <w:kern w:val="0"/>
          <w:sz w:val="32"/>
          <w:szCs w:val="32"/>
          <w:highlight w:val="none"/>
          <w:shd w:val="clear" w:color="auto" w:fill="FFFFFF"/>
          <w:lang w:val="zh-CN" w:eastAsia="zh-CN" w:bidi="ar-SA"/>
        </w:rPr>
        <w:t>总结</w:t>
      </w:r>
      <w:r>
        <w:rPr>
          <w:rFonts w:hint="eastAsia" w:ascii="仿宋_GB2312" w:hAnsi="仿宋_GB2312" w:eastAsia="仿宋_GB2312" w:cs="仿宋_GB2312"/>
          <w:color w:val="auto"/>
          <w:kern w:val="0"/>
          <w:sz w:val="32"/>
          <w:szCs w:val="32"/>
          <w:highlight w:val="none"/>
          <w:shd w:val="clear" w:color="auto" w:fill="FFFFFF"/>
          <w:lang w:val="en-US" w:eastAsia="zh-CN" w:bidi="ar-SA"/>
        </w:rPr>
        <w:t>本次大赛举办过程</w:t>
      </w:r>
      <w:r>
        <w:rPr>
          <w:rFonts w:hint="eastAsia" w:ascii="仿宋_GB2312" w:hAnsi="仿宋_GB2312" w:eastAsia="仿宋_GB2312" w:cs="仿宋_GB2312"/>
          <w:color w:val="auto"/>
          <w:kern w:val="0"/>
          <w:sz w:val="32"/>
          <w:szCs w:val="32"/>
          <w:highlight w:val="none"/>
          <w:shd w:val="clear" w:color="auto" w:fill="FFFFFF"/>
          <w:lang w:val="zh-CN" w:eastAsia="zh-CN" w:bidi="ar-SA"/>
        </w:rPr>
        <w:t>的经验和不足，为</w:t>
      </w:r>
      <w:r>
        <w:rPr>
          <w:rFonts w:hint="eastAsia" w:ascii="仿宋_GB2312" w:hAnsi="仿宋_GB2312" w:eastAsia="仿宋_GB2312" w:cs="仿宋_GB2312"/>
          <w:color w:val="auto"/>
          <w:kern w:val="0"/>
          <w:sz w:val="32"/>
          <w:szCs w:val="32"/>
          <w:highlight w:val="none"/>
          <w:shd w:val="clear" w:color="auto" w:fill="FFFFFF"/>
          <w:lang w:val="en-US" w:eastAsia="zh-CN" w:bidi="ar-SA"/>
        </w:rPr>
        <w:t>以后实施该项活动</w:t>
      </w:r>
      <w:r>
        <w:rPr>
          <w:rFonts w:hint="eastAsia" w:ascii="仿宋_GB2312" w:hAnsi="仿宋_GB2312" w:eastAsia="仿宋_GB2312" w:cs="仿宋_GB2312"/>
          <w:color w:val="auto"/>
          <w:kern w:val="0"/>
          <w:sz w:val="32"/>
          <w:szCs w:val="32"/>
          <w:highlight w:val="none"/>
          <w:shd w:val="clear" w:color="auto" w:fill="FFFFFF"/>
          <w:lang w:val="zh-CN" w:eastAsia="zh-CN" w:bidi="ar-SA"/>
        </w:rPr>
        <w:t>提供借鉴基础</w:t>
      </w:r>
      <w:r>
        <w:rPr>
          <w:rFonts w:hint="eastAsia" w:ascii="仿宋_GB2312" w:hAnsi="仿宋_GB2312" w:eastAsia="仿宋_GB2312" w:cs="仿宋_GB2312"/>
          <w:color w:val="auto"/>
          <w:kern w:val="0"/>
          <w:sz w:val="32"/>
          <w:szCs w:val="32"/>
          <w:highlight w:val="none"/>
          <w:shd w:val="clear" w:color="auto" w:fill="FFFFFF"/>
          <w:lang w:val="en-US" w:eastAsia="zh-CN" w:bidi="ar-SA"/>
        </w:rPr>
        <w:t>。</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（二）预设问题及评价重点。</w:t>
      </w:r>
      <w:r>
        <w:rPr>
          <w:rFonts w:hint="eastAsia" w:ascii="仿宋_GB2312" w:hAnsi="仿宋_GB2312" w:eastAsia="仿宋_GB2312" w:cs="仿宋_GB2312"/>
          <w:color w:val="auto"/>
          <w:kern w:val="0"/>
          <w:sz w:val="32"/>
          <w:szCs w:val="32"/>
          <w:highlight w:val="none"/>
          <w:shd w:val="clear" w:color="auto" w:fill="FFFFFF"/>
          <w:lang w:val="zh-CN" w:eastAsia="zh-CN" w:bidi="ar-SA"/>
        </w:rPr>
        <w:t>一是由于</w:t>
      </w:r>
      <w:r>
        <w:rPr>
          <w:rFonts w:hint="eastAsia" w:ascii="仿宋_GB2312" w:hAnsi="仿宋_GB2312" w:eastAsia="仿宋_GB2312" w:cs="仿宋_GB2312"/>
          <w:color w:val="auto"/>
          <w:kern w:val="0"/>
          <w:sz w:val="32"/>
          <w:szCs w:val="32"/>
          <w:highlight w:val="none"/>
          <w:shd w:val="clear" w:color="auto" w:fill="FFFFFF"/>
          <w:lang w:val="en-US" w:eastAsia="zh-CN" w:bidi="ar-SA"/>
        </w:rPr>
        <w:t>导游员、讲解员及研学旅行指导师等旅游从业人员存在就业淡旺季之份，为抓住淡季来举办赛事，时间较紧，准备不充分，相关细节考虑不周全等问题。</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（三）评价选点。</w:t>
      </w:r>
      <w:r>
        <w:rPr>
          <w:rFonts w:hint="eastAsia" w:ascii="仿宋_GB2312" w:hAnsi="仿宋_GB2312" w:eastAsia="仿宋_GB2312" w:cs="仿宋_GB2312"/>
          <w:color w:val="auto"/>
          <w:kern w:val="0"/>
          <w:sz w:val="32"/>
          <w:szCs w:val="32"/>
          <w:highlight w:val="none"/>
          <w:shd w:val="clear" w:color="auto" w:fill="FFFFFF"/>
          <w:lang w:val="zh-CN" w:eastAsia="zh-CN" w:bidi="ar-SA"/>
        </w:rPr>
        <w:t>选取</w:t>
      </w:r>
      <w:r>
        <w:rPr>
          <w:rFonts w:hint="eastAsia" w:ascii="仿宋_GB2312" w:hAnsi="仿宋_GB2312" w:eastAsia="仿宋_GB2312" w:cs="仿宋_GB2312"/>
          <w:color w:val="auto"/>
          <w:kern w:val="0"/>
          <w:sz w:val="32"/>
          <w:szCs w:val="32"/>
          <w:highlight w:val="none"/>
          <w:shd w:val="clear" w:color="auto" w:fill="FFFFFF"/>
          <w:lang w:val="en-US" w:eastAsia="zh-CN" w:bidi="ar-SA"/>
        </w:rPr>
        <w:t>导游员、讲解员及研学旅行指导师三项比赛进行评价。</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（四）评价方法。</w:t>
      </w:r>
      <w:r>
        <w:rPr>
          <w:rFonts w:hint="eastAsia" w:ascii="仿宋_GB2312" w:hAnsi="仿宋_GB2312" w:eastAsia="仿宋_GB2312" w:cs="仿宋_GB2312"/>
          <w:color w:val="auto"/>
          <w:kern w:val="0"/>
          <w:sz w:val="32"/>
          <w:szCs w:val="32"/>
          <w:highlight w:val="none"/>
          <w:shd w:val="clear" w:color="auto" w:fill="FFFFFF"/>
          <w:lang w:val="zh-CN" w:eastAsia="zh-CN" w:bidi="ar-SA"/>
        </w:rPr>
        <w:t>本次评价主要采取</w:t>
      </w:r>
      <w:r>
        <w:rPr>
          <w:rFonts w:hint="eastAsia" w:ascii="仿宋_GB2312" w:hAnsi="仿宋_GB2312" w:eastAsia="仿宋_GB2312" w:cs="仿宋_GB2312"/>
          <w:color w:val="auto"/>
          <w:kern w:val="0"/>
          <w:sz w:val="32"/>
          <w:szCs w:val="32"/>
          <w:highlight w:val="none"/>
          <w:shd w:val="clear" w:color="auto" w:fill="FFFFFF"/>
          <w:lang w:val="en-US" w:eastAsia="zh-CN" w:bidi="ar-SA"/>
        </w:rPr>
        <w:t>座谈调研法的方法，实地考察了解活动开展等情况。</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由广元市文化旅游协会牵头，市文化广电旅游局市场管理科、规划指导与资源管理科、宣传科教科等相关人员组成评价小组，对项目实施进行评价。</w:t>
      </w:r>
    </w:p>
    <w:p>
      <w:pPr>
        <w:adjustRightInd w:val="0"/>
        <w:snapToGrid w:val="0"/>
        <w:spacing w:line="578"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方正黑体简体" w:hAnsi="方正黑体简体" w:eastAsia="方正黑体简体" w:cs="方正黑体简体"/>
          <w:color w:val="auto"/>
          <w:sz w:val="32"/>
          <w:szCs w:val="32"/>
          <w:highlight w:val="none"/>
        </w:rPr>
        <w:t>三、绩效分析</w:t>
      </w:r>
      <w:r>
        <w:rPr>
          <w:rFonts w:hint="eastAsia" w:ascii="仿宋_GB2312" w:hAnsi="仿宋_GB2312" w:eastAsia="仿宋_GB2312" w:cs="仿宋_GB2312"/>
          <w:color w:val="auto"/>
          <w:sz w:val="32"/>
          <w:szCs w:val="32"/>
          <w:highlight w:val="none"/>
          <w:lang w:val="zh-CN"/>
        </w:rPr>
        <w:tab/>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根据项目预算绩效评价指标体系“通用指标”“专用指标”“个性指标”涉及二、三级指标进行逐项绩效分析并评分</w:t>
      </w:r>
      <w:r>
        <w:rPr>
          <w:rFonts w:hint="eastAsia" w:ascii="仿宋_GB2312" w:hAnsi="仿宋_GB2312" w:eastAsia="仿宋_GB2312" w:cs="仿宋_GB2312"/>
          <w:color w:val="auto"/>
          <w:kern w:val="0"/>
          <w:sz w:val="32"/>
          <w:szCs w:val="32"/>
          <w:highlight w:val="none"/>
          <w:shd w:val="clear" w:color="auto" w:fill="FFFFFF"/>
          <w:lang w:val="en-US" w:eastAsia="zh-CN" w:bidi="ar-SA"/>
        </w:rPr>
        <w:t>。</w:t>
      </w:r>
    </w:p>
    <w:p>
      <w:pPr>
        <w:adjustRightInd w:val="0"/>
        <w:snapToGrid w:val="0"/>
        <w:spacing w:line="578" w:lineRule="exact"/>
        <w:ind w:firstLine="640" w:firstLineChars="200"/>
        <w:rPr>
          <w:rFonts w:hint="eastAsia" w:ascii="方正楷体简体" w:hAnsi="方正楷体简体" w:eastAsia="方正楷体简体" w:cs="方正楷体简体"/>
          <w:bCs/>
          <w:color w:val="auto"/>
          <w:kern w:val="2"/>
          <w:position w:val="0"/>
          <w:sz w:val="32"/>
          <w:szCs w:val="32"/>
          <w:highlight w:val="none"/>
          <w:lang w:val="zh-CN"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（一）通用指标绩效分析。</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1.项目决策。本项目决策程序严密、规划论证充分科学、项目资金与项目总体规划、相关行业事业发展相匹配、聚焦重点领域。结合专项预算项目绩效评价指标体系，该项目在项目决策方面得18分。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项目管理。根据《中华人民共和国预算法》《中华人民共和国政府采购法》《政府购买服务管理办法》（中华人民共和国财政部令第102号）《四川省政府购买服务管理办法》（川财规〔2021〕15号）等制度办法，根据活动试试项目，采用因素分析法合理分配项目资金，并将该项目纳入全面绩效管理。该项目在项目管理方面得18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3.项目实施。项目实施从预算执行和资金使用两方面进行评价：一是资金使用。该项目资金使用、拨付符合国家财经法规、财务管理制度及有关专项资金管理制度办法规定和审批程序，不存在超范围、超标准、超进度使用专项资金，不存在资金损失浪费、长期沉淀、截留、挤占、挪用、虚列支出等情况，项目实施遵守相关法律法规，该项目在资金使用方面得3分。二是预算执行。2024年广元市导游员、讲解员及研学旅行指导师大赛预算资金6.3万元，截至年底资金拨付6.3万元，财政资金拨付率100%。按照专项预算项目绩效评价指标体系中的标准，该项目在项目实施方面得9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4.项目结果。该项目批复立项设定的绩效目标是成功举办2024年广元市导游员、讲解员及研学旅行指导师大赛，进一步提高我市旅游从业人员素养。该项目在项目结果方面得9分。</w:t>
      </w:r>
    </w:p>
    <w:p>
      <w:pPr>
        <w:spacing w:line="580"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（二）专用指标绩效分析。</w:t>
      </w:r>
      <w:r>
        <w:rPr>
          <w:rFonts w:hint="eastAsia" w:ascii="仿宋_GB2312" w:hAnsi="仿宋_GB2312" w:eastAsia="仿宋_GB2312" w:cs="仿宋_GB2312"/>
          <w:color w:val="auto"/>
          <w:kern w:val="0"/>
          <w:sz w:val="32"/>
          <w:szCs w:val="32"/>
          <w:highlight w:val="none"/>
          <w:shd w:val="clear" w:color="auto" w:fill="FFFFFF"/>
          <w:lang w:val="en-US" w:eastAsia="zh-CN" w:bidi="ar-SA"/>
        </w:rPr>
        <w:t>根据该项目实施内容按照产业发展专用指标进行分析。该项目严格按照相关要求，符合上级单位政策。项目实施极大地提升了我市旅游从业人员素养，进一步提升了游客满意度，讲好了广元故事，传播了广元声音。自评得分30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Cs/>
          <w:color w:val="auto"/>
          <w:kern w:val="2"/>
          <w:position w:val="0"/>
          <w:sz w:val="32"/>
          <w:szCs w:val="32"/>
          <w:highlight w:val="none"/>
          <w:lang w:val="zh-CN" w:eastAsia="zh-CN" w:bidi="ar-SA"/>
        </w:rPr>
        <w:t>（三）个性指标绩效分析。</w:t>
      </w:r>
      <w:r>
        <w:rPr>
          <w:rFonts w:hint="eastAsia" w:ascii="仿宋_GB2312" w:hAnsi="仿宋_GB2312" w:eastAsia="仿宋_GB2312" w:cs="仿宋_GB2312"/>
          <w:color w:val="auto"/>
          <w:kern w:val="0"/>
          <w:sz w:val="32"/>
          <w:szCs w:val="32"/>
          <w:highlight w:val="none"/>
          <w:shd w:val="clear" w:color="auto" w:fill="FFFFFF"/>
          <w:lang w:val="en-US" w:eastAsia="zh-CN" w:bidi="ar-SA"/>
        </w:rPr>
        <w:t>2024年广元市导游员、讲解员及研学旅行指导师大赛的成功举办，进一步擦亮了广元“剑门蜀道、女皇故里、红色热土、康养胜地”的城市名片。</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综上，该项目个性指标自评得分16分。</w:t>
      </w: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lang w:eastAsia="zh-CN"/>
        </w:rPr>
      </w:pPr>
      <w:r>
        <w:rPr>
          <w:rFonts w:hint="eastAsia" w:ascii="方正黑体简体" w:hAnsi="方正黑体简体" w:eastAsia="方正黑体简体" w:cs="方正黑体简体"/>
          <w:color w:val="auto"/>
          <w:sz w:val="32"/>
          <w:szCs w:val="32"/>
          <w:highlight w:val="none"/>
          <w:lang w:eastAsia="zh-CN"/>
        </w:rPr>
        <w:t>四、评价结论</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本项目项目绩效自评得分100分。</w:t>
      </w: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lang w:eastAsia="zh-CN"/>
        </w:rPr>
      </w:pPr>
      <w:r>
        <w:rPr>
          <w:rFonts w:hint="eastAsia" w:ascii="方正黑体简体" w:hAnsi="方正黑体简体" w:eastAsia="方正黑体简体" w:cs="方正黑体简体"/>
          <w:color w:val="auto"/>
          <w:sz w:val="32"/>
          <w:szCs w:val="32"/>
          <w:highlight w:val="none"/>
          <w:lang w:eastAsia="zh-CN"/>
        </w:rPr>
        <w:t>五、存在主要问题</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无</w:t>
      </w: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lang w:val="zh-CN" w:eastAsia="zh-CN"/>
        </w:rPr>
      </w:pPr>
      <w:r>
        <w:rPr>
          <w:rFonts w:hint="eastAsia" w:ascii="方正黑体简体" w:hAnsi="方正黑体简体" w:eastAsia="方正黑体简体" w:cs="方正黑体简体"/>
          <w:color w:val="auto"/>
          <w:sz w:val="32"/>
          <w:szCs w:val="32"/>
          <w:highlight w:val="none"/>
          <w:lang w:val="zh-CN" w:eastAsia="zh-CN"/>
        </w:rPr>
        <w:t>六、改进建议</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力争有更多年轻、学历高的人员加入导游、讲解员等旅游从业人员队伍。</w:t>
      </w:r>
    </w:p>
    <w:p>
      <w:pPr>
        <w:pStyle w:val="17"/>
        <w:ind w:left="640" w:firstLine="640"/>
        <w:rPr>
          <w:rFonts w:hint="eastAsia" w:ascii="仿宋_GB2312" w:hAnsi="仿宋_GB2312" w:eastAsia="仿宋_GB2312" w:cs="仿宋_GB2312"/>
          <w:color w:val="auto"/>
          <w:sz w:val="32"/>
          <w:szCs w:val="32"/>
          <w:highlight w:val="none"/>
          <w:lang w:val="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topLinePunct/>
        <w:spacing w:line="576" w:lineRule="exact"/>
        <w:ind w:left="652"/>
        <w:rPr>
          <w:color w:val="auto"/>
          <w:kern w:val="0"/>
          <w:highlight w:val="none"/>
          <w:shd w:val="clear" w:color="auto" w:fill="FFFFFF"/>
          <w:lang w:val="zh-CN"/>
        </w:rPr>
      </w:pPr>
    </w:p>
    <w:p>
      <w:pPr>
        <w:pStyle w:val="17"/>
        <w:rPr>
          <w:color w:val="auto"/>
          <w:kern w:val="0"/>
          <w:highlight w:val="none"/>
          <w:shd w:val="clear" w:color="auto" w:fill="FFFFFF"/>
          <w:lang w:val="zh-CN"/>
        </w:rPr>
      </w:pPr>
    </w:p>
    <w:p>
      <w:pPr>
        <w:pStyle w:val="17"/>
        <w:rPr>
          <w:color w:val="auto"/>
          <w:kern w:val="0"/>
          <w:highlight w:val="none"/>
          <w:shd w:val="clear" w:color="auto" w:fill="FFFFFF"/>
          <w:lang w:val="zh-CN"/>
        </w:rPr>
      </w:pPr>
    </w:p>
    <w:p>
      <w:pPr>
        <w:pStyle w:val="17"/>
        <w:rPr>
          <w:color w:val="auto"/>
          <w:kern w:val="0"/>
          <w:highlight w:val="none"/>
          <w:shd w:val="clear" w:color="auto" w:fill="FFFFFF"/>
          <w:lang w:val="zh-CN"/>
        </w:rPr>
      </w:pPr>
    </w:p>
    <w:p>
      <w:pPr>
        <w:pStyle w:val="17"/>
        <w:rPr>
          <w:color w:val="auto"/>
          <w:kern w:val="0"/>
          <w:highlight w:val="none"/>
          <w:shd w:val="clear" w:color="auto" w:fill="FFFFFF"/>
          <w:lang w:val="zh-CN"/>
        </w:rPr>
      </w:pPr>
    </w:p>
    <w:p>
      <w:pPr>
        <w:pStyle w:val="17"/>
        <w:rPr>
          <w:color w:val="auto"/>
          <w:kern w:val="0"/>
          <w:highlight w:val="none"/>
          <w:shd w:val="clear" w:color="auto" w:fill="FFFFFF"/>
          <w:lang w:val="zh-CN"/>
        </w:rPr>
      </w:pPr>
    </w:p>
    <w:p>
      <w:pPr>
        <w:pStyle w:val="17"/>
        <w:rPr>
          <w:color w:val="auto"/>
          <w:kern w:val="0"/>
          <w:highlight w:val="none"/>
          <w:shd w:val="clear" w:color="auto" w:fill="FFFFFF"/>
          <w:lang w:val="zh-CN"/>
        </w:rPr>
      </w:pPr>
    </w:p>
    <w:p>
      <w:pPr>
        <w:pStyle w:val="17"/>
        <w:spacing w:after="0" w:line="578" w:lineRule="exact"/>
        <w:ind w:left="0" w:leftChars="0" w:firstLine="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附表</w:t>
      </w:r>
    </w:p>
    <w:p>
      <w:pPr>
        <w:pStyle w:val="17"/>
        <w:spacing w:after="0" w:line="578" w:lineRule="exact"/>
        <w:ind w:left="0" w:leftChars="0" w:firstLine="0" w:firstLineChars="0"/>
        <w:jc w:val="center"/>
        <w:rPr>
          <w:rFonts w:hint="eastAsia" w:ascii="方正小标宋简体" w:hAnsi="方正小标宋简体" w:eastAsia="方正小标宋简体" w:cs="方正小标宋简体"/>
          <w:kern w:val="0"/>
          <w:sz w:val="40"/>
          <w:szCs w:val="40"/>
          <w:highlight w:val="none"/>
        </w:rPr>
      </w:pPr>
      <w:r>
        <w:rPr>
          <w:rFonts w:hint="eastAsia" w:ascii="方正小标宋简体" w:hAnsi="方正小标宋简体" w:eastAsia="方正小标宋简体" w:cs="方正小标宋简体"/>
          <w:kern w:val="0"/>
          <w:sz w:val="40"/>
          <w:szCs w:val="40"/>
          <w:highlight w:val="none"/>
        </w:rPr>
        <w:t>专项预算项目绩效目标完成情况自评表</w:t>
      </w:r>
    </w:p>
    <w:tbl>
      <w:tblPr>
        <w:tblStyle w:val="21"/>
        <w:tblW w:w="10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52"/>
        <w:gridCol w:w="1081"/>
        <w:gridCol w:w="1250"/>
        <w:gridCol w:w="1312"/>
        <w:gridCol w:w="1127"/>
        <w:gridCol w:w="1270"/>
        <w:gridCol w:w="762"/>
        <w:gridCol w:w="938"/>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4295" w:type="dxa"/>
            <w:gridSpan w:val="4"/>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项目名称</w:t>
            </w:r>
          </w:p>
        </w:tc>
        <w:tc>
          <w:tcPr>
            <w:tcW w:w="5938" w:type="dxa"/>
            <w:gridSpan w:val="5"/>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2024年广元市导游员、讲解员及研学旅行指导师大赛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4295" w:type="dxa"/>
            <w:gridSpan w:val="4"/>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预算单位</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广元市文化广播电视和旅游局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4295" w:type="dxa"/>
            <w:gridSpan w:val="4"/>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项目类型</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特定目标类项目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restart"/>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项目 概况</w:t>
            </w: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中长期规划（名称、文号，仅指</w:t>
            </w:r>
          </w:p>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常年项目）</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资金管理办法（名称、文号）</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绩效分配方式</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因素法</w:t>
            </w:r>
          </w:p>
        </w:tc>
        <w:tc>
          <w:tcPr>
            <w:tcW w:w="2032" w:type="dxa"/>
            <w:gridSpan w:val="2"/>
            <w:vAlign w:val="center"/>
          </w:tcPr>
          <w:p>
            <w:pPr>
              <w:widowControl/>
              <w:spacing w:line="4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sym w:font="Wingdings 2" w:char="F052"/>
            </w:r>
            <w:r>
              <w:rPr>
                <w:rFonts w:hint="eastAsia" w:asciiTheme="minorEastAsia" w:hAnsiTheme="minorEastAsia" w:eastAsiaTheme="minorEastAsia" w:cstheme="minorEastAsia"/>
                <w:kern w:val="0"/>
                <w:sz w:val="24"/>
                <w:szCs w:val="24"/>
                <w:highlight w:val="none"/>
              </w:rPr>
              <w:t>项目法</w:t>
            </w:r>
          </w:p>
        </w:tc>
        <w:tc>
          <w:tcPr>
            <w:tcW w:w="938"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据实</w:t>
            </w:r>
          </w:p>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据效</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因素法与项目法相结合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64"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立项依据</w:t>
            </w:r>
          </w:p>
        </w:tc>
        <w:tc>
          <w:tcPr>
            <w:tcW w:w="5938" w:type="dxa"/>
            <w:gridSpan w:val="5"/>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建设大蜀道国际文化旅游目的地和康胜度假胜地需要。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使用范围</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申报（补助）条件</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项目起止年限</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1733" w:type="dxa"/>
            <w:gridSpan w:val="2"/>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项目资金</w:t>
            </w:r>
          </w:p>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（万元）</w:t>
            </w:r>
          </w:p>
        </w:tc>
        <w:tc>
          <w:tcPr>
            <w:tcW w:w="2562" w:type="dxa"/>
            <w:gridSpan w:val="2"/>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年度资金总额：</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 w:hRule="atLeast"/>
          <w:jc w:val="center"/>
        </w:trPr>
        <w:tc>
          <w:tcPr>
            <w:tcW w:w="1733" w:type="dxa"/>
            <w:gridSpan w:val="2"/>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2562" w:type="dxa"/>
            <w:gridSpan w:val="2"/>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其中：财政拨款</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733" w:type="dxa"/>
            <w:gridSpan w:val="2"/>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2562" w:type="dxa"/>
            <w:gridSpan w:val="2"/>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其他资金</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restart"/>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总体 目标</w:t>
            </w:r>
          </w:p>
        </w:tc>
        <w:tc>
          <w:tcPr>
            <w:tcW w:w="9581" w:type="dxa"/>
            <w:gridSpan w:val="8"/>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年度目标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9581" w:type="dxa"/>
            <w:gridSpan w:val="8"/>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绩效 指标</w:t>
            </w:r>
          </w:p>
        </w:tc>
        <w:tc>
          <w:tcPr>
            <w:tcW w:w="1081"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一级指标</w:t>
            </w:r>
          </w:p>
        </w:tc>
        <w:tc>
          <w:tcPr>
            <w:tcW w:w="1250"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二级指标</w:t>
            </w:r>
          </w:p>
        </w:tc>
        <w:tc>
          <w:tcPr>
            <w:tcW w:w="1312"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三级指标</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指标性质</w:t>
            </w:r>
          </w:p>
        </w:tc>
        <w:tc>
          <w:tcPr>
            <w:tcW w:w="1270"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指标值</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度量</w:t>
            </w:r>
          </w:p>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单位</w:t>
            </w:r>
          </w:p>
        </w:tc>
        <w:tc>
          <w:tcPr>
            <w:tcW w:w="938"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权重</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绩效 指标</w:t>
            </w:r>
          </w:p>
        </w:tc>
        <w:tc>
          <w:tcPr>
            <w:tcW w:w="1081"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产出指标</w:t>
            </w:r>
          </w:p>
        </w:tc>
        <w:tc>
          <w:tcPr>
            <w:tcW w:w="1250"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数量指标</w:t>
            </w: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一等奖1名</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1000</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元</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二等奖2名</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800</w:t>
            </w:r>
          </w:p>
        </w:tc>
        <w:tc>
          <w:tcPr>
            <w:tcW w:w="762"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元</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312" w:type="dxa"/>
            <w:shd w:val="clear" w:color="auto" w:fill="auto"/>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三等奖3名</w:t>
            </w:r>
          </w:p>
        </w:tc>
        <w:tc>
          <w:tcPr>
            <w:tcW w:w="1127" w:type="dxa"/>
            <w:shd w:val="clear" w:color="auto" w:fill="auto"/>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shd w:val="clear" w:color="auto" w:fill="auto"/>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500</w:t>
            </w:r>
          </w:p>
        </w:tc>
        <w:tc>
          <w:tcPr>
            <w:tcW w:w="762" w:type="dxa"/>
            <w:shd w:val="clear" w:color="auto" w:fill="auto"/>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元</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1841"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优秀奖6名</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762"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1841"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lang w:bidi="ar"/>
              </w:rPr>
              <w:t>媒体宣传报道</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lang w:bidi="ar"/>
              </w:rPr>
              <w:t>3</w:t>
            </w:r>
          </w:p>
        </w:tc>
        <w:tc>
          <w:tcPr>
            <w:tcW w:w="762"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lang w:bidi="ar"/>
              </w:rPr>
              <w:t>3家</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bidi="ar"/>
              </w:rPr>
              <w:t>5</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restart"/>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质量指标</w:t>
            </w: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bidi="ar"/>
              </w:rPr>
              <w:t>成功举办该 活动</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bidi="ar"/>
              </w:rPr>
              <w:t>活动圆满完成，提升了我市旅游从业人员队伍素养</w:t>
            </w:r>
          </w:p>
        </w:tc>
        <w:tc>
          <w:tcPr>
            <w:tcW w:w="762"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时效指标</w:t>
            </w:r>
          </w:p>
        </w:tc>
        <w:tc>
          <w:tcPr>
            <w:tcW w:w="1312"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完成时间</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定性</w:t>
            </w:r>
          </w:p>
        </w:tc>
        <w:tc>
          <w:tcPr>
            <w:tcW w:w="127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2024年2月前</w:t>
            </w:r>
          </w:p>
        </w:tc>
        <w:tc>
          <w:tcPr>
            <w:tcW w:w="762" w:type="dxa"/>
            <w:vAlign w:val="center"/>
          </w:tcPr>
          <w:p>
            <w:pPr>
              <w:jc w:val="center"/>
              <w:rPr>
                <w:rFonts w:hint="eastAsia" w:asciiTheme="minorEastAsia" w:hAnsiTheme="minorEastAsia" w:eastAsiaTheme="minorEastAsia" w:cstheme="minorEastAsia"/>
                <w:kern w:val="0"/>
                <w:sz w:val="24"/>
                <w:szCs w:val="24"/>
                <w:highlight w:val="none"/>
              </w:rPr>
            </w:pP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2024年2月前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效益指标</w:t>
            </w:r>
          </w:p>
        </w:tc>
        <w:tc>
          <w:tcPr>
            <w:tcW w:w="125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社会效益指标</w:t>
            </w:r>
          </w:p>
        </w:tc>
        <w:tc>
          <w:tcPr>
            <w:tcW w:w="1312" w:type="dxa"/>
            <w:vAlign w:val="center"/>
          </w:tcPr>
          <w:p>
            <w:pPr>
              <w:widowControl/>
              <w:autoSpaceDN w:val="0"/>
              <w:spacing w:line="36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bidi="ar"/>
              </w:rPr>
              <w:t>提升形象、扩大消费，进一步擦亮“剑门蜀道 女皇故里 红色热土 康养胜地”城市文化品牌。</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定性</w:t>
            </w:r>
          </w:p>
        </w:tc>
        <w:tc>
          <w:tcPr>
            <w:tcW w:w="127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效果良好</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效果良好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可持续发展指标</w:t>
            </w:r>
          </w:p>
        </w:tc>
        <w:tc>
          <w:tcPr>
            <w:tcW w:w="1312" w:type="dxa"/>
            <w:vAlign w:val="center"/>
          </w:tcPr>
          <w:p>
            <w:pPr>
              <w:widowControl/>
              <w:autoSpaceDN w:val="0"/>
              <w:spacing w:line="36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bidi="ar"/>
              </w:rPr>
              <w:t>擦亮广元城市文化品牌，提升广元城市知名度和影响力。</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定性</w:t>
            </w:r>
          </w:p>
        </w:tc>
        <w:tc>
          <w:tcPr>
            <w:tcW w:w="127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效果良好</w:t>
            </w:r>
          </w:p>
        </w:tc>
        <w:tc>
          <w:tcPr>
            <w:tcW w:w="762" w:type="dxa"/>
            <w:vAlign w:val="center"/>
          </w:tcPr>
          <w:p>
            <w:pPr>
              <w:jc w:val="center"/>
              <w:rPr>
                <w:rFonts w:hint="eastAsia" w:asciiTheme="minorEastAsia" w:hAnsiTheme="minorEastAsia" w:eastAsiaTheme="minorEastAsia" w:cstheme="minorEastAsia"/>
                <w:kern w:val="0"/>
                <w:sz w:val="24"/>
                <w:szCs w:val="24"/>
                <w:highlight w:val="none"/>
              </w:rPr>
            </w:pP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效果良好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满意度指标</w:t>
            </w:r>
          </w:p>
        </w:tc>
        <w:tc>
          <w:tcPr>
            <w:tcW w:w="125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满意度指标</w:t>
            </w:r>
          </w:p>
        </w:tc>
        <w:tc>
          <w:tcPr>
            <w:tcW w:w="131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社会满意度</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100</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成本指标</w:t>
            </w:r>
          </w:p>
        </w:tc>
        <w:tc>
          <w:tcPr>
            <w:tcW w:w="125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经济成本指标</w:t>
            </w:r>
          </w:p>
        </w:tc>
        <w:tc>
          <w:tcPr>
            <w:tcW w:w="131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总体费用</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27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6.30</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万元</w:t>
            </w: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r>
    </w:tbl>
    <w:p>
      <w:pPr>
        <w:pStyle w:val="17"/>
        <w:spacing w:after="0" w:line="20" w:lineRule="exact"/>
        <w:ind w:left="0" w:leftChars="0" w:firstLine="0" w:firstLineChars="0"/>
        <w:rPr>
          <w:rFonts w:hint="eastAsia" w:ascii="黑体" w:hAnsi="黑体" w:eastAsia="黑体" w:cs="黑体"/>
          <w:sz w:val="24"/>
          <w:szCs w:val="24"/>
          <w:highlight w:val="none"/>
        </w:rPr>
      </w:pPr>
    </w:p>
    <w:p>
      <w:pPr>
        <w:rPr>
          <w:rFonts w:hint="eastAsia"/>
          <w:highlight w:val="none"/>
        </w:rPr>
      </w:pPr>
    </w:p>
    <w:p>
      <w:pPr>
        <w:pStyle w:val="17"/>
        <w:rPr>
          <w:color w:val="auto"/>
          <w:kern w:val="0"/>
          <w:highlight w:val="none"/>
          <w:shd w:val="clear" w:color="auto" w:fill="FFFFFF"/>
          <w:lang w:val="zh-CN"/>
        </w:rPr>
      </w:pPr>
    </w:p>
    <w:p>
      <w:pPr>
        <w:pStyle w:val="17"/>
        <w:ind w:left="640" w:firstLine="640"/>
        <w:rPr>
          <w:color w:val="auto"/>
          <w:highlight w:val="none"/>
          <w:lang w:val="zh-CN"/>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spacing w:line="576" w:lineRule="exact"/>
        <w:jc w:val="center"/>
        <w:rPr>
          <w:rFonts w:hint="eastAsia" w:ascii="方正小标宋简体" w:eastAsia="方正小标宋简体"/>
          <w:sz w:val="44"/>
          <w:szCs w:val="44"/>
          <w:highlight w:val="none"/>
        </w:rPr>
      </w:pPr>
    </w:p>
    <w:p>
      <w:pPr>
        <w:widowControl/>
        <w:jc w:val="both"/>
        <w:outlineLvl w:val="0"/>
        <w:rPr>
          <w:rFonts w:hint="default" w:ascii="黑体" w:hAnsi="黑体" w:eastAsia="黑体" w:cs="Times New Roman"/>
          <w:color w:val="auto"/>
          <w:sz w:val="32"/>
          <w:szCs w:val="32"/>
          <w:highlight w:val="none"/>
          <w:lang w:val="en-US" w:eastAsia="zh-CN"/>
        </w:rPr>
      </w:pPr>
      <w:bookmarkStart w:id="114" w:name="_Toc5340"/>
      <w:bookmarkStart w:id="115" w:name="_Toc8613"/>
      <w:r>
        <w:rPr>
          <w:rFonts w:hint="eastAsia" w:ascii="黑体" w:hAnsi="黑体" w:eastAsia="黑体" w:cs="Times New Roman"/>
          <w:color w:val="auto"/>
          <w:sz w:val="32"/>
          <w:szCs w:val="32"/>
          <w:highlight w:val="none"/>
          <w:lang w:val="en-US" w:eastAsia="zh-CN"/>
        </w:rPr>
        <w:t>附件9</w:t>
      </w:r>
      <w:bookmarkEnd w:id="114"/>
      <w:bookmarkEnd w:id="115"/>
    </w:p>
    <w:p>
      <w:pPr>
        <w:spacing w:line="576" w:lineRule="exact"/>
        <w:jc w:val="both"/>
        <w:rPr>
          <w:rFonts w:hint="eastAsia" w:ascii="方正小标宋简体" w:eastAsia="方正小标宋简体"/>
          <w:sz w:val="44"/>
          <w:szCs w:val="44"/>
          <w:highlight w:val="none"/>
        </w:rPr>
      </w:pPr>
    </w:p>
    <w:p>
      <w:pPr>
        <w:spacing w:line="576" w:lineRule="exact"/>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2024年广元市旅游大数据信息服务</w:t>
      </w:r>
    </w:p>
    <w:p>
      <w:pPr>
        <w:spacing w:line="576" w:lineRule="exact"/>
        <w:jc w:val="center"/>
        <w:rPr>
          <w:rFonts w:ascii="方正小标宋简体" w:eastAsia="方正小标宋简体" w:cs="方正小标宋简体"/>
          <w:sz w:val="44"/>
          <w:szCs w:val="44"/>
          <w:highlight w:val="none"/>
        </w:rPr>
      </w:pPr>
      <w:r>
        <w:rPr>
          <w:rFonts w:hint="eastAsia" w:ascii="方正小标宋简体" w:eastAsia="方正小标宋简体"/>
          <w:sz w:val="44"/>
          <w:szCs w:val="44"/>
          <w:highlight w:val="none"/>
        </w:rPr>
        <w:t>项目</w:t>
      </w:r>
      <w:r>
        <w:rPr>
          <w:rFonts w:hint="eastAsia" w:ascii="方正小标宋简体" w:eastAsia="方正小标宋简体" w:cs="方正小标宋简体"/>
          <w:sz w:val="44"/>
          <w:szCs w:val="44"/>
          <w:highlight w:val="none"/>
        </w:rPr>
        <w:t>绩效评价报告</w:t>
      </w:r>
    </w:p>
    <w:p>
      <w:pPr>
        <w:pStyle w:val="40"/>
        <w:spacing w:line="578" w:lineRule="exact"/>
        <w:ind w:firstLine="640"/>
        <w:jc w:val="center"/>
        <w:rPr>
          <w:rFonts w:hint="eastAsia" w:ascii="仿宋_GB2312" w:hAnsi="仿宋_GB2312" w:eastAsia="仿宋_GB2312" w:cs="仿宋_GB2312"/>
          <w:color w:val="auto"/>
          <w:kern w:val="2"/>
          <w:sz w:val="32"/>
          <w:szCs w:val="32"/>
          <w:highlight w:val="none"/>
        </w:rPr>
      </w:pP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lang w:val="zh-CN"/>
        </w:rPr>
      </w:pPr>
      <w:r>
        <w:rPr>
          <w:rFonts w:hint="eastAsia" w:ascii="方正黑体简体" w:hAnsi="方正黑体简体" w:eastAsia="方正黑体简体" w:cs="方正黑体简体"/>
          <w:color w:val="auto"/>
          <w:sz w:val="32"/>
          <w:szCs w:val="32"/>
          <w:highlight w:val="none"/>
        </w:rPr>
        <w:t>一、</w:t>
      </w:r>
      <w:r>
        <w:rPr>
          <w:rFonts w:hint="eastAsia" w:ascii="方正黑体简体" w:hAnsi="方正黑体简体" w:eastAsia="方正黑体简体" w:cs="方正黑体简体"/>
          <w:color w:val="auto"/>
          <w:sz w:val="32"/>
          <w:szCs w:val="32"/>
          <w:highlight w:val="none"/>
          <w:lang w:val="zh-CN"/>
        </w:rPr>
        <w:t>项目概况</w:t>
      </w:r>
    </w:p>
    <w:p>
      <w:pPr>
        <w:pStyle w:val="2"/>
        <w:widowControl w:val="0"/>
        <w:tabs>
          <w:tab w:val="left" w:pos="2160"/>
        </w:tabs>
        <w:spacing w:line="54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rPr>
        <w:t>（一）设立背景及基本情况。</w:t>
      </w:r>
      <w:r>
        <w:rPr>
          <w:rFonts w:hint="eastAsia" w:ascii="仿宋_GB2312" w:hAnsi="仿宋_GB2312" w:eastAsia="仿宋_GB2312" w:cs="仿宋_GB2312"/>
          <w:color w:val="auto"/>
          <w:kern w:val="0"/>
          <w:sz w:val="32"/>
          <w:szCs w:val="32"/>
          <w:highlight w:val="none"/>
          <w:shd w:val="clear" w:color="auto" w:fill="FFFFFF"/>
          <w:lang w:val="en-US" w:eastAsia="zh-CN" w:bidi="ar-SA"/>
        </w:rPr>
        <w:t>为科学全面了解和掌握广元市重大节假日旅游市场总体情况，精准监测分析假日旅游市场特征，为加强假日旅游市场管理提供有效数据支撑和决策依据，根据工作需要，拟委托第三方测算机构对我市旅游统计数据进行测算。</w:t>
      </w:r>
    </w:p>
    <w:p>
      <w:pPr>
        <w:pStyle w:val="2"/>
        <w:widowControl w:val="0"/>
        <w:tabs>
          <w:tab w:val="left" w:pos="2160"/>
        </w:tabs>
        <w:spacing w:line="54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rPr>
        <w:t>（二）实施目的及支持方向。</w:t>
      </w:r>
      <w:r>
        <w:rPr>
          <w:rFonts w:hint="eastAsia" w:ascii="仿宋_GB2312" w:hAnsi="仿宋_GB2312" w:eastAsia="仿宋_GB2312" w:cs="仿宋_GB2312"/>
          <w:color w:val="auto"/>
          <w:kern w:val="0"/>
          <w:sz w:val="32"/>
          <w:szCs w:val="32"/>
          <w:highlight w:val="none"/>
          <w:shd w:val="clear" w:color="auto" w:fill="FFFFFF"/>
          <w:lang w:val="en-US" w:eastAsia="zh-CN" w:bidi="ar-SA"/>
        </w:rPr>
        <w:t>一是从国家、省级层面来看。据了解，全国重大节假日及游客客源地来源分析等相数据是国家文旅部委托中国旅游研究院在进行测算，四川省重大节假日及游客客源地来源分析等相数据是省文化和旅游厅委托银联商务股份有限公司四川分公司在进行测算。二是从我省其他市州和单位来看。乐山市、德阳市、达州市已委托第三方大数据测算机构在进行相关旅游统计数据测算，成都市和泸州市正在与第三方大数据测算机构进行洽谈，都江堰市、峨眉山市、隆昌市、九寨沟等30个县级市及相关单位已经在与第三方大数据测算机构进行合作，效果良好。三是从市委、市政府工作要求来看。市委、市政府主要领导十分重视我市旅游统计数据测算，尤其是对重大节日期间旅游统计数据质量要求高。例如：今天中秋国庆期间，根据市委、市政府主要领导要求，我市国内旅游接待总人次和旅游消费总收入要和全国、全省相关数据进行比较，同时还要比增长点和增速，由于我们没有专业的统计人员、对专业的统计测算方法不了解，故难度较大且测算会存在不精准，也不能为旅游市场管理提供有效数据支撑和决策依据。综上，委托第三方测算机构对我市旅游统计数据进行测算是非常必要的。总预算金额为27.70万元，2024年已支付项目60%的款项，合计金额为16.62万元。</w:t>
      </w:r>
    </w:p>
    <w:p>
      <w:pPr>
        <w:spacing w:line="576"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（三）预算安排及分配管理。</w:t>
      </w:r>
      <w:r>
        <w:rPr>
          <w:rFonts w:hint="eastAsia" w:ascii="仿宋_GB2312" w:hAnsi="仿宋_GB2312" w:eastAsia="仿宋_GB2312" w:cs="仿宋_GB2312"/>
          <w:color w:val="auto"/>
          <w:kern w:val="0"/>
          <w:sz w:val="32"/>
          <w:szCs w:val="32"/>
          <w:highlight w:val="none"/>
          <w:shd w:val="clear" w:color="auto" w:fill="FFFFFF"/>
          <w:lang w:val="zh-CN" w:eastAsia="zh-CN" w:bidi="ar-SA"/>
        </w:rPr>
        <w:t>一是游客接待人次服务数据</w:t>
      </w:r>
      <w:r>
        <w:rPr>
          <w:rFonts w:hint="eastAsia" w:ascii="仿宋_GB2312" w:hAnsi="仿宋_GB2312" w:eastAsia="仿宋_GB2312" w:cs="仿宋_GB2312"/>
          <w:color w:val="auto"/>
          <w:kern w:val="0"/>
          <w:sz w:val="32"/>
          <w:szCs w:val="32"/>
          <w:highlight w:val="none"/>
          <w:shd w:val="clear" w:color="auto" w:fill="FFFFFF"/>
          <w:lang w:val="en-US" w:eastAsia="zh-CN" w:bidi="ar-SA"/>
        </w:rPr>
        <w:t>11万元。包括：2024年广元市接待总人次、广元市游客停留时长、广元市游客平均停留天数、广元市过夜人数、广元市过夜人数占比、广元市四县三区接待总人次、广元市游客客源地等。二是旅游消费数据15万元。包括：2024年广元市游客消费总金额、广元市游客消费人次、广元市四县三区游客消费、广元市旅游行业贡献度（游客/（游客+本地）消费额、广元市有消费省外游客客源地。三是分析报告1.7万元。包括：2024年月度、季度、年度广元市旅游大数据分析报告等。</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（四）项目绩效目标设置。</w:t>
      </w:r>
      <w:r>
        <w:rPr>
          <w:rFonts w:hint="eastAsia" w:ascii="仿宋_GB2312" w:hAnsi="仿宋_GB2312" w:eastAsia="仿宋_GB2312" w:cs="仿宋_GB2312"/>
          <w:color w:val="auto"/>
          <w:kern w:val="0"/>
          <w:sz w:val="32"/>
          <w:szCs w:val="32"/>
          <w:highlight w:val="none"/>
          <w:shd w:val="clear" w:color="auto" w:fill="FFFFFF"/>
          <w:lang w:val="zh-CN" w:eastAsia="zh-CN" w:bidi="ar-SA"/>
        </w:rPr>
        <w:t>绩效目标设置主要包括游客接待人次、</w:t>
      </w:r>
      <w:r>
        <w:rPr>
          <w:rFonts w:hint="eastAsia" w:ascii="仿宋_GB2312" w:hAnsi="仿宋_GB2312" w:eastAsia="仿宋_GB2312" w:cs="仿宋_GB2312"/>
          <w:color w:val="auto"/>
          <w:kern w:val="0"/>
          <w:sz w:val="32"/>
          <w:szCs w:val="32"/>
          <w:highlight w:val="none"/>
          <w:shd w:val="clear" w:color="auto" w:fill="FFFFFF"/>
          <w:lang w:val="en-US" w:eastAsia="zh-CN" w:bidi="ar-SA"/>
        </w:rPr>
        <w:t>旅游消费数据和详细分析报告等。</w:t>
      </w:r>
      <w:r>
        <w:rPr>
          <w:rFonts w:hint="eastAsia" w:ascii="仿宋_GB2312" w:hAnsi="仿宋_GB2312" w:eastAsia="仿宋_GB2312" w:cs="仿宋_GB2312"/>
          <w:color w:val="auto"/>
          <w:kern w:val="0"/>
          <w:sz w:val="32"/>
          <w:szCs w:val="32"/>
          <w:highlight w:val="none"/>
          <w:shd w:val="clear" w:color="auto" w:fill="FFFFFF"/>
          <w:lang w:val="en" w:eastAsia="zh-CN" w:bidi="ar-SA"/>
        </w:rPr>
        <w:t>为全面、科学、准确、客观反映我市</w:t>
      </w:r>
      <w:r>
        <w:rPr>
          <w:rFonts w:hint="eastAsia" w:ascii="仿宋_GB2312" w:hAnsi="仿宋_GB2312" w:eastAsia="仿宋_GB2312" w:cs="仿宋_GB2312"/>
          <w:color w:val="auto"/>
          <w:kern w:val="0"/>
          <w:sz w:val="32"/>
          <w:szCs w:val="32"/>
          <w:highlight w:val="none"/>
          <w:shd w:val="clear" w:color="auto" w:fill="FFFFFF"/>
          <w:lang w:val="en-US" w:eastAsia="zh-CN" w:bidi="ar-SA"/>
        </w:rPr>
        <w:t>2024年</w:t>
      </w:r>
      <w:r>
        <w:rPr>
          <w:rFonts w:hint="eastAsia" w:ascii="仿宋_GB2312" w:hAnsi="仿宋_GB2312" w:eastAsia="仿宋_GB2312" w:cs="仿宋_GB2312"/>
          <w:color w:val="auto"/>
          <w:kern w:val="0"/>
          <w:sz w:val="32"/>
          <w:szCs w:val="32"/>
          <w:highlight w:val="none"/>
          <w:shd w:val="clear" w:color="auto" w:fill="FFFFFF"/>
          <w:lang w:val="en" w:eastAsia="zh-CN" w:bidi="ar-SA"/>
        </w:rPr>
        <w:t>旅游测算数据，开展了月报、季报、年报及春节、五一、国庆三个大长假统计测算分析工作，对不同维度的数据进行交叉分析与可视化呈现，深入剖析数据的集中趋势、离散程度以及偏态等特征，通过图表直观展示数据分布形态，挖掘其中隐藏的规律与异常点，解锁数据隐藏密码，为领导决策提供精准的数据画像。</w:t>
      </w: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rPr>
      </w:pPr>
      <w:r>
        <w:rPr>
          <w:rFonts w:hint="eastAsia" w:ascii="方正黑体简体" w:hAnsi="方正黑体简体" w:eastAsia="方正黑体简体" w:cs="方正黑体简体"/>
          <w:color w:val="auto"/>
          <w:sz w:val="32"/>
          <w:szCs w:val="32"/>
          <w:highlight w:val="none"/>
        </w:rPr>
        <w:t>二、评价实施</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（一）评价目的。</w:t>
      </w:r>
      <w:r>
        <w:rPr>
          <w:rFonts w:hint="eastAsia" w:ascii="仿宋_GB2312" w:hAnsi="仿宋_GB2312" w:eastAsia="仿宋_GB2312" w:cs="仿宋_GB2312"/>
          <w:color w:val="auto"/>
          <w:kern w:val="0"/>
          <w:sz w:val="32"/>
          <w:szCs w:val="32"/>
          <w:highlight w:val="none"/>
          <w:shd w:val="clear" w:color="auto" w:fill="FFFFFF"/>
          <w:lang w:val="zh-CN" w:eastAsia="zh-CN" w:bidi="ar-SA"/>
        </w:rPr>
        <w:t>总结分析通过邀请第三方机构对我市数据进行分析的必要性和可行性。总结经验和不足，为</w:t>
      </w:r>
      <w:r>
        <w:rPr>
          <w:rFonts w:hint="eastAsia" w:ascii="仿宋_GB2312" w:hAnsi="仿宋_GB2312" w:eastAsia="仿宋_GB2312" w:cs="仿宋_GB2312"/>
          <w:color w:val="auto"/>
          <w:kern w:val="0"/>
          <w:sz w:val="32"/>
          <w:szCs w:val="32"/>
          <w:highlight w:val="none"/>
          <w:shd w:val="clear" w:color="auto" w:fill="FFFFFF"/>
          <w:lang w:val="en-US" w:eastAsia="zh-CN" w:bidi="ar-SA"/>
        </w:rPr>
        <w:t>以后决策提供参考依据。</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（二）预设问题及评价重点。</w:t>
      </w:r>
      <w:r>
        <w:rPr>
          <w:rFonts w:hint="eastAsia" w:ascii="仿宋_GB2312" w:hAnsi="仿宋_GB2312" w:eastAsia="仿宋_GB2312" w:cs="仿宋_GB2312"/>
          <w:color w:val="auto"/>
          <w:kern w:val="0"/>
          <w:sz w:val="32"/>
          <w:szCs w:val="32"/>
          <w:highlight w:val="none"/>
          <w:shd w:val="clear" w:color="auto" w:fill="FFFFFF"/>
          <w:lang w:val="zh-CN" w:eastAsia="zh-CN" w:bidi="ar-SA"/>
        </w:rPr>
        <w:t>主要从</w:t>
      </w:r>
      <w:r>
        <w:rPr>
          <w:rFonts w:hint="eastAsia" w:ascii="仿宋_GB2312" w:hAnsi="仿宋_GB2312" w:eastAsia="仿宋_GB2312" w:cs="仿宋_GB2312"/>
          <w:color w:val="auto"/>
          <w:kern w:val="0"/>
          <w:sz w:val="32"/>
          <w:szCs w:val="32"/>
          <w:highlight w:val="none"/>
          <w:shd w:val="clear" w:color="auto" w:fill="FFFFFF"/>
          <w:lang w:val="en-US" w:eastAsia="zh-CN" w:bidi="ar-SA"/>
        </w:rPr>
        <w:t>2024年月度、季度、年度、春节、五一、国庆等几个方面进行分析评价。同时出具相应的分析报告，解锁数据背后的密码。</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（三）评价选点。</w:t>
      </w:r>
      <w:r>
        <w:rPr>
          <w:rFonts w:hint="eastAsia" w:ascii="仿宋_GB2312" w:hAnsi="仿宋_GB2312" w:eastAsia="仿宋_GB2312" w:cs="仿宋_GB2312"/>
          <w:color w:val="auto"/>
          <w:kern w:val="0"/>
          <w:sz w:val="32"/>
          <w:szCs w:val="32"/>
          <w:highlight w:val="none"/>
          <w:shd w:val="clear" w:color="auto" w:fill="FFFFFF"/>
          <w:lang w:val="zh-CN" w:eastAsia="zh-CN" w:bidi="ar-SA"/>
        </w:rPr>
        <w:t>重点对</w:t>
      </w:r>
      <w:r>
        <w:rPr>
          <w:rFonts w:hint="eastAsia" w:ascii="仿宋_GB2312" w:hAnsi="仿宋_GB2312" w:eastAsia="仿宋_GB2312" w:cs="仿宋_GB2312"/>
          <w:color w:val="auto"/>
          <w:kern w:val="0"/>
          <w:sz w:val="32"/>
          <w:szCs w:val="32"/>
          <w:highlight w:val="none"/>
          <w:shd w:val="clear" w:color="auto" w:fill="FFFFFF"/>
          <w:lang w:val="en-US" w:eastAsia="zh-CN" w:bidi="ar-SA"/>
        </w:rPr>
        <w:t>春节、五一、国庆等重大节假日旅游接待人次、消费收入、客源地分析等方面进行评价。</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（四）评价方法。</w:t>
      </w:r>
      <w:r>
        <w:rPr>
          <w:rFonts w:hint="eastAsia" w:ascii="仿宋_GB2312" w:hAnsi="仿宋_GB2312" w:eastAsia="仿宋_GB2312" w:cs="仿宋_GB2312"/>
          <w:color w:val="auto"/>
          <w:kern w:val="0"/>
          <w:sz w:val="32"/>
          <w:szCs w:val="32"/>
          <w:highlight w:val="none"/>
          <w:shd w:val="clear" w:color="auto" w:fill="FFFFFF"/>
          <w:lang w:val="zh-CN" w:eastAsia="zh-CN" w:bidi="ar-SA"/>
        </w:rPr>
        <w:t>本次评价主要实地分析评价等</w:t>
      </w:r>
      <w:r>
        <w:rPr>
          <w:rFonts w:hint="eastAsia" w:ascii="仿宋_GB2312" w:hAnsi="仿宋_GB2312" w:eastAsia="仿宋_GB2312" w:cs="仿宋_GB2312"/>
          <w:color w:val="auto"/>
          <w:kern w:val="0"/>
          <w:sz w:val="32"/>
          <w:szCs w:val="32"/>
          <w:highlight w:val="none"/>
          <w:shd w:val="clear" w:color="auto" w:fill="FFFFFF"/>
          <w:lang w:val="en-US" w:eastAsia="zh-CN" w:bidi="ar-SA"/>
        </w:rPr>
        <w:t>方法，对全年三个重大节假日和月度、季度、年度数据进行评估分析。</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由广元市文广旅局市场管理科牵头，局相关科室配合组成评价小组，对项目实施进行评价。</w:t>
      </w: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lang w:val="zh-CN"/>
        </w:rPr>
      </w:pPr>
      <w:r>
        <w:rPr>
          <w:rFonts w:hint="eastAsia" w:ascii="方正黑体简体" w:hAnsi="方正黑体简体" w:eastAsia="方正黑体简体" w:cs="方正黑体简体"/>
          <w:color w:val="auto"/>
          <w:sz w:val="32"/>
          <w:szCs w:val="32"/>
          <w:highlight w:val="none"/>
        </w:rPr>
        <w:t>三、绩效分析</w:t>
      </w:r>
      <w:r>
        <w:rPr>
          <w:rFonts w:hint="eastAsia" w:ascii="方正黑体简体" w:hAnsi="方正黑体简体" w:eastAsia="方正黑体简体" w:cs="方正黑体简体"/>
          <w:color w:val="auto"/>
          <w:sz w:val="32"/>
          <w:szCs w:val="32"/>
          <w:highlight w:val="none"/>
          <w:lang w:val="zh-CN"/>
        </w:rPr>
        <w:tab/>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根据项目预算绩效评价指标体系“通用指标”“专用指标”“个性指标”涉及二、三级指标进行逐项绩效分析并评分</w:t>
      </w:r>
      <w:r>
        <w:rPr>
          <w:rFonts w:hint="eastAsia" w:ascii="仿宋_GB2312" w:hAnsi="仿宋_GB2312" w:eastAsia="仿宋_GB2312" w:cs="仿宋_GB2312"/>
          <w:color w:val="auto"/>
          <w:kern w:val="0"/>
          <w:sz w:val="32"/>
          <w:szCs w:val="32"/>
          <w:highlight w:val="none"/>
          <w:shd w:val="clear" w:color="auto" w:fill="FFFFFF"/>
          <w:lang w:val="en-US" w:eastAsia="zh-CN" w:bidi="ar-SA"/>
        </w:rPr>
        <w:t>。</w:t>
      </w:r>
    </w:p>
    <w:p>
      <w:pPr>
        <w:spacing w:line="578" w:lineRule="exact"/>
        <w:ind w:firstLine="640"/>
        <w:rPr>
          <w:rFonts w:hint="eastAsia" w:ascii="方正楷体简体" w:hAnsi="方正楷体简体" w:eastAsia="方正楷体简体" w:cs="方正楷体简体"/>
          <w:b w:val="0"/>
          <w:bCs/>
          <w:color w:val="auto"/>
          <w:kern w:val="2"/>
          <w:position w:val="0"/>
          <w:sz w:val="32"/>
          <w:szCs w:val="32"/>
          <w:highlight w:val="none"/>
          <w:lang w:val="zh-CN"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（一）通用指标绩效分析。</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1.项目决策。本项目决策程序严密、规划论证充分科学、项目资金与项目总体规划、相关行业事业发展相匹配、聚焦重点领域。结合专项预算项目绩效评价指标体系，该项目在项目决策方面得18分。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项目管理。根据《中华人民共和国预算法》《中华人民共和国政府采购法》《政府购买服务管理办法》（中华人民共和国财政部令第102号）《四川省政府购买服务管理办法》（川财规〔2021〕15号）等制度办法，根据活动试试项目，采用因素分析法合理分配项目资金，并将该项目纳入全面绩效管理。该项目在项目管理方面得18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3.项目实施。项目实施从预算执行和资金使用两方面进行评价：一是资金使用。该项目资金使用、拨付符合国家财经法规、财务管理制度及有关专项资金管理制度办法规定和审批程序，不存在超范围、超标准、超进度使用专项资金，不存在资金损失浪费、长期沉淀、截留、挤占、挪用、虚列支出等情况，项目实施遵守相关法律法规，该项目在资金使用方面得3分。二是预算执行。2024年广元市旅游大数据信息服务项目预算资金27.7万元，截至年底资金拨付16.62万元，财政资金拨付率60%。按照专项预算项目绩效评价指标体系中的标准，该项目在项目实施方面得9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4.项目结果。该项目批复立项设定的绩效目标是</w:t>
      </w:r>
      <w:r>
        <w:rPr>
          <w:rFonts w:hint="eastAsia" w:ascii="仿宋_GB2312" w:hAnsi="仿宋_GB2312" w:eastAsia="仿宋_GB2312" w:cs="仿宋_GB2312"/>
          <w:color w:val="auto"/>
          <w:kern w:val="0"/>
          <w:sz w:val="32"/>
          <w:szCs w:val="32"/>
          <w:highlight w:val="none"/>
          <w:shd w:val="clear" w:color="auto" w:fill="FFFFFF"/>
          <w:lang w:val="zh-CN" w:eastAsia="zh-CN" w:bidi="ar-SA"/>
        </w:rPr>
        <w:t>重点对</w:t>
      </w:r>
      <w:r>
        <w:rPr>
          <w:rFonts w:hint="eastAsia" w:ascii="仿宋_GB2312" w:hAnsi="仿宋_GB2312" w:eastAsia="仿宋_GB2312" w:cs="仿宋_GB2312"/>
          <w:color w:val="auto"/>
          <w:kern w:val="0"/>
          <w:sz w:val="32"/>
          <w:szCs w:val="32"/>
          <w:highlight w:val="none"/>
          <w:shd w:val="clear" w:color="auto" w:fill="FFFFFF"/>
          <w:lang w:val="en-US" w:eastAsia="zh-CN" w:bidi="ar-SA"/>
        </w:rPr>
        <w:t>春节、五一、国庆等重大节假日旅游接待人次、消费收入、客源地分析等方面进行评价。项目在项目结果方面得10分。</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（二）专用指标绩效分析。</w:t>
      </w:r>
      <w:r>
        <w:rPr>
          <w:rFonts w:hint="eastAsia" w:ascii="仿宋_GB2312" w:hAnsi="仿宋_GB2312" w:eastAsia="仿宋_GB2312" w:cs="仿宋_GB2312"/>
          <w:color w:val="auto"/>
          <w:kern w:val="0"/>
          <w:sz w:val="32"/>
          <w:szCs w:val="32"/>
          <w:highlight w:val="none"/>
          <w:shd w:val="clear" w:color="auto" w:fill="FFFFFF"/>
          <w:lang w:val="en-US" w:eastAsia="zh-CN" w:bidi="ar-SA"/>
        </w:rPr>
        <w:t>根据该项目实施内容按照产业发展专用指标进行分析。该项目严格按照相关要求，符合上级单位政策。项目实施</w:t>
      </w:r>
      <w:r>
        <w:rPr>
          <w:rFonts w:hint="eastAsia" w:ascii="仿宋_GB2312" w:hAnsi="仿宋_GB2312" w:eastAsia="仿宋_GB2312" w:cs="仿宋_GB2312"/>
          <w:color w:val="auto"/>
          <w:kern w:val="0"/>
          <w:sz w:val="32"/>
          <w:szCs w:val="32"/>
          <w:highlight w:val="none"/>
          <w:shd w:val="clear" w:color="auto" w:fill="FFFFFF"/>
          <w:lang w:val="en" w:eastAsia="zh-CN" w:bidi="ar-SA"/>
        </w:rPr>
        <w:t>对我市</w:t>
      </w:r>
      <w:r>
        <w:rPr>
          <w:rFonts w:hint="eastAsia" w:ascii="仿宋_GB2312" w:hAnsi="仿宋_GB2312" w:eastAsia="仿宋_GB2312" w:cs="仿宋_GB2312"/>
          <w:color w:val="auto"/>
          <w:kern w:val="0"/>
          <w:sz w:val="32"/>
          <w:szCs w:val="32"/>
          <w:highlight w:val="none"/>
          <w:shd w:val="clear" w:color="auto" w:fill="FFFFFF"/>
          <w:lang w:val="en-US" w:eastAsia="zh-CN" w:bidi="ar-SA"/>
        </w:rPr>
        <w:t>2024年</w:t>
      </w:r>
      <w:r>
        <w:rPr>
          <w:rFonts w:hint="eastAsia" w:ascii="仿宋_GB2312" w:hAnsi="仿宋_GB2312" w:eastAsia="仿宋_GB2312" w:cs="仿宋_GB2312"/>
          <w:color w:val="auto"/>
          <w:kern w:val="0"/>
          <w:sz w:val="32"/>
          <w:szCs w:val="32"/>
          <w:highlight w:val="none"/>
          <w:shd w:val="clear" w:color="auto" w:fill="FFFFFF"/>
          <w:lang w:val="en" w:eastAsia="zh-CN" w:bidi="ar-SA"/>
        </w:rPr>
        <w:t>不同维度的数据进行交叉分析与可视化呈现，深入剖析数据的集中趋势、离散程度以及偏态等特征，通过图表直观展示数据分布形态，挖掘其中隐藏的规律与异常点，解锁数据隐藏密码，为领导决策提供精准的数据画像。</w:t>
      </w:r>
      <w:r>
        <w:rPr>
          <w:rFonts w:hint="eastAsia" w:ascii="仿宋_GB2312" w:hAnsi="仿宋_GB2312" w:eastAsia="仿宋_GB2312" w:cs="仿宋_GB2312"/>
          <w:color w:val="auto"/>
          <w:kern w:val="0"/>
          <w:sz w:val="32"/>
          <w:szCs w:val="32"/>
          <w:highlight w:val="none"/>
          <w:shd w:val="clear" w:color="auto" w:fill="FFFFFF"/>
          <w:lang w:val="en-US" w:eastAsia="zh-CN" w:bidi="ar-SA"/>
        </w:rPr>
        <w:t>自评得分30分。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kern w:val="2"/>
          <w:position w:val="0"/>
          <w:sz w:val="32"/>
          <w:szCs w:val="32"/>
          <w:highlight w:val="none"/>
          <w:lang w:val="zh-CN" w:eastAsia="zh-CN" w:bidi="ar-SA"/>
        </w:rPr>
        <w:t>（三）个性指标绩效分析。</w:t>
      </w:r>
      <w:r>
        <w:rPr>
          <w:rFonts w:hint="eastAsia" w:ascii="仿宋_GB2312" w:hAnsi="仿宋_GB2312" w:eastAsia="仿宋_GB2312" w:cs="仿宋_GB2312"/>
          <w:color w:val="auto"/>
          <w:kern w:val="0"/>
          <w:sz w:val="32"/>
          <w:szCs w:val="32"/>
          <w:highlight w:val="none"/>
          <w:shd w:val="clear" w:color="auto" w:fill="FFFFFF"/>
          <w:lang w:val="en-US" w:eastAsia="zh-CN" w:bidi="ar-SA"/>
        </w:rPr>
        <w:t>该项目</w:t>
      </w:r>
      <w:r>
        <w:rPr>
          <w:rFonts w:hint="eastAsia" w:ascii="仿宋_GB2312" w:hAnsi="仿宋_GB2312" w:eastAsia="仿宋_GB2312" w:cs="仿宋_GB2312"/>
          <w:color w:val="auto"/>
          <w:kern w:val="0"/>
          <w:sz w:val="32"/>
          <w:szCs w:val="32"/>
          <w:highlight w:val="none"/>
          <w:shd w:val="clear" w:color="auto" w:fill="FFFFFF"/>
          <w:lang w:val="zh-CN" w:eastAsia="zh-CN" w:bidi="ar-SA"/>
        </w:rPr>
        <w:t>重点对我市</w:t>
      </w:r>
      <w:r>
        <w:rPr>
          <w:rFonts w:hint="eastAsia" w:ascii="仿宋_GB2312" w:hAnsi="仿宋_GB2312" w:eastAsia="仿宋_GB2312" w:cs="仿宋_GB2312"/>
          <w:color w:val="auto"/>
          <w:kern w:val="0"/>
          <w:sz w:val="32"/>
          <w:szCs w:val="32"/>
          <w:highlight w:val="none"/>
          <w:shd w:val="clear" w:color="auto" w:fill="FFFFFF"/>
          <w:lang w:val="en-US" w:eastAsia="zh-CN" w:bidi="ar-SA"/>
        </w:rPr>
        <w:t>2024年度广元市接待总人次、广元市游客停留时长、广元市游客平均停留天数、广元市过夜人数、广元市过夜人数占比、广元市四县三区接待总人次、广元市游客客源地等进行分析。</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综上，该项目个性指标自评得分12分。</w:t>
      </w: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lang w:eastAsia="zh-CN"/>
        </w:rPr>
      </w:pPr>
      <w:r>
        <w:rPr>
          <w:rFonts w:hint="eastAsia" w:ascii="方正黑体简体" w:hAnsi="方正黑体简体" w:eastAsia="方正黑体简体" w:cs="方正黑体简体"/>
          <w:color w:val="auto"/>
          <w:sz w:val="32"/>
          <w:szCs w:val="32"/>
          <w:highlight w:val="none"/>
          <w:lang w:eastAsia="zh-CN"/>
        </w:rPr>
        <w:t>四、评价结论</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本项目项目绩效自评得分100分。</w:t>
      </w: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lang w:eastAsia="zh-CN"/>
        </w:rPr>
      </w:pPr>
      <w:r>
        <w:rPr>
          <w:rFonts w:hint="eastAsia" w:ascii="方正黑体简体" w:hAnsi="方正黑体简体" w:eastAsia="方正黑体简体" w:cs="方正黑体简体"/>
          <w:color w:val="auto"/>
          <w:sz w:val="32"/>
          <w:szCs w:val="32"/>
          <w:highlight w:val="none"/>
          <w:lang w:eastAsia="zh-CN"/>
        </w:rPr>
        <w:t>五、存在主要问题</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无</w:t>
      </w:r>
    </w:p>
    <w:p>
      <w:pPr>
        <w:adjustRightInd w:val="0"/>
        <w:snapToGrid w:val="0"/>
        <w:spacing w:line="578" w:lineRule="exact"/>
        <w:ind w:firstLine="640" w:firstLineChars="200"/>
        <w:rPr>
          <w:rFonts w:hint="eastAsia" w:ascii="方正黑体简体" w:hAnsi="方正黑体简体" w:eastAsia="方正黑体简体" w:cs="方正黑体简体"/>
          <w:color w:val="auto"/>
          <w:sz w:val="32"/>
          <w:szCs w:val="32"/>
          <w:highlight w:val="none"/>
          <w:lang w:val="zh-CN" w:eastAsia="zh-CN"/>
        </w:rPr>
      </w:pPr>
      <w:r>
        <w:rPr>
          <w:rFonts w:hint="eastAsia" w:ascii="方正黑体简体" w:hAnsi="方正黑体简体" w:eastAsia="方正黑体简体" w:cs="方正黑体简体"/>
          <w:color w:val="auto"/>
          <w:sz w:val="32"/>
          <w:szCs w:val="32"/>
          <w:highlight w:val="none"/>
          <w:lang w:val="zh-CN" w:eastAsia="zh-CN"/>
        </w:rPr>
        <w:t>六、改进建议</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力争在2025年对我市入境游等指标进行分析。</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topLinePunct/>
        <w:spacing w:line="576" w:lineRule="exact"/>
        <w:ind w:firstLine="640" w:firstLineChars="200"/>
        <w:rPr>
          <w:rFonts w:hint="eastAsia" w:ascii="仿宋_GB2312" w:hAnsi="仿宋_GB2312" w:eastAsia="仿宋_GB2312" w:cs="仿宋_GB2312"/>
          <w:color w:val="auto"/>
          <w:sz w:val="32"/>
          <w:szCs w:val="32"/>
          <w:highlight w:val="none"/>
        </w:rPr>
      </w:pPr>
    </w:p>
    <w:p>
      <w:pPr>
        <w:topLinePunct/>
        <w:spacing w:line="576" w:lineRule="exact"/>
        <w:ind w:firstLine="640" w:firstLineChars="200"/>
        <w:rPr>
          <w:rFonts w:hint="eastAsia" w:ascii="仿宋_GB2312" w:hAnsi="仿宋_GB2312" w:eastAsia="仿宋_GB2312" w:cs="仿宋_GB2312"/>
          <w:color w:val="auto"/>
          <w:sz w:val="32"/>
          <w:szCs w:val="32"/>
          <w:highlight w:val="none"/>
        </w:rPr>
      </w:pPr>
    </w:p>
    <w:p>
      <w:pPr>
        <w:topLinePunct/>
        <w:spacing w:line="576" w:lineRule="exact"/>
        <w:ind w:firstLine="640" w:firstLineChars="200"/>
        <w:rPr>
          <w:rFonts w:hint="eastAsia" w:ascii="仿宋_GB2312" w:hAnsi="仿宋_GB2312" w:eastAsia="仿宋_GB2312" w:cs="仿宋_GB2312"/>
          <w:color w:val="auto"/>
          <w:sz w:val="32"/>
          <w:szCs w:val="32"/>
          <w:highlight w:val="none"/>
        </w:rPr>
      </w:pPr>
    </w:p>
    <w:p>
      <w:pPr>
        <w:topLinePunct/>
        <w:spacing w:line="576" w:lineRule="exact"/>
        <w:ind w:firstLine="640" w:firstLineChars="200"/>
        <w:rPr>
          <w:rFonts w:hint="eastAsia" w:ascii="仿宋_GB2312" w:hAnsi="仿宋_GB2312" w:eastAsia="仿宋_GB2312" w:cs="仿宋_GB2312"/>
          <w:color w:val="auto"/>
          <w:sz w:val="32"/>
          <w:szCs w:val="32"/>
          <w:highlight w:val="none"/>
        </w:rPr>
      </w:pPr>
    </w:p>
    <w:p>
      <w:pPr>
        <w:topLinePunct/>
        <w:spacing w:line="576" w:lineRule="exact"/>
        <w:ind w:firstLine="640" w:firstLineChars="200"/>
        <w:rPr>
          <w:rFonts w:hint="eastAsia" w:ascii="仿宋_GB2312" w:hAnsi="仿宋_GB2312" w:eastAsia="仿宋_GB2312" w:cs="仿宋_GB2312"/>
          <w:color w:val="auto"/>
          <w:sz w:val="32"/>
          <w:szCs w:val="32"/>
          <w:highlight w:val="none"/>
        </w:rPr>
      </w:pPr>
    </w:p>
    <w:p>
      <w:pPr>
        <w:topLinePunct/>
        <w:spacing w:line="576" w:lineRule="exact"/>
        <w:ind w:firstLine="640" w:firstLineChars="200"/>
        <w:rPr>
          <w:rFonts w:hint="eastAsia" w:ascii="仿宋_GB2312" w:hAnsi="仿宋_GB2312" w:eastAsia="仿宋_GB2312" w:cs="仿宋_GB2312"/>
          <w:color w:val="auto"/>
          <w:sz w:val="32"/>
          <w:szCs w:val="32"/>
          <w:highlight w:val="none"/>
        </w:rPr>
      </w:pPr>
    </w:p>
    <w:p>
      <w:pPr>
        <w:topLinePunct/>
        <w:spacing w:line="576" w:lineRule="exact"/>
        <w:ind w:firstLine="640" w:firstLineChars="200"/>
        <w:rPr>
          <w:rFonts w:hint="eastAsia" w:ascii="仿宋_GB2312" w:hAnsi="仿宋_GB2312" w:eastAsia="仿宋_GB2312" w:cs="仿宋_GB2312"/>
          <w:color w:val="auto"/>
          <w:sz w:val="32"/>
          <w:szCs w:val="32"/>
          <w:highlight w:val="none"/>
        </w:rPr>
      </w:pPr>
    </w:p>
    <w:p>
      <w:pPr>
        <w:topLinePunct/>
        <w:spacing w:line="576" w:lineRule="exact"/>
        <w:ind w:firstLine="640" w:firstLineChars="200"/>
        <w:rPr>
          <w:rFonts w:hint="eastAsia" w:ascii="仿宋_GB2312" w:hAnsi="仿宋_GB2312" w:eastAsia="仿宋_GB2312" w:cs="仿宋_GB2312"/>
          <w:color w:val="auto"/>
          <w:sz w:val="32"/>
          <w:szCs w:val="32"/>
          <w:highlight w:val="none"/>
        </w:rPr>
      </w:pPr>
    </w:p>
    <w:p>
      <w:pPr>
        <w:pStyle w:val="17"/>
        <w:spacing w:after="0" w:line="578" w:lineRule="exact"/>
        <w:ind w:left="0" w:leftChars="0" w:firstLine="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附表</w:t>
      </w:r>
    </w:p>
    <w:p>
      <w:pPr>
        <w:widowControl/>
        <w:spacing w:line="600" w:lineRule="exact"/>
        <w:jc w:val="center"/>
        <w:textAlignment w:val="center"/>
        <w:rPr>
          <w:rFonts w:hint="eastAsia" w:ascii="方正小标宋简体" w:hAnsi="方正小标宋简体" w:eastAsia="方正小标宋简体" w:cs="方正小标宋简体"/>
          <w:kern w:val="0"/>
          <w:sz w:val="40"/>
          <w:szCs w:val="40"/>
          <w:highlight w:val="none"/>
        </w:rPr>
      </w:pPr>
      <w:r>
        <w:rPr>
          <w:rFonts w:hint="eastAsia" w:ascii="方正小标宋简体" w:hAnsi="方正小标宋简体" w:eastAsia="方正小标宋简体" w:cs="方正小标宋简体"/>
          <w:kern w:val="0"/>
          <w:sz w:val="40"/>
          <w:szCs w:val="40"/>
          <w:highlight w:val="none"/>
        </w:rPr>
        <w:t>专项预算项目绩效目标完成情况自评表</w:t>
      </w:r>
    </w:p>
    <w:tbl>
      <w:tblPr>
        <w:tblStyle w:val="21"/>
        <w:tblW w:w="10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52"/>
        <w:gridCol w:w="1081"/>
        <w:gridCol w:w="1250"/>
        <w:gridCol w:w="1312"/>
        <w:gridCol w:w="1127"/>
        <w:gridCol w:w="1270"/>
        <w:gridCol w:w="762"/>
        <w:gridCol w:w="938"/>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4295" w:type="dxa"/>
            <w:gridSpan w:val="4"/>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项目名称</w:t>
            </w:r>
          </w:p>
        </w:tc>
        <w:tc>
          <w:tcPr>
            <w:tcW w:w="5938" w:type="dxa"/>
            <w:gridSpan w:val="5"/>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2024年广元市旅游大数据信息服务项目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4295" w:type="dxa"/>
            <w:gridSpan w:val="4"/>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预算单位</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广元市文化广播电视和旅游局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4295" w:type="dxa"/>
            <w:gridSpan w:val="4"/>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项目类型</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特定目标类项目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restart"/>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项目 概况</w:t>
            </w: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中长期规划（名称、文号，仅指</w:t>
            </w:r>
          </w:p>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常年项目）</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资金管理办法（名称、文号）</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绩效分配方式</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因素法</w:t>
            </w:r>
          </w:p>
        </w:tc>
        <w:tc>
          <w:tcPr>
            <w:tcW w:w="2032" w:type="dxa"/>
            <w:gridSpan w:val="2"/>
            <w:vAlign w:val="center"/>
          </w:tcPr>
          <w:p>
            <w:pPr>
              <w:widowControl/>
              <w:spacing w:line="4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sym w:font="Wingdings 2" w:char="F052"/>
            </w:r>
            <w:r>
              <w:rPr>
                <w:rFonts w:hint="eastAsia" w:asciiTheme="minorEastAsia" w:hAnsiTheme="minorEastAsia" w:eastAsiaTheme="minorEastAsia" w:cstheme="minorEastAsia"/>
                <w:kern w:val="0"/>
                <w:sz w:val="24"/>
                <w:szCs w:val="24"/>
                <w:highlight w:val="none"/>
              </w:rPr>
              <w:t>项目法</w:t>
            </w:r>
          </w:p>
        </w:tc>
        <w:tc>
          <w:tcPr>
            <w:tcW w:w="938"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据实</w:t>
            </w:r>
          </w:p>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据效</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因素法与项目法相结合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64"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立项依据</w:t>
            </w:r>
          </w:p>
        </w:tc>
        <w:tc>
          <w:tcPr>
            <w:tcW w:w="5938" w:type="dxa"/>
            <w:gridSpan w:val="5"/>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建设大蜀道国际文化旅游目的地和康胜度假胜地及大数据分析需要。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使用范围</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申报（补助）条件</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3643" w:type="dxa"/>
            <w:gridSpan w:val="3"/>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项目起止年限</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1733" w:type="dxa"/>
            <w:gridSpan w:val="2"/>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项目资金</w:t>
            </w:r>
          </w:p>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（万元）</w:t>
            </w:r>
          </w:p>
        </w:tc>
        <w:tc>
          <w:tcPr>
            <w:tcW w:w="2562" w:type="dxa"/>
            <w:gridSpan w:val="2"/>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年度资金总额：</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 w:hRule="atLeast"/>
          <w:jc w:val="center"/>
        </w:trPr>
        <w:tc>
          <w:tcPr>
            <w:tcW w:w="1733" w:type="dxa"/>
            <w:gridSpan w:val="2"/>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2562" w:type="dxa"/>
            <w:gridSpan w:val="2"/>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其中：财政拨款</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1733" w:type="dxa"/>
            <w:gridSpan w:val="2"/>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2562" w:type="dxa"/>
            <w:gridSpan w:val="2"/>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其他资金</w:t>
            </w:r>
          </w:p>
        </w:tc>
        <w:tc>
          <w:tcPr>
            <w:tcW w:w="5938" w:type="dxa"/>
            <w:gridSpan w:val="5"/>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restart"/>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总体 目标</w:t>
            </w:r>
          </w:p>
        </w:tc>
        <w:tc>
          <w:tcPr>
            <w:tcW w:w="9581" w:type="dxa"/>
            <w:gridSpan w:val="8"/>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年度目标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spacing w:line="300" w:lineRule="exact"/>
              <w:jc w:val="center"/>
              <w:rPr>
                <w:rFonts w:hint="eastAsia" w:asciiTheme="minorEastAsia" w:hAnsiTheme="minorEastAsia" w:eastAsiaTheme="minorEastAsia" w:cstheme="minorEastAsia"/>
                <w:sz w:val="24"/>
                <w:szCs w:val="24"/>
                <w:highlight w:val="none"/>
              </w:rPr>
            </w:pPr>
          </w:p>
        </w:tc>
        <w:tc>
          <w:tcPr>
            <w:tcW w:w="9581" w:type="dxa"/>
            <w:gridSpan w:val="8"/>
            <w:vAlign w:val="center"/>
          </w:tcPr>
          <w:p>
            <w:pPr>
              <w:spacing w:line="300" w:lineRule="exac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绩效 指标</w:t>
            </w:r>
          </w:p>
        </w:tc>
        <w:tc>
          <w:tcPr>
            <w:tcW w:w="1081"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一级指标</w:t>
            </w:r>
          </w:p>
        </w:tc>
        <w:tc>
          <w:tcPr>
            <w:tcW w:w="1250"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二级指标</w:t>
            </w:r>
          </w:p>
        </w:tc>
        <w:tc>
          <w:tcPr>
            <w:tcW w:w="1312"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三级指标</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指标性质</w:t>
            </w:r>
          </w:p>
        </w:tc>
        <w:tc>
          <w:tcPr>
            <w:tcW w:w="1270"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指标值</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度量</w:t>
            </w:r>
          </w:p>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单位</w:t>
            </w:r>
          </w:p>
        </w:tc>
        <w:tc>
          <w:tcPr>
            <w:tcW w:w="938"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权重</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绩效 指标</w:t>
            </w:r>
          </w:p>
        </w:tc>
        <w:tc>
          <w:tcPr>
            <w:tcW w:w="1081"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产出指标</w:t>
            </w:r>
          </w:p>
        </w:tc>
        <w:tc>
          <w:tcPr>
            <w:tcW w:w="1250"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数量指标</w:t>
            </w: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春节数据</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游客接待和旅游消费</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人次/万元</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五一数据</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shd w:val="clear" w:color="auto" w:fill="auto"/>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游客接待和旅游消费</w:t>
            </w:r>
          </w:p>
        </w:tc>
        <w:tc>
          <w:tcPr>
            <w:tcW w:w="762" w:type="dxa"/>
            <w:shd w:val="clear" w:color="auto" w:fill="auto"/>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人次/万元</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312" w:type="dxa"/>
            <w:shd w:val="clear" w:color="auto" w:fill="auto"/>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国庆数据</w:t>
            </w:r>
          </w:p>
        </w:tc>
        <w:tc>
          <w:tcPr>
            <w:tcW w:w="1127" w:type="dxa"/>
            <w:shd w:val="clear" w:color="auto" w:fill="auto"/>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shd w:val="clear" w:color="auto" w:fill="auto"/>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游客接待和旅游消费</w:t>
            </w:r>
          </w:p>
        </w:tc>
        <w:tc>
          <w:tcPr>
            <w:tcW w:w="762" w:type="dxa"/>
            <w:shd w:val="clear" w:color="auto" w:fill="auto"/>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人次/万元</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c>
          <w:tcPr>
            <w:tcW w:w="1841"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月度分析</w:t>
            </w:r>
          </w:p>
        </w:tc>
        <w:tc>
          <w:tcPr>
            <w:tcW w:w="1127" w:type="dxa"/>
            <w:shd w:val="clear" w:color="auto" w:fill="auto"/>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游客接待和旅游消费</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人次/万元</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1841"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lang w:bidi="ar"/>
              </w:rPr>
              <w:t>季度分析</w:t>
            </w:r>
          </w:p>
        </w:tc>
        <w:tc>
          <w:tcPr>
            <w:tcW w:w="1127" w:type="dxa"/>
            <w:shd w:val="clear" w:color="auto" w:fill="auto"/>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rPr>
              <w:t>游客接待和旅游消费</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rPr>
              <w:t>人次/万元</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bidi="ar"/>
              </w:rPr>
              <w:t>5</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lang w:bidi="ar"/>
              </w:rPr>
              <w:t>年度分析</w:t>
            </w:r>
          </w:p>
        </w:tc>
        <w:tc>
          <w:tcPr>
            <w:tcW w:w="1127" w:type="dxa"/>
            <w:shd w:val="clear" w:color="auto" w:fill="auto"/>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rPr>
              <w:t>游客接待和旅游消费</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rPr>
              <w:t>人次/万元</w:t>
            </w: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lang w:bidi="ar"/>
              </w:rPr>
            </w:pPr>
            <w:r>
              <w:rPr>
                <w:rFonts w:hint="eastAsia" w:asciiTheme="minorEastAsia" w:hAnsiTheme="minorEastAsia" w:eastAsiaTheme="minorEastAsia" w:cstheme="minorEastAsia"/>
                <w:kern w:val="0"/>
                <w:sz w:val="24"/>
                <w:szCs w:val="24"/>
                <w:highlight w:val="none"/>
                <w:lang w:bidi="ar"/>
              </w:rPr>
              <w:t>5</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restart"/>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质量指标</w:t>
            </w:r>
          </w:p>
        </w:tc>
        <w:tc>
          <w:tcPr>
            <w:tcW w:w="1312"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bidi="ar"/>
              </w:rPr>
              <w:t>全面完成</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100%</w:t>
            </w:r>
          </w:p>
        </w:tc>
        <w:tc>
          <w:tcPr>
            <w:tcW w:w="762"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p>
        </w:tc>
        <w:tc>
          <w:tcPr>
            <w:tcW w:w="938" w:type="dxa"/>
            <w:vAlign w:val="center"/>
          </w:tcPr>
          <w:p>
            <w:pPr>
              <w:widowControl/>
              <w:autoSpaceDN w:val="0"/>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时效指标</w:t>
            </w:r>
          </w:p>
        </w:tc>
        <w:tc>
          <w:tcPr>
            <w:tcW w:w="1312"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完成时间</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定性</w:t>
            </w:r>
          </w:p>
        </w:tc>
        <w:tc>
          <w:tcPr>
            <w:tcW w:w="127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2024年12月底</w:t>
            </w:r>
          </w:p>
        </w:tc>
        <w:tc>
          <w:tcPr>
            <w:tcW w:w="762" w:type="dxa"/>
            <w:vAlign w:val="center"/>
          </w:tcPr>
          <w:p>
            <w:pPr>
              <w:jc w:val="center"/>
              <w:rPr>
                <w:rFonts w:hint="eastAsia" w:asciiTheme="minorEastAsia" w:hAnsiTheme="minorEastAsia" w:eastAsiaTheme="minorEastAsia" w:cstheme="minorEastAsia"/>
                <w:kern w:val="0"/>
                <w:sz w:val="24"/>
                <w:szCs w:val="24"/>
                <w:highlight w:val="none"/>
              </w:rPr>
            </w:pP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2024年12月底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restart"/>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效益指标</w:t>
            </w:r>
          </w:p>
        </w:tc>
        <w:tc>
          <w:tcPr>
            <w:tcW w:w="125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社会效益指标</w:t>
            </w:r>
          </w:p>
        </w:tc>
        <w:tc>
          <w:tcPr>
            <w:tcW w:w="1312" w:type="dxa"/>
            <w:vAlign w:val="center"/>
          </w:tcPr>
          <w:p>
            <w:pPr>
              <w:widowControl/>
              <w:jc w:val="left"/>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val="en"/>
              </w:rPr>
              <w:t>通过图表直观展示数据分布形态，挖掘其中隐藏的规律与异常点，解锁数据隐藏密码。</w:t>
            </w: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定性</w:t>
            </w:r>
          </w:p>
        </w:tc>
        <w:tc>
          <w:tcPr>
            <w:tcW w:w="127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效果良好</w:t>
            </w:r>
          </w:p>
        </w:tc>
        <w:tc>
          <w:tcPr>
            <w:tcW w:w="762"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效果良好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Merge w:val="continue"/>
            <w:vAlign w:val="center"/>
          </w:tcPr>
          <w:p>
            <w:pPr>
              <w:jc w:val="center"/>
              <w:rPr>
                <w:rFonts w:hint="eastAsia" w:asciiTheme="minorEastAsia" w:hAnsiTheme="minorEastAsia" w:eastAsiaTheme="minorEastAsia" w:cstheme="minorEastAsia"/>
                <w:kern w:val="0"/>
                <w:sz w:val="24"/>
                <w:szCs w:val="24"/>
                <w:highlight w:val="none"/>
              </w:rPr>
            </w:pPr>
          </w:p>
        </w:tc>
        <w:tc>
          <w:tcPr>
            <w:tcW w:w="125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可持续发展指标</w:t>
            </w:r>
          </w:p>
        </w:tc>
        <w:tc>
          <w:tcPr>
            <w:tcW w:w="1312" w:type="dxa"/>
            <w:vAlign w:val="center"/>
          </w:tcPr>
          <w:p>
            <w:pPr>
              <w:widowControl/>
              <w:jc w:val="left"/>
              <w:textAlignment w:val="center"/>
              <w:rPr>
                <w:rFonts w:hint="eastAsia" w:asciiTheme="minorEastAsia" w:hAnsiTheme="minorEastAsia" w:eastAsiaTheme="minorEastAsia" w:cstheme="minorEastAsia"/>
                <w:kern w:val="0"/>
                <w:sz w:val="24"/>
                <w:szCs w:val="24"/>
                <w:highlight w:val="none"/>
                <w:lang w:val="en"/>
              </w:rPr>
            </w:pPr>
            <w:r>
              <w:rPr>
                <w:rFonts w:hint="eastAsia" w:asciiTheme="minorEastAsia" w:hAnsiTheme="minorEastAsia" w:eastAsiaTheme="minorEastAsia" w:cstheme="minorEastAsia"/>
                <w:kern w:val="0"/>
                <w:sz w:val="24"/>
                <w:szCs w:val="24"/>
                <w:highlight w:val="none"/>
                <w:lang w:val="en"/>
              </w:rPr>
              <w:t>通过数据分析为领导决策提供精准的数据画像。</w:t>
            </w:r>
          </w:p>
          <w:p>
            <w:pPr>
              <w:widowControl/>
              <w:autoSpaceDN w:val="0"/>
              <w:spacing w:line="360" w:lineRule="exact"/>
              <w:jc w:val="center"/>
              <w:textAlignment w:val="center"/>
              <w:rPr>
                <w:rFonts w:hint="eastAsia" w:asciiTheme="minorEastAsia" w:hAnsiTheme="minorEastAsia" w:eastAsiaTheme="minorEastAsia" w:cstheme="minorEastAsia"/>
                <w:kern w:val="0"/>
                <w:sz w:val="24"/>
                <w:szCs w:val="24"/>
                <w:highlight w:val="none"/>
              </w:rPr>
            </w:pPr>
          </w:p>
        </w:tc>
        <w:tc>
          <w:tcPr>
            <w:tcW w:w="1127"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定性</w:t>
            </w:r>
          </w:p>
        </w:tc>
        <w:tc>
          <w:tcPr>
            <w:tcW w:w="1270"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效果良好</w:t>
            </w:r>
          </w:p>
        </w:tc>
        <w:tc>
          <w:tcPr>
            <w:tcW w:w="762" w:type="dxa"/>
            <w:vAlign w:val="center"/>
          </w:tcPr>
          <w:p>
            <w:pPr>
              <w:jc w:val="center"/>
              <w:rPr>
                <w:rFonts w:hint="eastAsia" w:asciiTheme="minorEastAsia" w:hAnsiTheme="minorEastAsia" w:eastAsiaTheme="minorEastAsia" w:cstheme="minorEastAsia"/>
                <w:kern w:val="0"/>
                <w:sz w:val="24"/>
                <w:szCs w:val="24"/>
                <w:highlight w:val="none"/>
              </w:rPr>
            </w:pP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c>
          <w:tcPr>
            <w:tcW w:w="1841"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效果良好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满意度指标</w:t>
            </w:r>
          </w:p>
        </w:tc>
        <w:tc>
          <w:tcPr>
            <w:tcW w:w="125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满意度指标</w:t>
            </w:r>
          </w:p>
        </w:tc>
        <w:tc>
          <w:tcPr>
            <w:tcW w:w="131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社会满意度</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127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100</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w:t>
            </w: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52" w:type="dxa"/>
            <w:vMerge w:val="continue"/>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08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成本指标</w:t>
            </w:r>
          </w:p>
        </w:tc>
        <w:tc>
          <w:tcPr>
            <w:tcW w:w="125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经济成本指标</w:t>
            </w:r>
          </w:p>
        </w:tc>
        <w:tc>
          <w:tcPr>
            <w:tcW w:w="131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总体费用</w:t>
            </w:r>
          </w:p>
        </w:tc>
        <w:tc>
          <w:tcPr>
            <w:tcW w:w="1127"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c>
          <w:tcPr>
            <w:tcW w:w="1270"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27.70</w:t>
            </w:r>
          </w:p>
        </w:tc>
        <w:tc>
          <w:tcPr>
            <w:tcW w:w="762"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万元</w:t>
            </w:r>
          </w:p>
        </w:tc>
        <w:tc>
          <w:tcPr>
            <w:tcW w:w="938" w:type="dxa"/>
            <w:vAlign w:val="center"/>
          </w:tcPr>
          <w:p>
            <w:pPr>
              <w:widowControl/>
              <w:jc w:val="center"/>
              <w:textAlignment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15</w:t>
            </w:r>
          </w:p>
        </w:tc>
        <w:tc>
          <w:tcPr>
            <w:tcW w:w="1841" w:type="dxa"/>
            <w:vAlign w:val="center"/>
          </w:tcPr>
          <w:p>
            <w:pPr>
              <w:widowControl/>
              <w:spacing w:line="300" w:lineRule="exact"/>
              <w:jc w:val="center"/>
              <w:textAlignment w:val="center"/>
              <w:rPr>
                <w:rFonts w:hint="eastAsia" w:asciiTheme="minorEastAsia" w:hAnsiTheme="minorEastAsia" w:eastAsiaTheme="minorEastAsia" w:cstheme="minorEastAsia"/>
                <w:kern w:val="0"/>
                <w:sz w:val="24"/>
                <w:szCs w:val="24"/>
                <w:highlight w:val="none"/>
              </w:rPr>
            </w:pPr>
          </w:p>
        </w:tc>
      </w:tr>
    </w:tbl>
    <w:p>
      <w:pPr>
        <w:topLinePunct/>
        <w:spacing w:line="576" w:lineRule="exact"/>
        <w:ind w:firstLine="640" w:firstLineChars="200"/>
        <w:rPr>
          <w:rFonts w:hint="eastAsia" w:ascii="仿宋_GB2312" w:hAnsi="仿宋_GB2312" w:eastAsia="仿宋_GB2312" w:cs="仿宋_GB2312"/>
          <w:color w:val="auto"/>
          <w:sz w:val="32"/>
          <w:szCs w:val="32"/>
          <w:highlight w:val="none"/>
          <w:lang w:eastAsia="zh-CN"/>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eastAsia" w:ascii="黑体" w:hAnsi="黑体" w:eastAsia="黑体" w:cs="Times New Roman"/>
          <w:color w:val="auto"/>
          <w:sz w:val="32"/>
          <w:szCs w:val="32"/>
          <w:highlight w:val="none"/>
          <w:lang w:val="en-US" w:eastAsia="zh-CN"/>
        </w:rPr>
      </w:pPr>
      <w:r>
        <w:rPr>
          <w:rFonts w:hint="eastAsia" w:ascii="黑体" w:hAnsi="黑体" w:eastAsia="黑体" w:cs="Times New Roman"/>
          <w:color w:val="auto"/>
          <w:sz w:val="32"/>
          <w:szCs w:val="32"/>
          <w:highlight w:val="none"/>
          <w:lang w:val="en-US" w:eastAsia="zh-CN"/>
        </w:rPr>
        <w:t>附件10</w:t>
      </w: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eastAsia" w:ascii="黑体" w:hAnsi="黑体" w:eastAsia="黑体" w:cs="Times New Roman"/>
          <w:color w:val="auto"/>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广元市第四次全国文物普查2024年工作经费</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pStyle w:val="40"/>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cs="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方正黑体简体" w:hAnsi="方正黑体简体" w:eastAsia="方正黑体简体" w:cs="方正黑体简体"/>
          <w:b w:val="0"/>
          <w:bCs w:val="0"/>
          <w:color w:val="auto"/>
          <w:sz w:val="32"/>
          <w:szCs w:val="32"/>
          <w:highlight w:val="none"/>
          <w:lang w:val="zh-CN"/>
        </w:rPr>
      </w:pPr>
      <w:r>
        <w:rPr>
          <w:rFonts w:hint="eastAsia" w:ascii="方正黑体简体" w:hAnsi="方正黑体简体" w:eastAsia="方正黑体简体" w:cs="方正黑体简体"/>
          <w:b w:val="0"/>
          <w:bCs w:val="0"/>
          <w:color w:val="auto"/>
          <w:sz w:val="32"/>
          <w:szCs w:val="32"/>
          <w:highlight w:val="none"/>
        </w:rPr>
        <w:t>一、</w:t>
      </w:r>
      <w:r>
        <w:rPr>
          <w:rFonts w:hint="eastAsia" w:ascii="方正黑体简体" w:hAnsi="方正黑体简体" w:eastAsia="方正黑体简体" w:cs="方正黑体简体"/>
          <w:b w:val="0"/>
          <w:bCs w:val="0"/>
          <w:color w:val="auto"/>
          <w:sz w:val="32"/>
          <w:szCs w:val="32"/>
          <w:highlight w:val="none"/>
          <w:lang w:val="zh-CN"/>
        </w:rPr>
        <w:t>项目概况</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val="0"/>
          <w:color w:val="auto"/>
          <w:sz w:val="32"/>
          <w:szCs w:val="32"/>
          <w:highlight w:val="none"/>
          <w:u w:val="none"/>
          <w:lang w:val="zh-CN"/>
        </w:rPr>
        <w:t>（一）设立背景及基本情况。</w:t>
      </w:r>
      <w:r>
        <w:rPr>
          <w:rFonts w:hint="eastAsia" w:ascii="仿宋_GB2312" w:hAnsi="仿宋_GB2312" w:eastAsia="仿宋_GB2312" w:cs="仿宋_GB2312"/>
          <w:color w:val="auto"/>
          <w:kern w:val="0"/>
          <w:sz w:val="32"/>
          <w:szCs w:val="32"/>
          <w:highlight w:val="none"/>
          <w:shd w:val="clear" w:color="auto" w:fill="FFFFFF"/>
          <w:lang w:val="en-US" w:eastAsia="zh-CN" w:bidi="ar-SA"/>
        </w:rPr>
        <w:t>文物承载着丰富的历史信息与文化价值，是不可再生的珍贵资源。文物普查是文物事业发展的重要基础性工作，是重大国情国力调查，是确认国家文物资源总量、保障国家文物安全的重要措施。广元市历史悠久、文化底蕴深厚，境内文物资源丰富，开展此次普查，旨在全面、系统、准确地掌握市域内文物资源的数量、分布、保存状况等信息，为文物保护、利用和管理提供科学依据。根据《国务院关于开展第四次全国文物普查的通知》（国发〔2023〕18号）、《第四次全国文物普查总体方案》有关要求，按照国务院统一部署，此次普查从2023年11月开始，到2026年6月结束，分三个阶段进行，主要任务是对第三次全国文物普查登记文物进行复核，对第三次全国文物普查以来新发现文物进行认定。2023年11月至2024年4月为普查第一阶段，主要任务是建立各级普查机构，确定技术标准和规范，开发普查系统与采集软件，开展培训、试点工作；2024年5月至2025年5月为普查第二阶段，主要任务是以县域为基本单元，实地开展文物调查；2025年6月至2026年6月为普查第三阶段，主要任务是依法认定、登记并公布不可移动文物，建立全市不可移动文物资源总目录，逐级验收并向社会公布普查成果。广元市文化广播电视和旅游局作为主管部门，承担着统筹协调、组织实施全市文物普查工作的职能，负责制定普查方案、组织业务培训、监督检查工作进度与质量等。</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val="0"/>
          <w:color w:val="auto"/>
          <w:sz w:val="32"/>
          <w:szCs w:val="32"/>
          <w:highlight w:val="none"/>
          <w:u w:val="none"/>
          <w:lang w:val="zh-CN"/>
        </w:rPr>
        <w:t>（二）</w:t>
      </w:r>
      <w:r>
        <w:rPr>
          <w:rFonts w:hint="eastAsia" w:ascii="方正楷体简体" w:hAnsi="方正楷体简体" w:eastAsia="方正楷体简体" w:cs="方正楷体简体"/>
          <w:b w:val="0"/>
          <w:bCs w:val="0"/>
          <w:color w:val="auto"/>
          <w:sz w:val="32"/>
          <w:szCs w:val="32"/>
          <w:highlight w:val="none"/>
          <w:u w:val="none"/>
          <w:lang w:val="en-US" w:eastAsia="zh-CN"/>
        </w:rPr>
        <w:t>实施目的及支持方向。</w:t>
      </w:r>
      <w:r>
        <w:rPr>
          <w:rFonts w:hint="eastAsia" w:ascii="仿宋_GB2312" w:hAnsi="仿宋_GB2312" w:eastAsia="仿宋_GB2312" w:cs="仿宋_GB2312"/>
          <w:color w:val="auto"/>
          <w:kern w:val="0"/>
          <w:sz w:val="32"/>
          <w:szCs w:val="32"/>
          <w:highlight w:val="none"/>
          <w:shd w:val="clear" w:color="auto" w:fill="FFFFFF"/>
          <w:lang w:val="en-US" w:eastAsia="zh-CN" w:bidi="ar-SA"/>
        </w:rPr>
        <w:t>项目实施的主要目的在于全面完成广元市境内文物资源普查，摸清文物家底，提升文物保护水平，推动文化遗产传承与发展。按照中、省普查任务分工，依据《第四次全国文物普查经费保障方案》，市本级主要承担全市普查人员培训、普查宣传、普查指导、普查数据审核、实地调查抽查、普查成果汇总出版、数据影像资料采集存储等相关工作，将产生普查机构工作经费、培训费、实地调查费、设备购置费等方面支出</w:t>
      </w:r>
      <w:r>
        <w:rPr>
          <w:rFonts w:hint="eastAsia" w:ascii="仿宋_GB2312" w:hAnsi="仿宋_GB2312" w:eastAsia="仿宋_GB2312" w:cs="仿宋_GB2312"/>
          <w:color w:val="auto"/>
          <w:kern w:val="0"/>
          <w:sz w:val="32"/>
          <w:szCs w:val="32"/>
          <w:highlight w:val="none"/>
          <w:shd w:val="clear" w:color="auto" w:fill="FFFFFF"/>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val="0"/>
          <w:color w:val="auto"/>
          <w:sz w:val="32"/>
          <w:szCs w:val="32"/>
          <w:highlight w:val="none"/>
          <w:u w:val="none"/>
          <w:lang w:val="zh-CN" w:eastAsia="zh-CN"/>
        </w:rPr>
        <w:t>（三）</w:t>
      </w:r>
      <w:r>
        <w:rPr>
          <w:rFonts w:hint="eastAsia" w:ascii="方正楷体简体" w:hAnsi="方正楷体简体" w:eastAsia="方正楷体简体" w:cs="方正楷体简体"/>
          <w:b w:val="0"/>
          <w:bCs w:val="0"/>
          <w:color w:val="auto"/>
          <w:sz w:val="32"/>
          <w:szCs w:val="32"/>
          <w:highlight w:val="none"/>
          <w:u w:val="none"/>
          <w:lang w:val="en-US" w:eastAsia="zh-CN"/>
        </w:rPr>
        <w:t>预算安排及分配管理</w:t>
      </w:r>
      <w:r>
        <w:rPr>
          <w:rFonts w:hint="eastAsia" w:ascii="方正楷体简体" w:hAnsi="方正楷体简体" w:eastAsia="方正楷体简体" w:cs="方正楷体简体"/>
          <w:b w:val="0"/>
          <w:bCs w:val="0"/>
          <w:color w:val="auto"/>
          <w:sz w:val="32"/>
          <w:szCs w:val="32"/>
          <w:highlight w:val="none"/>
          <w:u w:val="none"/>
          <w:lang w:val="zh-CN" w:eastAsia="zh-CN"/>
        </w:rPr>
        <w:t>。</w:t>
      </w:r>
      <w:r>
        <w:rPr>
          <w:rFonts w:hint="eastAsia" w:ascii="仿宋_GB2312" w:hAnsi="仿宋_GB2312" w:eastAsia="仿宋_GB2312" w:cs="仿宋_GB2312"/>
          <w:color w:val="auto"/>
          <w:kern w:val="0"/>
          <w:sz w:val="32"/>
          <w:szCs w:val="32"/>
          <w:highlight w:val="none"/>
          <w:shd w:val="clear" w:color="auto" w:fill="FFFFFF"/>
          <w:lang w:val="zh-CN" w:eastAsia="zh-CN" w:bidi="ar-SA"/>
        </w:rPr>
        <w:t>项目预算</w:t>
      </w:r>
      <w:r>
        <w:rPr>
          <w:rFonts w:hint="eastAsia" w:ascii="仿宋_GB2312" w:hAnsi="仿宋_GB2312" w:eastAsia="仿宋_GB2312" w:cs="仿宋_GB2312"/>
          <w:color w:val="auto"/>
          <w:kern w:val="0"/>
          <w:sz w:val="32"/>
          <w:szCs w:val="32"/>
          <w:highlight w:val="none"/>
          <w:shd w:val="clear" w:color="auto" w:fill="FFFFFF"/>
          <w:lang w:val="en-US" w:eastAsia="zh-CN" w:bidi="ar-SA"/>
        </w:rPr>
        <w:t>30万元</w:t>
      </w:r>
      <w:r>
        <w:rPr>
          <w:rFonts w:hint="eastAsia" w:ascii="仿宋_GB2312" w:hAnsi="仿宋_GB2312" w:eastAsia="仿宋_GB2312" w:cs="仿宋_GB2312"/>
          <w:color w:val="auto"/>
          <w:kern w:val="0"/>
          <w:sz w:val="32"/>
          <w:szCs w:val="32"/>
          <w:highlight w:val="none"/>
          <w:shd w:val="clear" w:color="auto" w:fill="FFFFFF"/>
          <w:lang w:val="zh-CN" w:eastAsia="zh-CN" w:bidi="ar-SA"/>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主要包括普查机构工作经费、培训费、设备购置费及实地调查经费等方面开支</w:t>
      </w:r>
      <w:r>
        <w:rPr>
          <w:rFonts w:hint="eastAsia" w:ascii="仿宋_GB2312" w:hAnsi="仿宋_GB2312" w:eastAsia="仿宋_GB2312" w:cs="仿宋_GB2312"/>
          <w:color w:val="auto"/>
          <w:kern w:val="0"/>
          <w:sz w:val="32"/>
          <w:szCs w:val="32"/>
          <w:highlight w:val="none"/>
          <w:shd w:val="clear" w:color="auto" w:fill="FFFFFF"/>
          <w:lang w:val="zh-CN" w:eastAsia="zh-CN" w:bidi="ar-SA"/>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所需经费由2024年第三批文旅发展市级专项资金预算保障。</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val="0"/>
          <w:color w:val="auto"/>
          <w:sz w:val="32"/>
          <w:szCs w:val="32"/>
          <w:highlight w:val="none"/>
          <w:u w:val="none"/>
          <w:lang w:val="zh-CN" w:eastAsia="zh-CN"/>
        </w:rPr>
        <w:t>（四）项目绩效目标设置。</w:t>
      </w:r>
      <w:r>
        <w:rPr>
          <w:rFonts w:hint="eastAsia" w:ascii="仿宋_GB2312" w:hAnsi="仿宋_GB2312" w:eastAsia="仿宋_GB2312" w:cs="仿宋_GB2312"/>
          <w:color w:val="auto"/>
          <w:kern w:val="0"/>
          <w:sz w:val="32"/>
          <w:szCs w:val="32"/>
          <w:highlight w:val="none"/>
          <w:shd w:val="clear" w:color="auto" w:fill="FFFFFF"/>
          <w:lang w:val="zh-CN" w:eastAsia="zh-CN" w:bidi="ar-SA"/>
        </w:rPr>
        <w:t>绩效目标设置主要包括社会效益和可持续影响两个方面。</w:t>
      </w:r>
      <w:r>
        <w:rPr>
          <w:rFonts w:hint="eastAsia" w:ascii="仿宋_GB2312" w:hAnsi="仿宋_GB2312" w:eastAsia="仿宋_GB2312" w:cs="仿宋_GB2312"/>
          <w:color w:val="auto"/>
          <w:kern w:val="0"/>
          <w:sz w:val="32"/>
          <w:szCs w:val="32"/>
          <w:highlight w:val="none"/>
          <w:shd w:val="clear" w:color="auto" w:fill="FFFFFF"/>
          <w:lang w:val="en-US" w:eastAsia="zh-CN" w:bidi="ar-SA"/>
        </w:rPr>
        <w:t>项目整体绩效目标为全面、准确完成广元市第四次全国文物普查工作，摸清全市文物资源底数，建立完善的文物资源数据库，提高文物保护利用水平，增强公众文物保护意识。</w:t>
      </w:r>
      <w:r>
        <w:rPr>
          <w:rFonts w:hint="eastAsia" w:ascii="仿宋_GB2312" w:hAnsi="仿宋_GB2312" w:eastAsia="仿宋_GB2312" w:cs="仿宋_GB2312"/>
          <w:color w:val="auto"/>
          <w:kern w:val="0"/>
          <w:sz w:val="32"/>
          <w:szCs w:val="32"/>
          <w:highlight w:val="none"/>
          <w:shd w:val="clear" w:color="auto" w:fill="FFFFFF"/>
          <w:lang w:val="zh-CN" w:eastAsia="zh-CN" w:bidi="ar-SA"/>
        </w:rPr>
        <w:t>具体绩效目标</w:t>
      </w:r>
      <w:r>
        <w:rPr>
          <w:rFonts w:hint="eastAsia" w:ascii="仿宋_GB2312" w:hAnsi="仿宋_GB2312" w:eastAsia="仿宋_GB2312" w:cs="仿宋_GB2312"/>
          <w:color w:val="auto"/>
          <w:kern w:val="0"/>
          <w:sz w:val="32"/>
          <w:szCs w:val="32"/>
          <w:highlight w:val="none"/>
          <w:shd w:val="clear" w:color="auto" w:fill="FFFFFF"/>
          <w:lang w:val="en-US" w:eastAsia="zh-CN" w:bidi="ar-SA"/>
        </w:rPr>
        <w:t>包括产出指标、成本指标、效益指标和满意度指标4个方面9个具体子项</w:t>
      </w:r>
      <w:r>
        <w:rPr>
          <w:rFonts w:hint="eastAsia" w:ascii="仿宋_GB2312" w:hAnsi="仿宋_GB2312" w:eastAsia="仿宋_GB2312" w:cs="仿宋_GB2312"/>
          <w:color w:val="auto"/>
          <w:kern w:val="0"/>
          <w:sz w:val="32"/>
          <w:szCs w:val="32"/>
          <w:highlight w:val="none"/>
          <w:shd w:val="clear" w:color="auto" w:fill="FFFFFF"/>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方正黑体简体" w:hAnsi="方正黑体简体" w:eastAsia="方正黑体简体" w:cs="方正黑体简体"/>
          <w:b w:val="0"/>
          <w:bCs w:val="0"/>
          <w:color w:val="auto"/>
          <w:sz w:val="32"/>
          <w:szCs w:val="32"/>
          <w:highlight w:val="none"/>
          <w:lang w:eastAsia="zh-CN"/>
        </w:rPr>
      </w:pPr>
      <w:r>
        <w:rPr>
          <w:rFonts w:hint="eastAsia" w:ascii="方正黑体简体" w:hAnsi="方正黑体简体" w:eastAsia="方正黑体简体" w:cs="方正黑体简体"/>
          <w:b w:val="0"/>
          <w:bCs w:val="0"/>
          <w:color w:val="auto"/>
          <w:sz w:val="32"/>
          <w:szCs w:val="32"/>
          <w:highlight w:val="none"/>
        </w:rPr>
        <w:t>二、</w:t>
      </w:r>
      <w:r>
        <w:rPr>
          <w:rFonts w:hint="eastAsia" w:ascii="方正黑体简体" w:hAnsi="方正黑体简体" w:eastAsia="方正黑体简体" w:cs="方正黑体简体"/>
          <w:b w:val="0"/>
          <w:bCs w:val="0"/>
          <w:color w:val="auto"/>
          <w:sz w:val="32"/>
          <w:szCs w:val="32"/>
          <w:highlight w:val="none"/>
          <w:lang w:eastAsia="zh-CN"/>
        </w:rPr>
        <w:t>评价实施</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val="0"/>
          <w:color w:val="auto"/>
          <w:sz w:val="32"/>
          <w:szCs w:val="32"/>
          <w:highlight w:val="none"/>
          <w:u w:val="none"/>
          <w:lang w:val="zh-CN"/>
        </w:rPr>
        <w:t>（一）评价目的。</w:t>
      </w:r>
      <w:r>
        <w:rPr>
          <w:rFonts w:hint="eastAsia" w:ascii="仿宋_GB2312" w:hAnsi="仿宋_GB2312" w:eastAsia="仿宋_GB2312" w:cs="仿宋_GB2312"/>
          <w:color w:val="auto"/>
          <w:kern w:val="0"/>
          <w:sz w:val="32"/>
          <w:szCs w:val="32"/>
          <w:highlight w:val="none"/>
          <w:shd w:val="clear" w:color="auto" w:fill="FFFFFF"/>
          <w:lang w:val="en-US" w:eastAsia="zh-CN" w:bidi="ar-SA"/>
        </w:rPr>
        <w:t>通过开展项目绩效自评，旨在全面、客观、公正地评价广元市第四次全国文物普查2024年工作经费的使用效益与项目实施效果。检验项目是否达到预期目标，资金使用是否合理合规，工作任务是否有效完成，从而总结经验教训，为后续文物普查工作及文物保护项目提供参考依据，进一步优化财政资金配置，提高资金使用效率，推动文物保护事业高质量发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val="0"/>
          <w:color w:val="auto"/>
          <w:sz w:val="32"/>
          <w:szCs w:val="32"/>
          <w:highlight w:val="none"/>
          <w:u w:val="none"/>
          <w:lang w:val="zh-CN"/>
        </w:rPr>
        <w:t>（二）预设问题及评价重点。</w:t>
      </w:r>
      <w:r>
        <w:rPr>
          <w:rFonts w:hint="eastAsia" w:ascii="仿宋_GB2312" w:hAnsi="仿宋_GB2312" w:eastAsia="仿宋_GB2312" w:cs="仿宋_GB2312"/>
          <w:color w:val="auto"/>
          <w:kern w:val="0"/>
          <w:sz w:val="32"/>
          <w:szCs w:val="32"/>
          <w:highlight w:val="none"/>
          <w:shd w:val="clear" w:color="auto" w:fill="FFFFFF"/>
          <w:lang w:val="en-US" w:eastAsia="zh-CN" w:bidi="ar-SA"/>
        </w:rPr>
        <w:t>按照绩效评价指标体系，预设问题包括：项目决策程序是否科学合理，规划论证是否充分；项目管理制度是否健全，执行是否到位；预算执行进度是否符合计划，资金使用是否合规；项目实施是否达到预期目标，文物普查成果质量如何等。评价重点聚焦于资金支出使用全过程及其实施效果。在资金管理方面，重点评价资金分配合理性、预算执行率、资金使用合规性；在项目实施方面，重点关注普查工作进度、文物调查质量、数据采集准确性、公众参与度等；在项目效果方面，重点评估文物资源底数摸清程度、文物保护水平提升效果、公众文物保护意识增强情况等。</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val="0"/>
          <w:color w:val="auto"/>
          <w:sz w:val="32"/>
          <w:szCs w:val="32"/>
          <w:highlight w:val="none"/>
          <w:u w:val="none"/>
          <w:lang w:val="zh-CN"/>
        </w:rPr>
        <w:t>（三）评价选点。</w:t>
      </w:r>
      <w:r>
        <w:rPr>
          <w:rFonts w:hint="eastAsia" w:ascii="仿宋_GB2312" w:hAnsi="仿宋_GB2312" w:eastAsia="仿宋_GB2312" w:cs="仿宋_GB2312"/>
          <w:color w:val="auto"/>
          <w:kern w:val="0"/>
          <w:sz w:val="32"/>
          <w:szCs w:val="32"/>
          <w:highlight w:val="none"/>
          <w:shd w:val="clear" w:color="auto" w:fill="FFFFFF"/>
          <w:lang w:val="zh-CN" w:eastAsia="zh-CN" w:bidi="ar-SA"/>
        </w:rPr>
        <w:t>项目绩效自评所抽样点位情况。</w:t>
      </w:r>
      <w:r>
        <w:rPr>
          <w:rFonts w:hint="eastAsia" w:ascii="仿宋_GB2312" w:hAnsi="仿宋_GB2312" w:eastAsia="仿宋_GB2312" w:cs="仿宋_GB2312"/>
          <w:color w:val="auto"/>
          <w:kern w:val="0"/>
          <w:sz w:val="32"/>
          <w:szCs w:val="32"/>
          <w:highlight w:val="none"/>
          <w:shd w:val="clear" w:color="auto" w:fill="FFFFFF"/>
          <w:lang w:val="en-US" w:eastAsia="zh-CN" w:bidi="ar-SA"/>
        </w:rPr>
        <w:t>本项目实施主体为市本级，未涉及到各县（区），故评价选点为市文化广电旅游局。</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val="0"/>
          <w:color w:val="auto"/>
          <w:sz w:val="32"/>
          <w:szCs w:val="32"/>
          <w:highlight w:val="none"/>
          <w:u w:val="none"/>
          <w:lang w:val="zh-CN"/>
        </w:rPr>
        <w:t>（四）评价方法。</w:t>
      </w:r>
      <w:r>
        <w:rPr>
          <w:rFonts w:hint="eastAsia" w:ascii="仿宋_GB2312" w:hAnsi="仿宋_GB2312" w:eastAsia="仿宋_GB2312" w:cs="仿宋_GB2312"/>
          <w:color w:val="auto"/>
          <w:kern w:val="0"/>
          <w:sz w:val="32"/>
          <w:szCs w:val="32"/>
          <w:highlight w:val="none"/>
          <w:shd w:val="clear" w:color="auto" w:fill="FFFFFF"/>
          <w:lang w:val="en-US" w:eastAsia="zh-CN" w:bidi="ar-SA"/>
        </w:rPr>
        <w:t>本次评价主要采用成本效益分析法、座谈调研法，对广元市第四次全国文物普查2024年经费使用情况进行客观真实评价。</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val="0"/>
          <w:color w:val="auto"/>
          <w:sz w:val="32"/>
          <w:szCs w:val="32"/>
          <w:highlight w:val="none"/>
          <w:u w:val="none"/>
          <w:lang w:val="zh-CN"/>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市文化广电旅游局财务科、文物保护科、</w:t>
      </w:r>
      <w:r>
        <w:rPr>
          <w:rFonts w:hint="eastAsia" w:ascii="仿宋_GB2312" w:hAnsi="仿宋_GB2312" w:eastAsia="仿宋_GB2312" w:cs="仿宋_GB2312"/>
          <w:color w:val="auto"/>
          <w:kern w:val="0"/>
          <w:sz w:val="32"/>
          <w:szCs w:val="32"/>
          <w:highlight w:val="none"/>
          <w:shd w:val="clear" w:color="auto" w:fill="FFFFFF"/>
          <w:lang w:val="en-US" w:eastAsia="zh-CN" w:bidi="ar-SA"/>
        </w:rPr>
        <w:t>内部监督与审计科</w:t>
      </w:r>
      <w:r>
        <w:rPr>
          <w:rFonts w:hint="eastAsia" w:ascii="仿宋_GB2312" w:hAnsi="仿宋_GB2312" w:eastAsia="仿宋_GB2312" w:cs="仿宋_GB2312"/>
          <w:color w:val="auto"/>
          <w:kern w:val="0"/>
          <w:sz w:val="32"/>
          <w:szCs w:val="32"/>
          <w:highlight w:val="none"/>
          <w:shd w:val="clear" w:color="auto" w:fill="FFFFFF"/>
          <w:lang w:val="zh-CN" w:eastAsia="zh-CN" w:bidi="ar-SA"/>
        </w:rPr>
        <w:t>相关人员组成评价小组。</w:t>
      </w:r>
      <w:r>
        <w:rPr>
          <w:rFonts w:hint="eastAsia" w:ascii="仿宋_GB2312" w:hAnsi="仿宋_GB2312" w:eastAsia="仿宋_GB2312" w:cs="仿宋_GB2312"/>
          <w:color w:val="auto"/>
          <w:kern w:val="0"/>
          <w:sz w:val="32"/>
          <w:szCs w:val="32"/>
          <w:highlight w:val="none"/>
          <w:shd w:val="clear" w:color="auto" w:fill="FFFFFF"/>
          <w:lang w:val="en-US" w:eastAsia="zh-CN" w:bidi="ar-SA"/>
        </w:rPr>
        <w:t>各成员职责明确，分工协作，确保评价工作科学、客观、公正开展。</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zh-CN"/>
        </w:rPr>
      </w:pPr>
      <w:r>
        <w:rPr>
          <w:rFonts w:hint="eastAsia" w:ascii="方正黑体简体" w:hAnsi="方正黑体简体" w:eastAsia="方正黑体简体" w:cs="方正黑体简体"/>
          <w:b w:val="0"/>
          <w:bCs w:val="0"/>
          <w:color w:val="auto"/>
          <w:sz w:val="32"/>
          <w:szCs w:val="32"/>
          <w:highlight w:val="none"/>
        </w:rPr>
        <w:t>三、</w:t>
      </w:r>
      <w:r>
        <w:rPr>
          <w:rFonts w:hint="eastAsia" w:ascii="方正黑体简体" w:hAnsi="方正黑体简体" w:eastAsia="方正黑体简体" w:cs="方正黑体简体"/>
          <w:b w:val="0"/>
          <w:bCs w:val="0"/>
          <w:color w:val="auto"/>
          <w:sz w:val="32"/>
          <w:szCs w:val="32"/>
          <w:highlight w:val="none"/>
          <w:lang w:eastAsia="zh-CN"/>
        </w:rPr>
        <w:t>绩效分析</w:t>
      </w:r>
      <w:r>
        <w:rPr>
          <w:rFonts w:hint="eastAsia" w:ascii="仿宋_GB2312" w:hAnsi="仿宋_GB2312" w:eastAsia="仿宋_GB2312" w:cs="仿宋_GB2312"/>
          <w:b w:val="0"/>
          <w:bCs w:val="0"/>
          <w:color w:val="auto"/>
          <w:sz w:val="32"/>
          <w:szCs w:val="32"/>
          <w:highlight w:val="none"/>
          <w:u w:val="none"/>
          <w:lang w:val="zh-CN"/>
        </w:rPr>
        <w:tab/>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方正楷体简体" w:hAnsi="方正楷体简体" w:eastAsia="方正楷体简体" w:cs="方正楷体简体"/>
          <w:b w:val="0"/>
          <w:bCs w:val="0"/>
          <w:color w:val="auto"/>
          <w:sz w:val="32"/>
          <w:szCs w:val="32"/>
          <w:highlight w:val="none"/>
          <w:u w:val="none"/>
          <w:lang w:val="en-US" w:eastAsia="zh-CN"/>
        </w:rPr>
      </w:pPr>
      <w:r>
        <w:rPr>
          <w:rFonts w:hint="eastAsia" w:ascii="方正楷体简体" w:hAnsi="方正楷体简体" w:eastAsia="方正楷体简体" w:cs="方正楷体简体"/>
          <w:b w:val="0"/>
          <w:bCs w:val="0"/>
          <w:color w:val="auto"/>
          <w:sz w:val="32"/>
          <w:szCs w:val="32"/>
          <w:highlight w:val="none"/>
          <w:u w:val="none"/>
          <w:lang w:val="zh-CN"/>
        </w:rPr>
        <w:t>（一）</w:t>
      </w:r>
      <w:r>
        <w:rPr>
          <w:rFonts w:hint="eastAsia" w:ascii="方正楷体简体" w:hAnsi="方正楷体简体" w:eastAsia="方正楷体简体" w:cs="方正楷体简体"/>
          <w:b w:val="0"/>
          <w:bCs w:val="0"/>
          <w:color w:val="auto"/>
          <w:sz w:val="32"/>
          <w:szCs w:val="32"/>
          <w:highlight w:val="none"/>
          <w:u w:val="none"/>
          <w:lang w:val="en-US" w:eastAsia="zh-CN"/>
        </w:rPr>
        <w:t>通用指标</w:t>
      </w:r>
      <w:r>
        <w:rPr>
          <w:rFonts w:hint="eastAsia" w:ascii="方正楷体简体" w:hAnsi="方正楷体简体" w:eastAsia="方正楷体简体" w:cs="方正楷体简体"/>
          <w:b w:val="0"/>
          <w:bCs w:val="0"/>
          <w:color w:val="auto"/>
          <w:sz w:val="32"/>
          <w:szCs w:val="32"/>
          <w:highlight w:val="none"/>
          <w:u w:val="none"/>
          <w:lang w:val="zh-CN"/>
        </w:rPr>
        <w:t>绩效分析。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1.项目决策。项目决策程序规范，严格依据国家和省级相关文件要求进行立项申报。结合广元市文物资源现状及保护需求，制定了详细、可行的普查经费使用方案。</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2.项目管理。制定了完善的项目资金管理办法，明确了资金使用范围、审批流程，资金使用依据合理，过程公开透明，建立了定期检查与不定期抽查相结合的监管机制，对项目实施和资金使用进行全程监控。</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3.项目实施。预算执行方面，截至2024年底，预算执行率达到87.98%，基本符合预算执行进度要求，资金使用合规，未发现截留、挪用等违规行为。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4.项目结果。已完成全市1098处不可移动文物的实地调查，完成率达到100%，基本实现预期目标。按照普查方案时间节点，各项工作有序推进，未出现明显延误情况。</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val="0"/>
          <w:color w:val="auto"/>
          <w:sz w:val="32"/>
          <w:szCs w:val="32"/>
          <w:highlight w:val="none"/>
          <w:u w:val="none"/>
          <w:lang w:val="zh-CN"/>
        </w:rPr>
        <w:t>（二）</w:t>
      </w:r>
      <w:r>
        <w:rPr>
          <w:rFonts w:hint="eastAsia" w:ascii="方正楷体简体" w:hAnsi="方正楷体简体" w:eastAsia="方正楷体简体" w:cs="方正楷体简体"/>
          <w:b w:val="0"/>
          <w:bCs w:val="0"/>
          <w:color w:val="auto"/>
          <w:sz w:val="32"/>
          <w:szCs w:val="32"/>
          <w:highlight w:val="none"/>
          <w:u w:val="none"/>
          <w:lang w:val="en-US" w:eastAsia="zh-CN"/>
        </w:rPr>
        <w:t>专用指标</w:t>
      </w:r>
      <w:r>
        <w:rPr>
          <w:rFonts w:hint="eastAsia" w:ascii="方正楷体简体" w:hAnsi="方正楷体简体" w:eastAsia="方正楷体简体" w:cs="方正楷体简体"/>
          <w:b w:val="0"/>
          <w:bCs w:val="0"/>
          <w:color w:val="auto"/>
          <w:sz w:val="32"/>
          <w:szCs w:val="32"/>
          <w:highlight w:val="none"/>
          <w:u w:val="none"/>
          <w:lang w:val="zh-CN"/>
        </w:rPr>
        <w:t>绩效分析。</w:t>
      </w:r>
      <w:r>
        <w:rPr>
          <w:rFonts w:hint="eastAsia" w:ascii="仿宋_GB2312" w:hAnsi="仿宋_GB2312" w:eastAsia="仿宋_GB2312" w:cs="仿宋_GB2312"/>
          <w:color w:val="auto"/>
          <w:kern w:val="0"/>
          <w:sz w:val="32"/>
          <w:szCs w:val="32"/>
          <w:highlight w:val="none"/>
          <w:shd w:val="clear" w:color="auto" w:fill="FFFFFF"/>
          <w:lang w:val="en-US" w:eastAsia="zh-CN" w:bidi="ar-SA"/>
        </w:rPr>
        <w:t>在用途合规性方面，项目资金严格按照规定用于文物普查相关工作。程序合规性上，资金审批、使用程序符合财务制度要求。标准合规性方面，各项费用支出符合相关标准。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方正黑体简体" w:hAnsi="方正黑体简体" w:eastAsia="方正黑体简体" w:cs="方正黑体简体"/>
          <w:b w:val="0"/>
          <w:bCs w:val="0"/>
          <w:color w:val="auto"/>
          <w:sz w:val="32"/>
          <w:szCs w:val="32"/>
          <w:highlight w:val="none"/>
        </w:rPr>
      </w:pPr>
      <w:r>
        <w:rPr>
          <w:rFonts w:hint="eastAsia" w:ascii="方正黑体简体" w:hAnsi="方正黑体简体" w:eastAsia="方正黑体简体" w:cs="方正黑体简体"/>
          <w:b w:val="0"/>
          <w:bCs w:val="0"/>
          <w:color w:val="auto"/>
          <w:sz w:val="32"/>
          <w:szCs w:val="32"/>
          <w:highlight w:val="none"/>
          <w:lang w:eastAsia="zh-CN"/>
        </w:rPr>
        <w:t>四</w:t>
      </w:r>
      <w:r>
        <w:rPr>
          <w:rFonts w:hint="eastAsia" w:ascii="方正黑体简体" w:hAnsi="方正黑体简体" w:eastAsia="方正黑体简体" w:cs="方正黑体简体"/>
          <w:b w:val="0"/>
          <w:bCs w:val="0"/>
          <w:color w:val="auto"/>
          <w:sz w:val="32"/>
          <w:szCs w:val="32"/>
          <w:highlight w:val="none"/>
        </w:rPr>
        <w:t>、评价结论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广元市第四次全国文物普查2024年工作经费专项预算项目总体实施情况良好。通过项目实施，基本完成了预期文物普查工作任务，全面掌握了全市文物资源底数，为建立全市文物资源数据库奠定坚实基础。资金使用合理合规，项目管理规范有序，取得了较好的社会效益。绩效自评总得分为95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方正黑体简体" w:hAnsi="方正黑体简体" w:eastAsia="方正黑体简体" w:cs="方正黑体简体"/>
          <w:b w:val="0"/>
          <w:bCs w:val="0"/>
          <w:color w:val="auto"/>
          <w:sz w:val="32"/>
          <w:szCs w:val="32"/>
          <w:highlight w:val="none"/>
          <w:lang w:eastAsia="zh-CN"/>
        </w:rPr>
      </w:pPr>
      <w:r>
        <w:rPr>
          <w:rFonts w:hint="eastAsia" w:ascii="方正黑体简体" w:hAnsi="方正黑体简体" w:eastAsia="方正黑体简体" w:cs="方正黑体简体"/>
          <w:b w:val="0"/>
          <w:bCs w:val="0"/>
          <w:color w:val="auto"/>
          <w:sz w:val="32"/>
          <w:szCs w:val="32"/>
          <w:highlight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暂无。</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方正黑体简体" w:hAnsi="方正黑体简体" w:eastAsia="方正黑体简体" w:cs="方正黑体简体"/>
          <w:b w:val="0"/>
          <w:bCs w:val="0"/>
          <w:color w:val="auto"/>
          <w:sz w:val="32"/>
          <w:szCs w:val="32"/>
          <w:highlight w:val="none"/>
          <w:lang w:val="zh-CN" w:eastAsia="zh-CN"/>
        </w:rPr>
      </w:pPr>
      <w:r>
        <w:rPr>
          <w:rFonts w:hint="eastAsia" w:ascii="方正黑体简体" w:hAnsi="方正黑体简体" w:eastAsia="方正黑体简体" w:cs="方正黑体简体"/>
          <w:b w:val="0"/>
          <w:bCs w:val="0"/>
          <w:color w:val="auto"/>
          <w:sz w:val="32"/>
          <w:szCs w:val="32"/>
          <w:highlight w:val="none"/>
          <w:lang w:val="zh-CN" w:eastAsia="zh-CN"/>
        </w:rPr>
        <w:t>六、改进建议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一是做好预算安排。在前期项目准备策划过程中，科学规划项目实施过程，合理设置时效指标，保障项目在较充足的时间内实施。</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二是优化项目管理。在项目实施过程中，根据</w:t>
      </w:r>
      <w:r>
        <w:rPr>
          <w:rFonts w:hint="eastAsia" w:ascii="仿宋_GB2312" w:hAnsi="仿宋_GB2312" w:eastAsia="仿宋_GB2312" w:cs="仿宋_GB2312"/>
          <w:color w:val="auto"/>
          <w:kern w:val="0"/>
          <w:sz w:val="32"/>
          <w:szCs w:val="32"/>
          <w:highlight w:val="none"/>
          <w:shd w:val="clear" w:color="auto" w:fill="FFFFFF"/>
          <w:lang w:val="en-US" w:eastAsia="zh-CN" w:bidi="ar-SA"/>
        </w:rPr>
        <w:t>社会反响情况</w:t>
      </w:r>
      <w:r>
        <w:rPr>
          <w:rFonts w:hint="eastAsia" w:ascii="仿宋_GB2312" w:hAnsi="仿宋_GB2312" w:eastAsia="仿宋_GB2312" w:cs="仿宋_GB2312"/>
          <w:color w:val="auto"/>
          <w:kern w:val="0"/>
          <w:sz w:val="32"/>
          <w:szCs w:val="32"/>
          <w:highlight w:val="none"/>
          <w:shd w:val="clear" w:color="auto" w:fill="FFFFFF"/>
          <w:lang w:val="zh-CN" w:eastAsia="zh-CN" w:bidi="ar-SA"/>
        </w:rPr>
        <w:t>，及时积极主动应对反馈，促进项目按时按序、保质保量完成。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 w:eastAsia="zh-CN" w:bidi="ar-SA"/>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default" w:ascii="仿宋_GB2312" w:hAnsi="仿宋_GB2312" w:eastAsia="仿宋_GB2312" w:cs="仿宋_GB2312"/>
          <w:color w:val="auto"/>
          <w:kern w:val="0"/>
          <w:sz w:val="32"/>
          <w:szCs w:val="32"/>
          <w:highlight w:val="none"/>
          <w:shd w:val="clear" w:color="auto" w:fill="FFFFFF"/>
          <w:lang w:val="en-US" w:eastAsia="zh-CN" w:bidi="ar-SA"/>
        </w:rPr>
      </w:pPr>
    </w:p>
    <w:p>
      <w:pPr>
        <w:widowControl/>
        <w:jc w:val="both"/>
        <w:outlineLvl w:val="0"/>
        <w:rPr>
          <w:rFonts w:hint="default" w:ascii="黑体" w:hAnsi="黑体" w:eastAsia="黑体" w:cs="Times New Roman"/>
          <w:color w:val="auto"/>
          <w:sz w:val="32"/>
          <w:szCs w:val="32"/>
          <w:highlight w:val="none"/>
          <w:lang w:val="en-US" w:eastAsia="zh-CN"/>
        </w:rPr>
      </w:pPr>
    </w:p>
    <w:p>
      <w:pPr>
        <w:widowControl/>
        <w:jc w:val="both"/>
        <w:outlineLvl w:val="0"/>
        <w:rPr>
          <w:rFonts w:hint="default" w:ascii="黑体" w:hAnsi="黑体" w:eastAsia="黑体" w:cs="Times New Roman"/>
          <w:color w:val="auto"/>
          <w:sz w:val="32"/>
          <w:szCs w:val="32"/>
          <w:highlight w:val="none"/>
          <w:lang w:val="en-US" w:eastAsia="zh-CN"/>
        </w:rPr>
      </w:pPr>
    </w:p>
    <w:p>
      <w:pPr>
        <w:widowControl/>
        <w:jc w:val="both"/>
        <w:outlineLvl w:val="0"/>
        <w:rPr>
          <w:rFonts w:hint="default" w:ascii="黑体" w:hAnsi="黑体" w:eastAsia="黑体" w:cs="Times New Roman"/>
          <w:color w:val="auto"/>
          <w:sz w:val="32"/>
          <w:szCs w:val="32"/>
          <w:highlight w:val="none"/>
          <w:lang w:val="en-US" w:eastAsia="zh-CN"/>
        </w:rPr>
      </w:pPr>
    </w:p>
    <w:p>
      <w:pPr>
        <w:widowControl/>
        <w:jc w:val="both"/>
        <w:outlineLvl w:val="0"/>
        <w:rPr>
          <w:rFonts w:hint="default" w:ascii="黑体" w:hAnsi="黑体" w:eastAsia="黑体" w:cs="Times New Roman"/>
          <w:color w:val="auto"/>
          <w:sz w:val="32"/>
          <w:szCs w:val="32"/>
          <w:highlight w:val="none"/>
          <w:lang w:val="en-US" w:eastAsia="zh-CN"/>
        </w:rPr>
      </w:pPr>
    </w:p>
    <w:p>
      <w:pPr>
        <w:widowControl/>
        <w:jc w:val="center"/>
        <w:rPr>
          <w:rFonts w:hint="eastAsia" w:eastAsia="黑体"/>
          <w:sz w:val="44"/>
          <w:szCs w:val="44"/>
          <w:highlight w:val="none"/>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tbl>
      <w:tblPr>
        <w:tblStyle w:val="21"/>
        <w:tblW w:w="94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982"/>
        <w:gridCol w:w="1035"/>
        <w:gridCol w:w="1626"/>
        <w:gridCol w:w="1127"/>
        <w:gridCol w:w="971"/>
        <w:gridCol w:w="1061"/>
        <w:gridCol w:w="636"/>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32" w:hRule="atLeast"/>
          <w:jc w:val="center"/>
        </w:trPr>
        <w:tc>
          <w:tcPr>
            <w:tcW w:w="9410" w:type="dxa"/>
            <w:gridSpan w:val="9"/>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576" w:lineRule="exact"/>
              <w:ind w:left="0" w:leftChars="0"/>
              <w:jc w:val="center"/>
              <w:textAlignment w:val="center"/>
              <w:rPr>
                <w:rFonts w:hint="default" w:ascii="Times New Roman" w:hAnsi="Times New Roman" w:eastAsia="黑体" w:cs="Times New Roman"/>
                <w:i w:val="0"/>
                <w:color w:val="auto"/>
                <w:sz w:val="30"/>
                <w:szCs w:val="30"/>
                <w:highlight w:val="none"/>
                <w:u w:val="none"/>
              </w:rPr>
            </w:pPr>
            <w:r>
              <w:rPr>
                <w:rFonts w:hint="default" w:ascii="Times New Roman" w:hAnsi="Times New Roman" w:eastAsia="方正小标宋简体" w:cs="Times New Roman"/>
                <w:i w:val="0"/>
                <w:color w:val="auto"/>
                <w:kern w:val="0"/>
                <w:sz w:val="40"/>
                <w:szCs w:val="40"/>
                <w:highlight w:val="none"/>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25"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项目名称</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广元市第四次全国文物普查2024年工作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预算单位</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项目类型</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中长期规划（名称、文号，仅指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常年项目）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《广元市人民政府关于做好第四次全国文物普查工作的通知》（广府发〔2024〕4号）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资金管理办法（名称、文号）</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£项目法</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据实据效</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立项依据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《广元市人民政府关于做好第四次全国文物普查工作的通知》（广府发〔2024〕4号）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使用范围</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全市普查人员培训、普查宣传、普查指导、普查数据审核、实地调查抽查、普查成果汇总出版、数据影像资料采集存储等相关工作，将产生普查机构工作经费、培训费、实地调查费、设备购置费等方面支出。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申报（补助）条件</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项目起止年限</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2024.01-2024.12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634"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项目资金</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（万元）</w:t>
            </w:r>
          </w:p>
        </w:tc>
        <w:tc>
          <w:tcPr>
            <w:tcW w:w="26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年度资金总额：</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right"/>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634"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6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其中：财政拨款</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right"/>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634"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6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其他资金</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right"/>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5"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总体 目标</w:t>
            </w: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文物普查是文物事业发展的重要基础性工作，是重大国情国力调查，对做好不可移动文物保护、管理、研究、利用等各项工作具有重要意义。按照国务院统一部署，此次普查从2023年11月开始，到2026年6月结束，分三个阶段进行，主要任务是对第三次全国文物普查登记文物进行复核，对第三次全国文物普查以来新发现文物进行认定。2023年11月至2024年4月为普查第一阶段，主要任务是建立各级普查机构，确定技术标准和规范，开发普查系统与采集软件，开展培训、试点工作；2024年5月至2025年5月为普查第二阶段，主要任务是以县域为基本单元，实地开展文物调查；2025年6月至2026年6月为普查第三阶段，主要任务是依法认定、登记并公布不可移动文物，建立全市不可移动文物资源总目录，逐级验收并向社会公布普查成果。按照《国务院关于开展第四次全国文物普查的通知》（国发〔2023〕18号）《四川省人民政府关于做好第四次全国文物普查工作的通知》（川府发〔2024〕3号）《广元市人民政府关于做好第四次全国文物普查工作的通知》（广府发〔2024〕4号）要求，切实做好我市第四次全国文物普查2024年度有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 指标</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一级指标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二级指标</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度量单位</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权重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实际完成指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产出指标</w:t>
            </w:r>
          </w:p>
        </w:tc>
        <w:tc>
          <w:tcPr>
            <w:tcW w:w="103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开展市级四普培训、试点培训实训</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240" w:lineRule="exact"/>
              <w:jc w:val="center"/>
              <w:rPr>
                <w:rFonts w:hint="default" w:ascii="Times New Roman" w:hAnsi="Times New Roman" w:eastAsia="宋体" w:cs="Times New Roman"/>
                <w:color w:val="auto"/>
                <w:kern w:val="2"/>
                <w:sz w:val="20"/>
                <w:szCs w:val="20"/>
                <w:highlight w:val="none"/>
                <w:u w:val="none"/>
                <w:lang w:val="en-US" w:eastAsia="zh-CN" w:bidi="ar-SA"/>
              </w:rPr>
            </w:pPr>
            <w:r>
              <w:rPr>
                <w:rFonts w:hint="eastAsia" w:ascii="Times New Roman" w:hAnsi="Times New Roman" w:eastAsia="宋体" w:cs="Times New Roman"/>
                <w:color w:val="auto"/>
                <w:kern w:val="2"/>
                <w:sz w:val="20"/>
                <w:szCs w:val="20"/>
                <w:highlight w:val="none"/>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次</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82"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035"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采购移动工作站、图形工作站</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240" w:lineRule="exact"/>
              <w:jc w:val="center"/>
              <w:rPr>
                <w:rFonts w:hint="default" w:ascii="Times New Roman" w:hAnsi="Times New Roman" w:eastAsia="宋体" w:cs="Times New Roman"/>
                <w:color w:val="auto"/>
                <w:kern w:val="2"/>
                <w:sz w:val="20"/>
                <w:szCs w:val="20"/>
                <w:highlight w:val="none"/>
                <w:u w:val="none"/>
                <w:lang w:val="en-US" w:eastAsia="zh-CN" w:bidi="ar-SA"/>
              </w:rPr>
            </w:pPr>
            <w:r>
              <w:rPr>
                <w:rFonts w:hint="eastAsia" w:ascii="Times New Roman" w:hAnsi="Times New Roman" w:eastAsia="宋体" w:cs="Times New Roman"/>
                <w:color w:val="auto"/>
                <w:kern w:val="2"/>
                <w:sz w:val="20"/>
                <w:szCs w:val="20"/>
                <w:highlight w:val="none"/>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套</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8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3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采购智能手持采集终端、航拍无人机</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240" w:lineRule="exact"/>
              <w:jc w:val="center"/>
              <w:rPr>
                <w:rFonts w:hint="default" w:ascii="Times New Roman" w:hAnsi="Times New Roman" w:eastAsia="宋体" w:cs="Times New Roman"/>
                <w:color w:val="auto"/>
                <w:kern w:val="2"/>
                <w:sz w:val="20"/>
                <w:szCs w:val="20"/>
                <w:highlight w:val="none"/>
                <w:u w:val="none"/>
                <w:lang w:val="en-US" w:eastAsia="zh-CN" w:bidi="ar-SA"/>
              </w:rPr>
            </w:pPr>
            <w:r>
              <w:rPr>
                <w:rFonts w:hint="eastAsia" w:ascii="Times New Roman" w:hAnsi="Times New Roman" w:eastAsia="宋体" w:cs="Times New Roman"/>
                <w:color w:val="auto"/>
                <w:kern w:val="2"/>
                <w:sz w:val="20"/>
                <w:szCs w:val="20"/>
                <w:highlight w:val="none"/>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套</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8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3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开展实地调查指导，确保系统录入信息与实际情况吻合</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8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3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培训人次</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170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8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时效指标</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年度目标完成时间</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12月底前</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月</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12月底前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效益指标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社会效益</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有序推进文物普查重大国情国力调查，确认国家文物资源总量、保障国家文物安全。</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是</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82"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满意度</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03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服务对象</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社会满意度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95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成本指标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经济成本</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626"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预算成本控制</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ascii="宋体" w:cs="宋体"/>
                <w:color w:val="auto"/>
                <w:kern w:val="0"/>
                <w:szCs w:val="21"/>
                <w:highlight w:val="none"/>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30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万元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26..394</w:t>
            </w:r>
          </w:p>
        </w:tc>
      </w:tr>
    </w:tbl>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pStyle w:val="40"/>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黑体" w:hAnsi="黑体" w:eastAsia="黑体" w:cs="Times New Roman"/>
          <w:color w:val="auto"/>
          <w:sz w:val="32"/>
          <w:szCs w:val="32"/>
          <w:highlight w:val="none"/>
          <w:lang w:val="en-US" w:eastAsia="zh-CN"/>
        </w:rPr>
      </w:pPr>
      <w:r>
        <w:rPr>
          <w:rFonts w:hint="eastAsia" w:ascii="黑体" w:hAnsi="黑体" w:eastAsia="黑体" w:cs="Times New Roman"/>
          <w:color w:val="auto"/>
          <w:sz w:val="32"/>
          <w:szCs w:val="32"/>
          <w:highlight w:val="none"/>
          <w:lang w:val="en-US" w:eastAsia="zh-CN"/>
        </w:rPr>
        <w:t>附件11</w:t>
      </w:r>
    </w:p>
    <w:p>
      <w:pPr>
        <w:pStyle w:val="40"/>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黑体" w:hAnsi="黑体" w:eastAsia="黑体" w:cs="Times New Roman"/>
          <w:color w:val="auto"/>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茶产业推介活动预算项目绩效评价报告</w:t>
      </w:r>
    </w:p>
    <w:p>
      <w:pPr>
        <w:pStyle w:val="40"/>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rPr>
        <w:t>一、</w:t>
      </w:r>
      <w:r>
        <w:rPr>
          <w:rFonts w:hint="eastAsia" w:ascii="方正黑体简体" w:hAnsi="方正黑体简体" w:eastAsia="方正黑体简体" w:cs="方正黑体简体"/>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（一）设立背景及基本情况。</w:t>
      </w:r>
      <w:r>
        <w:rPr>
          <w:rFonts w:hint="eastAsia" w:ascii="仿宋_GB2312" w:hAnsi="仿宋_GB2312" w:eastAsia="仿宋_GB2312" w:cs="仿宋_GB2312"/>
          <w:color w:val="auto"/>
          <w:kern w:val="0"/>
          <w:sz w:val="32"/>
          <w:szCs w:val="32"/>
          <w:highlight w:val="none"/>
          <w:shd w:val="clear" w:color="auto" w:fill="FFFFFF"/>
          <w:lang w:val="en-US" w:eastAsia="zh-CN" w:bidi="ar-SA"/>
        </w:rPr>
        <w:t>为大力实施“1345”发展战略，聚力建设大蜀道国际文化旅游目的地和康养度假胜地，2024年4月至5月，我市在兰州、重庆、西安、成都等城市开展了以“游大美蜀道 品广元好茶”为主题的文化旅游暨茶产业推介会。</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（二）</w:t>
      </w:r>
      <w:r>
        <w:rPr>
          <w:rFonts w:hint="eastAsia" w:ascii="方正楷体简体" w:hAnsi="方正楷体简体" w:eastAsia="方正楷体简体" w:cs="方正楷体简体"/>
          <w:b w:val="0"/>
          <w:bCs/>
          <w:color w:val="auto"/>
          <w:sz w:val="32"/>
          <w:szCs w:val="32"/>
          <w:highlight w:val="none"/>
          <w:u w:val="none"/>
          <w:lang w:val="en-US" w:eastAsia="zh-CN"/>
        </w:rPr>
        <w:t>实施目的及支持方向。</w:t>
      </w:r>
      <w:r>
        <w:rPr>
          <w:rFonts w:hint="eastAsia" w:ascii="仿宋_GB2312" w:hAnsi="仿宋_GB2312" w:eastAsia="仿宋_GB2312" w:cs="仿宋_GB2312"/>
          <w:color w:val="auto"/>
          <w:kern w:val="0"/>
          <w:sz w:val="32"/>
          <w:szCs w:val="32"/>
          <w:highlight w:val="none"/>
          <w:shd w:val="clear" w:color="auto" w:fill="FFFFFF"/>
          <w:lang w:val="en-US" w:eastAsia="zh-CN" w:bidi="ar-SA"/>
        </w:rPr>
        <w:t>大力宣传广元茶产业发展成效、茶叶品牌和文旅资源，扩大“剑门蜀道、女皇故里、红色热土、康养胜地”城市品牌影响力。</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eastAsia="zh-CN"/>
        </w:rPr>
        <w:t>（三）</w:t>
      </w:r>
      <w:r>
        <w:rPr>
          <w:rFonts w:hint="eastAsia" w:ascii="方正楷体简体" w:hAnsi="方正楷体简体" w:eastAsia="方正楷体简体" w:cs="方正楷体简体"/>
          <w:b w:val="0"/>
          <w:bCs/>
          <w:color w:val="auto"/>
          <w:sz w:val="32"/>
          <w:szCs w:val="32"/>
          <w:highlight w:val="none"/>
          <w:u w:val="none"/>
          <w:lang w:val="en-US" w:eastAsia="zh-CN"/>
        </w:rPr>
        <w:t>预算安排及分配管理</w:t>
      </w:r>
      <w:r>
        <w:rPr>
          <w:rFonts w:hint="eastAsia" w:ascii="方正楷体简体" w:hAnsi="方正楷体简体" w:eastAsia="方正楷体简体" w:cs="方正楷体简体"/>
          <w:b w:val="0"/>
          <w:bCs/>
          <w:color w:val="auto"/>
          <w:sz w:val="32"/>
          <w:szCs w:val="32"/>
          <w:highlight w:val="none"/>
          <w:u w:val="none"/>
          <w:lang w:val="zh-CN" w:eastAsia="zh-CN"/>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本项目总计安排金额5.4026万元，包含邀请文旅推介官、短视频宣传等方面。</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eastAsia="zh-CN"/>
        </w:rPr>
        <w:t>（四）项目绩效目标设置。</w:t>
      </w:r>
      <w:r>
        <w:rPr>
          <w:rFonts w:hint="eastAsia" w:ascii="仿宋_GB2312" w:hAnsi="仿宋_GB2312" w:eastAsia="仿宋_GB2312" w:cs="仿宋_GB2312"/>
          <w:color w:val="auto"/>
          <w:kern w:val="0"/>
          <w:sz w:val="32"/>
          <w:szCs w:val="32"/>
          <w:highlight w:val="none"/>
          <w:shd w:val="clear" w:color="auto" w:fill="FFFFFF"/>
          <w:lang w:val="en-US" w:eastAsia="zh-CN" w:bidi="ar-SA"/>
        </w:rPr>
        <w:t>成功推进“游大美蜀道 品广元好茶”系列文化旅游暨茶产业推介会。</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sz w:val="32"/>
          <w:szCs w:val="32"/>
          <w:highlight w:val="none"/>
          <w:lang w:eastAsia="zh-CN"/>
        </w:rPr>
      </w:pPr>
      <w:r>
        <w:rPr>
          <w:rFonts w:hint="eastAsia" w:ascii="方正黑体简体" w:hAnsi="方正黑体简体" w:eastAsia="方正黑体简体" w:cs="方正黑体简体"/>
          <w:sz w:val="32"/>
          <w:szCs w:val="32"/>
          <w:highlight w:val="none"/>
        </w:rPr>
        <w:t>二、</w:t>
      </w:r>
      <w:r>
        <w:rPr>
          <w:rFonts w:hint="eastAsia" w:ascii="方正黑体简体" w:hAnsi="方正黑体简体" w:eastAsia="方正黑体简体" w:cs="方正黑体简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（一）评价目的。</w:t>
      </w:r>
      <w:r>
        <w:rPr>
          <w:rFonts w:hint="eastAsia" w:ascii="仿宋_GB2312" w:hAnsi="仿宋_GB2312" w:eastAsia="仿宋_GB2312" w:cs="仿宋_GB2312"/>
          <w:color w:val="auto"/>
          <w:kern w:val="0"/>
          <w:sz w:val="32"/>
          <w:szCs w:val="32"/>
          <w:highlight w:val="none"/>
          <w:shd w:val="clear" w:color="auto" w:fill="FFFFFF"/>
          <w:lang w:val="en-US" w:eastAsia="zh-CN" w:bidi="ar-SA"/>
        </w:rPr>
        <w:t>顺利举办“游大美蜀道 品广元好茶”系列文化旅游暨茶产业推介会，扩大“剑门蜀道、女皇故里、红色热土、康养胜地”城市品牌影响力。</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（二）预设问题及评价重点。</w:t>
      </w:r>
      <w:r>
        <w:rPr>
          <w:rFonts w:hint="eastAsia" w:ascii="仿宋_GB2312" w:hAnsi="仿宋_GB2312" w:eastAsia="仿宋_GB2312" w:cs="仿宋_GB2312"/>
          <w:color w:val="auto"/>
          <w:kern w:val="0"/>
          <w:sz w:val="32"/>
          <w:szCs w:val="32"/>
          <w:highlight w:val="none"/>
          <w:shd w:val="clear" w:color="auto" w:fill="FFFFFF"/>
          <w:lang w:val="en-US" w:eastAsia="zh-CN" w:bidi="ar-SA"/>
        </w:rPr>
        <w:t>一是宣传策略的有效性：评估线上线下宣传手段是否有效覆盖目标受众，宣传内容是否吸引人；二是活动组织的执行力：考察活动筹备、执行、总结等环节的顺畅程度及效率；三是市场反响：分析项目对文化旅游市场的实际影响。</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（三）评价选点。</w:t>
      </w:r>
      <w:r>
        <w:rPr>
          <w:rFonts w:hint="eastAsia" w:ascii="仿宋_GB2312" w:hAnsi="仿宋_GB2312" w:eastAsia="仿宋_GB2312" w:cs="仿宋_GB2312"/>
          <w:color w:val="auto"/>
          <w:kern w:val="0"/>
          <w:sz w:val="32"/>
          <w:szCs w:val="32"/>
          <w:highlight w:val="none"/>
          <w:shd w:val="clear" w:color="auto" w:fill="FFFFFF"/>
          <w:lang w:val="en-US" w:eastAsia="zh-CN" w:bidi="ar-SA"/>
        </w:rPr>
        <w:t>选取具有代表性的活动城市、线上线下宣传案例作为评价选点。</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（四）评价方法。</w:t>
      </w:r>
      <w:r>
        <w:rPr>
          <w:rFonts w:hint="eastAsia" w:ascii="仿宋_GB2312" w:hAnsi="仿宋_GB2312" w:eastAsia="仿宋_GB2312" w:cs="仿宋_GB2312"/>
          <w:color w:val="auto"/>
          <w:kern w:val="0"/>
          <w:sz w:val="32"/>
          <w:szCs w:val="32"/>
          <w:highlight w:val="none"/>
          <w:shd w:val="clear" w:color="auto" w:fill="FFFFFF"/>
          <w:lang w:val="zh-CN" w:eastAsia="zh-CN" w:bidi="ar-SA"/>
        </w:rPr>
        <w:t>采用访谈、数据分析等多种方法，收集游客、旅游企业、合作机构等多方意见和数据，进行全面客观的评价。</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color w:val="auto"/>
          <w:sz w:val="32"/>
          <w:szCs w:val="32"/>
          <w:highlight w:val="none"/>
          <w:u w:val="none"/>
          <w:lang w:val="zh-CN"/>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市文化广电旅游局宣传科教科、财务科相关人员组成评价小组，对项目实施进行评价。</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rPr>
        <w:t>三、</w:t>
      </w:r>
      <w:r>
        <w:rPr>
          <w:rFonts w:hint="eastAsia" w:ascii="方正黑体简体" w:hAnsi="方正黑体简体" w:eastAsia="方正黑体简体" w:cs="方正黑体简体"/>
          <w:sz w:val="32"/>
          <w:szCs w:val="32"/>
          <w:highlight w:val="none"/>
          <w:lang w:eastAsia="zh-CN"/>
        </w:rPr>
        <w:t>绩效分析</w:t>
      </w:r>
      <w:r>
        <w:rPr>
          <w:rFonts w:hint="eastAsia" w:ascii="方正黑体简体" w:hAnsi="方正黑体简体" w:eastAsia="方正黑体简体" w:cs="方正黑体简体"/>
          <w:sz w:val="32"/>
          <w:szCs w:val="32"/>
          <w:highlight w:val="none"/>
          <w:lang w:val="zh-CN"/>
        </w:rPr>
        <w:tab/>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方正楷体简体" w:hAnsi="方正楷体简体" w:eastAsia="方正楷体简体" w:cs="方正楷体简体"/>
          <w:b w:val="0"/>
          <w:bCs/>
          <w:color w:val="auto"/>
          <w:sz w:val="32"/>
          <w:szCs w:val="32"/>
          <w:highlight w:val="none"/>
          <w:u w:val="none"/>
          <w:lang w:val="en-US" w:eastAsia="zh-CN"/>
        </w:rPr>
      </w:pPr>
      <w:r>
        <w:rPr>
          <w:rFonts w:hint="eastAsia" w:ascii="方正楷体简体" w:hAnsi="方正楷体简体" w:eastAsia="方正楷体简体" w:cs="方正楷体简体"/>
          <w:b w:val="0"/>
          <w:bCs/>
          <w:color w:val="auto"/>
          <w:sz w:val="32"/>
          <w:szCs w:val="32"/>
          <w:highlight w:val="none"/>
          <w:u w:val="none"/>
          <w:lang w:val="zh-CN"/>
        </w:rPr>
        <w:t>（一）</w:t>
      </w:r>
      <w:r>
        <w:rPr>
          <w:rFonts w:hint="eastAsia" w:ascii="方正楷体简体" w:hAnsi="方正楷体简体" w:eastAsia="方正楷体简体" w:cs="方正楷体简体"/>
          <w:b w:val="0"/>
          <w:bCs/>
          <w:color w:val="auto"/>
          <w:sz w:val="32"/>
          <w:szCs w:val="32"/>
          <w:highlight w:val="none"/>
          <w:u w:val="none"/>
          <w:lang w:val="en-US" w:eastAsia="zh-CN"/>
        </w:rPr>
        <w:t>通用指标</w:t>
      </w:r>
      <w:r>
        <w:rPr>
          <w:rFonts w:hint="eastAsia" w:ascii="方正楷体简体" w:hAnsi="方正楷体简体" w:eastAsia="方正楷体简体" w:cs="方正楷体简体"/>
          <w:b w:val="0"/>
          <w:bCs/>
          <w:color w:val="auto"/>
          <w:sz w:val="32"/>
          <w:szCs w:val="32"/>
          <w:highlight w:val="none"/>
          <w:u w:val="none"/>
          <w:lang w:val="zh-CN"/>
        </w:rPr>
        <w:t>绩效分析。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1.项目决策。</w:t>
      </w:r>
      <w:r>
        <w:rPr>
          <w:rFonts w:hint="eastAsia" w:ascii="仿宋_GB2312" w:hAnsi="仿宋_GB2312" w:eastAsia="仿宋_GB2312" w:cs="仿宋_GB2312"/>
          <w:color w:val="auto"/>
          <w:kern w:val="0"/>
          <w:sz w:val="32"/>
          <w:szCs w:val="32"/>
          <w:highlight w:val="none"/>
          <w:shd w:val="clear" w:color="auto" w:fill="FFFFFF"/>
          <w:lang w:val="zh-CN" w:eastAsia="zh-CN" w:bidi="ar-SA"/>
        </w:rPr>
        <w:t>项目决策程序规范，经过充分论证和市场调查后起草活动方案，通过报主要领导审签等程序决策，符合相关规定和程序要求。</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2.项目管理。制定了详细的项目实施方案和管理制度，确保项目按计划有序推进。</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3.项目实施。每场宣传推广活动均按计划圆满完成，未出现重大失误或延误。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4.项目结果。实现了预期的宣传推广效果和市场反响目标，对文化旅游市场的促进作用显著。</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方正楷体简体" w:hAnsi="方正楷体简体" w:eastAsia="方正楷体简体" w:cs="方正楷体简体"/>
          <w:b w:val="0"/>
          <w:bCs/>
          <w:color w:val="auto"/>
          <w:sz w:val="32"/>
          <w:szCs w:val="32"/>
          <w:highlight w:val="none"/>
          <w:u w:val="none"/>
          <w:lang w:val="zh-CN" w:eastAsia="zh-CN"/>
        </w:rPr>
      </w:pPr>
      <w:r>
        <w:rPr>
          <w:rFonts w:hint="eastAsia" w:ascii="方正楷体简体" w:hAnsi="方正楷体简体" w:eastAsia="方正楷体简体" w:cs="方正楷体简体"/>
          <w:b w:val="0"/>
          <w:bCs/>
          <w:color w:val="auto"/>
          <w:sz w:val="32"/>
          <w:szCs w:val="32"/>
          <w:highlight w:val="none"/>
          <w:u w:val="none"/>
          <w:lang w:val="zh-CN"/>
        </w:rPr>
        <w:t>（二）</w:t>
      </w:r>
      <w:r>
        <w:rPr>
          <w:rFonts w:hint="eastAsia" w:ascii="方正楷体简体" w:hAnsi="方正楷体简体" w:eastAsia="方正楷体简体" w:cs="方正楷体简体"/>
          <w:b w:val="0"/>
          <w:bCs/>
          <w:color w:val="auto"/>
          <w:sz w:val="32"/>
          <w:szCs w:val="32"/>
          <w:highlight w:val="none"/>
          <w:u w:val="none"/>
          <w:lang w:val="en-US" w:eastAsia="zh-CN"/>
        </w:rPr>
        <w:t>专用指标</w:t>
      </w:r>
      <w:r>
        <w:rPr>
          <w:rFonts w:hint="eastAsia" w:ascii="方正楷体简体" w:hAnsi="方正楷体简体" w:eastAsia="方正楷体简体" w:cs="方正楷体简体"/>
          <w:b w:val="0"/>
          <w:bCs/>
          <w:color w:val="auto"/>
          <w:sz w:val="32"/>
          <w:szCs w:val="32"/>
          <w:highlight w:val="none"/>
          <w:u w:val="none"/>
          <w:lang w:val="zh-CN"/>
        </w:rPr>
        <w:t>绩效分析。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项目实施与市委市政府关于文化旅游产业发展的战略部署高度契合，有效提升了广元文化旅游品牌的知名度和影响力。通过系列宣传推广活动，吸引了大量游客前来观光旅游，带动了文化旅游消费的增长。</w:t>
      </w:r>
    </w:p>
    <w:p>
      <w:pPr>
        <w:keepNext w:val="0"/>
        <w:keepLines w:val="0"/>
        <w:pageBreakBefore w:val="0"/>
        <w:widowControl/>
        <w:suppressLineNumbers w:val="0"/>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（三）</w:t>
      </w:r>
      <w:r>
        <w:rPr>
          <w:rFonts w:hint="eastAsia" w:ascii="方正楷体简体" w:hAnsi="方正楷体简体" w:eastAsia="方正楷体简体" w:cs="方正楷体简体"/>
          <w:b w:val="0"/>
          <w:bCs/>
          <w:color w:val="auto"/>
          <w:sz w:val="32"/>
          <w:szCs w:val="32"/>
          <w:highlight w:val="none"/>
          <w:u w:val="none"/>
          <w:lang w:val="en-US" w:eastAsia="zh-CN"/>
        </w:rPr>
        <w:t>个性指标</w:t>
      </w:r>
      <w:r>
        <w:rPr>
          <w:rFonts w:hint="eastAsia" w:ascii="方正楷体简体" w:hAnsi="方正楷体简体" w:eastAsia="方正楷体简体" w:cs="方正楷体简体"/>
          <w:b w:val="0"/>
          <w:bCs/>
          <w:color w:val="auto"/>
          <w:sz w:val="32"/>
          <w:szCs w:val="32"/>
          <w:highlight w:val="none"/>
          <w:u w:val="none"/>
          <w:lang w:val="zh-CN"/>
        </w:rPr>
        <w:t>绩效分析。</w:t>
      </w:r>
      <w:r>
        <w:rPr>
          <w:rFonts w:hint="eastAsia" w:ascii="仿宋_GB2312" w:hAnsi="仿宋_GB2312" w:eastAsia="仿宋_GB2312" w:cs="仿宋_GB2312"/>
          <w:color w:val="auto"/>
          <w:kern w:val="0"/>
          <w:sz w:val="32"/>
          <w:szCs w:val="32"/>
          <w:highlight w:val="none"/>
          <w:shd w:val="clear" w:color="auto" w:fill="FFFFFF"/>
          <w:lang w:val="en-US" w:eastAsia="zh-CN" w:bidi="ar-SA"/>
        </w:rPr>
        <w:t>成功举办4场“游大美蜀道 品广元好茶”系列文化旅游暨茶产业推介会。</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方正黑体简体" w:hAnsi="方正黑体简体" w:eastAsia="方正黑体简体" w:cs="方正黑体简体"/>
          <w:kern w:val="2"/>
          <w:sz w:val="32"/>
          <w:szCs w:val="32"/>
          <w:highlight w:val="none"/>
          <w:lang w:val="en-US" w:eastAsia="zh-CN" w:bidi="ar-SA"/>
        </w:rPr>
      </w:pPr>
      <w:r>
        <w:rPr>
          <w:rFonts w:hint="eastAsia" w:ascii="方正黑体简体" w:hAnsi="方正黑体简体" w:eastAsia="方正黑体简体" w:cs="方正黑体简体"/>
          <w:kern w:val="2"/>
          <w:sz w:val="32"/>
          <w:szCs w:val="32"/>
          <w:highlight w:val="none"/>
          <w:lang w:val="en-US" w:eastAsia="zh-CN" w:bidi="ar-SA"/>
        </w:rPr>
        <w:t>四、评价结论</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本项目项目绩效自评得分90分。</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方正黑体简体" w:hAnsi="方正黑体简体" w:eastAsia="方正黑体简体" w:cs="方正黑体简体"/>
          <w:kern w:val="2"/>
          <w:sz w:val="32"/>
          <w:szCs w:val="32"/>
          <w:highlight w:val="none"/>
          <w:lang w:val="en-US" w:eastAsia="zh-CN" w:bidi="ar-SA"/>
        </w:rPr>
      </w:pPr>
      <w:r>
        <w:rPr>
          <w:rFonts w:hint="eastAsia" w:ascii="方正黑体简体" w:hAnsi="方正黑体简体" w:eastAsia="方正黑体简体" w:cs="方正黑体简体"/>
          <w:kern w:val="2"/>
          <w:sz w:val="32"/>
          <w:szCs w:val="32"/>
          <w:highlight w:val="none"/>
          <w:lang w:val="en-US" w:eastAsia="zh-CN" w:bidi="ar-SA"/>
        </w:rPr>
        <w:t>五、存在主要问题</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部分宣传手段的创新性不足，难以持续吸引年轻游客群体。</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方正黑体简体" w:hAnsi="方正黑体简体" w:eastAsia="方正黑体简体" w:cs="方正黑体简体"/>
          <w:kern w:val="2"/>
          <w:sz w:val="32"/>
          <w:szCs w:val="32"/>
          <w:highlight w:val="none"/>
          <w:lang w:val="zh-CN" w:eastAsia="zh-CN" w:bidi="ar-SA"/>
        </w:rPr>
      </w:pPr>
      <w:r>
        <w:rPr>
          <w:rFonts w:hint="eastAsia" w:ascii="方正黑体简体" w:hAnsi="方正黑体简体" w:eastAsia="方正黑体简体" w:cs="方正黑体简体"/>
          <w:kern w:val="2"/>
          <w:sz w:val="32"/>
          <w:szCs w:val="32"/>
          <w:highlight w:val="none"/>
          <w:lang w:val="zh-CN" w:eastAsia="zh-CN" w:bidi="ar-SA"/>
        </w:rPr>
        <w:t>六、改进建议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一是加强宣传手段的创新与融合，利用新技术、新平台提高宣传效果；二是加强项目团队之间的沟通与协作，建立更加高效的协调机制；三是持续关注市场动态和游客需求变化，及时调整宣传策略和活动方案。</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zh-CN" w:eastAsia="zh-CN" w:bidi="ar-SA"/>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default" w:ascii="黑体" w:hAnsi="黑体" w:eastAsia="黑体" w:cs="Times New Roman"/>
          <w:color w:val="auto"/>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default" w:ascii="黑体" w:hAnsi="黑体" w:eastAsia="黑体" w:cs="Times New Roman"/>
          <w:color w:val="auto"/>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default" w:ascii="黑体" w:hAnsi="黑体" w:eastAsia="黑体" w:cs="Times New Roman"/>
          <w:color w:val="auto"/>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default" w:ascii="黑体" w:hAnsi="黑体" w:eastAsia="黑体" w:cs="Times New Roman"/>
          <w:color w:val="auto"/>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default" w:ascii="黑体" w:hAnsi="黑体" w:eastAsia="黑体" w:cs="Times New Roman"/>
          <w:color w:val="auto"/>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default" w:ascii="黑体" w:hAnsi="黑体" w:eastAsia="黑体" w:cs="Times New Roman"/>
          <w:color w:val="auto"/>
          <w:sz w:val="32"/>
          <w:szCs w:val="32"/>
          <w:highlight w:val="none"/>
          <w:lang w:val="en-US" w:eastAsia="zh-CN"/>
        </w:rPr>
      </w:pPr>
    </w:p>
    <w:p>
      <w:pPr>
        <w:rPr>
          <w:highlight w:val="none"/>
        </w:rPr>
      </w:pP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附表</w:t>
      </w:r>
    </w:p>
    <w:tbl>
      <w:tblPr>
        <w:tblStyle w:val="21"/>
        <w:tblW w:w="10233" w:type="dxa"/>
        <w:jc w:val="center"/>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tblPrEx>
          <w:tblCellMar>
            <w:top w:w="15" w:type="dxa"/>
            <w:left w:w="15" w:type="dxa"/>
            <w:bottom w:w="15" w:type="dxa"/>
            <w:right w:w="15" w:type="dxa"/>
          </w:tblCellMar>
        </w:tblPrEx>
        <w:trPr>
          <w:trHeight w:val="576" w:hRule="atLeast"/>
          <w:jc w:val="center"/>
        </w:trPr>
        <w:tc>
          <w:tcPr>
            <w:tcW w:w="10233" w:type="dxa"/>
            <w:gridSpan w:val="9"/>
            <w:tcBorders>
              <w:top w:val="nil"/>
              <w:left w:val="nil"/>
              <w:bottom w:val="nil"/>
              <w:right w:val="nil"/>
            </w:tcBorders>
            <w:vAlign w:val="center"/>
          </w:tcPr>
          <w:p>
            <w:pPr>
              <w:jc w:val="center"/>
              <w:rPr>
                <w:highlight w:val="none"/>
              </w:rPr>
            </w:pPr>
            <w:r>
              <w:rPr>
                <w:rFonts w:hint="eastAsia"/>
                <w:highlight w:val="none"/>
              </w:rPr>
              <w:t>专项预算项目绩效目标完成情况自评表</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项目名称</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茶产业推介活动</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预算单位</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广元市文化广播电视和旅游局</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项目类型</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 概况</w:t>
            </w: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中长期规划（名称、文号，仅指</w:t>
            </w:r>
          </w:p>
          <w:p>
            <w:pPr>
              <w:rPr>
                <w:rFonts w:hint="eastAsia"/>
                <w:highlight w:val="none"/>
              </w:rPr>
            </w:pPr>
            <w:r>
              <w:rPr>
                <w:rFonts w:hint="eastAsia"/>
                <w:highlight w:val="none"/>
              </w:rPr>
              <w:t>常年项目）</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资金管理办法（名称、文号）</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绩效分配方式</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highlight w:val="none"/>
              </w:rPr>
              <w:t>£</w:t>
            </w:r>
            <w:r>
              <w:rPr>
                <w:rFonts w:hint="eastAsia"/>
                <w:highlight w:val="none"/>
              </w:rPr>
              <w:t>因素法</w:t>
            </w:r>
          </w:p>
        </w:tc>
        <w:tc>
          <w:tcPr>
            <w:tcW w:w="2032" w:type="dxa"/>
            <w:gridSpan w:val="2"/>
            <w:tcBorders>
              <w:top w:val="single" w:color="000000" w:sz="4" w:space="0"/>
              <w:left w:val="nil"/>
              <w:bottom w:val="single" w:color="000000" w:sz="4" w:space="0"/>
              <w:right w:val="single" w:color="000000" w:sz="4" w:space="0"/>
            </w:tcBorders>
            <w:vAlign w:val="center"/>
          </w:tcPr>
          <w:p>
            <w:pPr>
              <w:rPr>
                <w:highlight w:val="none"/>
              </w:rPr>
            </w:pPr>
            <w:r>
              <w:rPr>
                <w:highlight w:val="none"/>
              </w:rPr>
              <w:t>R项目法</w:t>
            </w:r>
          </w:p>
        </w:tc>
        <w:tc>
          <w:tcPr>
            <w:tcW w:w="938" w:type="dxa"/>
            <w:tcBorders>
              <w:top w:val="single" w:color="000000" w:sz="4" w:space="0"/>
              <w:left w:val="nil"/>
              <w:bottom w:val="single" w:color="000000" w:sz="4" w:space="0"/>
              <w:right w:val="single" w:color="000000" w:sz="4" w:space="0"/>
            </w:tcBorders>
            <w:vAlign w:val="center"/>
          </w:tcPr>
          <w:p>
            <w:pPr>
              <w:rPr>
                <w:highlight w:val="none"/>
              </w:rPr>
            </w:pPr>
            <w:r>
              <w:rPr>
                <w:highlight w:val="none"/>
              </w:rPr>
              <w:t>£</w:t>
            </w:r>
            <w:r>
              <w:rPr>
                <w:rFonts w:hint="eastAsia"/>
                <w:highlight w:val="none"/>
              </w:rPr>
              <w:t>据实据效</w:t>
            </w:r>
          </w:p>
        </w:tc>
        <w:tc>
          <w:tcPr>
            <w:tcW w:w="1841" w:type="dxa"/>
            <w:tcBorders>
              <w:top w:val="single" w:color="000000" w:sz="4" w:space="0"/>
              <w:left w:val="nil"/>
              <w:bottom w:val="single" w:color="000000" w:sz="4" w:space="0"/>
              <w:right w:val="single" w:color="000000" w:sz="4" w:space="0"/>
            </w:tcBorders>
            <w:vAlign w:val="center"/>
          </w:tcPr>
          <w:p>
            <w:pPr>
              <w:rPr>
                <w:highlight w:val="none"/>
              </w:rPr>
            </w:pPr>
            <w:r>
              <w:rPr>
                <w:highlight w:val="none"/>
              </w:rPr>
              <w:t>£</w:t>
            </w:r>
            <w:r>
              <w:rPr>
                <w:rFonts w:hint="eastAsia"/>
                <w:highlight w:val="none"/>
              </w:rPr>
              <w:t>因素法与项目法相结合</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highlight w:val="none"/>
              </w:rPr>
            </w:pPr>
            <w:r>
              <w:rPr>
                <w:rFonts w:hint="eastAsia"/>
                <w:highlight w:val="none"/>
              </w:rPr>
              <w:t>立项依据</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使用范围</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申报（补助）条件</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项目起止年限</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2023.6.30-2023.12.31</w:t>
            </w:r>
          </w:p>
        </w:tc>
      </w:tr>
      <w:tr>
        <w:tblPrEx>
          <w:tblCellMar>
            <w:top w:w="15" w:type="dxa"/>
            <w:left w:w="15" w:type="dxa"/>
            <w:bottom w:w="15" w:type="dxa"/>
            <w:right w:w="15" w:type="dxa"/>
          </w:tblCellMar>
        </w:tblPrEx>
        <w:trPr>
          <w:trHeight w:val="23" w:hRule="atLeast"/>
          <w:jc w:val="center"/>
        </w:trPr>
        <w:tc>
          <w:tcPr>
            <w:tcW w:w="1733" w:type="dxa"/>
            <w:gridSpan w:val="2"/>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项目资金</w:t>
            </w:r>
          </w:p>
          <w:p>
            <w:pPr>
              <w:rPr>
                <w:rFonts w:hint="eastAsia"/>
                <w:highlight w:val="none"/>
              </w:rPr>
            </w:pPr>
            <w:r>
              <w:rPr>
                <w:rFonts w:hint="eastAsia"/>
                <w:highlight w:val="none"/>
              </w:rPr>
              <w:t>（万元）</w:t>
            </w: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年度资金总额：</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5.4026</w:t>
            </w:r>
          </w:p>
        </w:tc>
      </w:tr>
      <w:tr>
        <w:tblPrEx>
          <w:tblCellMar>
            <w:top w:w="15" w:type="dxa"/>
            <w:left w:w="15" w:type="dxa"/>
            <w:bottom w:w="15" w:type="dxa"/>
            <w:right w:w="15" w:type="dxa"/>
          </w:tblCellMar>
        </w:tblPrEx>
        <w:trPr>
          <w:trHeight w:val="23" w:hRule="atLeast"/>
          <w:jc w:val="center"/>
        </w:trPr>
        <w:tc>
          <w:tcPr>
            <w:tcW w:w="600" w:type="dxa"/>
            <w:gridSpan w:val="2"/>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其中：财政拨款</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2.4026</w:t>
            </w:r>
          </w:p>
        </w:tc>
      </w:tr>
      <w:tr>
        <w:tblPrEx>
          <w:tblCellMar>
            <w:top w:w="15" w:type="dxa"/>
            <w:left w:w="15" w:type="dxa"/>
            <w:bottom w:w="15" w:type="dxa"/>
            <w:right w:w="15" w:type="dxa"/>
          </w:tblCellMar>
        </w:tblPrEx>
        <w:trPr>
          <w:trHeight w:val="23" w:hRule="atLeast"/>
          <w:jc w:val="center"/>
        </w:trPr>
        <w:tc>
          <w:tcPr>
            <w:tcW w:w="600" w:type="dxa"/>
            <w:gridSpan w:val="2"/>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其他资金</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0</w:t>
            </w: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总体 目标</w:t>
            </w:r>
          </w:p>
        </w:tc>
        <w:tc>
          <w:tcPr>
            <w:tcW w:w="9581" w:type="dxa"/>
            <w:gridSpan w:val="8"/>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年度目标</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9581" w:type="dxa"/>
            <w:gridSpan w:val="8"/>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在2024年度，通过精心策划与执行“游大美蜀道 品广元好茶”系列文化旅游暨茶产业推介会，显著提升广元市“剑门蜀道，女皇故里，红色热土，康养胜地”的国内外知名度和美誉度，实现文化旅游产业综合效益的大幅增长。</w:t>
            </w: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nil"/>
            </w:tcBorders>
            <w:vAlign w:val="center"/>
          </w:tcPr>
          <w:p>
            <w:pPr>
              <w:rPr>
                <w:rFonts w:hint="eastAsia"/>
                <w:highlight w:val="none"/>
              </w:rPr>
            </w:pPr>
            <w:r>
              <w:rPr>
                <w:rFonts w:hint="eastAsia"/>
                <w:highlight w:val="none"/>
              </w:rPr>
              <w:t>绩效指标</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一级指标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二级指标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三级指标</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指标性质</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指标值</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度量单位</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完成值</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权重</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产出指标</w:t>
            </w:r>
          </w:p>
        </w:tc>
        <w:tc>
          <w:tcPr>
            <w:tcW w:w="1250" w:type="dxa"/>
            <w:tcBorders>
              <w:top w:val="single" w:color="000000" w:sz="4" w:space="0"/>
              <w:left w:val="nil"/>
              <w:bottom w:val="nil"/>
              <w:right w:val="single" w:color="000000" w:sz="4" w:space="0"/>
            </w:tcBorders>
            <w:vAlign w:val="center"/>
          </w:tcPr>
          <w:p>
            <w:pPr>
              <w:rPr>
                <w:rFonts w:hint="eastAsia"/>
                <w:highlight w:val="none"/>
              </w:rPr>
            </w:pPr>
            <w:r>
              <w:rPr>
                <w:rFonts w:hint="eastAsia"/>
                <w:highlight w:val="none"/>
              </w:rPr>
              <w:t>数量指标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在成都、重庆、兰州、西安4个城市举办“游大美蜀道  品广元好茶”文化旅游和茶产业推介活动。</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时效指标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4月完成4个城市的“游大美蜀道  品广元好茶”文化旅游和茶产业推介活动</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定性</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4个</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月</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4个</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效益指标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社会效益指标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文化旅游影响力明显提升，资金使用无重大违规违纪问题</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定性</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好</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好</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可持续影响指标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通过宣传推介活动，有效提升城市品牌在川陕甘结合部、四大省会城市的知名度和影响力，进一步突出广元川陕甘结合部文化旅游集散服务中心、大蜀道国际文化旅游目的地印象。</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定性</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好</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好</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满意度指标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满意度指标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社会公众满意度</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95</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95</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经济成本指标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预算执行控制</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5.4</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万元</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bl>
    <w:p>
      <w:pPr>
        <w:pStyle w:val="40"/>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default" w:ascii="黑体" w:hAnsi="黑体" w:eastAsia="黑体" w:cs="Times New Roman"/>
          <w:color w:val="auto"/>
          <w:sz w:val="32"/>
          <w:szCs w:val="32"/>
          <w:highlight w:val="none"/>
          <w:lang w:val="en-US" w:eastAsia="zh-CN"/>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both"/>
        <w:outlineLvl w:val="0"/>
        <w:rPr>
          <w:rFonts w:hint="default" w:ascii="黑体" w:hAnsi="黑体" w:eastAsia="黑体" w:cs="Times New Roman"/>
          <w:color w:val="auto"/>
          <w:sz w:val="32"/>
          <w:szCs w:val="32"/>
          <w:highlight w:val="none"/>
          <w:lang w:val="en-US" w:eastAsia="zh-CN"/>
        </w:rPr>
      </w:pPr>
      <w:bookmarkStart w:id="116" w:name="_Toc32245"/>
      <w:r>
        <w:rPr>
          <w:rFonts w:hint="eastAsia" w:ascii="黑体" w:hAnsi="黑体" w:eastAsia="黑体" w:cs="Times New Roman"/>
          <w:color w:val="auto"/>
          <w:sz w:val="32"/>
          <w:szCs w:val="32"/>
          <w:highlight w:val="none"/>
          <w:lang w:val="en-US" w:eastAsia="zh-CN"/>
        </w:rPr>
        <w:t>附件12</w:t>
      </w:r>
      <w:bookmarkEnd w:id="116"/>
    </w:p>
    <w:p>
      <w:pPr>
        <w:pStyle w:val="40"/>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方正小标宋简体" w:hAnsi="方正小标宋简体" w:eastAsia="方正小标宋简体" w:cs="方正小标宋简体"/>
          <w:color w:val="auto"/>
          <w:kern w:val="2"/>
          <w:sz w:val="44"/>
          <w:szCs w:val="44"/>
          <w:highlight w:val="none"/>
          <w:lang w:val="en-US" w:eastAsia="zh-CN"/>
        </w:rPr>
      </w:pPr>
    </w:p>
    <w:p>
      <w:pPr>
        <w:pStyle w:val="40"/>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广元市旅游营销奖励金专项预算项目绩效</w:t>
      </w:r>
    </w:p>
    <w:p>
      <w:pPr>
        <w:pStyle w:val="40"/>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评价报告</w:t>
      </w:r>
    </w:p>
    <w:p>
      <w:pPr>
        <w:pStyle w:val="40"/>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rPr>
        <w:t>一、</w:t>
      </w:r>
      <w:r>
        <w:rPr>
          <w:rFonts w:hint="eastAsia" w:ascii="方正黑体简体" w:hAnsi="方正黑体简体" w:eastAsia="方正黑体简体" w:cs="方正黑体简体"/>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（一）设立背景及基本情况。</w:t>
      </w:r>
      <w:r>
        <w:rPr>
          <w:rFonts w:hint="eastAsia" w:ascii="仿宋_GB2312" w:hAnsi="仿宋_GB2312" w:eastAsia="仿宋_GB2312" w:cs="仿宋_GB2312"/>
          <w:color w:val="auto"/>
          <w:kern w:val="0"/>
          <w:sz w:val="32"/>
          <w:szCs w:val="32"/>
          <w:highlight w:val="none"/>
          <w:shd w:val="clear" w:color="auto" w:fill="FFFFFF"/>
          <w:lang w:val="en-US" w:eastAsia="zh-CN" w:bidi="ar-SA"/>
        </w:rPr>
        <w:t>我市2010年首次出台了《广元市旅游宣传促销优惠政策》和《广元市旅游宣传促销优惠政策实施办法》，根据市场情况，该政策先后于2013年、2017年、2018年、2020年进行修订，其中，《广元市旅游营销优惠政策》均以广元市人民政府办公室名义印发，《广元市旅游营销优惠政策实施办法》均以市文化广电旅游局名义印发，目前仍在执行中。</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（二）</w:t>
      </w:r>
      <w:r>
        <w:rPr>
          <w:rFonts w:hint="eastAsia" w:ascii="方正楷体简体" w:hAnsi="方正楷体简体" w:eastAsia="方正楷体简体" w:cs="方正楷体简体"/>
          <w:b w:val="0"/>
          <w:bCs/>
          <w:color w:val="auto"/>
          <w:sz w:val="32"/>
          <w:szCs w:val="32"/>
          <w:highlight w:val="none"/>
          <w:u w:val="none"/>
          <w:lang w:val="en-US" w:eastAsia="zh-CN"/>
        </w:rPr>
        <w:t>实施目的及支持方向。</w:t>
      </w:r>
      <w:r>
        <w:rPr>
          <w:rFonts w:hint="eastAsia" w:ascii="仿宋_GB2312" w:hAnsi="仿宋_GB2312" w:eastAsia="仿宋_GB2312" w:cs="仿宋_GB2312"/>
          <w:color w:val="auto"/>
          <w:kern w:val="0"/>
          <w:sz w:val="32"/>
          <w:szCs w:val="32"/>
          <w:highlight w:val="none"/>
          <w:shd w:val="clear" w:color="auto" w:fill="FFFFFF"/>
          <w:lang w:val="en-US" w:eastAsia="zh-CN" w:bidi="ar-SA"/>
        </w:rPr>
        <w:t>对组织市外游客来广元旅游的市内外旅行社，在广元市范围内组织航空、高铁、自驾游、直通车和其他旅游团队，满足住宿1晚且游览3个以上售门票的景区，或住宿2晚且游览2个以上售门票的景区的条件，可申报广元市旅游营销奖励政策。</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eastAsia="zh-CN"/>
        </w:rPr>
        <w:t>（三）</w:t>
      </w:r>
      <w:r>
        <w:rPr>
          <w:rFonts w:hint="eastAsia" w:ascii="方正楷体简体" w:hAnsi="方正楷体简体" w:eastAsia="方正楷体简体" w:cs="方正楷体简体"/>
          <w:b w:val="0"/>
          <w:bCs/>
          <w:color w:val="auto"/>
          <w:sz w:val="32"/>
          <w:szCs w:val="32"/>
          <w:highlight w:val="none"/>
          <w:u w:val="none"/>
          <w:lang w:val="en-US" w:eastAsia="zh-CN"/>
        </w:rPr>
        <w:t>预算安排及分配管理</w:t>
      </w:r>
      <w:r>
        <w:rPr>
          <w:rFonts w:hint="eastAsia" w:ascii="方正楷体简体" w:hAnsi="方正楷体简体" w:eastAsia="方正楷体简体" w:cs="方正楷体简体"/>
          <w:b w:val="0"/>
          <w:bCs/>
          <w:color w:val="auto"/>
          <w:sz w:val="32"/>
          <w:szCs w:val="32"/>
          <w:highlight w:val="none"/>
          <w:u w:val="none"/>
          <w:lang w:val="zh-CN" w:eastAsia="zh-CN"/>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本项目总计安排金额50.9484万元，包含2023年下半年奖励资金和旅游营销奖励政策申报平台建设费和运营维护费用。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eastAsia="zh-CN"/>
        </w:rPr>
        <w:t>（四）项目绩效目标设置。</w:t>
      </w:r>
      <w:r>
        <w:rPr>
          <w:rFonts w:hint="eastAsia" w:ascii="仿宋_GB2312" w:hAnsi="仿宋_GB2312" w:eastAsia="仿宋_GB2312" w:cs="仿宋_GB2312"/>
          <w:color w:val="auto"/>
          <w:kern w:val="0"/>
          <w:sz w:val="32"/>
          <w:szCs w:val="32"/>
          <w:highlight w:val="none"/>
          <w:shd w:val="clear" w:color="auto" w:fill="FFFFFF"/>
          <w:lang w:val="zh-CN" w:eastAsia="zh-CN" w:bidi="ar-SA"/>
        </w:rPr>
        <w:t>绩效目标设置主要包括旅游营销奖励资金兑现率和吸引组团游客人数两个方面。本次奖励</w:t>
      </w:r>
      <w:r>
        <w:rPr>
          <w:rFonts w:hint="eastAsia" w:ascii="仿宋_GB2312" w:hAnsi="仿宋_GB2312" w:eastAsia="仿宋_GB2312" w:cs="仿宋_GB2312"/>
          <w:color w:val="auto"/>
          <w:kern w:val="0"/>
          <w:sz w:val="32"/>
          <w:szCs w:val="32"/>
          <w:highlight w:val="none"/>
          <w:shd w:val="clear" w:color="auto" w:fill="FFFFFF"/>
          <w:lang w:val="en-US" w:eastAsia="zh-CN" w:bidi="ar-SA"/>
        </w:rPr>
        <w:t>预计实现</w:t>
      </w:r>
      <w:r>
        <w:rPr>
          <w:rFonts w:hint="eastAsia" w:ascii="仿宋_GB2312" w:hAnsi="仿宋_GB2312" w:eastAsia="仿宋_GB2312" w:cs="仿宋_GB2312"/>
          <w:color w:val="auto"/>
          <w:kern w:val="0"/>
          <w:sz w:val="32"/>
          <w:szCs w:val="32"/>
          <w:highlight w:val="none"/>
          <w:shd w:val="clear" w:color="auto" w:fill="FFFFFF"/>
          <w:lang w:val="zh-CN" w:eastAsia="zh-CN" w:bidi="ar-SA"/>
        </w:rPr>
        <w:t>旅游营销奖励资金兑现率达到</w:t>
      </w:r>
      <w:r>
        <w:rPr>
          <w:rFonts w:hint="eastAsia" w:ascii="仿宋_GB2312" w:hAnsi="仿宋_GB2312" w:eastAsia="仿宋_GB2312" w:cs="仿宋_GB2312"/>
          <w:color w:val="auto"/>
          <w:kern w:val="0"/>
          <w:sz w:val="32"/>
          <w:szCs w:val="32"/>
          <w:highlight w:val="none"/>
          <w:shd w:val="clear" w:color="auto" w:fill="FFFFFF"/>
          <w:lang w:val="en-US" w:eastAsia="zh-CN" w:bidi="ar-SA"/>
        </w:rPr>
        <w:t>100%。</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sz w:val="32"/>
          <w:szCs w:val="32"/>
          <w:highlight w:val="none"/>
          <w:lang w:eastAsia="zh-CN"/>
        </w:rPr>
      </w:pPr>
      <w:r>
        <w:rPr>
          <w:rFonts w:hint="eastAsia" w:ascii="方正黑体简体" w:hAnsi="方正黑体简体" w:eastAsia="方正黑体简体" w:cs="方正黑体简体"/>
          <w:sz w:val="32"/>
          <w:szCs w:val="32"/>
          <w:highlight w:val="none"/>
        </w:rPr>
        <w:t>二、</w:t>
      </w:r>
      <w:r>
        <w:rPr>
          <w:rFonts w:hint="eastAsia" w:ascii="方正黑体简体" w:hAnsi="方正黑体简体" w:eastAsia="方正黑体简体" w:cs="方正黑体简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（一）评价目的。</w:t>
      </w:r>
      <w:r>
        <w:rPr>
          <w:rFonts w:hint="eastAsia" w:ascii="仿宋_GB2312" w:hAnsi="仿宋_GB2312" w:eastAsia="仿宋_GB2312" w:cs="仿宋_GB2312"/>
          <w:color w:val="auto"/>
          <w:kern w:val="0"/>
          <w:sz w:val="32"/>
          <w:szCs w:val="32"/>
          <w:highlight w:val="none"/>
          <w:shd w:val="clear" w:color="auto" w:fill="FFFFFF"/>
          <w:lang w:val="zh-CN" w:eastAsia="zh-CN" w:bidi="ar-SA"/>
        </w:rPr>
        <w:t>总结</w:t>
      </w:r>
      <w:r>
        <w:rPr>
          <w:rFonts w:hint="eastAsia" w:ascii="仿宋_GB2312" w:hAnsi="仿宋_GB2312" w:eastAsia="仿宋_GB2312" w:cs="仿宋_GB2312"/>
          <w:color w:val="auto"/>
          <w:kern w:val="0"/>
          <w:sz w:val="32"/>
          <w:szCs w:val="32"/>
          <w:highlight w:val="none"/>
          <w:shd w:val="clear" w:color="auto" w:fill="FFFFFF"/>
          <w:lang w:val="en-US" w:eastAsia="zh-CN" w:bidi="ar-SA"/>
        </w:rPr>
        <w:t>广元市旅游营销优惠政策</w:t>
      </w:r>
      <w:r>
        <w:rPr>
          <w:rFonts w:hint="eastAsia" w:ascii="仿宋_GB2312" w:hAnsi="仿宋_GB2312" w:eastAsia="仿宋_GB2312" w:cs="仿宋_GB2312"/>
          <w:color w:val="auto"/>
          <w:kern w:val="0"/>
          <w:sz w:val="32"/>
          <w:szCs w:val="32"/>
          <w:highlight w:val="none"/>
          <w:shd w:val="clear" w:color="auto" w:fill="FFFFFF"/>
          <w:lang w:val="zh-CN" w:eastAsia="zh-CN" w:bidi="ar-SA"/>
        </w:rPr>
        <w:t>的经验和不足，为政策修订提供依据，引导市内外旅行社丰富到广元旅游的团队旅游产品，实现组团游客人数的不断增长</w:t>
      </w:r>
      <w:r>
        <w:rPr>
          <w:rFonts w:hint="eastAsia" w:ascii="仿宋_GB2312" w:hAnsi="仿宋_GB2312" w:eastAsia="仿宋_GB2312" w:cs="仿宋_GB2312"/>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（二）预设问题及评价重点。</w:t>
      </w:r>
      <w:r>
        <w:rPr>
          <w:rFonts w:hint="eastAsia" w:ascii="仿宋_GB2312" w:hAnsi="仿宋_GB2312" w:eastAsia="仿宋_GB2312" w:cs="仿宋_GB2312"/>
          <w:color w:val="auto"/>
          <w:kern w:val="0"/>
          <w:sz w:val="32"/>
          <w:szCs w:val="32"/>
          <w:highlight w:val="none"/>
          <w:shd w:val="clear" w:color="auto" w:fill="FFFFFF"/>
          <w:lang w:val="zh-CN" w:eastAsia="zh-CN" w:bidi="ar-SA"/>
        </w:rPr>
        <w:t>一是</w:t>
      </w:r>
      <w:r>
        <w:rPr>
          <w:rFonts w:hint="eastAsia" w:ascii="仿宋_GB2312" w:hAnsi="仿宋_GB2312" w:eastAsia="仿宋_GB2312" w:cs="仿宋_GB2312"/>
          <w:color w:val="auto"/>
          <w:kern w:val="0"/>
          <w:sz w:val="32"/>
          <w:szCs w:val="32"/>
          <w:highlight w:val="none"/>
          <w:shd w:val="clear" w:color="auto" w:fill="FFFFFF"/>
          <w:lang w:val="en-US" w:eastAsia="zh-CN" w:bidi="ar-SA"/>
        </w:rPr>
        <w:t>宣传力度可能不足，造成参与申报的旅行社数量不足，导致政策知晓度不高；二是团队类型设置可能不合理，导致旅行社申报积极性不高。</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（三）评价选点。</w:t>
      </w:r>
      <w:r>
        <w:rPr>
          <w:rFonts w:hint="eastAsia" w:ascii="仿宋_GB2312" w:hAnsi="仿宋_GB2312" w:eastAsia="仿宋_GB2312" w:cs="仿宋_GB2312"/>
          <w:color w:val="auto"/>
          <w:kern w:val="0"/>
          <w:sz w:val="32"/>
          <w:szCs w:val="32"/>
          <w:highlight w:val="none"/>
          <w:shd w:val="clear" w:color="auto" w:fill="FFFFFF"/>
          <w:lang w:val="en-US" w:eastAsia="zh-CN" w:bidi="ar-SA"/>
        </w:rPr>
        <w:t>选取了广元青年国际旅行社、四川蜀北盛景文旅有限公司、广元康辉国际旅行社等重点企业进行评价。</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（四）评价方法。</w:t>
      </w:r>
      <w:r>
        <w:rPr>
          <w:rFonts w:hint="eastAsia" w:ascii="仿宋_GB2312" w:hAnsi="仿宋_GB2312" w:eastAsia="仿宋_GB2312" w:cs="仿宋_GB2312"/>
          <w:color w:val="auto"/>
          <w:kern w:val="0"/>
          <w:sz w:val="32"/>
          <w:szCs w:val="32"/>
          <w:highlight w:val="none"/>
          <w:shd w:val="clear" w:color="auto" w:fill="FFFFFF"/>
          <w:lang w:val="zh-CN" w:eastAsia="zh-CN" w:bidi="ar-SA"/>
        </w:rPr>
        <w:t>本次评价主要采取</w:t>
      </w:r>
      <w:r>
        <w:rPr>
          <w:rFonts w:hint="eastAsia" w:ascii="仿宋_GB2312" w:hAnsi="仿宋_GB2312" w:eastAsia="仿宋_GB2312" w:cs="仿宋_GB2312"/>
          <w:color w:val="auto"/>
          <w:kern w:val="0"/>
          <w:sz w:val="32"/>
          <w:szCs w:val="32"/>
          <w:highlight w:val="none"/>
          <w:shd w:val="clear" w:color="auto" w:fill="FFFFFF"/>
          <w:lang w:val="en-US" w:eastAsia="zh-CN" w:bidi="ar-SA"/>
        </w:rPr>
        <w:t>座谈调研法的方法，实地考察了解旅行社申报、兑现等情况。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color w:val="000000"/>
          <w:spacing w:val="16"/>
          <w:sz w:val="32"/>
          <w:szCs w:val="32"/>
          <w:highlight w:val="none"/>
          <w:lang w:val="zh-CN" w:eastAsia="zh-CN"/>
        </w:rPr>
      </w:pPr>
      <w:r>
        <w:rPr>
          <w:rFonts w:hint="eastAsia" w:ascii="方正楷体简体" w:hAnsi="方正楷体简体" w:eastAsia="方正楷体简体" w:cs="方正楷体简体"/>
          <w:b w:val="0"/>
          <w:bCs/>
          <w:color w:val="auto"/>
          <w:sz w:val="32"/>
          <w:szCs w:val="32"/>
          <w:highlight w:val="none"/>
          <w:u w:val="none"/>
          <w:lang w:val="zh-CN"/>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市文化广电旅游局宣传科教科、财务科相关人员组成评价小组，对项目实施进行评价。</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rPr>
        <w:t>三、</w:t>
      </w:r>
      <w:r>
        <w:rPr>
          <w:rFonts w:hint="eastAsia" w:ascii="方正黑体简体" w:hAnsi="方正黑体简体" w:eastAsia="方正黑体简体" w:cs="方正黑体简体"/>
          <w:sz w:val="32"/>
          <w:szCs w:val="32"/>
          <w:highlight w:val="none"/>
          <w:lang w:eastAsia="zh-CN"/>
        </w:rPr>
        <w:t>绩效分析</w:t>
      </w:r>
      <w:r>
        <w:rPr>
          <w:rFonts w:hint="eastAsia" w:ascii="方正黑体简体" w:hAnsi="方正黑体简体" w:eastAsia="方正黑体简体" w:cs="方正黑体简体"/>
          <w:sz w:val="32"/>
          <w:szCs w:val="32"/>
          <w:highlight w:val="none"/>
          <w:lang w:val="zh-CN"/>
        </w:rPr>
        <w:tab/>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方正楷体简体" w:hAnsi="方正楷体简体" w:eastAsia="方正楷体简体" w:cs="方正楷体简体"/>
          <w:b w:val="0"/>
          <w:bCs/>
          <w:color w:val="auto"/>
          <w:sz w:val="32"/>
          <w:szCs w:val="32"/>
          <w:highlight w:val="none"/>
          <w:u w:val="none"/>
          <w:lang w:val="en-US" w:eastAsia="zh-CN"/>
        </w:rPr>
      </w:pPr>
      <w:r>
        <w:rPr>
          <w:rFonts w:hint="eastAsia" w:ascii="方正楷体简体" w:hAnsi="方正楷体简体" w:eastAsia="方正楷体简体" w:cs="方正楷体简体"/>
          <w:b w:val="0"/>
          <w:bCs/>
          <w:color w:val="auto"/>
          <w:sz w:val="32"/>
          <w:szCs w:val="32"/>
          <w:highlight w:val="none"/>
          <w:u w:val="none"/>
          <w:lang w:val="zh-CN"/>
        </w:rPr>
        <w:t>（一）</w:t>
      </w:r>
      <w:r>
        <w:rPr>
          <w:rFonts w:hint="eastAsia" w:ascii="方正楷体简体" w:hAnsi="方正楷体简体" w:eastAsia="方正楷体简体" w:cs="方正楷体简体"/>
          <w:b w:val="0"/>
          <w:bCs/>
          <w:color w:val="auto"/>
          <w:sz w:val="32"/>
          <w:szCs w:val="32"/>
          <w:highlight w:val="none"/>
          <w:u w:val="none"/>
          <w:lang w:val="en-US" w:eastAsia="zh-CN"/>
        </w:rPr>
        <w:t>通用指标</w:t>
      </w:r>
      <w:r>
        <w:rPr>
          <w:rFonts w:hint="eastAsia" w:ascii="方正楷体简体" w:hAnsi="方正楷体简体" w:eastAsia="方正楷体简体" w:cs="方正楷体简体"/>
          <w:b w:val="0"/>
          <w:bCs/>
          <w:color w:val="auto"/>
          <w:sz w:val="32"/>
          <w:szCs w:val="32"/>
          <w:highlight w:val="none"/>
          <w:u w:val="none"/>
          <w:lang w:val="zh-CN"/>
        </w:rPr>
        <w:t>绩效分析。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1.项目决策。</w:t>
      </w:r>
      <w:r>
        <w:rPr>
          <w:rFonts w:hint="eastAsia" w:ascii="仿宋_GB2312" w:hAnsi="仿宋_GB2312" w:eastAsia="仿宋_GB2312" w:cs="仿宋_GB2312"/>
          <w:color w:val="auto"/>
          <w:kern w:val="0"/>
          <w:sz w:val="32"/>
          <w:szCs w:val="32"/>
          <w:highlight w:val="none"/>
          <w:shd w:val="clear" w:color="auto" w:fill="FFFFFF"/>
          <w:lang w:val="zh-CN" w:eastAsia="zh-CN" w:bidi="ar-SA"/>
        </w:rPr>
        <w:t>项目决策程序严密。旅行社申报后，市局宣传科教科按照《广元市旅游营销奖励政策实施办法》要求，系统数据专人审核，形成资金报告后报市财政局复核，资金拨付后报局党组会审定，审定后在局官网公示，公示期无异议后按程序拨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2.项目管理。制定了《广元市旅游营销奖励政策实施办法》，严格按照实施办法规定，对项目进行审核、决策、拨付。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3.项目实施。预计使用资金50.9484万元，实际使用50.9484万元。项目资金使用、拨付符合国家财经法规、财务管理制度及有关专项资金管理制度办法规定和审批程序。</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4.项目结果。项目完成预期目标，实施结果与绩效目标相匹配，并在计划完成时间内完成。</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方正楷体简体" w:hAnsi="方正楷体简体" w:eastAsia="方正楷体简体" w:cs="方正楷体简体"/>
          <w:b w:val="0"/>
          <w:bCs/>
          <w:color w:val="auto"/>
          <w:sz w:val="32"/>
          <w:szCs w:val="32"/>
          <w:highlight w:val="none"/>
          <w:u w:val="none"/>
          <w:lang w:val="zh-CN" w:eastAsia="zh-CN"/>
        </w:rPr>
      </w:pPr>
      <w:r>
        <w:rPr>
          <w:rFonts w:hint="eastAsia" w:ascii="方正楷体简体" w:hAnsi="方正楷体简体" w:eastAsia="方正楷体简体" w:cs="方正楷体简体"/>
          <w:b w:val="0"/>
          <w:bCs/>
          <w:color w:val="auto"/>
          <w:sz w:val="32"/>
          <w:szCs w:val="32"/>
          <w:highlight w:val="none"/>
          <w:u w:val="none"/>
          <w:lang w:val="zh-CN"/>
        </w:rPr>
        <w:t>（二）</w:t>
      </w:r>
      <w:r>
        <w:rPr>
          <w:rFonts w:hint="eastAsia" w:ascii="方正楷体简体" w:hAnsi="方正楷体简体" w:eastAsia="方正楷体简体" w:cs="方正楷体简体"/>
          <w:b w:val="0"/>
          <w:bCs/>
          <w:color w:val="auto"/>
          <w:sz w:val="32"/>
          <w:szCs w:val="32"/>
          <w:highlight w:val="none"/>
          <w:u w:val="none"/>
          <w:lang w:val="en-US" w:eastAsia="zh-CN"/>
        </w:rPr>
        <w:t>专用指标</w:t>
      </w:r>
      <w:r>
        <w:rPr>
          <w:rFonts w:hint="eastAsia" w:ascii="方正楷体简体" w:hAnsi="方正楷体简体" w:eastAsia="方正楷体简体" w:cs="方正楷体简体"/>
          <w:b w:val="0"/>
          <w:bCs/>
          <w:color w:val="auto"/>
          <w:sz w:val="32"/>
          <w:szCs w:val="32"/>
          <w:highlight w:val="none"/>
          <w:u w:val="none"/>
          <w:lang w:val="zh-CN"/>
        </w:rPr>
        <w:t>绩效分析。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项目实施与市委市政府重点支持文旅产业发展政策相符。相关企业为吸引更多游客消费不断推出各类新产品，提高创新产品能力。项目实施对相关企业（机构）主营业务收入等具有积极促进作用。</w:t>
      </w:r>
    </w:p>
    <w:p>
      <w:pPr>
        <w:keepNext w:val="0"/>
        <w:keepLines w:val="0"/>
        <w:pageBreakBefore w:val="0"/>
        <w:widowControl/>
        <w:suppressLineNumbers w:val="0"/>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（三）</w:t>
      </w:r>
      <w:r>
        <w:rPr>
          <w:rFonts w:hint="eastAsia" w:ascii="方正楷体简体" w:hAnsi="方正楷体简体" w:eastAsia="方正楷体简体" w:cs="方正楷体简体"/>
          <w:b w:val="0"/>
          <w:bCs/>
          <w:color w:val="auto"/>
          <w:sz w:val="32"/>
          <w:szCs w:val="32"/>
          <w:highlight w:val="none"/>
          <w:u w:val="none"/>
          <w:lang w:val="en-US" w:eastAsia="zh-CN"/>
        </w:rPr>
        <w:t>个性指标</w:t>
      </w:r>
      <w:r>
        <w:rPr>
          <w:rFonts w:hint="eastAsia" w:ascii="方正楷体简体" w:hAnsi="方正楷体简体" w:eastAsia="方正楷体简体" w:cs="方正楷体简体"/>
          <w:b w:val="0"/>
          <w:bCs/>
          <w:color w:val="auto"/>
          <w:sz w:val="32"/>
          <w:szCs w:val="32"/>
          <w:highlight w:val="none"/>
          <w:u w:val="none"/>
          <w:lang w:val="zh-CN"/>
        </w:rPr>
        <w:t>绩效分析。</w:t>
      </w:r>
      <w:r>
        <w:rPr>
          <w:rFonts w:hint="eastAsia" w:ascii="仿宋_GB2312" w:hAnsi="仿宋_GB2312" w:eastAsia="仿宋_GB2312" w:cs="仿宋_GB2312"/>
          <w:color w:val="auto"/>
          <w:kern w:val="0"/>
          <w:sz w:val="32"/>
          <w:szCs w:val="32"/>
          <w:highlight w:val="none"/>
          <w:shd w:val="clear" w:color="auto" w:fill="FFFFFF"/>
          <w:lang w:val="en-US" w:eastAsia="zh-CN" w:bidi="ar-SA"/>
        </w:rPr>
        <w:t>一是旅游营销奖励资金兑现率达到100%。二是吸引组团游客人数不断攀升，有效助推文旅经济发展。三是服务企业数量不断提升。项目实施后吸引市内外更多旅行社参与组团申报，增强文旅市场活力和复苏动力。</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方正黑体简体" w:hAnsi="方正黑体简体" w:eastAsia="方正黑体简体" w:cs="方正黑体简体"/>
          <w:kern w:val="2"/>
          <w:sz w:val="32"/>
          <w:szCs w:val="32"/>
          <w:highlight w:val="none"/>
          <w:lang w:val="en-US" w:eastAsia="zh-CN" w:bidi="ar-SA"/>
        </w:rPr>
      </w:pPr>
      <w:r>
        <w:rPr>
          <w:rFonts w:hint="eastAsia" w:ascii="方正黑体简体" w:hAnsi="方正黑体简体" w:eastAsia="方正黑体简体" w:cs="方正黑体简体"/>
          <w:kern w:val="2"/>
          <w:sz w:val="32"/>
          <w:szCs w:val="32"/>
          <w:highlight w:val="none"/>
          <w:lang w:val="en-US" w:eastAsia="zh-CN" w:bidi="ar-SA"/>
        </w:rPr>
        <w:t>四、评价结论</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本项目项目绩效自评得分93分。</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方正黑体简体" w:hAnsi="方正黑体简体" w:eastAsia="方正黑体简体" w:cs="方正黑体简体"/>
          <w:kern w:val="2"/>
          <w:sz w:val="32"/>
          <w:szCs w:val="32"/>
          <w:highlight w:val="none"/>
          <w:lang w:val="en-US" w:eastAsia="zh-CN" w:bidi="ar-SA"/>
        </w:rPr>
      </w:pPr>
      <w:r>
        <w:rPr>
          <w:rFonts w:hint="eastAsia" w:ascii="方正黑体简体" w:hAnsi="方正黑体简体" w:eastAsia="方正黑体简体" w:cs="方正黑体简体"/>
          <w:kern w:val="2"/>
          <w:sz w:val="32"/>
          <w:szCs w:val="32"/>
          <w:highlight w:val="none"/>
          <w:lang w:val="en-US" w:eastAsia="zh-CN" w:bidi="ar-SA"/>
        </w:rPr>
        <w:t>五、存在主要问题</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由于项目持续宣传效果不够，导致项目未在设定时效指标内完成。</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方正黑体简体" w:hAnsi="方正黑体简体" w:eastAsia="方正黑体简体" w:cs="方正黑体简体"/>
          <w:kern w:val="2"/>
          <w:sz w:val="32"/>
          <w:szCs w:val="32"/>
          <w:highlight w:val="none"/>
          <w:lang w:val="zh-CN" w:eastAsia="zh-CN" w:bidi="ar-SA"/>
        </w:rPr>
      </w:pPr>
      <w:r>
        <w:rPr>
          <w:rFonts w:hint="eastAsia" w:ascii="方正黑体简体" w:hAnsi="方正黑体简体" w:eastAsia="方正黑体简体" w:cs="方正黑体简体"/>
          <w:kern w:val="2"/>
          <w:sz w:val="32"/>
          <w:szCs w:val="32"/>
          <w:highlight w:val="none"/>
          <w:lang w:val="zh-CN" w:eastAsia="zh-CN" w:bidi="ar-SA"/>
        </w:rPr>
        <w:t>六、改进建议</w:t>
      </w:r>
    </w:p>
    <w:p>
      <w:pPr>
        <w:keepNext w:val="0"/>
        <w:keepLines w:val="0"/>
        <w:pageBreakBefore w:val="0"/>
        <w:widowControl w:val="0"/>
        <w:tabs>
          <w:tab w:val="left" w:pos="1911"/>
        </w:tabs>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一是做好预算安排。在前期项目准备策划过程中，科学规划项目实施过程，合理设置时效指标，保障项目在较充足的时间内实施。</w:t>
      </w:r>
    </w:p>
    <w:p>
      <w:pPr>
        <w:keepNext w:val="0"/>
        <w:keepLines w:val="0"/>
        <w:pageBreakBefore w:val="0"/>
        <w:widowControl w:val="0"/>
        <w:tabs>
          <w:tab w:val="left" w:pos="1911"/>
        </w:tabs>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二是优化项目管理。在项目实施过程中，根据市场组织团队实际，及时调整旅游团队类型，促进项目按时按序、保质保量完成。</w:t>
      </w:r>
    </w:p>
    <w:p>
      <w:pPr>
        <w:keepNext w:val="0"/>
        <w:keepLines w:val="0"/>
        <w:pageBreakBefore w:val="0"/>
        <w:widowControl w:val="0"/>
        <w:tabs>
          <w:tab w:val="left" w:pos="1911"/>
        </w:tabs>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p>
    <w:p>
      <w:pPr>
        <w:keepNext w:val="0"/>
        <w:keepLines w:val="0"/>
        <w:pageBreakBefore w:val="0"/>
        <w:widowControl w:val="0"/>
        <w:tabs>
          <w:tab w:val="left" w:pos="1911"/>
        </w:tabs>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keepNext w:val="0"/>
        <w:keepLines w:val="0"/>
        <w:pageBreakBefore w:val="0"/>
        <w:kinsoku/>
        <w:wordWrap/>
        <w:overflowPunct/>
        <w:topLinePunct w:val="0"/>
        <w:autoSpaceDE/>
        <w:autoSpaceDN/>
        <w:bidi w:val="0"/>
        <w:adjustRightInd/>
        <w:snapToGrid w:val="0"/>
        <w:spacing w:line="578" w:lineRule="exact"/>
        <w:ind w:left="0" w:leftChars="0" w:firstLine="105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keepNext w:val="0"/>
        <w:keepLines w:val="0"/>
        <w:pageBreakBefore w:val="0"/>
        <w:widowControl w:val="0"/>
        <w:tabs>
          <w:tab w:val="left" w:pos="1911"/>
        </w:tabs>
        <w:kinsoku/>
        <w:wordWrap/>
        <w:overflowPunct/>
        <w:topLinePunct w:val="0"/>
        <w:autoSpaceDE/>
        <w:autoSpaceDN/>
        <w:bidi w:val="0"/>
        <w:adjustRightInd/>
        <w:snapToGrid/>
        <w:spacing w:line="576" w:lineRule="exact"/>
        <w:ind w:firstLine="480" w:firstLineChars="200"/>
        <w:jc w:val="left"/>
        <w:textAlignment w:val="auto"/>
        <w:rPr>
          <w:rFonts w:hint="default" w:ascii="黑体" w:hAnsi="黑体" w:eastAsia="黑体" w:cs="黑体"/>
          <w:sz w:val="24"/>
          <w:szCs w:val="24"/>
          <w:highlight w:val="none"/>
          <w:lang w:val="en-US" w:eastAsia="zh-CN"/>
        </w:rPr>
      </w:pPr>
    </w:p>
    <w:p>
      <w:pPr>
        <w:pStyle w:val="2"/>
        <w:rPr>
          <w:rFonts w:hint="default"/>
          <w:lang w:val="en-US" w:eastAsia="zh-CN"/>
        </w:rPr>
      </w:pPr>
    </w:p>
    <w:p>
      <w:pPr>
        <w:rPr>
          <w:highlight w:val="none"/>
        </w:rPr>
      </w:pP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附表</w:t>
      </w:r>
    </w:p>
    <w:tbl>
      <w:tblPr>
        <w:tblStyle w:val="21"/>
        <w:tblW w:w="10233" w:type="dxa"/>
        <w:jc w:val="center"/>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tblPrEx>
          <w:tblCellMar>
            <w:top w:w="15" w:type="dxa"/>
            <w:left w:w="15" w:type="dxa"/>
            <w:bottom w:w="15" w:type="dxa"/>
            <w:right w:w="15" w:type="dxa"/>
          </w:tblCellMar>
        </w:tblPrEx>
        <w:trPr>
          <w:trHeight w:val="576" w:hRule="atLeast"/>
          <w:jc w:val="center"/>
        </w:trPr>
        <w:tc>
          <w:tcPr>
            <w:tcW w:w="10233" w:type="dxa"/>
            <w:gridSpan w:val="9"/>
            <w:tcBorders>
              <w:top w:val="nil"/>
              <w:left w:val="nil"/>
              <w:bottom w:val="nil"/>
              <w:right w:val="nil"/>
            </w:tcBorders>
            <w:vAlign w:val="center"/>
          </w:tcPr>
          <w:p>
            <w:pPr>
              <w:jc w:val="center"/>
              <w:rPr>
                <w:highlight w:val="none"/>
              </w:rPr>
            </w:pPr>
            <w:r>
              <w:rPr>
                <w:rFonts w:hint="eastAsia"/>
                <w:highlight w:val="none"/>
              </w:rPr>
              <w:t>专项预算项目绩效目标完成情况自评表</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项目名称</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广元市旅游营销奖励政策</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预算单位</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广元市文化广播电视和旅游局</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项目类型</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 概况</w:t>
            </w: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中长期规划（名称、文号，仅指</w:t>
            </w:r>
          </w:p>
          <w:p>
            <w:pPr>
              <w:rPr>
                <w:rFonts w:hint="eastAsia"/>
                <w:highlight w:val="none"/>
              </w:rPr>
            </w:pPr>
            <w:r>
              <w:rPr>
                <w:rFonts w:hint="eastAsia"/>
                <w:highlight w:val="none"/>
              </w:rPr>
              <w:t>常年项目）</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《广元市旅游营销优惠政策（2020年修订版）》（广府办函〔2020〕36号</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资金管理办法（名称、文号）</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绩效分配方式</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highlight w:val="none"/>
              </w:rPr>
              <w:t>£</w:t>
            </w:r>
            <w:r>
              <w:rPr>
                <w:rFonts w:hint="eastAsia"/>
                <w:highlight w:val="none"/>
              </w:rPr>
              <w:t>因素法</w:t>
            </w:r>
          </w:p>
        </w:tc>
        <w:tc>
          <w:tcPr>
            <w:tcW w:w="2032" w:type="dxa"/>
            <w:gridSpan w:val="2"/>
            <w:tcBorders>
              <w:top w:val="single" w:color="000000" w:sz="4" w:space="0"/>
              <w:left w:val="nil"/>
              <w:bottom w:val="single" w:color="000000" w:sz="4" w:space="0"/>
              <w:right w:val="single" w:color="000000" w:sz="4" w:space="0"/>
            </w:tcBorders>
            <w:vAlign w:val="center"/>
          </w:tcPr>
          <w:p>
            <w:pPr>
              <w:rPr>
                <w:highlight w:val="none"/>
              </w:rPr>
            </w:pPr>
            <w:r>
              <w:rPr>
                <w:highlight w:val="none"/>
              </w:rPr>
              <w:t>R项目法</w:t>
            </w:r>
          </w:p>
        </w:tc>
        <w:tc>
          <w:tcPr>
            <w:tcW w:w="938" w:type="dxa"/>
            <w:tcBorders>
              <w:top w:val="single" w:color="000000" w:sz="4" w:space="0"/>
              <w:left w:val="nil"/>
              <w:bottom w:val="single" w:color="000000" w:sz="4" w:space="0"/>
              <w:right w:val="single" w:color="000000" w:sz="4" w:space="0"/>
            </w:tcBorders>
            <w:vAlign w:val="center"/>
          </w:tcPr>
          <w:p>
            <w:pPr>
              <w:rPr>
                <w:highlight w:val="none"/>
              </w:rPr>
            </w:pPr>
            <w:r>
              <w:rPr>
                <w:highlight w:val="none"/>
              </w:rPr>
              <w:t>£</w:t>
            </w:r>
            <w:r>
              <w:rPr>
                <w:rFonts w:hint="eastAsia"/>
                <w:highlight w:val="none"/>
              </w:rPr>
              <w:t>据实据效</w:t>
            </w:r>
          </w:p>
        </w:tc>
        <w:tc>
          <w:tcPr>
            <w:tcW w:w="1841" w:type="dxa"/>
            <w:tcBorders>
              <w:top w:val="single" w:color="000000" w:sz="4" w:space="0"/>
              <w:left w:val="nil"/>
              <w:bottom w:val="single" w:color="000000" w:sz="4" w:space="0"/>
              <w:right w:val="single" w:color="000000" w:sz="4" w:space="0"/>
            </w:tcBorders>
            <w:vAlign w:val="center"/>
          </w:tcPr>
          <w:p>
            <w:pPr>
              <w:rPr>
                <w:highlight w:val="none"/>
              </w:rPr>
            </w:pPr>
            <w:r>
              <w:rPr>
                <w:highlight w:val="none"/>
              </w:rPr>
              <w:t>£</w:t>
            </w:r>
            <w:r>
              <w:rPr>
                <w:rFonts w:hint="eastAsia"/>
                <w:highlight w:val="none"/>
              </w:rPr>
              <w:t>因素法与项目法相结合</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highlight w:val="none"/>
              </w:rPr>
            </w:pPr>
            <w:r>
              <w:rPr>
                <w:rFonts w:hint="eastAsia"/>
                <w:highlight w:val="none"/>
              </w:rPr>
              <w:t>立项依据</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《广元市旅游营销优惠政策（2020年修订版）》（广府办函〔2020〕36号</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使用范围</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兑现奖励政策</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申报（补助）条件</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项目起止年限</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2023.6.30-2023.12.31</w:t>
            </w:r>
          </w:p>
        </w:tc>
      </w:tr>
      <w:tr>
        <w:tblPrEx>
          <w:tblCellMar>
            <w:top w:w="15" w:type="dxa"/>
            <w:left w:w="15" w:type="dxa"/>
            <w:bottom w:w="15" w:type="dxa"/>
            <w:right w:w="15" w:type="dxa"/>
          </w:tblCellMar>
        </w:tblPrEx>
        <w:trPr>
          <w:trHeight w:val="23" w:hRule="atLeast"/>
          <w:jc w:val="center"/>
        </w:trPr>
        <w:tc>
          <w:tcPr>
            <w:tcW w:w="1733" w:type="dxa"/>
            <w:gridSpan w:val="2"/>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项目资金</w:t>
            </w:r>
          </w:p>
          <w:p>
            <w:pPr>
              <w:rPr>
                <w:rFonts w:hint="eastAsia"/>
                <w:highlight w:val="none"/>
              </w:rPr>
            </w:pPr>
            <w:r>
              <w:rPr>
                <w:rFonts w:hint="eastAsia"/>
                <w:highlight w:val="none"/>
              </w:rPr>
              <w:t>（万元）</w:t>
            </w: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年度资金总额：</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50.9484</w:t>
            </w:r>
          </w:p>
        </w:tc>
      </w:tr>
      <w:tr>
        <w:tblPrEx>
          <w:tblCellMar>
            <w:top w:w="15" w:type="dxa"/>
            <w:left w:w="15" w:type="dxa"/>
            <w:bottom w:w="15" w:type="dxa"/>
            <w:right w:w="15" w:type="dxa"/>
          </w:tblCellMar>
        </w:tblPrEx>
        <w:trPr>
          <w:trHeight w:val="23" w:hRule="atLeast"/>
          <w:jc w:val="center"/>
        </w:trPr>
        <w:tc>
          <w:tcPr>
            <w:tcW w:w="600" w:type="dxa"/>
            <w:gridSpan w:val="2"/>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其中：财政拨款</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50.9484</w:t>
            </w:r>
          </w:p>
        </w:tc>
      </w:tr>
      <w:tr>
        <w:tblPrEx>
          <w:tblCellMar>
            <w:top w:w="15" w:type="dxa"/>
            <w:left w:w="15" w:type="dxa"/>
            <w:bottom w:w="15" w:type="dxa"/>
            <w:right w:w="15" w:type="dxa"/>
          </w:tblCellMar>
        </w:tblPrEx>
        <w:trPr>
          <w:trHeight w:val="23" w:hRule="atLeast"/>
          <w:jc w:val="center"/>
        </w:trPr>
        <w:tc>
          <w:tcPr>
            <w:tcW w:w="600" w:type="dxa"/>
            <w:gridSpan w:val="2"/>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其他资金</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0</w:t>
            </w: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总体 目标</w:t>
            </w:r>
          </w:p>
        </w:tc>
        <w:tc>
          <w:tcPr>
            <w:tcW w:w="9581" w:type="dxa"/>
            <w:gridSpan w:val="8"/>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年度目标</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9581" w:type="dxa"/>
            <w:gridSpan w:val="8"/>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严格落实广元旅游营销优惠政策，对满足申报条件的旅行社严格审核、尽快兑现奖励资金，进一步扩大“剑门蜀道，女皇故里，红色热土，康养胜地”文旅品牌知名度和影响力，提高旅行社组织游客来广旅游积极性。</w:t>
            </w: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nil"/>
            </w:tcBorders>
            <w:vAlign w:val="center"/>
          </w:tcPr>
          <w:p>
            <w:pPr>
              <w:rPr>
                <w:rFonts w:hint="eastAsia"/>
                <w:highlight w:val="none"/>
              </w:rPr>
            </w:pPr>
            <w:r>
              <w:rPr>
                <w:rFonts w:hint="eastAsia"/>
                <w:highlight w:val="none"/>
              </w:rPr>
              <w:t>绩效 指标</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一级指标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二级指标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三级指标</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指标性质</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指标值</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度量单位</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权重</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实际完成指标值</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产出指标</w:t>
            </w:r>
          </w:p>
        </w:tc>
        <w:tc>
          <w:tcPr>
            <w:tcW w:w="1250" w:type="dxa"/>
            <w:tcBorders>
              <w:top w:val="single" w:color="000000" w:sz="4" w:space="0"/>
              <w:left w:val="nil"/>
              <w:bottom w:val="nil"/>
              <w:right w:val="single" w:color="000000" w:sz="4" w:space="0"/>
            </w:tcBorders>
            <w:vAlign w:val="center"/>
          </w:tcPr>
          <w:p>
            <w:pPr>
              <w:rPr>
                <w:rFonts w:hint="eastAsia"/>
                <w:highlight w:val="none"/>
              </w:rPr>
            </w:pPr>
            <w:r>
              <w:rPr>
                <w:rFonts w:hint="eastAsia"/>
                <w:highlight w:val="none"/>
              </w:rPr>
              <w:t>质量指标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旅游营销奖励资金兑现率</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8</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来广旅游航空淡季单程</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组织5人（含）以上入境游客来广元旅游</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来广旅游航空淡季往返</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70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70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来广旅游航空旺季单程</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来广旅游航空旺季往返</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出广旅游航空淡季单程</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出广旅游航空淡季往返</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60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60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高铁奖励（含兰渝铁路）来广旅游100人（含）以上</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高铁奖励（含兰渝铁路）来广旅游100人（含）以上</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批次</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5000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高铁奖励（含兰渝铁路）来广旅游200人（含）以上</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高铁奖励（含兰渝铁路）来广旅游200人（含）以上</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批次</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10000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高铁奖励（含兰渝铁路）来广旅游300人（含）以上</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高铁奖励（含兰渝铁路）来广旅游300人（含）以上</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20000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批次</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20000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自驾来广旅游一次组织自驾车辆在10台—20台（含）且人数在50人以上</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自驾来广旅游一次组织自驾车辆在20台（不含）以上且人数在100人以上</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直通车近程市场（200公里至500公里）来广旅游</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批次</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直通车近程市场（500公里至800公里）来广旅游</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1500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批次</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1500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直通车近程市场（800公里以上）来广旅游</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批次</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2000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来广一日游，每天发车，每天只补一班</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批次</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500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组织境内10人（含）以上旅游团队来广元旅游</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6</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6</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效益指标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社会效益指标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扩大广元文旅“剑门蜀道</w:t>
            </w:r>
            <w:r>
              <w:rPr>
                <w:rFonts w:hint="eastAsia"/>
                <w:highlight w:val="none"/>
                <w:lang w:eastAsia="zh-CN"/>
              </w:rPr>
              <w:t>，</w:t>
            </w:r>
            <w:r>
              <w:rPr>
                <w:rFonts w:hint="eastAsia"/>
                <w:highlight w:val="none"/>
              </w:rPr>
              <w:t>女皇故里</w:t>
            </w:r>
            <w:r>
              <w:rPr>
                <w:rFonts w:hint="eastAsia"/>
                <w:highlight w:val="none"/>
                <w:lang w:eastAsia="zh-CN"/>
              </w:rPr>
              <w:t>，</w:t>
            </w:r>
            <w:r>
              <w:rPr>
                <w:rFonts w:hint="eastAsia"/>
                <w:highlight w:val="none"/>
              </w:rPr>
              <w:t>红色热土，康养胜地”影响力和吸引力，吸引更多旅行社组织游客来广旅游</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定性</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优良中低差</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优</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满意度</w:t>
            </w:r>
          </w:p>
          <w:p>
            <w:pPr>
              <w:rPr>
                <w:rFonts w:hint="eastAsia"/>
                <w:highlight w:val="none"/>
              </w:rPr>
            </w:pPr>
            <w:r>
              <w:rPr>
                <w:rFonts w:hint="eastAsia"/>
                <w:highlight w:val="none"/>
              </w:rPr>
              <w:t>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服务对象满意度指标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申报旅行社满意度</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w:t>
            </w:r>
          </w:p>
        </w:tc>
      </w:tr>
    </w:tbl>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sz w:val="24"/>
          <w:szCs w:val="24"/>
          <w:highlight w:val="none"/>
          <w:lang w:val="en-US" w:eastAsia="zh-CN"/>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spacing w:line="578" w:lineRule="exact"/>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13</w:t>
      </w:r>
    </w:p>
    <w:p>
      <w:pPr>
        <w:pStyle w:val="40"/>
        <w:spacing w:line="578" w:lineRule="exact"/>
        <w:rPr>
          <w:rFonts w:hint="eastAsia" w:ascii="微软雅黑" w:hAnsi="微软雅黑" w:eastAsia="微软雅黑" w:cs="微软雅黑"/>
          <w:color w:val="auto"/>
          <w:kern w:val="2"/>
          <w:sz w:val="44"/>
          <w:szCs w:val="44"/>
          <w:highlight w:val="none"/>
          <w:lang w:val="en-US"/>
        </w:rPr>
      </w:pPr>
    </w:p>
    <w:p>
      <w:pPr>
        <w:pStyle w:val="40"/>
        <w:spacing w:line="578" w:lineRule="exact"/>
        <w:jc w:val="center"/>
        <w:rPr>
          <w:rFonts w:hint="eastAsia" w:ascii="方正公文小标宋" w:hAnsi="方正公文小标宋" w:eastAsia="方正公文小标宋" w:cs="方正公文小标宋"/>
          <w:color w:val="auto"/>
          <w:kern w:val="2"/>
          <w:sz w:val="44"/>
          <w:szCs w:val="44"/>
          <w:highlight w:val="none"/>
          <w:lang w:val="en-US" w:eastAsia="zh-CN"/>
        </w:rPr>
      </w:pPr>
      <w:r>
        <w:rPr>
          <w:rFonts w:hint="eastAsia" w:ascii="方正公文小标宋" w:hAnsi="方正公文小标宋" w:eastAsia="方正公文小标宋" w:cs="方正公文小标宋"/>
          <w:color w:val="auto"/>
          <w:kern w:val="2"/>
          <w:sz w:val="44"/>
          <w:szCs w:val="44"/>
          <w:highlight w:val="none"/>
          <w:lang w:val="en-US" w:eastAsia="zh-CN"/>
        </w:rPr>
        <w:t>媒体宣传项目</w:t>
      </w:r>
    </w:p>
    <w:p>
      <w:pPr>
        <w:pStyle w:val="40"/>
        <w:spacing w:line="578" w:lineRule="exact"/>
        <w:ind w:firstLine="640"/>
        <w:jc w:val="center"/>
        <w:rPr>
          <w:rFonts w:hint="eastAsia" w:ascii="方正公文小标宋" w:hAnsi="方正公文小标宋" w:eastAsia="方正公文小标宋" w:cs="方正公文小标宋"/>
          <w:color w:val="auto"/>
          <w:kern w:val="2"/>
          <w:sz w:val="32"/>
          <w:szCs w:val="32"/>
          <w:highlight w:val="none"/>
        </w:rPr>
      </w:pP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rPr>
        <w:t>一、</w:t>
      </w:r>
      <w:r>
        <w:rPr>
          <w:rFonts w:hint="eastAsia" w:ascii="方正黑体简体" w:hAnsi="方正黑体简体" w:eastAsia="方正黑体简体" w:cs="方正黑体简体"/>
          <w:sz w:val="32"/>
          <w:szCs w:val="32"/>
          <w:highlight w:val="none"/>
          <w:lang w:val="zh-CN"/>
        </w:rPr>
        <w:t>项目概况</w:t>
      </w:r>
    </w:p>
    <w:p>
      <w:pPr>
        <w:widowControl/>
        <w:adjustRightInd w:val="0"/>
        <w:snapToGrid w:val="0"/>
        <w:spacing w:line="578" w:lineRule="exact"/>
        <w:ind w:firstLine="640" w:firstLineChars="200"/>
        <w:contextualSpacing/>
        <w:jc w:val="left"/>
        <w:rPr>
          <w:rFonts w:hint="eastAsia" w:ascii="仿宋_GB2312" w:hAnsi="仿宋_GB2312" w:eastAsia="仿宋_GB2312" w:cs="仿宋_GB2312"/>
          <w:sz w:val="32"/>
          <w:szCs w:val="32"/>
          <w:highlight w:val="none"/>
          <w:lang w:val="en-US" w:eastAsia="zh-CN"/>
        </w:rPr>
      </w:pPr>
      <w:r>
        <w:rPr>
          <w:rFonts w:hint="eastAsia" w:ascii="方正楷体简体" w:hAnsi="方正楷体简体" w:eastAsia="方正楷体简体" w:cs="方正楷体简体"/>
          <w:b w:val="0"/>
          <w:bCs/>
          <w:sz w:val="32"/>
          <w:szCs w:val="32"/>
          <w:highlight w:val="none"/>
          <w:lang w:val="zh-CN"/>
        </w:rPr>
        <w:t>（一）设立背景及基本情况。</w:t>
      </w:r>
      <w:r>
        <w:rPr>
          <w:rFonts w:hint="eastAsia" w:ascii="仿宋_GB2312" w:hAnsi="仿宋_GB2312" w:eastAsia="仿宋_GB2312" w:cs="仿宋_GB2312"/>
          <w:color w:val="auto"/>
          <w:kern w:val="0"/>
          <w:sz w:val="32"/>
          <w:szCs w:val="32"/>
          <w:highlight w:val="none"/>
          <w:shd w:val="clear" w:color="auto" w:fill="FFFFFF"/>
          <w:lang w:val="en-US" w:eastAsia="zh-CN" w:bidi="ar-SA"/>
        </w:rPr>
        <w:t>为进一步擦亮“剑门蜀道、女皇故里、红色热土、康养胜地”招牌，在更大范围内扩大广元影响力与美誉度，我局与各大媒体合作开展宣传工作。</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sz w:val="32"/>
          <w:szCs w:val="32"/>
          <w:highlight w:val="none"/>
          <w:lang w:val="zh-CN"/>
        </w:rPr>
        <w:t>（二）实施目的及支持方向。</w:t>
      </w:r>
      <w:r>
        <w:rPr>
          <w:rFonts w:hint="eastAsia" w:ascii="仿宋_GB2312" w:hAnsi="仿宋_GB2312" w:eastAsia="仿宋_GB2312" w:cs="仿宋_GB2312"/>
          <w:color w:val="auto"/>
          <w:kern w:val="0"/>
          <w:sz w:val="32"/>
          <w:szCs w:val="32"/>
          <w:highlight w:val="none"/>
          <w:shd w:val="clear" w:color="auto" w:fill="FFFFFF"/>
          <w:lang w:val="zh-CN" w:eastAsia="zh-CN" w:bidi="ar-SA"/>
        </w:rPr>
        <w:t>项目旨依托主流媒体引流</w:t>
      </w:r>
      <w:r>
        <w:rPr>
          <w:rFonts w:hint="eastAsia" w:ascii="仿宋_GB2312" w:hAnsi="仿宋_GB2312" w:eastAsia="仿宋_GB2312" w:cs="仿宋_GB2312"/>
          <w:color w:val="auto"/>
          <w:kern w:val="0"/>
          <w:sz w:val="32"/>
          <w:szCs w:val="32"/>
          <w:highlight w:val="none"/>
          <w:shd w:val="clear" w:color="auto" w:fill="FFFFFF"/>
          <w:lang w:val="en-US" w:eastAsia="zh-CN" w:bidi="ar-SA"/>
        </w:rPr>
        <w:t>、</w:t>
      </w:r>
      <w:r>
        <w:rPr>
          <w:rFonts w:hint="eastAsia" w:ascii="仿宋_GB2312" w:hAnsi="仿宋_GB2312" w:eastAsia="仿宋_GB2312" w:cs="仿宋_GB2312"/>
          <w:color w:val="auto"/>
          <w:kern w:val="0"/>
          <w:sz w:val="32"/>
          <w:szCs w:val="32"/>
          <w:highlight w:val="none"/>
          <w:shd w:val="clear" w:color="auto" w:fill="FFFFFF"/>
          <w:lang w:val="zh-CN" w:eastAsia="zh-CN" w:bidi="ar-SA"/>
        </w:rPr>
        <w:t>热点事件引流</w:t>
      </w:r>
      <w:r>
        <w:rPr>
          <w:rFonts w:hint="eastAsia" w:ascii="仿宋_GB2312" w:hAnsi="仿宋_GB2312" w:eastAsia="仿宋_GB2312" w:cs="仿宋_GB2312"/>
          <w:color w:val="auto"/>
          <w:kern w:val="0"/>
          <w:sz w:val="32"/>
          <w:szCs w:val="32"/>
          <w:highlight w:val="none"/>
          <w:shd w:val="clear" w:color="auto" w:fill="FFFFFF"/>
          <w:lang w:val="en-US" w:eastAsia="zh-CN" w:bidi="ar-SA"/>
        </w:rPr>
        <w:t>、</w:t>
      </w:r>
      <w:r>
        <w:rPr>
          <w:rFonts w:hint="eastAsia" w:ascii="仿宋_GB2312" w:hAnsi="仿宋_GB2312" w:eastAsia="仿宋_GB2312" w:cs="仿宋_GB2312"/>
          <w:color w:val="auto"/>
          <w:kern w:val="0"/>
          <w:sz w:val="32"/>
          <w:szCs w:val="32"/>
          <w:highlight w:val="none"/>
          <w:shd w:val="clear" w:color="auto" w:fill="FFFFFF"/>
          <w:lang w:val="zh-CN" w:eastAsia="zh-CN" w:bidi="ar-SA"/>
        </w:rPr>
        <w:t>合作联盟引流</w:t>
      </w:r>
      <w:r>
        <w:rPr>
          <w:rFonts w:hint="eastAsia" w:ascii="仿宋_GB2312" w:hAnsi="仿宋_GB2312" w:eastAsia="仿宋_GB2312" w:cs="仿宋_GB2312"/>
          <w:color w:val="auto"/>
          <w:kern w:val="0"/>
          <w:sz w:val="32"/>
          <w:szCs w:val="32"/>
          <w:highlight w:val="none"/>
          <w:shd w:val="clear" w:color="auto" w:fill="FFFFFF"/>
          <w:lang w:val="en-US" w:eastAsia="zh-CN" w:bidi="ar-SA"/>
        </w:rPr>
        <w:t>等方式达到吸引游客来广的目的。</w:t>
      </w:r>
    </w:p>
    <w:p>
      <w:pPr>
        <w:spacing w:line="576"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sz w:val="32"/>
          <w:szCs w:val="32"/>
          <w:highlight w:val="none"/>
          <w:lang w:val="zh-CN"/>
        </w:rPr>
        <w:t>（三）预算安排及分配管理。</w:t>
      </w:r>
      <w:r>
        <w:rPr>
          <w:rFonts w:hint="eastAsia" w:ascii="仿宋_GB2312" w:hAnsi="仿宋_GB2312" w:eastAsia="仿宋_GB2312" w:cs="仿宋_GB2312"/>
          <w:color w:val="auto"/>
          <w:kern w:val="0"/>
          <w:sz w:val="32"/>
          <w:szCs w:val="32"/>
          <w:highlight w:val="none"/>
          <w:shd w:val="clear" w:color="auto" w:fill="FFFFFF"/>
          <w:lang w:val="zh-CN" w:eastAsia="zh-CN" w:bidi="ar-SA"/>
        </w:rPr>
        <w:t>本项目总计安排预算资金</w:t>
      </w:r>
      <w:r>
        <w:rPr>
          <w:rFonts w:hint="eastAsia" w:ascii="仿宋_GB2312" w:hAnsi="仿宋_GB2312" w:eastAsia="仿宋_GB2312" w:cs="仿宋_GB2312"/>
          <w:color w:val="auto"/>
          <w:kern w:val="0"/>
          <w:sz w:val="32"/>
          <w:szCs w:val="32"/>
          <w:highlight w:val="none"/>
          <w:shd w:val="clear" w:color="auto" w:fill="FFFFFF"/>
          <w:lang w:val="en-US" w:eastAsia="zh-CN" w:bidi="ar-SA"/>
        </w:rPr>
        <w:t>42.91</w:t>
      </w:r>
      <w:r>
        <w:rPr>
          <w:rFonts w:hint="eastAsia" w:ascii="仿宋_GB2312" w:hAnsi="仿宋_GB2312" w:eastAsia="仿宋_GB2312" w:cs="仿宋_GB2312"/>
          <w:color w:val="auto"/>
          <w:kern w:val="0"/>
          <w:sz w:val="32"/>
          <w:szCs w:val="32"/>
          <w:highlight w:val="none"/>
          <w:shd w:val="clear" w:color="auto" w:fill="FFFFFF"/>
          <w:lang w:val="zh-CN" w:eastAsia="zh-CN" w:bidi="ar-SA"/>
        </w:rPr>
        <w:t>万元，具体分配如下：</w:t>
      </w:r>
      <w:r>
        <w:rPr>
          <w:rFonts w:hint="eastAsia" w:ascii="仿宋_GB2312" w:hAnsi="仿宋_GB2312" w:eastAsia="仿宋_GB2312" w:cs="仿宋_GB2312"/>
          <w:color w:val="auto"/>
          <w:kern w:val="0"/>
          <w:sz w:val="32"/>
          <w:szCs w:val="32"/>
          <w:highlight w:val="none"/>
          <w:shd w:val="clear" w:color="auto" w:fill="FFFFFF"/>
          <w:lang w:val="en-US" w:eastAsia="zh-CN" w:bidi="ar-SA"/>
        </w:rPr>
        <w:t>文旅宣传短信、邀请各大媒体宣传报道、开展新媒体宣传</w:t>
      </w:r>
      <w:r>
        <w:rPr>
          <w:rFonts w:hint="eastAsia" w:ascii="仿宋_GB2312" w:hAnsi="仿宋_GB2312" w:eastAsia="仿宋_GB2312" w:cs="仿宋_GB2312"/>
          <w:color w:val="auto"/>
          <w:kern w:val="0"/>
          <w:sz w:val="32"/>
          <w:szCs w:val="32"/>
          <w:highlight w:val="none"/>
          <w:shd w:val="clear" w:color="auto" w:fill="FFFFFF"/>
          <w:lang w:val="zh-CN" w:eastAsia="zh-CN" w:bidi="ar-SA"/>
        </w:rPr>
        <w:t>。</w:t>
      </w:r>
    </w:p>
    <w:p>
      <w:pPr>
        <w:widowControl/>
        <w:spacing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sz w:val="32"/>
          <w:szCs w:val="32"/>
          <w:highlight w:val="none"/>
          <w:lang w:val="zh-CN"/>
        </w:rPr>
        <w:t>（四）项目绩效目标设置。</w:t>
      </w:r>
      <w:r>
        <w:rPr>
          <w:rFonts w:hint="eastAsia" w:ascii="仿宋_GB2312" w:hAnsi="仿宋_GB2312" w:eastAsia="仿宋_GB2312" w:cs="仿宋_GB2312"/>
          <w:color w:val="auto"/>
          <w:kern w:val="0"/>
          <w:sz w:val="32"/>
          <w:szCs w:val="32"/>
          <w:highlight w:val="none"/>
          <w:shd w:val="clear" w:color="auto" w:fill="FFFFFF"/>
          <w:lang w:val="zh-CN" w:eastAsia="zh-CN" w:bidi="ar-SA"/>
        </w:rPr>
        <w:t>绩效目标主要包括以下几个方面：提升“剑门蜀道，女皇故里，红色热土，康养胜地”城市品牌影响力，吸引更多国内外游客赴我市开展文化旅游活动，提升文旅消费能力。</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rPr>
      </w:pPr>
      <w:r>
        <w:rPr>
          <w:rFonts w:hint="eastAsia" w:ascii="方正黑体简体" w:hAnsi="方正黑体简体" w:eastAsia="方正黑体简体" w:cs="方正黑体简体"/>
          <w:sz w:val="32"/>
          <w:szCs w:val="32"/>
          <w:highlight w:val="none"/>
        </w:rPr>
        <w:t>二、评价实施</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sz w:val="32"/>
          <w:szCs w:val="32"/>
          <w:highlight w:val="none"/>
          <w:lang w:val="zh-CN"/>
        </w:rPr>
        <w:t>（一）评价目的。</w:t>
      </w:r>
      <w:r>
        <w:rPr>
          <w:rFonts w:hint="eastAsia" w:ascii="仿宋_GB2312" w:hAnsi="仿宋_GB2312" w:eastAsia="仿宋_GB2312" w:cs="仿宋_GB2312"/>
          <w:color w:val="auto"/>
          <w:kern w:val="0"/>
          <w:sz w:val="32"/>
          <w:szCs w:val="32"/>
          <w:highlight w:val="none"/>
          <w:shd w:val="clear" w:color="auto" w:fill="FFFFFF"/>
          <w:lang w:val="zh-CN" w:eastAsia="zh-CN" w:bidi="ar-SA"/>
        </w:rPr>
        <w:t>总结“媒体宣传项目”项目的实施效果，分析存在的问题与不足，为未来类似项目的策划与实施提供经验和借鉴。</w:t>
      </w:r>
    </w:p>
    <w:p>
      <w:pPr>
        <w:spacing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sz w:val="32"/>
          <w:szCs w:val="32"/>
          <w:highlight w:val="none"/>
          <w:lang w:val="zh-CN"/>
        </w:rPr>
        <w:t>（二）预设问题及评价重点。</w:t>
      </w:r>
      <w:r>
        <w:rPr>
          <w:rFonts w:hint="eastAsia" w:ascii="仿宋_GB2312" w:hAnsi="仿宋_GB2312" w:eastAsia="仿宋_GB2312" w:cs="仿宋_GB2312"/>
          <w:color w:val="auto"/>
          <w:kern w:val="0"/>
          <w:sz w:val="32"/>
          <w:szCs w:val="32"/>
          <w:highlight w:val="none"/>
          <w:shd w:val="clear" w:color="auto" w:fill="FFFFFF"/>
          <w:lang w:val="zh-CN" w:eastAsia="zh-CN" w:bidi="ar-SA"/>
        </w:rPr>
        <w:t>一是</w:t>
      </w:r>
      <w:r>
        <w:rPr>
          <w:rFonts w:hint="eastAsia" w:ascii="仿宋_GB2312" w:hAnsi="仿宋_GB2312" w:eastAsia="仿宋_GB2312" w:cs="仿宋_GB2312"/>
          <w:color w:val="auto"/>
          <w:kern w:val="0"/>
          <w:sz w:val="32"/>
          <w:szCs w:val="32"/>
          <w:highlight w:val="none"/>
          <w:shd w:val="clear" w:color="auto" w:fill="FFFFFF"/>
          <w:lang w:val="en-US" w:eastAsia="zh-CN" w:bidi="ar-SA"/>
        </w:rPr>
        <w:t>媒体宣传</w:t>
      </w:r>
      <w:r>
        <w:rPr>
          <w:rFonts w:hint="eastAsia" w:ascii="仿宋_GB2312" w:hAnsi="仿宋_GB2312" w:eastAsia="仿宋_GB2312" w:cs="仿宋_GB2312"/>
          <w:color w:val="auto"/>
          <w:kern w:val="0"/>
          <w:sz w:val="32"/>
          <w:szCs w:val="32"/>
          <w:highlight w:val="none"/>
          <w:shd w:val="clear" w:color="auto" w:fill="FFFFFF"/>
          <w:lang w:val="zh-CN" w:eastAsia="zh-CN" w:bidi="ar-SA"/>
        </w:rPr>
        <w:t>的有效性：评估线上线下宣传手段是否有效覆盖目标受众，宣传内容是否吸引人；</w:t>
      </w:r>
      <w:r>
        <w:rPr>
          <w:rFonts w:hint="eastAsia" w:ascii="仿宋_GB2312" w:hAnsi="仿宋_GB2312" w:eastAsia="仿宋_GB2312" w:cs="仿宋_GB2312"/>
          <w:color w:val="auto"/>
          <w:kern w:val="0"/>
          <w:sz w:val="32"/>
          <w:szCs w:val="32"/>
          <w:highlight w:val="none"/>
          <w:shd w:val="clear" w:color="auto" w:fill="FFFFFF"/>
          <w:lang w:val="en-US" w:eastAsia="zh-CN" w:bidi="ar-SA"/>
        </w:rPr>
        <w:t>二</w:t>
      </w:r>
      <w:r>
        <w:rPr>
          <w:rFonts w:hint="eastAsia" w:ascii="仿宋_GB2312" w:hAnsi="仿宋_GB2312" w:eastAsia="仿宋_GB2312" w:cs="仿宋_GB2312"/>
          <w:color w:val="auto"/>
          <w:kern w:val="0"/>
          <w:sz w:val="32"/>
          <w:szCs w:val="32"/>
          <w:highlight w:val="none"/>
          <w:shd w:val="clear" w:color="auto" w:fill="FFFFFF"/>
          <w:lang w:val="zh-CN" w:eastAsia="zh-CN" w:bidi="ar-SA"/>
        </w:rPr>
        <w:t>是市场反响：分析项目对文化旅游市场的实际影响。</w:t>
      </w:r>
    </w:p>
    <w:p>
      <w:pPr>
        <w:adjustRightInd w:val="0"/>
        <w:snapToGrid w:val="0"/>
        <w:spacing w:line="578" w:lineRule="exact"/>
        <w:ind w:firstLine="640" w:firstLineChars="200"/>
        <w:rPr>
          <w:rFonts w:hint="eastAsia" w:ascii="仿宋_GB2312" w:hAnsi="仿宋_GB2312" w:eastAsia="仿宋_GB2312" w:cs="仿宋_GB2312"/>
          <w:color w:val="000000"/>
          <w:spacing w:val="16"/>
          <w:sz w:val="32"/>
          <w:szCs w:val="32"/>
          <w:highlight w:val="none"/>
        </w:rPr>
      </w:pPr>
      <w:r>
        <w:rPr>
          <w:rFonts w:hint="eastAsia" w:ascii="方正楷体简体" w:hAnsi="方正楷体简体" w:eastAsia="方正楷体简体" w:cs="方正楷体简体"/>
          <w:b w:val="0"/>
          <w:bCs/>
          <w:sz w:val="32"/>
          <w:szCs w:val="32"/>
          <w:highlight w:val="none"/>
          <w:lang w:val="zh-CN"/>
        </w:rPr>
        <w:t>（三）评价选点。</w:t>
      </w:r>
      <w:r>
        <w:rPr>
          <w:rFonts w:hint="eastAsia" w:ascii="仿宋_GB2312" w:hAnsi="仿宋_GB2312" w:eastAsia="仿宋_GB2312" w:cs="仿宋_GB2312"/>
          <w:color w:val="auto"/>
          <w:kern w:val="0"/>
          <w:sz w:val="32"/>
          <w:szCs w:val="32"/>
          <w:highlight w:val="none"/>
          <w:shd w:val="clear" w:color="auto" w:fill="FFFFFF"/>
          <w:lang w:val="zh-CN" w:eastAsia="zh-CN" w:bidi="ar-SA"/>
        </w:rPr>
        <w:t>选取具有代表性的</w:t>
      </w:r>
      <w:r>
        <w:rPr>
          <w:rFonts w:hint="eastAsia" w:ascii="仿宋_GB2312" w:hAnsi="仿宋_GB2312" w:eastAsia="仿宋_GB2312" w:cs="仿宋_GB2312"/>
          <w:color w:val="auto"/>
          <w:kern w:val="0"/>
          <w:sz w:val="32"/>
          <w:szCs w:val="32"/>
          <w:highlight w:val="none"/>
          <w:shd w:val="clear" w:color="auto" w:fill="FFFFFF"/>
          <w:lang w:val="en-US" w:eastAsia="zh-CN" w:bidi="ar-SA"/>
        </w:rPr>
        <w:t>宣传话题</w:t>
      </w:r>
      <w:r>
        <w:rPr>
          <w:rFonts w:hint="eastAsia" w:ascii="仿宋_GB2312" w:hAnsi="仿宋_GB2312" w:eastAsia="仿宋_GB2312" w:cs="仿宋_GB2312"/>
          <w:color w:val="auto"/>
          <w:kern w:val="0"/>
          <w:sz w:val="32"/>
          <w:szCs w:val="32"/>
          <w:highlight w:val="none"/>
          <w:shd w:val="clear" w:color="auto" w:fill="FFFFFF"/>
          <w:lang w:val="zh-CN" w:eastAsia="zh-CN" w:bidi="ar-SA"/>
        </w:rPr>
        <w:t>、线上宣传案例作为评价选点。</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sz w:val="32"/>
          <w:szCs w:val="32"/>
          <w:highlight w:val="none"/>
          <w:lang w:val="zh-CN"/>
        </w:rPr>
        <w:t>（四）评价方法。</w:t>
      </w:r>
      <w:r>
        <w:rPr>
          <w:rFonts w:hint="eastAsia" w:ascii="仿宋_GB2312" w:hAnsi="仿宋_GB2312" w:eastAsia="仿宋_GB2312" w:cs="仿宋_GB2312"/>
          <w:color w:val="auto"/>
          <w:kern w:val="0"/>
          <w:sz w:val="32"/>
          <w:szCs w:val="32"/>
          <w:highlight w:val="none"/>
          <w:shd w:val="clear" w:color="auto" w:fill="FFFFFF"/>
          <w:lang w:val="zh-CN" w:eastAsia="zh-CN" w:bidi="ar-SA"/>
        </w:rPr>
        <w:t>采用</w:t>
      </w:r>
      <w:r>
        <w:rPr>
          <w:rFonts w:hint="eastAsia" w:ascii="仿宋_GB2312" w:hAnsi="仿宋_GB2312" w:eastAsia="仿宋_GB2312" w:cs="仿宋_GB2312"/>
          <w:color w:val="auto"/>
          <w:kern w:val="0"/>
          <w:sz w:val="32"/>
          <w:szCs w:val="32"/>
          <w:highlight w:val="none"/>
          <w:shd w:val="clear" w:color="auto" w:fill="FFFFFF"/>
          <w:lang w:val="en-US" w:eastAsia="zh-CN" w:bidi="ar-SA"/>
        </w:rPr>
        <w:t>实地调研</w:t>
      </w:r>
      <w:r>
        <w:rPr>
          <w:rFonts w:hint="eastAsia" w:ascii="仿宋_GB2312" w:hAnsi="仿宋_GB2312" w:eastAsia="仿宋_GB2312" w:cs="仿宋_GB2312"/>
          <w:color w:val="auto"/>
          <w:kern w:val="0"/>
          <w:sz w:val="32"/>
          <w:szCs w:val="32"/>
          <w:highlight w:val="none"/>
          <w:shd w:val="clear" w:color="auto" w:fill="FFFFFF"/>
          <w:lang w:val="zh-CN" w:eastAsia="zh-CN" w:bidi="ar-SA"/>
        </w:rPr>
        <w:t>、数据分析等多种方法，收集游客、</w:t>
      </w:r>
      <w:r>
        <w:rPr>
          <w:rFonts w:hint="eastAsia" w:ascii="仿宋_GB2312" w:hAnsi="仿宋_GB2312" w:eastAsia="仿宋_GB2312" w:cs="仿宋_GB2312"/>
          <w:color w:val="auto"/>
          <w:kern w:val="0"/>
          <w:sz w:val="32"/>
          <w:szCs w:val="32"/>
          <w:highlight w:val="none"/>
          <w:shd w:val="clear" w:color="auto" w:fill="FFFFFF"/>
          <w:lang w:val="en-US" w:eastAsia="zh-CN" w:bidi="ar-SA"/>
        </w:rPr>
        <w:t>旅行社</w:t>
      </w:r>
      <w:r>
        <w:rPr>
          <w:rFonts w:hint="eastAsia" w:ascii="仿宋_GB2312" w:hAnsi="仿宋_GB2312" w:eastAsia="仿宋_GB2312" w:cs="仿宋_GB2312"/>
          <w:color w:val="auto"/>
          <w:kern w:val="0"/>
          <w:sz w:val="32"/>
          <w:szCs w:val="32"/>
          <w:highlight w:val="none"/>
          <w:shd w:val="clear" w:color="auto" w:fill="FFFFFF"/>
          <w:lang w:val="zh-CN" w:eastAsia="zh-CN" w:bidi="ar-SA"/>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媒体</w:t>
      </w:r>
      <w:r>
        <w:rPr>
          <w:rFonts w:hint="eastAsia" w:ascii="仿宋_GB2312" w:hAnsi="仿宋_GB2312" w:eastAsia="仿宋_GB2312" w:cs="仿宋_GB2312"/>
          <w:color w:val="auto"/>
          <w:kern w:val="0"/>
          <w:sz w:val="32"/>
          <w:szCs w:val="32"/>
          <w:highlight w:val="none"/>
          <w:shd w:val="clear" w:color="auto" w:fill="FFFFFF"/>
          <w:lang w:val="zh-CN" w:eastAsia="zh-CN" w:bidi="ar-SA"/>
        </w:rPr>
        <w:t>等多方意见和数据，进行全面客观的评价。</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sz w:val="32"/>
          <w:szCs w:val="32"/>
          <w:highlight w:val="none"/>
          <w:lang w:val="zh-CN"/>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市文化广电旅游局宣传科教科、财务科、</w:t>
      </w:r>
      <w:r>
        <w:rPr>
          <w:rFonts w:hint="eastAsia" w:ascii="仿宋_GB2312" w:hAnsi="仿宋_GB2312" w:eastAsia="仿宋_GB2312" w:cs="仿宋_GB2312"/>
          <w:color w:val="auto"/>
          <w:kern w:val="0"/>
          <w:sz w:val="32"/>
          <w:szCs w:val="32"/>
          <w:highlight w:val="none"/>
          <w:shd w:val="clear" w:color="auto" w:fill="FFFFFF"/>
          <w:lang w:val="en-US" w:eastAsia="zh-CN" w:bidi="ar-SA"/>
        </w:rPr>
        <w:t>内部监督与审计科</w:t>
      </w:r>
      <w:r>
        <w:rPr>
          <w:rFonts w:hint="eastAsia" w:ascii="仿宋_GB2312" w:hAnsi="仿宋_GB2312" w:eastAsia="仿宋_GB2312" w:cs="仿宋_GB2312"/>
          <w:color w:val="auto"/>
          <w:kern w:val="0"/>
          <w:sz w:val="32"/>
          <w:szCs w:val="32"/>
          <w:highlight w:val="none"/>
          <w:shd w:val="clear" w:color="auto" w:fill="FFFFFF"/>
          <w:lang w:val="zh-CN" w:eastAsia="zh-CN" w:bidi="ar-SA"/>
        </w:rPr>
        <w:t>相关人员组成评价小组，对项目实施进行评价。</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lang w:val="zh-CN"/>
        </w:rPr>
      </w:pPr>
      <w:r>
        <w:rPr>
          <w:rFonts w:hint="eastAsia" w:ascii="方正黑体简体" w:hAnsi="方正黑体简体" w:eastAsia="方正黑体简体" w:cs="方正黑体简体"/>
          <w:sz w:val="32"/>
          <w:szCs w:val="32"/>
          <w:highlight w:val="none"/>
        </w:rPr>
        <w:t>三、绩效分析</w:t>
      </w:r>
      <w:r>
        <w:rPr>
          <w:rFonts w:hint="eastAsia" w:ascii="仿宋_GB2312" w:hAnsi="仿宋_GB2312" w:eastAsia="仿宋_GB2312" w:cs="仿宋_GB2312"/>
          <w:sz w:val="32"/>
          <w:szCs w:val="32"/>
          <w:highlight w:val="none"/>
          <w:lang w:val="zh-CN"/>
        </w:rPr>
        <w:tab/>
      </w:r>
    </w:p>
    <w:p>
      <w:pPr>
        <w:widowControl/>
        <w:adjustRightInd w:val="0"/>
        <w:snapToGrid w:val="0"/>
        <w:spacing w:line="578" w:lineRule="exact"/>
        <w:ind w:firstLine="640" w:firstLineChars="200"/>
        <w:contextualSpacing/>
        <w:jc w:val="left"/>
        <w:rPr>
          <w:rFonts w:hint="eastAsia" w:ascii="方正楷体简体" w:hAnsi="方正楷体简体" w:eastAsia="方正楷体简体" w:cs="方正楷体简体"/>
          <w:b w:val="0"/>
          <w:bCs/>
          <w:sz w:val="32"/>
          <w:szCs w:val="32"/>
          <w:highlight w:val="none"/>
          <w:lang w:val="zh-CN"/>
        </w:rPr>
      </w:pPr>
      <w:r>
        <w:rPr>
          <w:rFonts w:hint="eastAsia" w:ascii="方正楷体简体" w:hAnsi="方正楷体简体" w:eastAsia="方正楷体简体" w:cs="方正楷体简体"/>
          <w:b w:val="0"/>
          <w:bCs/>
          <w:sz w:val="32"/>
          <w:szCs w:val="32"/>
          <w:highlight w:val="none"/>
          <w:lang w:val="zh-CN"/>
        </w:rPr>
        <w:t>（一）通用指标绩效分析。</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1.项目决策。项目决策程序规范，经过充分论证和市场调查后起草活动方案，根据预算金额的不同分别通过报主要领导审签、局长办公会审议、局党组会审</w:t>
      </w:r>
      <w:r>
        <w:rPr>
          <w:rFonts w:hint="eastAsia" w:ascii="仿宋_GB2312" w:hAnsi="仿宋_GB2312" w:eastAsia="仿宋_GB2312" w:cs="仿宋_GB2312"/>
          <w:color w:val="auto"/>
          <w:kern w:val="0"/>
          <w:sz w:val="32"/>
          <w:szCs w:val="32"/>
          <w:highlight w:val="none"/>
          <w:shd w:val="clear" w:color="auto" w:fill="FFFFFF"/>
          <w:lang w:val="en-US" w:eastAsia="zh-CN" w:bidi="ar-SA"/>
        </w:rPr>
        <w:t>定</w:t>
      </w:r>
      <w:r>
        <w:rPr>
          <w:rFonts w:hint="eastAsia" w:ascii="仿宋_GB2312" w:hAnsi="仿宋_GB2312" w:eastAsia="仿宋_GB2312" w:cs="仿宋_GB2312"/>
          <w:color w:val="auto"/>
          <w:kern w:val="0"/>
          <w:sz w:val="32"/>
          <w:szCs w:val="32"/>
          <w:highlight w:val="none"/>
          <w:shd w:val="clear" w:color="auto" w:fill="FFFFFF"/>
          <w:lang w:val="zh-CN" w:eastAsia="zh-CN" w:bidi="ar-SA"/>
        </w:rPr>
        <w:t>等程序决策，符合相关规定和程序要求。</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2.项目管理。制定了详细的项目实施方案和管理制度，确保项目按计划有序推进。</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3.项目实施。各项</w:t>
      </w:r>
      <w:r>
        <w:rPr>
          <w:rFonts w:hint="eastAsia" w:ascii="仿宋_GB2312" w:hAnsi="仿宋_GB2312" w:eastAsia="仿宋_GB2312" w:cs="仿宋_GB2312"/>
          <w:color w:val="auto"/>
          <w:kern w:val="0"/>
          <w:sz w:val="32"/>
          <w:szCs w:val="32"/>
          <w:highlight w:val="none"/>
          <w:shd w:val="clear" w:color="auto" w:fill="FFFFFF"/>
          <w:lang w:val="en-US" w:eastAsia="zh-CN" w:bidi="ar-SA"/>
        </w:rPr>
        <w:t>媒体合作</w:t>
      </w:r>
      <w:r>
        <w:rPr>
          <w:rFonts w:hint="eastAsia" w:ascii="仿宋_GB2312" w:hAnsi="仿宋_GB2312" w:eastAsia="仿宋_GB2312" w:cs="仿宋_GB2312"/>
          <w:color w:val="auto"/>
          <w:kern w:val="0"/>
          <w:sz w:val="32"/>
          <w:szCs w:val="32"/>
          <w:highlight w:val="none"/>
          <w:shd w:val="clear" w:color="auto" w:fill="FFFFFF"/>
          <w:lang w:val="zh-CN" w:eastAsia="zh-CN" w:bidi="ar-SA"/>
        </w:rPr>
        <w:t>均按计划圆满完成，未出现重大失误或延误。</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4.项目结果。实现了预期的宣传推广效果和市场反响目标，对文化旅游市场的促进作用显著。</w:t>
      </w:r>
    </w:p>
    <w:p>
      <w:pPr>
        <w:widowControl/>
        <w:adjustRightInd w:val="0"/>
        <w:snapToGrid w:val="0"/>
        <w:spacing w:line="578" w:lineRule="exact"/>
        <w:ind w:firstLine="640" w:firstLineChars="200"/>
        <w:contextualSpacing/>
        <w:jc w:val="left"/>
        <w:rPr>
          <w:rFonts w:hint="eastAsia" w:ascii="方正楷体简体" w:hAnsi="方正楷体简体" w:eastAsia="方正楷体简体" w:cs="方正楷体简体"/>
          <w:b w:val="0"/>
          <w:bCs/>
          <w:sz w:val="32"/>
          <w:szCs w:val="32"/>
          <w:highlight w:val="none"/>
          <w:lang w:val="zh-CN"/>
        </w:rPr>
      </w:pPr>
      <w:r>
        <w:rPr>
          <w:rFonts w:hint="eastAsia" w:ascii="方正楷体简体" w:hAnsi="方正楷体简体" w:eastAsia="方正楷体简体" w:cs="方正楷体简体"/>
          <w:b w:val="0"/>
          <w:bCs/>
          <w:sz w:val="32"/>
          <w:szCs w:val="32"/>
          <w:highlight w:val="none"/>
          <w:lang w:val="zh-CN"/>
        </w:rPr>
        <w:t>（二）专用指标绩效分析。</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项目实施与市委市政府关于文化旅游产业发展的战略部署高度契合，有效提升了广元文化旅游品牌的知名度和影响力。通过</w:t>
      </w:r>
      <w:r>
        <w:rPr>
          <w:rFonts w:hint="eastAsia" w:ascii="仿宋_GB2312" w:hAnsi="仿宋_GB2312" w:eastAsia="仿宋_GB2312" w:cs="仿宋_GB2312"/>
          <w:color w:val="auto"/>
          <w:kern w:val="0"/>
          <w:sz w:val="32"/>
          <w:szCs w:val="32"/>
          <w:highlight w:val="none"/>
          <w:shd w:val="clear" w:color="auto" w:fill="FFFFFF"/>
          <w:lang w:val="en-US" w:eastAsia="zh-CN" w:bidi="ar-SA"/>
        </w:rPr>
        <w:t>媒体合作</w:t>
      </w:r>
      <w:r>
        <w:rPr>
          <w:rFonts w:hint="eastAsia" w:ascii="仿宋_GB2312" w:hAnsi="仿宋_GB2312" w:eastAsia="仿宋_GB2312" w:cs="仿宋_GB2312"/>
          <w:color w:val="auto"/>
          <w:kern w:val="0"/>
          <w:sz w:val="32"/>
          <w:szCs w:val="32"/>
          <w:highlight w:val="none"/>
          <w:shd w:val="clear" w:color="auto" w:fill="FFFFFF"/>
          <w:lang w:val="zh-CN" w:eastAsia="zh-CN" w:bidi="ar-SA"/>
        </w:rPr>
        <w:t>，吸引了大量游客前来旅游，带动了文化旅游消费的增长。</w:t>
      </w:r>
    </w:p>
    <w:p>
      <w:pPr>
        <w:widowControl/>
        <w:adjustRightInd w:val="0"/>
        <w:snapToGrid w:val="0"/>
        <w:spacing w:line="578" w:lineRule="exact"/>
        <w:ind w:firstLine="640" w:firstLineChars="200"/>
        <w:contextualSpacing/>
        <w:jc w:val="left"/>
        <w:rPr>
          <w:rFonts w:hint="eastAsia" w:ascii="方正楷体简体" w:hAnsi="方正楷体简体" w:eastAsia="方正楷体简体" w:cs="方正楷体简体"/>
          <w:b w:val="0"/>
          <w:bCs/>
          <w:sz w:val="32"/>
          <w:szCs w:val="32"/>
          <w:highlight w:val="none"/>
          <w:lang w:val="zh-CN"/>
        </w:rPr>
      </w:pPr>
      <w:r>
        <w:rPr>
          <w:rFonts w:hint="eastAsia" w:ascii="方正楷体简体" w:hAnsi="方正楷体简体" w:eastAsia="方正楷体简体" w:cs="方正楷体简体"/>
          <w:b w:val="0"/>
          <w:bCs/>
          <w:sz w:val="32"/>
          <w:szCs w:val="32"/>
          <w:highlight w:val="none"/>
          <w:lang w:val="zh-CN"/>
        </w:rPr>
        <w:t>（三）个性指标绩效分析。</w:t>
      </w:r>
    </w:p>
    <w:p>
      <w:pPr>
        <w:pStyle w:val="9"/>
        <w:spacing w:before="0" w:beforeAutospacing="0" w:line="576"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一是依托主流媒体引流。与新华社、人民日报、中新社、中国文化报、川报川台等深度合作，宣介广元文旅。《蜀道问窟》纪录片上线央视频，广元文旅局长通过央视四套新媒体矩阵，邀请各地游客到“女皇故里过大年”。广元文旅推介官通过CCTV3综艺频道《开门大吉》节目推介广元。剑阁县翠云廊、青川县青坪村等景点在央视龙年春晚亮相。剑门关、翠云廊、曾家山等景区、背诵蜀道难免门票等活动，在央视《新闻联播》、CCTV13《新闻直播间》《法治在线》《东方时空》等栏目中多次报道。组织开展了全国经济媒体广元文旅采风活动，在北上广、山西、河南等地经济媒体发出广元文旅声音。二是依托热点事件引流</w:t>
      </w:r>
      <w:r>
        <w:rPr>
          <w:rFonts w:hint="eastAsia" w:ascii="仿宋_GB2312" w:hAnsi="仿宋_GB2312" w:eastAsia="仿宋_GB2312" w:cs="仿宋_GB2312"/>
          <w:color w:val="auto"/>
          <w:kern w:val="0"/>
          <w:sz w:val="32"/>
          <w:szCs w:val="32"/>
          <w:highlight w:val="none"/>
          <w:shd w:val="clear" w:color="auto" w:fill="FFFFFF"/>
          <w:lang w:val="en" w:eastAsia="zh-CN" w:bidi="ar-SA"/>
        </w:rPr>
        <w:t>。</w:t>
      </w:r>
      <w:r>
        <w:rPr>
          <w:rFonts w:hint="eastAsia" w:ascii="仿宋_GB2312" w:hAnsi="仿宋_GB2312" w:eastAsia="仿宋_GB2312" w:cs="仿宋_GB2312"/>
          <w:color w:val="auto"/>
          <w:kern w:val="0"/>
          <w:sz w:val="32"/>
          <w:szCs w:val="32"/>
          <w:highlight w:val="none"/>
          <w:shd w:val="clear" w:color="auto" w:fill="FFFFFF"/>
          <w:lang w:val="zh-CN" w:eastAsia="zh-CN" w:bidi="ar-SA"/>
        </w:rPr>
        <w:t>在“尔滨”事件火爆全网时，我们迅速响应，发布相关抖音视频100余条，组织剑门关景区赴哈尔滨参加省厅举办的文旅宣传推广活动，“雄关武士”巡街深受哈尔滨游客喜爱；活动后邀请鄂伦春族非遗文化表演队到剑门关、翠云廊、青溪古城、唐家河等景区开展非遗表演，</w:t>
      </w:r>
      <w:r>
        <w:rPr>
          <w:rFonts w:hint="eastAsia" w:ascii="仿宋_GB2312" w:hAnsi="仿宋_GB2312" w:eastAsia="仿宋_GB2312" w:cs="仿宋_GB2312"/>
          <w:color w:val="auto"/>
          <w:kern w:val="0"/>
          <w:sz w:val="32"/>
          <w:szCs w:val="32"/>
          <w:highlight w:val="none"/>
          <w:shd w:val="clear" w:color="auto" w:fill="FFFFFF"/>
          <w:lang w:val="en" w:eastAsia="zh-CN" w:bidi="ar-SA"/>
        </w:rPr>
        <w:t>借助“哈尔滨热”大力宣传广元，</w:t>
      </w:r>
      <w:r>
        <w:rPr>
          <w:rFonts w:hint="eastAsia" w:ascii="仿宋_GB2312" w:hAnsi="仿宋_GB2312" w:eastAsia="仿宋_GB2312" w:cs="仿宋_GB2312"/>
          <w:color w:val="auto"/>
          <w:kern w:val="0"/>
          <w:sz w:val="32"/>
          <w:szCs w:val="32"/>
          <w:highlight w:val="none"/>
          <w:shd w:val="clear" w:color="auto" w:fill="FFFFFF"/>
          <w:lang w:val="zh-CN" w:eastAsia="zh-CN" w:bidi="ar-SA"/>
        </w:rPr>
        <w:t>全网曝光量达9000余万。三是依托合作联盟引流。借助“云上龙门”品牌。广元石窟研究所联合龙门石窟研究院等，开展“云上龙门牵手广元石窟”直播活动4场，50余家媒体及文博KOL账号参与直播，发布原创新媒体作品近400条，微博话题#云上龙门牵手广元石窟#阅读量超1246万。与中国博鳌旅游联盟、银川、张家界、六盘水、陇南等旅游协会和城市签署文化旅游战略合作协议。</w:t>
      </w: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eastAsia="zh-CN"/>
        </w:rPr>
      </w:pPr>
      <w:r>
        <w:rPr>
          <w:rFonts w:hint="eastAsia" w:ascii="方正黑体简体" w:hAnsi="方正黑体简体" w:eastAsia="方正黑体简体" w:cs="方正黑体简体"/>
          <w:sz w:val="32"/>
          <w:szCs w:val="32"/>
          <w:highlight w:val="none"/>
          <w:lang w:eastAsia="zh-CN"/>
        </w:rPr>
        <w:t>四、评价结论</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本项目项目绩效自评得分</w:t>
      </w:r>
      <w:r>
        <w:rPr>
          <w:rFonts w:hint="eastAsia" w:ascii="仿宋_GB2312" w:hAnsi="仿宋_GB2312" w:eastAsia="仿宋_GB2312" w:cs="仿宋_GB2312"/>
          <w:color w:val="auto"/>
          <w:kern w:val="0"/>
          <w:sz w:val="32"/>
          <w:szCs w:val="32"/>
          <w:highlight w:val="none"/>
          <w:shd w:val="clear" w:color="auto" w:fill="FFFFFF"/>
          <w:lang w:val="en-US" w:eastAsia="zh-CN" w:bidi="ar-SA"/>
        </w:rPr>
        <w:t>98</w:t>
      </w:r>
      <w:r>
        <w:rPr>
          <w:rFonts w:hint="eastAsia" w:ascii="仿宋_GB2312" w:hAnsi="仿宋_GB2312" w:eastAsia="仿宋_GB2312" w:cs="仿宋_GB2312"/>
          <w:color w:val="auto"/>
          <w:kern w:val="0"/>
          <w:sz w:val="32"/>
          <w:szCs w:val="32"/>
          <w:highlight w:val="none"/>
          <w:shd w:val="clear" w:color="auto" w:fill="FFFFFF"/>
          <w:lang w:val="zh-CN" w:eastAsia="zh-CN" w:bidi="ar-SA"/>
        </w:rPr>
        <w:t>分，整体实施效果良好，达到了预期目标。</w:t>
      </w:r>
    </w:p>
    <w:p>
      <w:pPr>
        <w:pStyle w:val="2"/>
        <w:tabs>
          <w:tab w:val="left" w:pos="2160"/>
        </w:tabs>
        <w:spacing w:line="600" w:lineRule="exact"/>
        <w:ind w:firstLine="640" w:firstLineChars="200"/>
        <w:rPr>
          <w:rFonts w:hint="eastAsia" w:ascii="方正黑体简体" w:hAnsi="方正黑体简体" w:eastAsia="方正黑体简体" w:cs="方正黑体简体"/>
          <w:kern w:val="2"/>
          <w:sz w:val="32"/>
          <w:szCs w:val="32"/>
          <w:highlight w:val="none"/>
          <w:lang w:val="en-US" w:eastAsia="zh-CN" w:bidi="ar-SA"/>
        </w:rPr>
      </w:pPr>
      <w:r>
        <w:rPr>
          <w:rFonts w:hint="eastAsia" w:ascii="方正黑体简体" w:hAnsi="方正黑体简体" w:eastAsia="方正黑体简体" w:cs="方正黑体简体"/>
          <w:kern w:val="2"/>
          <w:sz w:val="32"/>
          <w:szCs w:val="32"/>
          <w:highlight w:val="none"/>
          <w:lang w:val="en-US" w:eastAsia="zh-CN" w:bidi="ar-SA"/>
        </w:rPr>
        <w:t>五、存在主要问题</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媒体宣传内容还有需创新提升，目前我市银发经济持续火热，还需提升宣传力度，吸引更多游客来广</w:t>
      </w:r>
      <w:r>
        <w:rPr>
          <w:rFonts w:hint="eastAsia" w:ascii="仿宋_GB2312" w:hAnsi="仿宋_GB2312" w:eastAsia="仿宋_GB2312" w:cs="仿宋_GB2312"/>
          <w:color w:val="auto"/>
          <w:kern w:val="0"/>
          <w:sz w:val="32"/>
          <w:szCs w:val="32"/>
          <w:highlight w:val="none"/>
          <w:shd w:val="clear" w:color="auto" w:fill="FFFFFF"/>
          <w:lang w:val="zh-CN" w:eastAsia="zh-CN" w:bidi="ar-SA"/>
        </w:rPr>
        <w:t>。</w:t>
      </w:r>
    </w:p>
    <w:p>
      <w:pPr>
        <w:pStyle w:val="2"/>
        <w:tabs>
          <w:tab w:val="left" w:pos="2160"/>
        </w:tabs>
        <w:spacing w:line="600" w:lineRule="exact"/>
        <w:ind w:firstLine="640" w:firstLineChars="200"/>
        <w:rPr>
          <w:rFonts w:hint="eastAsia" w:ascii="方正黑体简体" w:hAnsi="方正黑体简体" w:eastAsia="方正黑体简体" w:cs="方正黑体简体"/>
          <w:kern w:val="2"/>
          <w:sz w:val="32"/>
          <w:szCs w:val="32"/>
          <w:highlight w:val="none"/>
          <w:lang w:val="zh-CN" w:eastAsia="zh-CN" w:bidi="ar-SA"/>
        </w:rPr>
      </w:pPr>
      <w:r>
        <w:rPr>
          <w:rFonts w:hint="eastAsia" w:ascii="方正黑体简体" w:hAnsi="方正黑体简体" w:eastAsia="方正黑体简体" w:cs="方正黑体简体"/>
          <w:kern w:val="2"/>
          <w:sz w:val="32"/>
          <w:szCs w:val="32"/>
          <w:highlight w:val="none"/>
          <w:lang w:val="zh-CN" w:eastAsia="zh-CN" w:bidi="ar-SA"/>
        </w:rPr>
        <w:t>六、改进建议</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与地方知名新媒体合作等方式进行市场开拓。开展线上宣传推广活动。结合“四季游广元”活动，在重点客源城市开展新媒体广告宣传，邀请重点城市自媒体从业人员到我市进行重点旅游线路踩线体验。强化与主流媒体合作，常态化线上宣传推广广元。</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附表：专项预算项目绩效目标完成情况自评表</w:t>
      </w:r>
    </w:p>
    <w:p>
      <w:pPr>
        <w:spacing w:line="400" w:lineRule="exact"/>
        <w:jc w:val="left"/>
        <w:rPr>
          <w:rFonts w:hint="eastAsia" w:ascii="宋体" w:hAnsi="宋体" w:eastAsia="宋体" w:cs="宋体"/>
          <w:sz w:val="21"/>
          <w:szCs w:val="21"/>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pStyle w:val="2"/>
        <w:rPr>
          <w:rFonts w:hint="eastAsia"/>
        </w:rPr>
      </w:pP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附表</w:t>
      </w:r>
    </w:p>
    <w:tbl>
      <w:tblPr>
        <w:tblStyle w:val="21"/>
        <w:tblW w:w="10233" w:type="dxa"/>
        <w:jc w:val="center"/>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tblPrEx>
          <w:tblCellMar>
            <w:top w:w="15" w:type="dxa"/>
            <w:left w:w="15" w:type="dxa"/>
            <w:bottom w:w="15" w:type="dxa"/>
            <w:right w:w="15" w:type="dxa"/>
          </w:tblCellMar>
        </w:tblPrEx>
        <w:trPr>
          <w:trHeight w:val="531" w:hRule="atLeast"/>
          <w:jc w:val="center"/>
        </w:trPr>
        <w:tc>
          <w:tcPr>
            <w:tcW w:w="10233" w:type="dxa"/>
            <w:gridSpan w:val="9"/>
            <w:tcBorders>
              <w:top w:val="nil"/>
              <w:left w:val="nil"/>
              <w:bottom w:val="nil"/>
              <w:right w:val="nil"/>
            </w:tcBorders>
            <w:vAlign w:val="center"/>
          </w:tcPr>
          <w:p>
            <w:pPr>
              <w:jc w:val="center"/>
              <w:rPr>
                <w:highlight w:val="none"/>
              </w:rPr>
            </w:pPr>
            <w:r>
              <w:rPr>
                <w:rFonts w:hint="eastAsia"/>
                <w:highlight w:val="none"/>
              </w:rPr>
              <w:t>专项预算项目绩效目标完成情况自评表</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项目名称</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lang w:val="en-US" w:eastAsia="zh-CN"/>
              </w:rPr>
              <w:t>媒体宣传项目</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预算单位</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广元市文化广播电视和旅游局</w:t>
            </w:r>
          </w:p>
        </w:tc>
      </w:tr>
      <w:tr>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项目类型</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 概况</w:t>
            </w: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中长期规划（名称、文号，仅指</w:t>
            </w:r>
          </w:p>
          <w:p>
            <w:pPr>
              <w:rPr>
                <w:rFonts w:hint="eastAsia"/>
                <w:highlight w:val="none"/>
              </w:rPr>
            </w:pPr>
            <w:r>
              <w:rPr>
                <w:rFonts w:hint="eastAsia"/>
                <w:highlight w:val="none"/>
              </w:rPr>
              <w:t>常年项目）</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资金管理办法（名称、文号）</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绩效分配方式</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highlight w:val="none"/>
              </w:rPr>
              <w:t>£</w:t>
            </w:r>
            <w:r>
              <w:rPr>
                <w:rFonts w:hint="eastAsia"/>
                <w:highlight w:val="none"/>
              </w:rPr>
              <w:t>因素法</w:t>
            </w:r>
          </w:p>
        </w:tc>
        <w:tc>
          <w:tcPr>
            <w:tcW w:w="2032" w:type="dxa"/>
            <w:gridSpan w:val="2"/>
            <w:tcBorders>
              <w:top w:val="single" w:color="000000" w:sz="4" w:space="0"/>
              <w:left w:val="nil"/>
              <w:bottom w:val="single" w:color="000000" w:sz="4" w:space="0"/>
              <w:right w:val="single" w:color="000000" w:sz="4" w:space="0"/>
            </w:tcBorders>
            <w:vAlign w:val="center"/>
          </w:tcPr>
          <w:p>
            <w:pPr>
              <w:rPr>
                <w:highlight w:val="none"/>
              </w:rPr>
            </w:pPr>
            <w:r>
              <w:rPr>
                <w:rFonts w:hint="eastAsia"/>
                <w:highlight w:val="none"/>
                <w:lang w:val="en-US" w:eastAsia="zh-CN"/>
              </w:rPr>
              <w:t>√</w:t>
            </w:r>
            <w:r>
              <w:rPr>
                <w:highlight w:val="none"/>
              </w:rPr>
              <w:t>项目法</w:t>
            </w:r>
          </w:p>
        </w:tc>
        <w:tc>
          <w:tcPr>
            <w:tcW w:w="938" w:type="dxa"/>
            <w:tcBorders>
              <w:top w:val="single" w:color="000000" w:sz="4" w:space="0"/>
              <w:left w:val="nil"/>
              <w:bottom w:val="single" w:color="000000" w:sz="4" w:space="0"/>
              <w:right w:val="single" w:color="000000" w:sz="4" w:space="0"/>
            </w:tcBorders>
            <w:vAlign w:val="center"/>
          </w:tcPr>
          <w:p>
            <w:pPr>
              <w:rPr>
                <w:highlight w:val="none"/>
              </w:rPr>
            </w:pPr>
            <w:r>
              <w:rPr>
                <w:highlight w:val="none"/>
              </w:rPr>
              <w:t>£</w:t>
            </w:r>
            <w:r>
              <w:rPr>
                <w:rFonts w:hint="eastAsia"/>
                <w:highlight w:val="none"/>
              </w:rPr>
              <w:t>据实据效</w:t>
            </w:r>
          </w:p>
        </w:tc>
        <w:tc>
          <w:tcPr>
            <w:tcW w:w="1841" w:type="dxa"/>
            <w:tcBorders>
              <w:top w:val="single" w:color="000000" w:sz="4" w:space="0"/>
              <w:left w:val="nil"/>
              <w:bottom w:val="single" w:color="000000" w:sz="4" w:space="0"/>
              <w:right w:val="single" w:color="000000" w:sz="4" w:space="0"/>
            </w:tcBorders>
            <w:vAlign w:val="center"/>
          </w:tcPr>
          <w:p>
            <w:pPr>
              <w:rPr>
                <w:highlight w:val="none"/>
              </w:rPr>
            </w:pPr>
            <w:r>
              <w:rPr>
                <w:highlight w:val="none"/>
              </w:rPr>
              <w:t>£</w:t>
            </w:r>
            <w:r>
              <w:rPr>
                <w:rFonts w:hint="eastAsia"/>
                <w:highlight w:val="none"/>
              </w:rPr>
              <w:t>因素法与项目法相结合</w:t>
            </w:r>
          </w:p>
        </w:tc>
      </w:tr>
      <w:tr>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highlight w:val="none"/>
              </w:rPr>
            </w:pPr>
            <w:r>
              <w:rPr>
                <w:rFonts w:hint="eastAsia"/>
                <w:highlight w:val="none"/>
              </w:rPr>
              <w:t>立项依据</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使用范围</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申报（补助）条件</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项目起止年限</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2023.6.30-2023.12.31</w:t>
            </w:r>
          </w:p>
        </w:tc>
      </w:tr>
      <w:tr>
        <w:trPr>
          <w:trHeight w:val="23" w:hRule="atLeast"/>
          <w:jc w:val="center"/>
        </w:trPr>
        <w:tc>
          <w:tcPr>
            <w:tcW w:w="1733" w:type="dxa"/>
            <w:gridSpan w:val="2"/>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项目资金</w:t>
            </w:r>
          </w:p>
          <w:p>
            <w:pPr>
              <w:rPr>
                <w:rFonts w:hint="eastAsia"/>
                <w:highlight w:val="none"/>
              </w:rPr>
            </w:pPr>
            <w:r>
              <w:rPr>
                <w:rFonts w:hint="eastAsia"/>
                <w:highlight w:val="none"/>
              </w:rPr>
              <w:t>（万元）</w:t>
            </w: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年度资金总额：</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5.4026</w:t>
            </w:r>
          </w:p>
        </w:tc>
      </w:tr>
      <w:tr>
        <w:tblPrEx>
          <w:tblCellMar>
            <w:top w:w="15" w:type="dxa"/>
            <w:left w:w="15" w:type="dxa"/>
            <w:bottom w:w="15" w:type="dxa"/>
            <w:right w:w="15" w:type="dxa"/>
          </w:tblCellMar>
        </w:tblPrEx>
        <w:trPr>
          <w:trHeight w:val="23" w:hRule="atLeast"/>
          <w:jc w:val="center"/>
        </w:trPr>
        <w:tc>
          <w:tcPr>
            <w:tcW w:w="600" w:type="dxa"/>
            <w:gridSpan w:val="2"/>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其中：财政拨款</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lang w:val="en-US" w:eastAsia="zh-CN"/>
              </w:rPr>
              <w:t>5</w:t>
            </w:r>
            <w:r>
              <w:rPr>
                <w:rFonts w:hint="eastAsia"/>
                <w:highlight w:val="none"/>
              </w:rPr>
              <w:t>.4026</w:t>
            </w:r>
          </w:p>
        </w:tc>
      </w:tr>
      <w:tr>
        <w:tblPrEx>
          <w:tblCellMar>
            <w:top w:w="15" w:type="dxa"/>
            <w:left w:w="15" w:type="dxa"/>
            <w:bottom w:w="15" w:type="dxa"/>
            <w:right w:w="15" w:type="dxa"/>
          </w:tblCellMar>
        </w:tblPrEx>
        <w:trPr>
          <w:trHeight w:val="23" w:hRule="atLeast"/>
          <w:jc w:val="center"/>
        </w:trPr>
        <w:tc>
          <w:tcPr>
            <w:tcW w:w="600" w:type="dxa"/>
            <w:gridSpan w:val="2"/>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其他资金</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0</w:t>
            </w: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总体 目标</w:t>
            </w:r>
          </w:p>
        </w:tc>
        <w:tc>
          <w:tcPr>
            <w:tcW w:w="9581" w:type="dxa"/>
            <w:gridSpan w:val="8"/>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年度目标</w:t>
            </w:r>
          </w:p>
        </w:tc>
      </w:tr>
      <w:tr>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9581" w:type="dxa"/>
            <w:gridSpan w:val="8"/>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在2024年度，通过精心策划与执行“游大美蜀道 品广元好茶”系列文化旅游暨茶产业推介会，显著提升广元市“剑门蜀道，女皇故里，红色热土，康养胜地”的国内外知名度和美誉度，实现文化旅游产业综合效益的大幅增长。</w:t>
            </w: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nil"/>
            </w:tcBorders>
            <w:vAlign w:val="center"/>
          </w:tcPr>
          <w:p>
            <w:pPr>
              <w:rPr>
                <w:rFonts w:hint="eastAsia"/>
                <w:highlight w:val="none"/>
              </w:rPr>
            </w:pPr>
            <w:r>
              <w:rPr>
                <w:rFonts w:hint="eastAsia"/>
                <w:highlight w:val="none"/>
              </w:rPr>
              <w:t>绩效指标</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一级指标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二级指标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三级指标</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指标性质</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指标值</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度量单位</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完成值</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权重</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产出指标</w:t>
            </w:r>
          </w:p>
        </w:tc>
        <w:tc>
          <w:tcPr>
            <w:tcW w:w="1250" w:type="dxa"/>
            <w:tcBorders>
              <w:top w:val="single" w:color="000000" w:sz="4" w:space="0"/>
              <w:left w:val="nil"/>
              <w:bottom w:val="nil"/>
              <w:right w:val="single" w:color="000000" w:sz="4" w:space="0"/>
            </w:tcBorders>
            <w:vAlign w:val="center"/>
          </w:tcPr>
          <w:p>
            <w:pPr>
              <w:rPr>
                <w:rFonts w:hint="eastAsia"/>
                <w:highlight w:val="none"/>
              </w:rPr>
            </w:pPr>
            <w:r>
              <w:rPr>
                <w:rFonts w:hint="eastAsia"/>
                <w:highlight w:val="none"/>
              </w:rPr>
              <w:t>数量指标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在成都、重庆、兰州、西安4个城市举办“游大美蜀道  品广元好茶”文化旅游和茶产业推介活动。</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场</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时效指标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4月完成4个城市的“游大美蜀道  品广元好茶”文化旅游和茶产业推介活动</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定性</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4个</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月</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4个</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r>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效益指标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社会效益指标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文化旅游影响力明显提升，资金使用无重大违规违纪问题</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定性</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好</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好</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可持续影响指标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通过宣传推介活动，有效提升城市品牌在川陕甘结合部、四大省会城市的知名度和影响力，进一步突出广元川陕甘结合部文化旅游集散服务中心、大蜀道国际文化旅游目的地印象。</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定性</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好</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好</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满意度指标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满意度指标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社会公众满意度</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95</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95</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经济成本指标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预算执行控制</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5.4</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万元</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bl>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pStyle w:val="40"/>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14</w:t>
      </w:r>
    </w:p>
    <w:p>
      <w:pPr>
        <w:pStyle w:val="40"/>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黑体" w:hAnsi="黑体" w:eastAsia="黑体" w:cs="黑体"/>
          <w:sz w:val="32"/>
          <w:szCs w:val="32"/>
          <w:highlight w:val="none"/>
          <w:lang w:val="en-US" w:eastAsia="zh-CN"/>
        </w:rPr>
      </w:pPr>
    </w:p>
    <w:p>
      <w:pPr>
        <w:pStyle w:val="40"/>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省级文化和旅游发展专项资金2024年“引客入川”奖补项目预算项目绩效评价报告</w:t>
      </w:r>
    </w:p>
    <w:p>
      <w:pPr>
        <w:pStyle w:val="40"/>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color w:val="auto"/>
          <w:sz w:val="32"/>
          <w:szCs w:val="32"/>
          <w:highlight w:val="none"/>
          <w:lang w:val="zh-CN"/>
        </w:rPr>
      </w:pPr>
      <w:r>
        <w:rPr>
          <w:rFonts w:hint="eastAsia" w:ascii="方正黑体简体" w:hAnsi="方正黑体简体" w:eastAsia="方正黑体简体" w:cs="方正黑体简体"/>
          <w:color w:val="auto"/>
          <w:sz w:val="32"/>
          <w:szCs w:val="32"/>
          <w:highlight w:val="none"/>
        </w:rPr>
        <w:t>一、</w:t>
      </w:r>
      <w:r>
        <w:rPr>
          <w:rFonts w:hint="eastAsia" w:ascii="方正黑体简体" w:hAnsi="方正黑体简体" w:eastAsia="方正黑体简体" w:cs="方正黑体简体"/>
          <w:color w:val="auto"/>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color w:val="auto"/>
          <w:sz w:val="32"/>
          <w:szCs w:val="32"/>
          <w:highlight w:val="none"/>
          <w:u w:val="none"/>
          <w:lang w:val="zh-CN"/>
        </w:rPr>
        <w:t>（一）设立背景及基本情况。</w:t>
      </w:r>
      <w:r>
        <w:rPr>
          <w:rFonts w:hint="eastAsia" w:ascii="仿宋_GB2312" w:hAnsi="仿宋_GB2312" w:eastAsia="仿宋_GB2312" w:cs="仿宋_GB2312"/>
          <w:color w:val="auto"/>
          <w:kern w:val="0"/>
          <w:sz w:val="32"/>
          <w:szCs w:val="32"/>
          <w:highlight w:val="none"/>
          <w:shd w:val="clear" w:color="auto" w:fill="FFFFFF"/>
          <w:lang w:val="zh-CN" w:eastAsia="zh-CN" w:bidi="ar-SA"/>
        </w:rPr>
        <w:t>四川省文化和旅游厅、四川省财政厅联合印发的《关于印发旅行社“引客入川”奖补实施方案的通知》（川文旅发〔2023〕94号）。对2023年11月1日至2024年3月31日“冬游四川消费季”期间，组织旅游团队来川的旅行社按每人次 30 元给予奖补；对组织包机、列车团和直通车来川旅游的旅行社分类分档予以奖补。所需资金由省与市县按8：2比例负担。</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（二）</w:t>
      </w:r>
      <w:r>
        <w:rPr>
          <w:rFonts w:hint="eastAsia" w:ascii="方正楷体简体" w:hAnsi="方正楷体简体" w:eastAsia="方正楷体简体" w:cs="方正楷体简体"/>
          <w:b w:val="0"/>
          <w:bCs/>
          <w:color w:val="auto"/>
          <w:sz w:val="32"/>
          <w:szCs w:val="32"/>
          <w:highlight w:val="none"/>
          <w:u w:val="none"/>
          <w:lang w:val="en-US" w:eastAsia="zh-CN"/>
        </w:rPr>
        <w:t>实施目的及支持方向。</w:t>
      </w:r>
      <w:r>
        <w:rPr>
          <w:rFonts w:hint="eastAsia" w:ascii="仿宋_GB2312" w:hAnsi="仿宋_GB2312" w:eastAsia="仿宋_GB2312" w:cs="仿宋_GB2312"/>
          <w:color w:val="auto"/>
          <w:kern w:val="0"/>
          <w:sz w:val="32"/>
          <w:szCs w:val="32"/>
          <w:highlight w:val="none"/>
          <w:shd w:val="clear" w:color="auto" w:fill="FFFFFF"/>
          <w:lang w:val="en-US" w:eastAsia="zh-CN" w:bidi="ar-SA"/>
        </w:rPr>
        <w:t>根据高质量发展激励政策，我市深入贯彻落实旅行社引客入川奖补政策，通过召开政策宣讲会、发布推文等方式积极向全市旅行社宣传奖补政策，鼓励旅行社“冬游四川消费季”期间引进更多省外游客。</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eastAsia="zh-CN"/>
        </w:rPr>
        <w:t>（三）</w:t>
      </w:r>
      <w:r>
        <w:rPr>
          <w:rFonts w:hint="eastAsia" w:ascii="方正楷体简体" w:hAnsi="方正楷体简体" w:eastAsia="方正楷体简体" w:cs="方正楷体简体"/>
          <w:b w:val="0"/>
          <w:bCs/>
          <w:color w:val="auto"/>
          <w:sz w:val="32"/>
          <w:szCs w:val="32"/>
          <w:highlight w:val="none"/>
          <w:u w:val="none"/>
          <w:lang w:val="en-US" w:eastAsia="zh-CN"/>
        </w:rPr>
        <w:t>预算安排及分配管理</w:t>
      </w:r>
      <w:r>
        <w:rPr>
          <w:rFonts w:hint="eastAsia" w:ascii="方正楷体简体" w:hAnsi="方正楷体简体" w:eastAsia="方正楷体简体" w:cs="方正楷体简体"/>
          <w:b w:val="0"/>
          <w:bCs/>
          <w:color w:val="auto"/>
          <w:sz w:val="32"/>
          <w:szCs w:val="32"/>
          <w:highlight w:val="none"/>
          <w:u w:val="none"/>
          <w:lang w:val="zh-CN" w:eastAsia="zh-CN"/>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本项目总计安排金额22.09万元，对申报旅行社给予奖励。</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eastAsia="zh-CN"/>
        </w:rPr>
        <w:t>（四）项目绩效目标设置。</w:t>
      </w:r>
      <w:r>
        <w:rPr>
          <w:rFonts w:hint="eastAsia" w:ascii="仿宋_GB2312" w:hAnsi="仿宋_GB2312" w:eastAsia="仿宋_GB2312" w:cs="仿宋_GB2312"/>
          <w:color w:val="auto"/>
          <w:kern w:val="0"/>
          <w:sz w:val="32"/>
          <w:szCs w:val="32"/>
          <w:highlight w:val="none"/>
          <w:shd w:val="clear" w:color="auto" w:fill="FFFFFF"/>
          <w:lang w:val="zh-CN" w:eastAsia="zh-CN" w:bidi="ar-SA"/>
        </w:rPr>
        <w:t>绩效目标设置主要包括旅游营销奖励资金兑现率和吸引组团游客人数两个方面。本次奖励</w:t>
      </w:r>
      <w:r>
        <w:rPr>
          <w:rFonts w:hint="eastAsia" w:ascii="仿宋_GB2312" w:hAnsi="仿宋_GB2312" w:eastAsia="仿宋_GB2312" w:cs="仿宋_GB2312"/>
          <w:color w:val="auto"/>
          <w:kern w:val="0"/>
          <w:sz w:val="32"/>
          <w:szCs w:val="32"/>
          <w:highlight w:val="none"/>
          <w:shd w:val="clear" w:color="auto" w:fill="FFFFFF"/>
          <w:lang w:val="en-US" w:eastAsia="zh-CN" w:bidi="ar-SA"/>
        </w:rPr>
        <w:t>预计实现</w:t>
      </w:r>
      <w:r>
        <w:rPr>
          <w:rFonts w:hint="eastAsia" w:ascii="仿宋_GB2312" w:hAnsi="仿宋_GB2312" w:eastAsia="仿宋_GB2312" w:cs="仿宋_GB2312"/>
          <w:color w:val="auto"/>
          <w:kern w:val="0"/>
          <w:sz w:val="32"/>
          <w:szCs w:val="32"/>
          <w:highlight w:val="none"/>
          <w:shd w:val="clear" w:color="auto" w:fill="FFFFFF"/>
          <w:lang w:val="zh-CN" w:eastAsia="zh-CN" w:bidi="ar-SA"/>
        </w:rPr>
        <w:t>旅游营销奖励资金兑现率达到</w:t>
      </w:r>
      <w:r>
        <w:rPr>
          <w:rFonts w:hint="eastAsia" w:ascii="仿宋_GB2312" w:hAnsi="仿宋_GB2312" w:eastAsia="仿宋_GB2312" w:cs="仿宋_GB2312"/>
          <w:color w:val="auto"/>
          <w:kern w:val="0"/>
          <w:sz w:val="32"/>
          <w:szCs w:val="32"/>
          <w:highlight w:val="none"/>
          <w:shd w:val="clear" w:color="auto" w:fill="FFFFFF"/>
          <w:lang w:val="en-US" w:eastAsia="zh-CN" w:bidi="ar-SA"/>
        </w:rPr>
        <w:t>100%。</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color w:val="auto"/>
          <w:sz w:val="32"/>
          <w:szCs w:val="32"/>
          <w:highlight w:val="none"/>
          <w:lang w:eastAsia="zh-CN"/>
        </w:rPr>
      </w:pPr>
      <w:r>
        <w:rPr>
          <w:rFonts w:hint="eastAsia" w:ascii="方正黑体简体" w:hAnsi="方正黑体简体" w:eastAsia="方正黑体简体" w:cs="方正黑体简体"/>
          <w:color w:val="auto"/>
          <w:sz w:val="32"/>
          <w:szCs w:val="32"/>
          <w:highlight w:val="none"/>
        </w:rPr>
        <w:t>二、</w:t>
      </w:r>
      <w:r>
        <w:rPr>
          <w:rFonts w:hint="eastAsia" w:ascii="方正黑体简体" w:hAnsi="方正黑体简体" w:eastAsia="方正黑体简体" w:cs="方正黑体简体"/>
          <w:color w:val="auto"/>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（一）评价目的。</w:t>
      </w:r>
      <w:r>
        <w:rPr>
          <w:rFonts w:hint="eastAsia" w:ascii="仿宋_GB2312" w:hAnsi="仿宋_GB2312" w:eastAsia="仿宋_GB2312" w:cs="仿宋_GB2312"/>
          <w:color w:val="auto"/>
          <w:kern w:val="0"/>
          <w:sz w:val="32"/>
          <w:szCs w:val="32"/>
          <w:highlight w:val="none"/>
          <w:shd w:val="clear" w:color="auto" w:fill="FFFFFF"/>
          <w:lang w:val="en-US" w:eastAsia="zh-CN" w:bidi="ar-SA"/>
        </w:rPr>
        <w:t>增加政策的知晓度</w:t>
      </w:r>
      <w:r>
        <w:rPr>
          <w:rFonts w:hint="eastAsia" w:ascii="仿宋_GB2312" w:hAnsi="仿宋_GB2312" w:eastAsia="仿宋_GB2312" w:cs="仿宋_GB2312"/>
          <w:color w:val="auto"/>
          <w:kern w:val="0"/>
          <w:sz w:val="32"/>
          <w:szCs w:val="32"/>
          <w:highlight w:val="none"/>
          <w:shd w:val="clear" w:color="auto" w:fill="FFFFFF"/>
          <w:lang w:val="zh-CN" w:eastAsia="zh-CN" w:bidi="ar-SA"/>
        </w:rPr>
        <w:t>，引导市内外旅行社丰富到广元旅游的团队旅游产品，实现组团游客人数的不断增长</w:t>
      </w:r>
      <w:r>
        <w:rPr>
          <w:rFonts w:hint="eastAsia" w:ascii="仿宋_GB2312" w:hAnsi="仿宋_GB2312" w:eastAsia="仿宋_GB2312" w:cs="仿宋_GB2312"/>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方正楷体简体" w:hAnsi="方正楷体简体" w:eastAsia="方正楷体简体" w:cs="方正楷体简体"/>
          <w:b w:val="0"/>
          <w:bCs/>
          <w:color w:val="auto"/>
          <w:sz w:val="32"/>
          <w:szCs w:val="32"/>
          <w:highlight w:val="none"/>
          <w:u w:val="none"/>
          <w:lang w:val="zh-CN"/>
        </w:rPr>
        <w:t>（二）预设问题及评价重点。</w:t>
      </w:r>
      <w:r>
        <w:rPr>
          <w:rFonts w:hint="eastAsia" w:ascii="仿宋_GB2312" w:hAnsi="仿宋_GB2312" w:eastAsia="仿宋_GB2312" w:cs="仿宋_GB2312"/>
          <w:color w:val="auto"/>
          <w:kern w:val="0"/>
          <w:sz w:val="32"/>
          <w:szCs w:val="32"/>
          <w:highlight w:val="none"/>
          <w:shd w:val="clear" w:color="auto" w:fill="FFFFFF"/>
          <w:lang w:val="en-US" w:eastAsia="zh-CN" w:bidi="ar-SA"/>
        </w:rPr>
        <w:t>宣传力度可能不足，造成参与申报的旅行社数量不足，导致政策知晓度不高。</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（三）评价选点。</w:t>
      </w:r>
      <w:r>
        <w:rPr>
          <w:rFonts w:hint="eastAsia" w:ascii="仿宋_GB2312" w:hAnsi="仿宋_GB2312" w:eastAsia="仿宋_GB2312" w:cs="仿宋_GB2312"/>
          <w:color w:val="auto"/>
          <w:kern w:val="0"/>
          <w:sz w:val="32"/>
          <w:szCs w:val="32"/>
          <w:highlight w:val="none"/>
          <w:shd w:val="clear" w:color="auto" w:fill="FFFFFF"/>
          <w:lang w:val="en-US" w:eastAsia="zh-CN" w:bidi="ar-SA"/>
        </w:rPr>
        <w:t>选取了广元青年国际旅行社、蜀之道旅行社、广元康辉旅游社等重点企业进行评价。</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（四）评价方法。</w:t>
      </w:r>
      <w:r>
        <w:rPr>
          <w:rFonts w:hint="eastAsia" w:ascii="仿宋_GB2312" w:hAnsi="仿宋_GB2312" w:eastAsia="仿宋_GB2312" w:cs="仿宋_GB2312"/>
          <w:color w:val="auto"/>
          <w:kern w:val="0"/>
          <w:sz w:val="32"/>
          <w:szCs w:val="32"/>
          <w:highlight w:val="none"/>
          <w:shd w:val="clear" w:color="auto" w:fill="FFFFFF"/>
          <w:lang w:val="zh-CN" w:eastAsia="zh-CN" w:bidi="ar-SA"/>
        </w:rPr>
        <w:t>本次评价主要采取</w:t>
      </w:r>
      <w:r>
        <w:rPr>
          <w:rFonts w:hint="eastAsia" w:ascii="仿宋_GB2312" w:hAnsi="仿宋_GB2312" w:eastAsia="仿宋_GB2312" w:cs="仿宋_GB2312"/>
          <w:color w:val="auto"/>
          <w:kern w:val="0"/>
          <w:sz w:val="32"/>
          <w:szCs w:val="32"/>
          <w:highlight w:val="none"/>
          <w:shd w:val="clear" w:color="auto" w:fill="FFFFFF"/>
          <w:lang w:val="en-US" w:eastAsia="zh-CN" w:bidi="ar-SA"/>
        </w:rPr>
        <w:t>座谈调研法的方法，实地考察了解旅行社申报、兑现等情况。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color w:val="auto"/>
          <w:sz w:val="32"/>
          <w:szCs w:val="32"/>
          <w:highlight w:val="none"/>
          <w:u w:val="none"/>
          <w:lang w:val="zh-CN"/>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市文化广电旅游局宣传科教科、财务科相关人员组成评价小组，对项目实施进行评价。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仿宋_GB2312" w:eastAsia="仿宋_GB2312" w:cs="仿宋_GB2312"/>
          <w:color w:val="auto"/>
          <w:sz w:val="32"/>
          <w:szCs w:val="32"/>
          <w:highlight w:val="none"/>
          <w:u w:val="none"/>
          <w:lang w:val="zh-CN"/>
        </w:rPr>
      </w:pPr>
      <w:r>
        <w:rPr>
          <w:rFonts w:hint="eastAsia" w:ascii="方正黑体简体" w:hAnsi="方正黑体简体" w:eastAsia="方正黑体简体" w:cs="方正黑体简体"/>
          <w:color w:val="auto"/>
          <w:sz w:val="32"/>
          <w:szCs w:val="32"/>
          <w:highlight w:val="none"/>
        </w:rPr>
        <w:t>三、</w:t>
      </w:r>
      <w:r>
        <w:rPr>
          <w:rFonts w:hint="eastAsia" w:ascii="方正黑体简体" w:hAnsi="方正黑体简体" w:eastAsia="方正黑体简体" w:cs="方正黑体简体"/>
          <w:color w:val="auto"/>
          <w:sz w:val="32"/>
          <w:szCs w:val="32"/>
          <w:highlight w:val="none"/>
          <w:lang w:eastAsia="zh-CN"/>
        </w:rPr>
        <w:t>绩效分析</w:t>
      </w:r>
      <w:r>
        <w:rPr>
          <w:rFonts w:hint="eastAsia" w:ascii="仿宋_GB2312" w:hAnsi="仿宋_GB2312" w:eastAsia="仿宋_GB2312" w:cs="仿宋_GB2312"/>
          <w:color w:val="auto"/>
          <w:sz w:val="32"/>
          <w:szCs w:val="32"/>
          <w:highlight w:val="none"/>
          <w:u w:val="none"/>
          <w:lang w:val="zh-CN"/>
        </w:rPr>
        <w:tab/>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方正楷体简体" w:hAnsi="方正楷体简体" w:eastAsia="方正楷体简体" w:cs="方正楷体简体"/>
          <w:b w:val="0"/>
          <w:bCs/>
          <w:color w:val="auto"/>
          <w:sz w:val="32"/>
          <w:szCs w:val="32"/>
          <w:highlight w:val="none"/>
          <w:u w:val="none"/>
          <w:lang w:val="en-US" w:eastAsia="zh-CN"/>
        </w:rPr>
      </w:pPr>
      <w:r>
        <w:rPr>
          <w:rFonts w:hint="eastAsia" w:ascii="方正楷体简体" w:hAnsi="方正楷体简体" w:eastAsia="方正楷体简体" w:cs="方正楷体简体"/>
          <w:b w:val="0"/>
          <w:bCs/>
          <w:color w:val="auto"/>
          <w:sz w:val="32"/>
          <w:szCs w:val="32"/>
          <w:highlight w:val="none"/>
          <w:u w:val="none"/>
          <w:lang w:val="zh-CN"/>
        </w:rPr>
        <w:t>（一）</w:t>
      </w:r>
      <w:r>
        <w:rPr>
          <w:rFonts w:hint="eastAsia" w:ascii="方正楷体简体" w:hAnsi="方正楷体简体" w:eastAsia="方正楷体简体" w:cs="方正楷体简体"/>
          <w:b w:val="0"/>
          <w:bCs/>
          <w:color w:val="auto"/>
          <w:sz w:val="32"/>
          <w:szCs w:val="32"/>
          <w:highlight w:val="none"/>
          <w:u w:val="none"/>
          <w:lang w:val="en-US" w:eastAsia="zh-CN"/>
        </w:rPr>
        <w:t>通用指标</w:t>
      </w:r>
      <w:r>
        <w:rPr>
          <w:rFonts w:hint="eastAsia" w:ascii="方正楷体简体" w:hAnsi="方正楷体简体" w:eastAsia="方正楷体简体" w:cs="方正楷体简体"/>
          <w:b w:val="0"/>
          <w:bCs/>
          <w:color w:val="auto"/>
          <w:sz w:val="32"/>
          <w:szCs w:val="32"/>
          <w:highlight w:val="none"/>
          <w:u w:val="none"/>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1.项目决策。</w:t>
      </w:r>
      <w:r>
        <w:rPr>
          <w:rFonts w:hint="eastAsia" w:ascii="仿宋_GB2312" w:hAnsi="仿宋_GB2312" w:eastAsia="仿宋_GB2312" w:cs="仿宋_GB2312"/>
          <w:color w:val="auto"/>
          <w:kern w:val="0"/>
          <w:sz w:val="32"/>
          <w:szCs w:val="32"/>
          <w:highlight w:val="none"/>
          <w:shd w:val="clear" w:color="auto" w:fill="FFFFFF"/>
          <w:lang w:val="zh-CN" w:eastAsia="zh-CN" w:bidi="ar-SA"/>
        </w:rPr>
        <w:t>项目决策程序严密。旅行社申报后，市局宣传科教科按照《关于印发旅行社“引客入川”奖补实施方案的通知》（川文旅发〔2023〕94号）要求，系统数据专人审核</w:t>
      </w:r>
      <w:r>
        <w:rPr>
          <w:rFonts w:hint="eastAsia" w:ascii="仿宋_GB2312" w:hAnsi="仿宋_GB2312" w:eastAsia="仿宋_GB2312" w:cs="仿宋_GB2312"/>
          <w:color w:val="auto"/>
          <w:kern w:val="0"/>
          <w:sz w:val="32"/>
          <w:szCs w:val="32"/>
          <w:highlight w:val="none"/>
          <w:shd w:val="clear" w:color="auto" w:fill="FFFFFF"/>
          <w:lang w:val="en-US" w:eastAsia="zh-CN" w:bidi="ar-SA"/>
        </w:rPr>
        <w:t>并请审计公司进行审计</w:t>
      </w:r>
      <w:r>
        <w:rPr>
          <w:rFonts w:hint="eastAsia" w:ascii="仿宋_GB2312" w:hAnsi="仿宋_GB2312" w:eastAsia="仿宋_GB2312" w:cs="仿宋_GB2312"/>
          <w:color w:val="auto"/>
          <w:kern w:val="0"/>
          <w:sz w:val="32"/>
          <w:szCs w:val="32"/>
          <w:highlight w:val="none"/>
          <w:shd w:val="clear" w:color="auto" w:fill="FFFFFF"/>
          <w:lang w:val="zh-CN" w:eastAsia="zh-CN" w:bidi="ar-SA"/>
        </w:rPr>
        <w:t>，形成资金报告后报市财政局复核，资金拨付后报局党组会审定，审定后在局官网公示，公示期无异议后按程序拨付。</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2.项目管理。我市深入贯彻落实旅行社引客入川奖补政策，通过召开政策宣讲会、发布推文等方式积极向全市旅行社宣传奖补政策，鼓励旅行社“冬游四川消费季”期间引进更多省外游客。</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3.项目实施。预计使用资金22.09万元，实际使用22.09万元。项目资金使用、拨付符合国家财经法规、财务管理制度及有关专项资金管理制度办法规定和审批程序。</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4.项目结果。项目完成预期目标，实施结果与绩效目标相匹配，并在计划完成时间内完成。</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方正楷体简体" w:hAnsi="方正楷体简体" w:eastAsia="方正楷体简体" w:cs="方正楷体简体"/>
          <w:b w:val="0"/>
          <w:bCs/>
          <w:color w:val="auto"/>
          <w:sz w:val="32"/>
          <w:szCs w:val="32"/>
          <w:highlight w:val="none"/>
          <w:u w:val="none"/>
          <w:lang w:val="zh-CN" w:eastAsia="zh-CN"/>
        </w:rPr>
      </w:pPr>
      <w:r>
        <w:rPr>
          <w:rFonts w:hint="eastAsia" w:ascii="方正楷体简体" w:hAnsi="方正楷体简体" w:eastAsia="方正楷体简体" w:cs="方正楷体简体"/>
          <w:b w:val="0"/>
          <w:bCs/>
          <w:color w:val="auto"/>
          <w:sz w:val="32"/>
          <w:szCs w:val="32"/>
          <w:highlight w:val="none"/>
          <w:u w:val="none"/>
          <w:lang w:val="zh-CN"/>
        </w:rPr>
        <w:t>（二）</w:t>
      </w:r>
      <w:r>
        <w:rPr>
          <w:rFonts w:hint="eastAsia" w:ascii="方正楷体简体" w:hAnsi="方正楷体简体" w:eastAsia="方正楷体简体" w:cs="方正楷体简体"/>
          <w:b w:val="0"/>
          <w:bCs/>
          <w:color w:val="auto"/>
          <w:sz w:val="32"/>
          <w:szCs w:val="32"/>
          <w:highlight w:val="none"/>
          <w:u w:val="none"/>
          <w:lang w:val="en-US" w:eastAsia="zh-CN"/>
        </w:rPr>
        <w:t>专用指标</w:t>
      </w:r>
      <w:r>
        <w:rPr>
          <w:rFonts w:hint="eastAsia" w:ascii="方正楷体简体" w:hAnsi="方正楷体简体" w:eastAsia="方正楷体简体" w:cs="方正楷体简体"/>
          <w:b w:val="0"/>
          <w:bCs/>
          <w:color w:val="auto"/>
          <w:sz w:val="32"/>
          <w:szCs w:val="32"/>
          <w:highlight w:val="none"/>
          <w:u w:val="none"/>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项目实施与市委市政府重点支持文旅产业发展政策相符。相关企业为吸引更多游客消费不断推出各类新产品，提高创新产品能力。项目实施对相关企业（机构）主营业务收入等具有积极促进作用。</w:t>
      </w:r>
    </w:p>
    <w:p>
      <w:pPr>
        <w:keepNext w:val="0"/>
        <w:keepLines w:val="0"/>
        <w:pageBreakBefore w:val="0"/>
        <w:widowControl/>
        <w:suppressLineNumbers w:val="0"/>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color w:val="auto"/>
          <w:sz w:val="32"/>
          <w:szCs w:val="32"/>
          <w:highlight w:val="none"/>
          <w:u w:val="none"/>
          <w:lang w:val="zh-CN"/>
        </w:rPr>
        <w:t>（三）</w:t>
      </w:r>
      <w:r>
        <w:rPr>
          <w:rFonts w:hint="eastAsia" w:ascii="方正楷体简体" w:hAnsi="方正楷体简体" w:eastAsia="方正楷体简体" w:cs="方正楷体简体"/>
          <w:b w:val="0"/>
          <w:bCs/>
          <w:color w:val="auto"/>
          <w:sz w:val="32"/>
          <w:szCs w:val="32"/>
          <w:highlight w:val="none"/>
          <w:u w:val="none"/>
          <w:lang w:val="en-US" w:eastAsia="zh-CN"/>
        </w:rPr>
        <w:t>个性指标</w:t>
      </w:r>
      <w:r>
        <w:rPr>
          <w:rFonts w:hint="eastAsia" w:ascii="方正楷体简体" w:hAnsi="方正楷体简体" w:eastAsia="方正楷体简体" w:cs="方正楷体简体"/>
          <w:b w:val="0"/>
          <w:bCs/>
          <w:color w:val="auto"/>
          <w:sz w:val="32"/>
          <w:szCs w:val="32"/>
          <w:highlight w:val="none"/>
          <w:u w:val="none"/>
          <w:lang w:val="zh-CN"/>
        </w:rPr>
        <w:t>绩效分析。</w:t>
      </w:r>
      <w:r>
        <w:rPr>
          <w:rFonts w:hint="eastAsia" w:ascii="仿宋_GB2312" w:hAnsi="仿宋_GB2312" w:eastAsia="仿宋_GB2312" w:cs="仿宋_GB2312"/>
          <w:color w:val="auto"/>
          <w:kern w:val="0"/>
          <w:sz w:val="32"/>
          <w:szCs w:val="32"/>
          <w:highlight w:val="none"/>
          <w:shd w:val="clear" w:color="auto" w:fill="FFFFFF"/>
          <w:lang w:val="en-US" w:eastAsia="zh-CN" w:bidi="ar-SA"/>
        </w:rPr>
        <w:t>我市积极对标高质量发展激励政策，充分挖掘自身潜力，旅行社之间形成了竞相发展、你追我赶的良好工作格局。据统计，“冬游四川消费季”期间，我市共有广元青年国际旅行社有限责任公司、广元同旅国际旅行社有限公司、四川蜀之道研学文化传播有限公司3家旅行社参与引客入川奖补政策申请，组织15个团队1002人次来川旅游。其中，广元青年国际旅行社有限责任公司组织旅游团队来川人次奖补相关旅游团队共7批次158人，广元同旅国际旅行社有限公司组织旅行社组织列车团来川旅游奖补在100至199人范围内的旅游团队共6批次617人，四川蜀之道研学文化传播有限公司组织旅行社组织列车团来川旅游奖补在100至199人范围内的旅游团队共2批次227人，预计兑现奖励资金27.886万元。</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冬游四川消费季”期间，政策推动我市旅行社与外省旅行社合作进一步加强，如蜀之道旅行社加入博旅国际联盟，吸引了福建、北京等远程市场多个列车团来川旅游。政策结束后，仍带动1000余人的列车、汽车团持续到川旅游。广元同旅国际旅行社2024年3月组织游客量对比2023年同期，增长400%，极大促进了本地旅行社开展地接旅游服务业务的积极性和主动性。</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color w:val="auto"/>
          <w:sz w:val="32"/>
          <w:szCs w:val="32"/>
          <w:highlight w:val="none"/>
        </w:rPr>
      </w:pPr>
      <w:r>
        <w:rPr>
          <w:rFonts w:hint="eastAsia" w:ascii="方正黑体简体" w:hAnsi="方正黑体简体" w:eastAsia="方正黑体简体" w:cs="方正黑体简体"/>
          <w:color w:val="auto"/>
          <w:sz w:val="32"/>
          <w:szCs w:val="32"/>
          <w:highlight w:val="none"/>
          <w:lang w:eastAsia="zh-CN"/>
        </w:rPr>
        <w:t>四</w:t>
      </w:r>
      <w:r>
        <w:rPr>
          <w:rFonts w:hint="eastAsia" w:ascii="方正黑体简体" w:hAnsi="方正黑体简体" w:eastAsia="方正黑体简体" w:cs="方正黑体简体"/>
          <w:color w:val="auto"/>
          <w:sz w:val="32"/>
          <w:szCs w:val="32"/>
          <w:highlight w:val="none"/>
        </w:rPr>
        <w:t>、评价结论</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本项目项目绩效自评得分92分。</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color w:val="auto"/>
          <w:sz w:val="32"/>
          <w:szCs w:val="32"/>
          <w:highlight w:val="none"/>
          <w:lang w:eastAsia="zh-CN"/>
        </w:rPr>
      </w:pPr>
      <w:r>
        <w:rPr>
          <w:rFonts w:hint="eastAsia" w:ascii="方正黑体简体" w:hAnsi="方正黑体简体" w:eastAsia="方正黑体简体" w:cs="方正黑体简体"/>
          <w:color w:val="auto"/>
          <w:sz w:val="32"/>
          <w:szCs w:val="32"/>
          <w:highlight w:val="none"/>
          <w:lang w:eastAsia="zh-CN"/>
        </w:rPr>
        <w:t>五、存在主要问题</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根据市场反馈，旅行社对组织包机团队积极性高、参与意愿强，但竞争较激烈，导致多家旅行社最后未能成功组织包机团队。</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方正黑体简体" w:hAnsi="方正黑体简体" w:eastAsia="方正黑体简体" w:cs="方正黑体简体"/>
          <w:color w:val="auto"/>
          <w:sz w:val="32"/>
          <w:szCs w:val="32"/>
          <w:highlight w:val="none"/>
          <w:lang w:val="zh-CN" w:eastAsia="zh-CN"/>
        </w:rPr>
      </w:pPr>
      <w:r>
        <w:rPr>
          <w:rFonts w:hint="eastAsia" w:ascii="方正黑体简体" w:hAnsi="方正黑体简体" w:eastAsia="方正黑体简体" w:cs="方正黑体简体"/>
          <w:color w:val="auto"/>
          <w:sz w:val="32"/>
          <w:szCs w:val="32"/>
          <w:highlight w:val="none"/>
          <w:lang w:val="zh-CN" w:eastAsia="zh-CN"/>
        </w:rPr>
        <w:t>六、改进建议</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建议在2024年-2025年“冬游四川消费季”期间，持续实行“引客入川”奖补政策，调动市内旅行社积极性和参与度。</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keepNext w:val="0"/>
        <w:keepLines w:val="0"/>
        <w:pageBreakBefore w:val="0"/>
        <w:kinsoku/>
        <w:wordWrap/>
        <w:overflowPunct/>
        <w:topLinePunct w:val="0"/>
        <w:autoSpaceDE/>
        <w:autoSpaceDN/>
        <w:bidi w:val="0"/>
        <w:adjustRightInd/>
        <w:snapToGrid w:val="0"/>
        <w:spacing w:line="578" w:lineRule="exact"/>
        <w:ind w:left="0" w:leftChars="0" w:firstLine="1050" w:firstLineChars="500"/>
        <w:textAlignment w:val="auto"/>
        <w:outlineLvl w:val="9"/>
        <w:rPr>
          <w:rFonts w:hint="default" w:ascii="Times New Roman" w:hAnsi="Times New Roman" w:cs="Times New Roman"/>
          <w:color w:val="auto"/>
          <w:kern w:val="0"/>
          <w:szCs w:val="32"/>
          <w:highlight w:val="none"/>
          <w:shd w:val="clear" w:color="auto" w:fill="FFFFFF"/>
          <w:lang w:val="en-US" w:eastAsia="zh-CN"/>
        </w:rPr>
      </w:pPr>
    </w:p>
    <w:p>
      <w:pPr>
        <w:pStyle w:val="2"/>
        <w:rPr>
          <w:rFonts w:hint="default" w:ascii="Times New Roman" w:hAnsi="Times New Roman" w:cs="Times New Roman"/>
          <w:color w:val="auto"/>
          <w:kern w:val="0"/>
          <w:szCs w:val="32"/>
          <w:highlight w:val="none"/>
          <w:shd w:val="clear" w:color="auto" w:fill="FFFFFF"/>
          <w:lang w:val="en-US" w:eastAsia="zh-CN"/>
        </w:rPr>
      </w:pPr>
    </w:p>
    <w:p>
      <w:pPr>
        <w:rPr>
          <w:rFonts w:hint="default" w:ascii="Times New Roman" w:hAnsi="Times New Roman" w:cs="Times New Roman"/>
          <w:color w:val="auto"/>
          <w:kern w:val="0"/>
          <w:szCs w:val="32"/>
          <w:highlight w:val="none"/>
          <w:shd w:val="clear" w:color="auto" w:fill="FFFFFF"/>
          <w:lang w:val="en-US" w:eastAsia="zh-CN"/>
        </w:rPr>
      </w:pPr>
    </w:p>
    <w:p>
      <w:pPr>
        <w:pStyle w:val="2"/>
        <w:rPr>
          <w:rFonts w:hint="default"/>
          <w:highlight w:val="none"/>
          <w:lang w:val="en-US" w:eastAsia="zh-CN"/>
        </w:rPr>
      </w:pPr>
    </w:p>
    <w:p>
      <w:pPr>
        <w:pStyle w:val="17"/>
        <w:keepNext w:val="0"/>
        <w:keepLines w:val="0"/>
        <w:pageBreakBefore w:val="0"/>
        <w:kinsoku/>
        <w:wordWrap/>
        <w:overflowPunct/>
        <w:topLinePunct w:val="0"/>
        <w:autoSpaceDE/>
        <w:autoSpaceDN/>
        <w:bidi w:val="0"/>
        <w:spacing w:after="0" w:line="578" w:lineRule="exact"/>
        <w:ind w:left="0" w:leftChars="0" w:firstLine="0" w:firstLineChars="0"/>
        <w:rPr>
          <w:rFonts w:hint="default" w:ascii="黑体" w:hAnsi="黑体" w:eastAsia="黑体" w:cs="黑体"/>
          <w:color w:val="auto"/>
          <w:sz w:val="24"/>
          <w:szCs w:val="24"/>
          <w:highlight w:val="none"/>
          <w:lang w:val="en-US" w:eastAsia="zh-CN"/>
        </w:rPr>
      </w:pPr>
    </w:p>
    <w:p>
      <w:pPr>
        <w:spacing w:line="578" w:lineRule="exact"/>
        <w:rPr>
          <w:rFonts w:hint="default" w:ascii="黑体" w:hAnsi="黑体" w:eastAsia="黑体" w:cs="黑体"/>
          <w:sz w:val="32"/>
          <w:szCs w:val="32"/>
          <w:highlight w:val="none"/>
          <w:lang w:val="en-US" w:eastAsia="zh-CN"/>
        </w:rPr>
      </w:pPr>
    </w:p>
    <w:p>
      <w:pPr>
        <w:widowControl/>
        <w:jc w:val="center"/>
        <w:rPr>
          <w:rFonts w:hint="eastAsia" w:eastAsia="黑体"/>
          <w:sz w:val="44"/>
          <w:szCs w:val="44"/>
          <w:highlight w:val="none"/>
        </w:rPr>
      </w:pP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附表</w:t>
      </w:r>
    </w:p>
    <w:tbl>
      <w:tblPr>
        <w:tblStyle w:val="21"/>
        <w:tblW w:w="10233" w:type="dxa"/>
        <w:jc w:val="center"/>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tblPrEx>
          <w:tblCellMar>
            <w:top w:w="15" w:type="dxa"/>
            <w:left w:w="15" w:type="dxa"/>
            <w:bottom w:w="15" w:type="dxa"/>
            <w:right w:w="15" w:type="dxa"/>
          </w:tblCellMar>
        </w:tblPrEx>
        <w:trPr>
          <w:trHeight w:val="576" w:hRule="atLeast"/>
          <w:jc w:val="center"/>
        </w:trPr>
        <w:tc>
          <w:tcPr>
            <w:tcW w:w="10233" w:type="dxa"/>
            <w:gridSpan w:val="9"/>
            <w:tcBorders>
              <w:top w:val="nil"/>
              <w:left w:val="nil"/>
              <w:bottom w:val="nil"/>
              <w:right w:val="nil"/>
            </w:tcBorders>
            <w:vAlign w:val="center"/>
          </w:tcPr>
          <w:p>
            <w:pPr>
              <w:jc w:val="center"/>
              <w:rPr>
                <w:highlight w:val="none"/>
              </w:rPr>
            </w:pPr>
            <w:r>
              <w:rPr>
                <w:rFonts w:hint="eastAsia"/>
                <w:highlight w:val="none"/>
              </w:rPr>
              <w:t>专项预算项目绩效目标完成情况自评表</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项目名称</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广元市旅游营销奖励政策</w:t>
            </w:r>
          </w:p>
        </w:tc>
      </w:tr>
      <w:tr>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预算单位</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广元市文化广播电视和旅游局</w:t>
            </w:r>
          </w:p>
        </w:tc>
      </w:tr>
      <w:tr>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项目类型</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 概况</w:t>
            </w: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中长期规划（名称、文号，仅指</w:t>
            </w:r>
          </w:p>
          <w:p>
            <w:pPr>
              <w:rPr>
                <w:rFonts w:hint="eastAsia"/>
                <w:highlight w:val="none"/>
              </w:rPr>
            </w:pPr>
            <w:r>
              <w:rPr>
                <w:rFonts w:hint="eastAsia"/>
                <w:highlight w:val="none"/>
              </w:rPr>
              <w:t>常年项目）</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《关于印发旅行社“引客入川”奖补实施方案的通知》（川文旅发〔2023〕94号）</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资金管理办法（名称、文号）</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绩效分配方式</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highlight w:val="none"/>
              </w:rPr>
              <w:t>£</w:t>
            </w:r>
            <w:r>
              <w:rPr>
                <w:rFonts w:hint="eastAsia"/>
                <w:highlight w:val="none"/>
              </w:rPr>
              <w:t>因素法</w:t>
            </w:r>
          </w:p>
        </w:tc>
        <w:tc>
          <w:tcPr>
            <w:tcW w:w="2032" w:type="dxa"/>
            <w:gridSpan w:val="2"/>
            <w:tcBorders>
              <w:top w:val="single" w:color="000000" w:sz="4" w:space="0"/>
              <w:left w:val="nil"/>
              <w:bottom w:val="single" w:color="000000" w:sz="4" w:space="0"/>
              <w:right w:val="single" w:color="000000" w:sz="4" w:space="0"/>
            </w:tcBorders>
            <w:vAlign w:val="center"/>
          </w:tcPr>
          <w:p>
            <w:pPr>
              <w:rPr>
                <w:highlight w:val="none"/>
              </w:rPr>
            </w:pPr>
            <w:r>
              <w:rPr>
                <w:highlight w:val="none"/>
              </w:rPr>
              <w:t>R项目法</w:t>
            </w:r>
          </w:p>
        </w:tc>
        <w:tc>
          <w:tcPr>
            <w:tcW w:w="938" w:type="dxa"/>
            <w:tcBorders>
              <w:top w:val="single" w:color="000000" w:sz="4" w:space="0"/>
              <w:left w:val="nil"/>
              <w:bottom w:val="single" w:color="000000" w:sz="4" w:space="0"/>
              <w:right w:val="single" w:color="000000" w:sz="4" w:space="0"/>
            </w:tcBorders>
            <w:vAlign w:val="center"/>
          </w:tcPr>
          <w:p>
            <w:pPr>
              <w:rPr>
                <w:highlight w:val="none"/>
              </w:rPr>
            </w:pPr>
            <w:r>
              <w:rPr>
                <w:highlight w:val="none"/>
              </w:rPr>
              <w:t>£</w:t>
            </w:r>
            <w:r>
              <w:rPr>
                <w:rFonts w:hint="eastAsia"/>
                <w:highlight w:val="none"/>
              </w:rPr>
              <w:t>据实据效</w:t>
            </w:r>
          </w:p>
        </w:tc>
        <w:tc>
          <w:tcPr>
            <w:tcW w:w="1841" w:type="dxa"/>
            <w:tcBorders>
              <w:top w:val="single" w:color="000000" w:sz="4" w:space="0"/>
              <w:left w:val="nil"/>
              <w:bottom w:val="single" w:color="000000" w:sz="4" w:space="0"/>
              <w:right w:val="single" w:color="000000" w:sz="4" w:space="0"/>
            </w:tcBorders>
            <w:vAlign w:val="center"/>
          </w:tcPr>
          <w:p>
            <w:pPr>
              <w:rPr>
                <w:highlight w:val="none"/>
              </w:rPr>
            </w:pPr>
            <w:r>
              <w:rPr>
                <w:highlight w:val="none"/>
              </w:rPr>
              <w:t>£</w:t>
            </w:r>
            <w:r>
              <w:rPr>
                <w:rFonts w:hint="eastAsia"/>
                <w:highlight w:val="none"/>
              </w:rPr>
              <w:t>因素法与项目法相结合</w:t>
            </w:r>
          </w:p>
        </w:tc>
      </w:tr>
      <w:tr>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highlight w:val="none"/>
              </w:rPr>
            </w:pPr>
            <w:r>
              <w:rPr>
                <w:rFonts w:hint="eastAsia"/>
                <w:highlight w:val="none"/>
              </w:rPr>
              <w:t>立项依据</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《关于印发旅行社“引客入川”奖补实施方案的通知》（川文旅发〔2023〕94号）</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使用范围</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兑现奖励政策</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申报（补助）条件</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p>
        </w:tc>
      </w:tr>
      <w:tr>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3643" w:type="dxa"/>
            <w:gridSpan w:val="3"/>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项目起止年限</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2023年11月1日至2024年3月31日</w:t>
            </w:r>
          </w:p>
        </w:tc>
      </w:tr>
      <w:tr>
        <w:trPr>
          <w:trHeight w:val="23" w:hRule="atLeast"/>
          <w:jc w:val="center"/>
        </w:trPr>
        <w:tc>
          <w:tcPr>
            <w:tcW w:w="1733" w:type="dxa"/>
            <w:gridSpan w:val="2"/>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项目资金</w:t>
            </w:r>
          </w:p>
          <w:p>
            <w:pPr>
              <w:rPr>
                <w:rFonts w:hint="eastAsia"/>
                <w:highlight w:val="none"/>
              </w:rPr>
            </w:pPr>
            <w:r>
              <w:rPr>
                <w:rFonts w:hint="eastAsia"/>
                <w:highlight w:val="none"/>
              </w:rPr>
              <w:t>（万元）</w:t>
            </w: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年度资金总额：</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22.09</w:t>
            </w:r>
          </w:p>
        </w:tc>
      </w:tr>
      <w:tr>
        <w:tblPrEx>
          <w:tblCellMar>
            <w:top w:w="15" w:type="dxa"/>
            <w:left w:w="15" w:type="dxa"/>
            <w:bottom w:w="15" w:type="dxa"/>
            <w:right w:w="15" w:type="dxa"/>
          </w:tblCellMar>
        </w:tblPrEx>
        <w:trPr>
          <w:trHeight w:val="23" w:hRule="atLeast"/>
          <w:jc w:val="center"/>
        </w:trPr>
        <w:tc>
          <w:tcPr>
            <w:tcW w:w="600" w:type="dxa"/>
            <w:gridSpan w:val="2"/>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其中：财政拨款</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22.09</w:t>
            </w:r>
          </w:p>
        </w:tc>
      </w:tr>
      <w:tr>
        <w:tblPrEx>
          <w:tblCellMar>
            <w:top w:w="15" w:type="dxa"/>
            <w:left w:w="15" w:type="dxa"/>
            <w:bottom w:w="15" w:type="dxa"/>
            <w:right w:w="15" w:type="dxa"/>
          </w:tblCellMar>
        </w:tblPrEx>
        <w:trPr>
          <w:trHeight w:val="23" w:hRule="atLeast"/>
          <w:jc w:val="center"/>
        </w:trPr>
        <w:tc>
          <w:tcPr>
            <w:tcW w:w="600" w:type="dxa"/>
            <w:gridSpan w:val="2"/>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2562" w:type="dxa"/>
            <w:gridSpan w:val="2"/>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 xml:space="preserve">            其他资金</w:t>
            </w:r>
          </w:p>
        </w:tc>
        <w:tc>
          <w:tcPr>
            <w:tcW w:w="5938" w:type="dxa"/>
            <w:gridSpan w:val="5"/>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0</w:t>
            </w:r>
          </w:p>
        </w:tc>
      </w:tr>
      <w:tr>
        <w:trPr>
          <w:trHeight w:val="23" w:hRule="atLeast"/>
          <w:jc w:val="center"/>
        </w:trPr>
        <w:tc>
          <w:tcPr>
            <w:tcW w:w="652"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总体 目标</w:t>
            </w:r>
          </w:p>
        </w:tc>
        <w:tc>
          <w:tcPr>
            <w:tcW w:w="9581" w:type="dxa"/>
            <w:gridSpan w:val="8"/>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年度目标</w:t>
            </w:r>
          </w:p>
        </w:tc>
      </w:tr>
      <w:tr>
        <w:trPr>
          <w:trHeight w:val="23" w:hRule="atLeast"/>
          <w:jc w:val="center"/>
        </w:trPr>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9581" w:type="dxa"/>
            <w:gridSpan w:val="8"/>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严格落实“引客入川”奖补政策，对满足申报条件的旅行社严格审核、尽快兑现奖励资金，进一步扩大“剑门蜀道，女皇故里，红色热土，康养胜地”文旅品牌知名度和影响力，提高旅行社组织游客来广旅游积极性。</w:t>
            </w:r>
          </w:p>
        </w:tc>
      </w:tr>
      <w:tr>
        <w:tblPrEx>
          <w:tblCellMar>
            <w:top w:w="15" w:type="dxa"/>
            <w:left w:w="15" w:type="dxa"/>
            <w:bottom w:w="15" w:type="dxa"/>
            <w:right w:w="15" w:type="dxa"/>
          </w:tblCellMar>
        </w:tblPrEx>
        <w:trPr>
          <w:trHeight w:val="23" w:hRule="atLeast"/>
          <w:jc w:val="center"/>
        </w:trPr>
        <w:tc>
          <w:tcPr>
            <w:tcW w:w="652" w:type="dxa"/>
            <w:vMerge w:val="restart"/>
            <w:tcBorders>
              <w:top w:val="nil"/>
              <w:left w:val="single" w:color="000000" w:sz="4" w:space="0"/>
              <w:bottom w:val="single" w:color="000000" w:sz="4" w:space="0"/>
              <w:right w:val="nil"/>
            </w:tcBorders>
            <w:vAlign w:val="center"/>
          </w:tcPr>
          <w:p>
            <w:pPr>
              <w:rPr>
                <w:rFonts w:hint="eastAsia"/>
                <w:highlight w:val="none"/>
              </w:rPr>
            </w:pPr>
            <w:r>
              <w:rPr>
                <w:rFonts w:hint="eastAsia"/>
                <w:highlight w:val="none"/>
              </w:rPr>
              <w:t>绩效指标</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一级指标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二级指标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三级指标</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指标性质</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指标值</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度量单位</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完成值</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权重</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vMerge w:val="restart"/>
            <w:tcBorders>
              <w:top w:val="nil"/>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产出指标</w:t>
            </w:r>
          </w:p>
        </w:tc>
        <w:tc>
          <w:tcPr>
            <w:tcW w:w="1250" w:type="dxa"/>
            <w:tcBorders>
              <w:top w:val="single" w:color="000000" w:sz="4" w:space="0"/>
              <w:left w:val="nil"/>
              <w:bottom w:val="nil"/>
              <w:right w:val="single" w:color="000000" w:sz="4" w:space="0"/>
            </w:tcBorders>
            <w:vAlign w:val="center"/>
          </w:tcPr>
          <w:p>
            <w:pPr>
              <w:rPr>
                <w:rFonts w:hint="eastAsia"/>
                <w:highlight w:val="none"/>
              </w:rPr>
            </w:pPr>
            <w:r>
              <w:rPr>
                <w:rFonts w:hint="eastAsia"/>
                <w:highlight w:val="none"/>
              </w:rPr>
              <w:t>数量指标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申报企业数量</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个</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4</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r>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质量指标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严格按照《关于印发旅行社“引客入川”奖补实施方案的通知》规定审核</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100</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r>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300" w:type="dxa"/>
            <w:vMerge w:val="continue"/>
            <w:tcBorders>
              <w:top w:val="nil"/>
              <w:left w:val="single" w:color="000000" w:sz="4" w:space="0"/>
              <w:bottom w:val="single" w:color="000000" w:sz="4" w:space="0"/>
              <w:right w:val="single" w:color="000000" w:sz="4" w:space="0"/>
            </w:tcBorders>
            <w:vAlign w:val="center"/>
          </w:tcPr>
          <w:p>
            <w:pPr>
              <w:rPr>
                <w:highlight w:val="none"/>
              </w:rPr>
            </w:pP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时效指标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奖补资金发放至企业账户时间</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6</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月</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6</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效益指标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经济效益指标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有效引客入广</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定性</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是</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是</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20</w:t>
            </w:r>
          </w:p>
        </w:tc>
      </w:tr>
      <w:tr>
        <w:tblPrEx>
          <w:tblCellMar>
            <w:top w:w="15" w:type="dxa"/>
            <w:left w:w="15" w:type="dxa"/>
            <w:bottom w:w="15" w:type="dxa"/>
            <w:right w:w="15" w:type="dxa"/>
          </w:tblCellMar>
        </w:tblPrEx>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满意度指标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服务对象满意度指标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申报文旅企业对支持文旅企业发展工作的满意度</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95</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95</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r>
        <w:trPr>
          <w:trHeight w:val="23" w:hRule="atLeast"/>
          <w:jc w:val="center"/>
        </w:trPr>
        <w:tc>
          <w:tcPr>
            <w:tcW w:w="300" w:type="dxa"/>
            <w:vMerge w:val="continue"/>
            <w:tcBorders>
              <w:top w:val="nil"/>
              <w:left w:val="single" w:color="000000" w:sz="4" w:space="0"/>
              <w:bottom w:val="single" w:color="000000" w:sz="4" w:space="0"/>
              <w:right w:val="nil"/>
            </w:tcBorders>
            <w:vAlign w:val="center"/>
          </w:tcPr>
          <w:p>
            <w:pPr>
              <w:rPr>
                <w:highlight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highlight w:val="none"/>
              </w:rPr>
            </w:pPr>
            <w:r>
              <w:rPr>
                <w:rFonts w:hint="eastAsia"/>
                <w:highlight w:val="none"/>
              </w:rPr>
              <w:t>成本指标</w:t>
            </w:r>
          </w:p>
        </w:tc>
        <w:tc>
          <w:tcPr>
            <w:tcW w:w="1250"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经济成本指标</w:t>
            </w:r>
          </w:p>
        </w:tc>
        <w:tc>
          <w:tcPr>
            <w:tcW w:w="1312"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对2023年11月1日至2024年3月31日“冬游四川消费季”期间组织旅游团队来川的旅行社按每人次给予奖补</w:t>
            </w:r>
          </w:p>
        </w:tc>
        <w:tc>
          <w:tcPr>
            <w:tcW w:w="1127"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w:t>
            </w:r>
          </w:p>
        </w:tc>
        <w:tc>
          <w:tcPr>
            <w:tcW w:w="97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30</w:t>
            </w:r>
          </w:p>
        </w:tc>
        <w:tc>
          <w:tcPr>
            <w:tcW w:w="106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元</w:t>
            </w:r>
          </w:p>
        </w:tc>
        <w:tc>
          <w:tcPr>
            <w:tcW w:w="938"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5</w:t>
            </w:r>
          </w:p>
        </w:tc>
        <w:tc>
          <w:tcPr>
            <w:tcW w:w="1841" w:type="dxa"/>
            <w:tcBorders>
              <w:top w:val="single" w:color="000000" w:sz="4" w:space="0"/>
              <w:left w:val="nil"/>
              <w:bottom w:val="single" w:color="000000" w:sz="4" w:space="0"/>
              <w:right w:val="single" w:color="000000" w:sz="4" w:space="0"/>
            </w:tcBorders>
            <w:vAlign w:val="center"/>
          </w:tcPr>
          <w:p>
            <w:pPr>
              <w:rPr>
                <w:rFonts w:hint="eastAsia"/>
                <w:highlight w:val="none"/>
              </w:rPr>
            </w:pPr>
            <w:r>
              <w:rPr>
                <w:rFonts w:hint="eastAsia"/>
                <w:highlight w:val="none"/>
              </w:rPr>
              <w:t>10</w:t>
            </w:r>
          </w:p>
        </w:tc>
      </w:tr>
    </w:tbl>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widowControl/>
        <w:jc w:val="center"/>
        <w:rPr>
          <w:rFonts w:hint="eastAsia" w:eastAsia="黑体"/>
          <w:sz w:val="44"/>
          <w:szCs w:val="44"/>
          <w:highlight w:val="none"/>
        </w:rPr>
      </w:pPr>
    </w:p>
    <w:p>
      <w:pPr>
        <w:pStyle w:val="40"/>
        <w:spacing w:line="578" w:lineRule="exac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15</w:t>
      </w:r>
    </w:p>
    <w:p>
      <w:pPr>
        <w:pStyle w:val="40"/>
        <w:spacing w:line="578" w:lineRule="exact"/>
        <w:rPr>
          <w:rFonts w:hint="eastAsia" w:ascii="黑体" w:hAnsi="黑体" w:eastAsia="黑体" w:cs="黑体"/>
          <w:sz w:val="32"/>
          <w:szCs w:val="32"/>
          <w:highlight w:val="none"/>
          <w:lang w:val="en-US" w:eastAsia="zh-CN"/>
        </w:rPr>
      </w:pPr>
    </w:p>
    <w:p>
      <w:pPr>
        <w:pStyle w:val="40"/>
        <w:spacing w:line="578" w:lineRule="exact"/>
        <w:jc w:val="center"/>
        <w:rPr>
          <w:rFonts w:hint="eastAsia" w:ascii="方正小标宋简体" w:hAnsi="方正小标宋简体" w:eastAsia="方正小标宋简体" w:cs="方正小标宋简体"/>
          <w:color w:val="auto"/>
          <w:kern w:val="2"/>
          <w:sz w:val="44"/>
          <w:szCs w:val="44"/>
          <w:highlight w:val="none"/>
          <w:lang w:val="en-US"/>
        </w:rPr>
      </w:pPr>
      <w:r>
        <w:rPr>
          <w:rFonts w:hint="eastAsia" w:ascii="方正小标宋简体" w:hAnsi="方正小标宋简体" w:eastAsia="方正小标宋简体" w:cs="方正小标宋简体"/>
          <w:color w:val="auto"/>
          <w:kern w:val="2"/>
          <w:sz w:val="44"/>
          <w:szCs w:val="44"/>
          <w:highlight w:val="none"/>
          <w:lang w:val="en-US"/>
        </w:rPr>
        <w:t>202</w:t>
      </w:r>
      <w:r>
        <w:rPr>
          <w:rFonts w:hint="eastAsia" w:ascii="方正小标宋简体" w:hAnsi="方正小标宋简体" w:eastAsia="方正小标宋简体" w:cs="方正小标宋简体"/>
          <w:color w:val="auto"/>
          <w:kern w:val="2"/>
          <w:sz w:val="44"/>
          <w:szCs w:val="44"/>
          <w:highlight w:val="none"/>
          <w:lang w:val="en-US" w:eastAsia="zh-CN"/>
        </w:rPr>
        <w:t>4</w:t>
      </w:r>
      <w:r>
        <w:rPr>
          <w:rFonts w:hint="eastAsia" w:ascii="方正小标宋简体" w:hAnsi="方正小标宋简体" w:eastAsia="方正小标宋简体" w:cs="方正小标宋简体"/>
          <w:color w:val="auto"/>
          <w:kern w:val="2"/>
          <w:sz w:val="44"/>
          <w:szCs w:val="44"/>
          <w:highlight w:val="none"/>
          <w:lang w:val="en-US"/>
        </w:rPr>
        <w:t>系列宣传推广活动专项预算项目绩效</w:t>
      </w:r>
    </w:p>
    <w:p>
      <w:pPr>
        <w:pStyle w:val="40"/>
        <w:spacing w:line="578" w:lineRule="exact"/>
        <w:jc w:val="center"/>
        <w:rPr>
          <w:rFonts w:hint="eastAsia" w:ascii="方正小标宋简体" w:hAnsi="方正小标宋简体" w:eastAsia="方正小标宋简体" w:cs="方正小标宋简体"/>
          <w:color w:val="auto"/>
          <w:kern w:val="2"/>
          <w:sz w:val="44"/>
          <w:szCs w:val="44"/>
          <w:highlight w:val="none"/>
          <w:lang w:val="en-US"/>
        </w:rPr>
      </w:pPr>
      <w:r>
        <w:rPr>
          <w:rFonts w:hint="eastAsia" w:ascii="方正小标宋简体" w:hAnsi="方正小标宋简体" w:eastAsia="方正小标宋简体" w:cs="方正小标宋简体"/>
          <w:color w:val="auto"/>
          <w:kern w:val="2"/>
          <w:sz w:val="44"/>
          <w:szCs w:val="44"/>
          <w:highlight w:val="none"/>
          <w:lang w:val="en-US"/>
        </w:rPr>
        <w:t>评价报告</w:t>
      </w:r>
    </w:p>
    <w:p>
      <w:pPr>
        <w:pStyle w:val="40"/>
        <w:spacing w:line="578" w:lineRule="exact"/>
        <w:ind w:firstLine="640"/>
        <w:jc w:val="center"/>
        <w:rPr>
          <w:rFonts w:hint="eastAsia" w:ascii="方正黑体简体" w:hAnsi="方正黑体简体" w:eastAsia="方正黑体简体" w:cs="方正黑体简体"/>
          <w:color w:val="auto"/>
          <w:kern w:val="2"/>
          <w:sz w:val="32"/>
          <w:szCs w:val="32"/>
          <w:highlight w:val="none"/>
        </w:rPr>
      </w:pPr>
    </w:p>
    <w:p>
      <w:pPr>
        <w:adjustRightInd w:val="0"/>
        <w:snapToGrid w:val="0"/>
        <w:spacing w:line="578" w:lineRule="exact"/>
        <w:ind w:firstLine="640" w:firstLineChars="200"/>
        <w:rPr>
          <w:rFonts w:hint="eastAsia" w:ascii="方正黑体简体" w:hAnsi="方正黑体简体" w:eastAsia="方正黑体简体" w:cs="方正黑体简体"/>
          <w:sz w:val="32"/>
          <w:szCs w:val="32"/>
          <w:highlight w:val="none"/>
          <w:lang w:val="zh-CN"/>
        </w:rPr>
      </w:pPr>
      <w:r>
        <w:rPr>
          <w:rFonts w:hint="eastAsia" w:ascii="方正黑体简体" w:hAnsi="方正黑体简体" w:eastAsia="方正黑体简体" w:cs="方正黑体简体"/>
          <w:sz w:val="32"/>
          <w:szCs w:val="32"/>
          <w:highlight w:val="none"/>
        </w:rPr>
        <w:t>一、</w:t>
      </w:r>
      <w:r>
        <w:rPr>
          <w:rFonts w:hint="eastAsia" w:ascii="方正黑体简体" w:hAnsi="方正黑体简体" w:eastAsia="方正黑体简体" w:cs="方正黑体简体"/>
          <w:sz w:val="32"/>
          <w:szCs w:val="32"/>
          <w:highlight w:val="none"/>
          <w:lang w:val="zh-CN"/>
        </w:rPr>
        <w:t>项目概况</w:t>
      </w:r>
    </w:p>
    <w:p>
      <w:pPr>
        <w:widowControl/>
        <w:adjustRightInd w:val="0"/>
        <w:snapToGrid w:val="0"/>
        <w:spacing w:line="578" w:lineRule="exact"/>
        <w:ind w:firstLine="640" w:firstLineChars="200"/>
        <w:contextualSpacing/>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sz w:val="32"/>
          <w:szCs w:val="32"/>
          <w:highlight w:val="none"/>
          <w:lang w:val="zh-CN"/>
        </w:rPr>
        <w:t>（一）设立背景及基本情况。</w:t>
      </w:r>
      <w:r>
        <w:rPr>
          <w:rFonts w:hint="eastAsia" w:ascii="仿宋_GB2312" w:hAnsi="仿宋_GB2312" w:eastAsia="仿宋_GB2312" w:cs="仿宋_GB2312"/>
          <w:color w:val="auto"/>
          <w:kern w:val="0"/>
          <w:sz w:val="32"/>
          <w:szCs w:val="32"/>
          <w:highlight w:val="none"/>
          <w:shd w:val="clear" w:color="auto" w:fill="FFFFFF"/>
          <w:lang w:val="en-US" w:eastAsia="zh-CN" w:bidi="ar-SA"/>
        </w:rPr>
        <w:t>2024年广元市文化广电旅游局精心策划开展了系列“2024年广元市文化旅游系列宣传推广活动”。该项目旨在深入挖掘广元特色文化内涵，大力实施文旅宣推强音行动，精心策划开展“四季游广元”主题活动，推动“广元文旅”热度不断攀升，“剑门蜀道、女皇故里、红色热土、康养胜地”城市名片更加响亮。</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sz w:val="32"/>
          <w:szCs w:val="32"/>
          <w:highlight w:val="none"/>
          <w:lang w:val="zh-CN"/>
        </w:rPr>
        <w:t>（二）实施目的及支持方向。</w:t>
      </w:r>
      <w:r>
        <w:rPr>
          <w:rFonts w:hint="eastAsia" w:ascii="仿宋_GB2312" w:hAnsi="仿宋_GB2312" w:eastAsia="仿宋_GB2312" w:cs="仿宋_GB2312"/>
          <w:color w:val="auto"/>
          <w:kern w:val="0"/>
          <w:sz w:val="32"/>
          <w:szCs w:val="32"/>
          <w:highlight w:val="none"/>
          <w:shd w:val="clear" w:color="auto" w:fill="FFFFFF"/>
          <w:lang w:val="en-US" w:eastAsia="zh-CN" w:bidi="ar-SA"/>
        </w:rPr>
        <w:t>项目旨在通过系列宣传推广活动，包括线上宣传、线下活动、媒体合作等多种形式，提升广元文化旅游品牌的市场认知度和美誉度。支持方向包括但不限于：赴主要旅游客源地开展宣传推介、开展“四季游广元”文旅活动、制作宣传视频、推文等，组织1000余家旅行社分批在广元市开展深度考察踩线活动，并举办座谈会、文旅推介会，提升广元作为旅游目的地的吸引力。</w:t>
      </w:r>
    </w:p>
    <w:p>
      <w:pPr>
        <w:spacing w:line="576"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sz w:val="32"/>
          <w:szCs w:val="32"/>
          <w:highlight w:val="none"/>
          <w:lang w:val="zh-CN"/>
        </w:rPr>
        <w:t>（三）预算安排及分配管理。</w:t>
      </w:r>
      <w:r>
        <w:rPr>
          <w:rFonts w:hint="eastAsia" w:ascii="仿宋_GB2312" w:hAnsi="仿宋_GB2312" w:eastAsia="仿宋_GB2312" w:cs="仿宋_GB2312"/>
          <w:color w:val="auto"/>
          <w:kern w:val="0"/>
          <w:sz w:val="32"/>
          <w:szCs w:val="32"/>
          <w:highlight w:val="none"/>
          <w:shd w:val="clear" w:color="auto" w:fill="FFFFFF"/>
          <w:lang w:val="en-US" w:eastAsia="zh-CN" w:bidi="ar-SA"/>
        </w:rPr>
        <w:t>本项目总计安排预算资金160.71万元，具体分配如下：宣传推广，用于线上线下广告投放、媒体合作、宣传资料制作等；活动组织，用于各项文化旅游节庆活动的组织与实施；其他，用于项目管理、项目审计、评估验收等。</w:t>
      </w:r>
    </w:p>
    <w:p>
      <w:pPr>
        <w:widowControl/>
        <w:spacing w:line="576" w:lineRule="exact"/>
        <w:ind w:firstLine="642"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b/>
          <w:sz w:val="32"/>
          <w:szCs w:val="32"/>
          <w:highlight w:val="none"/>
          <w:lang w:val="zh-CN"/>
        </w:rPr>
        <w:t>（四）项目绩效目标设置。</w:t>
      </w:r>
      <w:r>
        <w:rPr>
          <w:rFonts w:hint="eastAsia" w:ascii="仿宋_GB2312" w:hAnsi="仿宋_GB2312" w:eastAsia="仿宋_GB2312" w:cs="仿宋_GB2312"/>
          <w:color w:val="auto"/>
          <w:kern w:val="0"/>
          <w:sz w:val="32"/>
          <w:szCs w:val="32"/>
          <w:highlight w:val="none"/>
          <w:shd w:val="clear" w:color="auto" w:fill="FFFFFF"/>
          <w:lang w:val="zh-CN" w:eastAsia="zh-CN" w:bidi="ar-SA"/>
        </w:rPr>
        <w:t>绩效目标主要包括以下几个方面：一是宣传推广效果。实现线上宣传覆盖人数超</w:t>
      </w:r>
      <w:r>
        <w:rPr>
          <w:rFonts w:hint="eastAsia" w:ascii="仿宋_GB2312" w:hAnsi="仿宋_GB2312" w:eastAsia="仿宋_GB2312" w:cs="仿宋_GB2312"/>
          <w:color w:val="auto"/>
          <w:kern w:val="0"/>
          <w:sz w:val="32"/>
          <w:szCs w:val="32"/>
          <w:highlight w:val="none"/>
          <w:shd w:val="clear" w:color="auto" w:fill="FFFFFF"/>
          <w:lang w:val="en-US" w:eastAsia="zh-CN" w:bidi="ar-SA"/>
        </w:rPr>
        <w:t>5000</w:t>
      </w:r>
      <w:r>
        <w:rPr>
          <w:rFonts w:hint="eastAsia" w:ascii="仿宋_GB2312" w:hAnsi="仿宋_GB2312" w:eastAsia="仿宋_GB2312" w:cs="仿宋_GB2312"/>
          <w:color w:val="auto"/>
          <w:kern w:val="0"/>
          <w:sz w:val="32"/>
          <w:szCs w:val="32"/>
          <w:highlight w:val="none"/>
          <w:shd w:val="clear" w:color="auto" w:fill="FFFFFF"/>
          <w:lang w:val="zh-CN" w:eastAsia="zh-CN" w:bidi="ar-SA"/>
        </w:rPr>
        <w:t>万人次，线下活动参与人数超</w:t>
      </w:r>
      <w:r>
        <w:rPr>
          <w:rFonts w:hint="eastAsia" w:ascii="仿宋_GB2312" w:hAnsi="仿宋_GB2312" w:eastAsia="仿宋_GB2312" w:cs="仿宋_GB2312"/>
          <w:color w:val="auto"/>
          <w:kern w:val="0"/>
          <w:sz w:val="32"/>
          <w:szCs w:val="32"/>
          <w:highlight w:val="none"/>
          <w:shd w:val="clear" w:color="auto" w:fill="FFFFFF"/>
          <w:lang w:val="en-US" w:eastAsia="zh-CN" w:bidi="ar-SA"/>
        </w:rPr>
        <w:t>200</w:t>
      </w:r>
      <w:r>
        <w:rPr>
          <w:rFonts w:hint="eastAsia" w:ascii="仿宋_GB2312" w:hAnsi="仿宋_GB2312" w:eastAsia="仿宋_GB2312" w:cs="仿宋_GB2312"/>
          <w:color w:val="auto"/>
          <w:kern w:val="0"/>
          <w:sz w:val="32"/>
          <w:szCs w:val="32"/>
          <w:highlight w:val="none"/>
          <w:shd w:val="clear" w:color="auto" w:fill="FFFFFF"/>
          <w:lang w:val="zh-CN" w:eastAsia="zh-CN" w:bidi="ar-SA"/>
        </w:rPr>
        <w:t>万人次，开展“四季游广元”文旅活动100余场次。二是市场反响。提高广元文化旅游品牌的市场认知度，游客满意度达到</w:t>
      </w:r>
      <w:r>
        <w:rPr>
          <w:rFonts w:hint="eastAsia" w:ascii="仿宋_GB2312" w:hAnsi="仿宋_GB2312" w:eastAsia="仿宋_GB2312" w:cs="仿宋_GB2312"/>
          <w:color w:val="auto"/>
          <w:kern w:val="0"/>
          <w:sz w:val="32"/>
          <w:szCs w:val="32"/>
          <w:highlight w:val="none"/>
          <w:shd w:val="clear" w:color="auto" w:fill="FFFFFF"/>
          <w:lang w:val="en-US" w:eastAsia="zh-CN" w:bidi="ar-SA"/>
        </w:rPr>
        <w:t>95</w:t>
      </w:r>
      <w:r>
        <w:rPr>
          <w:rFonts w:hint="eastAsia" w:ascii="仿宋_GB2312" w:hAnsi="仿宋_GB2312" w:eastAsia="仿宋_GB2312" w:cs="仿宋_GB2312"/>
          <w:color w:val="auto"/>
          <w:kern w:val="0"/>
          <w:sz w:val="32"/>
          <w:szCs w:val="32"/>
          <w:highlight w:val="none"/>
          <w:shd w:val="clear" w:color="auto" w:fill="FFFFFF"/>
          <w:lang w:val="zh-CN" w:eastAsia="zh-CN" w:bidi="ar-SA"/>
        </w:rPr>
        <w:t>%以上。</w:t>
      </w:r>
    </w:p>
    <w:p>
      <w:pPr>
        <w:pStyle w:val="40"/>
        <w:spacing w:line="578" w:lineRule="exact"/>
        <w:ind w:firstLine="640"/>
        <w:jc w:val="left"/>
        <w:rPr>
          <w:rFonts w:hint="eastAsia" w:ascii="方正黑体简体" w:hAnsi="方正黑体简体" w:eastAsia="方正黑体简体" w:cs="方正黑体简体"/>
          <w:color w:val="auto"/>
          <w:kern w:val="2"/>
          <w:sz w:val="32"/>
          <w:szCs w:val="32"/>
          <w:highlight w:val="none"/>
        </w:rPr>
      </w:pPr>
      <w:r>
        <w:rPr>
          <w:rFonts w:hint="eastAsia" w:ascii="方正黑体简体" w:hAnsi="方正黑体简体" w:eastAsia="方正黑体简体" w:cs="方正黑体简体"/>
          <w:color w:val="auto"/>
          <w:kern w:val="2"/>
          <w:sz w:val="32"/>
          <w:szCs w:val="32"/>
          <w:highlight w:val="none"/>
        </w:rPr>
        <w:t>二、评价实施</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sz w:val="32"/>
          <w:szCs w:val="32"/>
          <w:highlight w:val="none"/>
          <w:lang w:val="zh-CN"/>
        </w:rPr>
        <w:t>（一）评价目的。</w:t>
      </w:r>
      <w:r>
        <w:rPr>
          <w:rFonts w:hint="eastAsia" w:ascii="仿宋_GB2312" w:hAnsi="仿宋_GB2312" w:eastAsia="仿宋_GB2312" w:cs="仿宋_GB2312"/>
          <w:color w:val="auto"/>
          <w:kern w:val="0"/>
          <w:sz w:val="32"/>
          <w:szCs w:val="32"/>
          <w:highlight w:val="none"/>
          <w:shd w:val="clear" w:color="auto" w:fill="FFFFFF"/>
          <w:lang w:val="zh-CN" w:eastAsia="zh-CN" w:bidi="ar-SA"/>
        </w:rPr>
        <w:t>总结“202</w:t>
      </w:r>
      <w:r>
        <w:rPr>
          <w:rFonts w:hint="eastAsia" w:ascii="仿宋_GB2312" w:hAnsi="仿宋_GB2312" w:eastAsia="仿宋_GB2312" w:cs="仿宋_GB2312"/>
          <w:color w:val="auto"/>
          <w:kern w:val="0"/>
          <w:sz w:val="32"/>
          <w:szCs w:val="32"/>
          <w:highlight w:val="none"/>
          <w:shd w:val="clear" w:color="auto" w:fill="FFFFFF"/>
          <w:lang w:val="en-US" w:eastAsia="zh-CN" w:bidi="ar-SA"/>
        </w:rPr>
        <w:t>4</w:t>
      </w:r>
      <w:r>
        <w:rPr>
          <w:rFonts w:hint="eastAsia" w:ascii="仿宋_GB2312" w:hAnsi="仿宋_GB2312" w:eastAsia="仿宋_GB2312" w:cs="仿宋_GB2312"/>
          <w:color w:val="auto"/>
          <w:kern w:val="0"/>
          <w:sz w:val="32"/>
          <w:szCs w:val="32"/>
          <w:highlight w:val="none"/>
          <w:shd w:val="clear" w:color="auto" w:fill="FFFFFF"/>
          <w:lang w:val="zh-CN" w:eastAsia="zh-CN" w:bidi="ar-SA"/>
        </w:rPr>
        <w:t>年广元市文化旅游系列宣传推广活动”项目的实施效果，分析存在的问题与不足，为未来类似项目的策划与实施提供经验和借鉴</w:t>
      </w:r>
      <w:r>
        <w:rPr>
          <w:rFonts w:hint="eastAsia" w:ascii="仿宋_GB2312" w:hAnsi="仿宋_GB2312" w:eastAsia="仿宋_GB2312" w:cs="仿宋_GB2312"/>
          <w:color w:val="auto"/>
          <w:kern w:val="0"/>
          <w:sz w:val="32"/>
          <w:szCs w:val="32"/>
          <w:highlight w:val="none"/>
          <w:shd w:val="clear" w:color="auto" w:fill="FFFFFF"/>
          <w:lang w:val="en-US" w:eastAsia="zh-CN" w:bidi="ar-SA"/>
        </w:rPr>
        <w:t>。</w:t>
      </w:r>
    </w:p>
    <w:p>
      <w:pPr>
        <w:spacing w:line="576" w:lineRule="exact"/>
        <w:ind w:firstLine="640" w:firstLineChars="200"/>
        <w:jc w:val="left"/>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sz w:val="32"/>
          <w:szCs w:val="32"/>
          <w:highlight w:val="none"/>
          <w:lang w:val="zh-CN"/>
        </w:rPr>
        <w:t>（二）预设问题及评价重点。</w:t>
      </w:r>
      <w:r>
        <w:rPr>
          <w:rFonts w:hint="eastAsia" w:ascii="仿宋_GB2312" w:hAnsi="仿宋_GB2312" w:eastAsia="仿宋_GB2312" w:cs="仿宋_GB2312"/>
          <w:color w:val="auto"/>
          <w:kern w:val="0"/>
          <w:sz w:val="32"/>
          <w:szCs w:val="32"/>
          <w:highlight w:val="none"/>
          <w:shd w:val="clear" w:color="auto" w:fill="FFFFFF"/>
          <w:lang w:val="zh-CN" w:eastAsia="zh-CN" w:bidi="ar-SA"/>
        </w:rPr>
        <w:t>一是宣传策略的有效性：评估线上线下宣传手段是否有效覆盖目标受众，宣传内容是否吸引人；二是活动组织的执行力：考察活动筹备、执行、总结等环节的顺畅程度及效率；三是市场反响：分析项目对文化旅游市场的实际影响</w:t>
      </w:r>
      <w:r>
        <w:rPr>
          <w:rFonts w:hint="eastAsia" w:ascii="仿宋_GB2312" w:hAnsi="仿宋_GB2312" w:eastAsia="仿宋_GB2312" w:cs="仿宋_GB2312"/>
          <w:color w:val="auto"/>
          <w:kern w:val="0"/>
          <w:sz w:val="32"/>
          <w:szCs w:val="32"/>
          <w:highlight w:val="none"/>
          <w:shd w:val="clear" w:color="auto" w:fill="FFFFFF"/>
          <w:lang w:val="en-US" w:eastAsia="zh-CN" w:bidi="ar-SA"/>
        </w:rPr>
        <w:t>。</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sz w:val="32"/>
          <w:szCs w:val="32"/>
          <w:highlight w:val="none"/>
          <w:lang w:val="zh-CN"/>
        </w:rPr>
        <w:t>（三）评价选点。</w:t>
      </w:r>
      <w:r>
        <w:rPr>
          <w:rFonts w:hint="eastAsia" w:ascii="仿宋_GB2312" w:hAnsi="仿宋_GB2312" w:eastAsia="仿宋_GB2312" w:cs="仿宋_GB2312"/>
          <w:color w:val="auto"/>
          <w:kern w:val="0"/>
          <w:sz w:val="32"/>
          <w:szCs w:val="32"/>
          <w:highlight w:val="none"/>
          <w:shd w:val="clear" w:color="auto" w:fill="FFFFFF"/>
          <w:lang w:val="en-US" w:eastAsia="zh-CN" w:bidi="ar-SA"/>
        </w:rPr>
        <w:t>选取具有代表性的宣传推广活动、线上线下宣传案例作为评价选点。</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b w:val="0"/>
          <w:bCs/>
          <w:sz w:val="32"/>
          <w:szCs w:val="32"/>
          <w:highlight w:val="none"/>
          <w:lang w:val="zh-CN"/>
        </w:rPr>
        <w:t>（四）评价方法。</w:t>
      </w:r>
      <w:r>
        <w:rPr>
          <w:rFonts w:hint="eastAsia" w:ascii="仿宋_GB2312" w:hAnsi="仿宋_GB2312" w:eastAsia="仿宋_GB2312" w:cs="仿宋_GB2312"/>
          <w:color w:val="auto"/>
          <w:kern w:val="0"/>
          <w:sz w:val="32"/>
          <w:szCs w:val="32"/>
          <w:highlight w:val="none"/>
          <w:shd w:val="clear" w:color="auto" w:fill="FFFFFF"/>
          <w:lang w:val="zh-CN" w:eastAsia="zh-CN" w:bidi="ar-SA"/>
        </w:rPr>
        <w:t>采用</w:t>
      </w:r>
      <w:r>
        <w:rPr>
          <w:rFonts w:hint="eastAsia" w:ascii="仿宋_GB2312" w:hAnsi="仿宋_GB2312" w:eastAsia="仿宋_GB2312" w:cs="仿宋_GB2312"/>
          <w:color w:val="auto"/>
          <w:kern w:val="0"/>
          <w:sz w:val="32"/>
          <w:szCs w:val="32"/>
          <w:highlight w:val="none"/>
          <w:shd w:val="clear" w:color="auto" w:fill="FFFFFF"/>
          <w:lang w:val="en-US" w:eastAsia="zh-CN" w:bidi="ar-SA"/>
        </w:rPr>
        <w:t>实地调研</w:t>
      </w:r>
      <w:r>
        <w:rPr>
          <w:rFonts w:hint="eastAsia" w:ascii="仿宋_GB2312" w:hAnsi="仿宋_GB2312" w:eastAsia="仿宋_GB2312" w:cs="仿宋_GB2312"/>
          <w:color w:val="auto"/>
          <w:kern w:val="0"/>
          <w:sz w:val="32"/>
          <w:szCs w:val="32"/>
          <w:highlight w:val="none"/>
          <w:shd w:val="clear" w:color="auto" w:fill="FFFFFF"/>
          <w:lang w:val="zh-CN" w:eastAsia="zh-CN" w:bidi="ar-SA"/>
        </w:rPr>
        <w:t>、数据分析等多种方法，收集游客、</w:t>
      </w:r>
      <w:r>
        <w:rPr>
          <w:rFonts w:hint="eastAsia" w:ascii="仿宋_GB2312" w:hAnsi="仿宋_GB2312" w:eastAsia="仿宋_GB2312" w:cs="仿宋_GB2312"/>
          <w:color w:val="auto"/>
          <w:kern w:val="0"/>
          <w:sz w:val="32"/>
          <w:szCs w:val="32"/>
          <w:highlight w:val="none"/>
          <w:shd w:val="clear" w:color="auto" w:fill="FFFFFF"/>
          <w:lang w:val="en-US" w:eastAsia="zh-CN" w:bidi="ar-SA"/>
        </w:rPr>
        <w:t>旅行社</w:t>
      </w:r>
      <w:r>
        <w:rPr>
          <w:rFonts w:hint="eastAsia" w:ascii="仿宋_GB2312" w:hAnsi="仿宋_GB2312" w:eastAsia="仿宋_GB2312" w:cs="仿宋_GB2312"/>
          <w:color w:val="auto"/>
          <w:kern w:val="0"/>
          <w:sz w:val="32"/>
          <w:szCs w:val="32"/>
          <w:highlight w:val="none"/>
          <w:shd w:val="clear" w:color="auto" w:fill="FFFFFF"/>
          <w:lang w:val="zh-CN" w:eastAsia="zh-CN" w:bidi="ar-SA"/>
        </w:rPr>
        <w:t>、</w:t>
      </w:r>
      <w:r>
        <w:rPr>
          <w:rFonts w:hint="eastAsia" w:ascii="仿宋_GB2312" w:hAnsi="仿宋_GB2312" w:eastAsia="仿宋_GB2312" w:cs="仿宋_GB2312"/>
          <w:color w:val="auto"/>
          <w:kern w:val="0"/>
          <w:sz w:val="32"/>
          <w:szCs w:val="32"/>
          <w:highlight w:val="none"/>
          <w:shd w:val="clear" w:color="auto" w:fill="FFFFFF"/>
          <w:lang w:val="en-US" w:eastAsia="zh-CN" w:bidi="ar-SA"/>
        </w:rPr>
        <w:t>客源地文旅部门</w:t>
      </w:r>
      <w:r>
        <w:rPr>
          <w:rFonts w:hint="eastAsia" w:ascii="仿宋_GB2312" w:hAnsi="仿宋_GB2312" w:eastAsia="仿宋_GB2312" w:cs="仿宋_GB2312"/>
          <w:color w:val="auto"/>
          <w:kern w:val="0"/>
          <w:sz w:val="32"/>
          <w:szCs w:val="32"/>
          <w:highlight w:val="none"/>
          <w:shd w:val="clear" w:color="auto" w:fill="FFFFFF"/>
          <w:lang w:val="zh-CN" w:eastAsia="zh-CN" w:bidi="ar-SA"/>
        </w:rPr>
        <w:t>等多方意见和数据，进行全面客观的评价</w:t>
      </w:r>
      <w:r>
        <w:rPr>
          <w:rFonts w:hint="eastAsia" w:ascii="仿宋_GB2312" w:hAnsi="仿宋_GB2312" w:eastAsia="仿宋_GB2312" w:cs="仿宋_GB2312"/>
          <w:color w:val="auto"/>
          <w:kern w:val="0"/>
          <w:sz w:val="32"/>
          <w:szCs w:val="32"/>
          <w:highlight w:val="none"/>
          <w:shd w:val="clear" w:color="auto" w:fill="FFFFFF"/>
          <w:lang w:val="en-US" w:eastAsia="zh-CN" w:bidi="ar-SA"/>
        </w:rPr>
        <w:t>。</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b w:val="0"/>
          <w:bCs/>
          <w:sz w:val="32"/>
          <w:szCs w:val="32"/>
          <w:highlight w:val="none"/>
          <w:lang w:val="zh-CN"/>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市文化广电旅游局宣传科教科、财务科、</w:t>
      </w:r>
      <w:r>
        <w:rPr>
          <w:rFonts w:hint="eastAsia" w:ascii="仿宋_GB2312" w:hAnsi="仿宋_GB2312" w:eastAsia="仿宋_GB2312" w:cs="仿宋_GB2312"/>
          <w:color w:val="auto"/>
          <w:kern w:val="0"/>
          <w:sz w:val="32"/>
          <w:szCs w:val="32"/>
          <w:highlight w:val="none"/>
          <w:shd w:val="clear" w:color="auto" w:fill="FFFFFF"/>
          <w:lang w:val="en-US" w:eastAsia="zh-CN" w:bidi="ar-SA"/>
        </w:rPr>
        <w:t>内部监督与审计科</w:t>
      </w:r>
      <w:r>
        <w:rPr>
          <w:rFonts w:hint="eastAsia" w:ascii="仿宋_GB2312" w:hAnsi="仿宋_GB2312" w:eastAsia="仿宋_GB2312" w:cs="仿宋_GB2312"/>
          <w:color w:val="auto"/>
          <w:kern w:val="0"/>
          <w:sz w:val="32"/>
          <w:szCs w:val="32"/>
          <w:highlight w:val="none"/>
          <w:shd w:val="clear" w:color="auto" w:fill="FFFFFF"/>
          <w:lang w:val="zh-CN" w:eastAsia="zh-CN" w:bidi="ar-SA"/>
        </w:rPr>
        <w:t>相关人员组成评价小组，对项目实施进行评价。</w:t>
      </w:r>
    </w:p>
    <w:p>
      <w:pPr>
        <w:adjustRightInd w:val="0"/>
        <w:snapToGrid w:val="0"/>
        <w:spacing w:line="578" w:lineRule="exact"/>
        <w:ind w:firstLine="640" w:firstLineChars="200"/>
        <w:rPr>
          <w:rFonts w:hint="eastAsia" w:ascii="仿宋_GB2312" w:hAnsi="仿宋_GB2312" w:eastAsia="仿宋_GB2312" w:cs="仿宋_GB2312"/>
          <w:sz w:val="32"/>
          <w:szCs w:val="32"/>
          <w:highlight w:val="none"/>
          <w:lang w:val="zh-CN"/>
        </w:rPr>
      </w:pPr>
      <w:r>
        <w:rPr>
          <w:rFonts w:hint="eastAsia" w:ascii="方正黑体简体" w:hAnsi="方正黑体简体" w:eastAsia="方正黑体简体" w:cs="方正黑体简体"/>
          <w:color w:val="auto"/>
          <w:kern w:val="2"/>
          <w:sz w:val="32"/>
          <w:szCs w:val="32"/>
          <w:highlight w:val="none"/>
          <w:lang w:val="zh-CN" w:eastAsia="zh-CN" w:bidi="ar-SA"/>
        </w:rPr>
        <w:t>三、绩效分析</w:t>
      </w:r>
      <w:r>
        <w:rPr>
          <w:rFonts w:hint="eastAsia" w:ascii="仿宋_GB2312" w:hAnsi="仿宋_GB2312" w:eastAsia="仿宋_GB2312" w:cs="仿宋_GB2312"/>
          <w:sz w:val="32"/>
          <w:szCs w:val="32"/>
          <w:highlight w:val="none"/>
          <w:lang w:val="zh-CN"/>
        </w:rPr>
        <w:tab/>
      </w:r>
    </w:p>
    <w:p>
      <w:pPr>
        <w:widowControl/>
        <w:adjustRightInd w:val="0"/>
        <w:snapToGrid w:val="0"/>
        <w:spacing w:line="578" w:lineRule="exact"/>
        <w:ind w:firstLine="640" w:firstLineChars="200"/>
        <w:contextualSpacing/>
        <w:jc w:val="left"/>
        <w:rPr>
          <w:rFonts w:hint="eastAsia" w:ascii="方正楷体简体" w:hAnsi="方正楷体简体" w:eastAsia="方正楷体简体" w:cs="方正楷体简体"/>
          <w:b w:val="0"/>
          <w:bCs/>
          <w:sz w:val="32"/>
          <w:szCs w:val="32"/>
          <w:highlight w:val="none"/>
          <w:lang w:val="zh-CN"/>
        </w:rPr>
      </w:pPr>
      <w:r>
        <w:rPr>
          <w:rFonts w:hint="eastAsia" w:ascii="方正楷体简体" w:hAnsi="方正楷体简体" w:eastAsia="方正楷体简体" w:cs="方正楷体简体"/>
          <w:b w:val="0"/>
          <w:bCs/>
          <w:sz w:val="32"/>
          <w:szCs w:val="32"/>
          <w:highlight w:val="none"/>
          <w:lang w:val="zh-CN"/>
        </w:rPr>
        <w:t>（一）通用指标绩效分析。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1.项目决策。</w:t>
      </w:r>
      <w:r>
        <w:rPr>
          <w:rFonts w:hint="eastAsia" w:ascii="仿宋_GB2312" w:hAnsi="仿宋_GB2312" w:eastAsia="仿宋_GB2312" w:cs="仿宋_GB2312"/>
          <w:color w:val="auto"/>
          <w:kern w:val="0"/>
          <w:sz w:val="32"/>
          <w:szCs w:val="32"/>
          <w:highlight w:val="none"/>
          <w:shd w:val="clear" w:color="auto" w:fill="FFFFFF"/>
          <w:lang w:val="zh-CN" w:eastAsia="zh-CN" w:bidi="ar-SA"/>
        </w:rPr>
        <w:t>项目决策程序规范，经过充分论证和市场调查后起草活动方案，根据预算金额的不同分别通过报主要领导审签、局长办公会审议、局党组会审</w:t>
      </w:r>
      <w:r>
        <w:rPr>
          <w:rFonts w:hint="eastAsia" w:ascii="仿宋_GB2312" w:hAnsi="仿宋_GB2312" w:eastAsia="仿宋_GB2312" w:cs="仿宋_GB2312"/>
          <w:color w:val="auto"/>
          <w:kern w:val="0"/>
          <w:sz w:val="32"/>
          <w:szCs w:val="32"/>
          <w:highlight w:val="none"/>
          <w:shd w:val="clear" w:color="auto" w:fill="FFFFFF"/>
          <w:lang w:val="en-US" w:eastAsia="zh-CN" w:bidi="ar-SA"/>
        </w:rPr>
        <w:t>定</w:t>
      </w:r>
      <w:r>
        <w:rPr>
          <w:rFonts w:hint="eastAsia" w:ascii="仿宋_GB2312" w:hAnsi="仿宋_GB2312" w:eastAsia="仿宋_GB2312" w:cs="仿宋_GB2312"/>
          <w:color w:val="auto"/>
          <w:kern w:val="0"/>
          <w:sz w:val="32"/>
          <w:szCs w:val="32"/>
          <w:highlight w:val="none"/>
          <w:shd w:val="clear" w:color="auto" w:fill="FFFFFF"/>
          <w:lang w:val="zh-CN" w:eastAsia="zh-CN" w:bidi="ar-SA"/>
        </w:rPr>
        <w:t>等程序决策，符合相关规定和程序要求。</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2.项目管理。制定了详细的项目实施方案和管理制度，确保项目按计划有序推进。</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3.项目实施。各项宣传推广和文旅活动均按计划圆满完成，未出现重大失误或延误。</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4.项目结果。实现了预期的宣传推广效果和市场反响目标，对文化旅游市场的促进作用显著。</w:t>
      </w:r>
    </w:p>
    <w:p>
      <w:pPr>
        <w:widowControl/>
        <w:adjustRightInd w:val="0"/>
        <w:snapToGrid w:val="0"/>
        <w:spacing w:line="578" w:lineRule="exact"/>
        <w:ind w:firstLine="640" w:firstLineChars="200"/>
        <w:contextualSpacing/>
        <w:jc w:val="left"/>
        <w:rPr>
          <w:rFonts w:hint="eastAsia" w:ascii="方正楷体简体" w:hAnsi="方正楷体简体" w:eastAsia="方正楷体简体" w:cs="方正楷体简体"/>
          <w:b w:val="0"/>
          <w:bCs/>
          <w:sz w:val="32"/>
          <w:szCs w:val="32"/>
          <w:highlight w:val="none"/>
          <w:lang w:val="zh-CN"/>
        </w:rPr>
      </w:pPr>
      <w:r>
        <w:rPr>
          <w:rFonts w:hint="eastAsia" w:ascii="方正楷体简体" w:hAnsi="方正楷体简体" w:eastAsia="方正楷体简体" w:cs="方正楷体简体"/>
          <w:b w:val="0"/>
          <w:bCs/>
          <w:sz w:val="32"/>
          <w:szCs w:val="32"/>
          <w:highlight w:val="none"/>
          <w:lang w:val="zh-CN"/>
        </w:rPr>
        <w:t>（二）专用指标绩效分析。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项目实施与市委市政府关于文化旅游产业发展的战略部署高度契合，有效提升了广元文化旅游品牌的知名度和影响力。通过系列宣传推广活动，吸引了大量游客前来旅游，带动了文化旅游消费的增长。</w:t>
      </w:r>
    </w:p>
    <w:p>
      <w:pPr>
        <w:widowControl/>
        <w:adjustRightInd w:val="0"/>
        <w:snapToGrid w:val="0"/>
        <w:spacing w:line="578" w:lineRule="exact"/>
        <w:ind w:firstLine="640" w:firstLineChars="200"/>
        <w:contextualSpacing/>
        <w:jc w:val="left"/>
        <w:rPr>
          <w:rFonts w:hint="eastAsia" w:ascii="方正楷体简体" w:hAnsi="方正楷体简体" w:eastAsia="方正楷体简体" w:cs="方正楷体简体"/>
          <w:b w:val="0"/>
          <w:bCs/>
          <w:sz w:val="32"/>
          <w:szCs w:val="32"/>
          <w:highlight w:val="none"/>
          <w:lang w:val="zh-CN"/>
        </w:rPr>
      </w:pPr>
      <w:r>
        <w:rPr>
          <w:rFonts w:hint="eastAsia" w:ascii="方正楷体简体" w:hAnsi="方正楷体简体" w:eastAsia="方正楷体简体" w:cs="方正楷体简体"/>
          <w:b w:val="0"/>
          <w:bCs/>
          <w:sz w:val="32"/>
          <w:szCs w:val="32"/>
          <w:highlight w:val="none"/>
          <w:lang w:val="zh-CN"/>
        </w:rPr>
        <w:t>（三）个性指标绩效分析。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1.线下宣传。</w:t>
      </w:r>
      <w:r>
        <w:rPr>
          <w:rFonts w:hint="eastAsia" w:ascii="仿宋_GB2312" w:hAnsi="仿宋_GB2312" w:eastAsia="仿宋_GB2312" w:cs="仿宋_GB2312"/>
          <w:color w:val="auto"/>
          <w:kern w:val="0"/>
          <w:sz w:val="32"/>
          <w:szCs w:val="32"/>
          <w:highlight w:val="none"/>
          <w:shd w:val="clear" w:color="auto" w:fill="FFFFFF"/>
          <w:lang w:val="zh-CN" w:eastAsia="zh-CN" w:bidi="ar-SA"/>
        </w:rPr>
        <w:t>一是巩固重点客源地市场。在西安、重庆、成都、兰州举办4场“游大美蜀道 品广元好茶”文化旅游和茶产业宣传推介活动，邀请80余家中央、省级媒体和商业平台推出重头稿件210余件。二是拓展高铁沿线和航线开通城市市场。先后赴北京、上海、杭州、郑州等城市参加文旅宣传推介会10余次，借助国家、省、市多级平台，推介广元。三是提升目的地市场。以“春踏青赏百花”“夏避暑玩漂流”“秋采摘赏红叶”“冬滑雪泡温泉”为主题，开展“四季游广元”文旅活动100余场次。组织1000余家旅行社分批在广元市开展深度考察踩线活动，并举办座谈会、文旅推介会，提升广元作为旅游目的地的吸引力。</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线上推广。一是建强“广元文旅”新媒体平台。“广元文旅”4个新媒体平台现有粉丝57.8万，发布信息6000余篇、累计阅读量9400余万次。积极拓宽投稿通道，2024年共展示粉丝投稿图片、信息61条。二是开展话题营销。结合重点节会、活动及文旅优势资源，开展系列话题营销活动，#广元邀你过大年# 、#2024女皇故里彩灯会#、#广元女儿节#、#层林尽染看广元#、#探寻剑门蜀道 相约醉美广元#等微博、抖音、今日头条话题总阅读量超7亿人次。三是建立新媒体平台联动机制。联合广元日报、市广播电视台、广元文旅、县区文旅和融媒体等官方媒体平台，常态化联动发布文旅活动、优惠政策、线路产品等信息。与新华社、四川文旅、其他市州文旅新媒体和网络达人账号共创发布短视频。四是开展达人合作。邀请本地文旅网络达人参加广元女儿节、古蜀道徒步游等活动，推动政务与达人合作共赢。广元文旅抖音号和本地网络达人共创视频40余条。先后邀请“四川秘境研究所”“成都周边游”“四川爽妹儿”等20余位知名文旅博主来广拍摄，推出广元主题宣传短视频30余条，单条短视频点赞量最高突破11万次。</w:t>
      </w:r>
    </w:p>
    <w:p>
      <w:pPr>
        <w:pStyle w:val="40"/>
        <w:spacing w:line="578" w:lineRule="exact"/>
        <w:ind w:firstLine="640"/>
        <w:jc w:val="left"/>
        <w:rPr>
          <w:rFonts w:hint="eastAsia" w:ascii="方正黑体简体" w:hAnsi="方正黑体简体" w:eastAsia="方正黑体简体" w:cs="方正黑体简体"/>
          <w:color w:val="auto"/>
          <w:kern w:val="2"/>
          <w:sz w:val="32"/>
          <w:szCs w:val="32"/>
          <w:highlight w:val="none"/>
          <w:lang w:eastAsia="zh-CN"/>
        </w:rPr>
      </w:pPr>
      <w:r>
        <w:rPr>
          <w:rFonts w:hint="eastAsia" w:ascii="方正黑体简体" w:hAnsi="方正黑体简体" w:eastAsia="方正黑体简体" w:cs="方正黑体简体"/>
          <w:color w:val="auto"/>
          <w:kern w:val="2"/>
          <w:sz w:val="32"/>
          <w:szCs w:val="32"/>
          <w:highlight w:val="none"/>
          <w:lang w:eastAsia="zh-CN"/>
        </w:rPr>
        <w:t>四、评价结论</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本项目项目绩效自评得分95分，整体实施效果良好，达到了预期目标。</w:t>
      </w:r>
    </w:p>
    <w:p>
      <w:pPr>
        <w:pStyle w:val="40"/>
        <w:spacing w:line="578" w:lineRule="exact"/>
        <w:ind w:firstLine="640"/>
        <w:jc w:val="left"/>
        <w:rPr>
          <w:rFonts w:hint="eastAsia" w:ascii="方正黑体简体" w:hAnsi="方正黑体简体" w:eastAsia="方正黑体简体" w:cs="方正黑体简体"/>
          <w:color w:val="auto"/>
          <w:kern w:val="2"/>
          <w:sz w:val="32"/>
          <w:szCs w:val="32"/>
          <w:highlight w:val="none"/>
          <w:lang w:eastAsia="zh-CN"/>
        </w:rPr>
      </w:pPr>
      <w:r>
        <w:rPr>
          <w:rFonts w:hint="eastAsia" w:ascii="方正黑体简体" w:hAnsi="方正黑体简体" w:eastAsia="方正黑体简体" w:cs="方正黑体简体"/>
          <w:color w:val="auto"/>
          <w:kern w:val="2"/>
          <w:sz w:val="32"/>
          <w:szCs w:val="32"/>
          <w:highlight w:val="none"/>
          <w:lang w:eastAsia="zh-CN"/>
        </w:rPr>
        <w:t>五、存在主要问题</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部分宣传手段的创新性不足，难以持续吸引年轻游客群体；</w:t>
      </w:r>
      <w:r>
        <w:rPr>
          <w:rFonts w:hint="eastAsia" w:ascii="仿宋_GB2312" w:hAnsi="仿宋_GB2312" w:eastAsia="仿宋_GB2312" w:cs="仿宋_GB2312"/>
          <w:color w:val="auto"/>
          <w:kern w:val="0"/>
          <w:sz w:val="32"/>
          <w:szCs w:val="32"/>
          <w:highlight w:val="none"/>
          <w:shd w:val="clear" w:color="auto" w:fill="FFFFFF"/>
          <w:lang w:val="en-US" w:eastAsia="zh-CN" w:bidi="ar-SA"/>
        </w:rPr>
        <w:t>“坐高铁游广元”产品效果还不够突出，需进一步优化产品方案与政策</w:t>
      </w:r>
      <w:r>
        <w:rPr>
          <w:rFonts w:hint="eastAsia" w:ascii="仿宋_GB2312" w:hAnsi="仿宋_GB2312" w:eastAsia="仿宋_GB2312" w:cs="仿宋_GB2312"/>
          <w:color w:val="auto"/>
          <w:kern w:val="0"/>
          <w:sz w:val="32"/>
          <w:szCs w:val="32"/>
          <w:highlight w:val="none"/>
          <w:shd w:val="clear" w:color="auto" w:fill="FFFFFF"/>
          <w:lang w:val="zh-CN" w:eastAsia="zh-CN" w:bidi="ar-SA"/>
        </w:rPr>
        <w:t>。</w:t>
      </w:r>
    </w:p>
    <w:p>
      <w:pPr>
        <w:pStyle w:val="40"/>
        <w:spacing w:line="578" w:lineRule="exact"/>
        <w:ind w:firstLine="640"/>
        <w:jc w:val="left"/>
        <w:rPr>
          <w:rFonts w:hint="eastAsia" w:ascii="方正黑体简体" w:hAnsi="方正黑体简体" w:eastAsia="方正黑体简体" w:cs="方正黑体简体"/>
          <w:color w:val="auto"/>
          <w:kern w:val="2"/>
          <w:sz w:val="32"/>
          <w:szCs w:val="32"/>
          <w:highlight w:val="none"/>
          <w:lang w:val="zh-CN" w:eastAsia="zh-CN"/>
        </w:rPr>
      </w:pPr>
      <w:r>
        <w:rPr>
          <w:rFonts w:hint="eastAsia" w:ascii="方正黑体简体" w:hAnsi="方正黑体简体" w:eastAsia="方正黑体简体" w:cs="方正黑体简体"/>
          <w:color w:val="auto"/>
          <w:kern w:val="2"/>
          <w:sz w:val="32"/>
          <w:szCs w:val="32"/>
          <w:highlight w:val="none"/>
          <w:lang w:val="zh-CN" w:eastAsia="zh-CN"/>
        </w:rPr>
        <w:t>六、改进建议</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一是常态化开展“四季游广元”宣传推广活动。以“春踏青赏百花”“夏避暑玩漂流”“秋采摘赏红叶”“冬滑雪泡温泉”为主题，举办唐家河紫荆花节、月坝避暑消夏露营节、米仓山红叶节、曾家山冰雪温泉节等活动100余场次，不断提升目的地市场知名度美誉度。二是开展重点城市宣传推广活动。巩固传统客源市场，以川渝陕甘四省，成都、重庆、西安、兰州四个省会城市以及绵阳、汉中、陇南、巴中等城市作为主要客源市场，通过城市推介、媒体广告等方式进行宣传推广。强化中远程市场，以京津冀、长三角、珠三角，通航城市，东西部协作城市为重点，依托营销中心、与地方知名新媒体合作等方式进行市场开拓。</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pStyle w:val="17"/>
        <w:spacing w:after="0" w:line="578" w:lineRule="exact"/>
        <w:ind w:leftChars="0" w:firstLine="480"/>
        <w:rPr>
          <w:rFonts w:ascii="黑体" w:hAnsi="黑体" w:eastAsia="黑体" w:cs="黑体"/>
          <w:sz w:val="24"/>
          <w:szCs w:val="24"/>
          <w:highlight w:val="none"/>
        </w:rPr>
      </w:pPr>
    </w:p>
    <w:p>
      <w:pPr>
        <w:pStyle w:val="40"/>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default" w:ascii="黑体" w:hAnsi="黑体" w:eastAsia="黑体" w:cs="黑体"/>
          <w:sz w:val="32"/>
          <w:szCs w:val="32"/>
          <w:highlight w:val="none"/>
          <w:lang w:val="en-US" w:eastAsia="zh-CN"/>
        </w:rPr>
      </w:pPr>
    </w:p>
    <w:p>
      <w:pPr>
        <w:widowControl/>
        <w:jc w:val="center"/>
        <w:rPr>
          <w:rFonts w:hint="eastAsia" w:eastAsia="黑体"/>
          <w:sz w:val="44"/>
          <w:szCs w:val="44"/>
          <w:highlight w:val="none"/>
        </w:rPr>
      </w:pPr>
    </w:p>
    <w:p>
      <w:pPr>
        <w:pStyle w:val="2"/>
        <w:rPr>
          <w:rFonts w:hint="eastAsia"/>
        </w:rPr>
      </w:pPr>
    </w:p>
    <w:p>
      <w:pPr>
        <w:rPr>
          <w:rFonts w:eastAsia="黑体"/>
          <w:szCs w:val="24"/>
          <w:highlight w:val="none"/>
        </w:rPr>
      </w:pPr>
    </w:p>
    <w:p>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附表</w:t>
      </w:r>
    </w:p>
    <w:tbl>
      <w:tblPr>
        <w:tblStyle w:val="21"/>
        <w:tblW w:w="10233" w:type="dxa"/>
        <w:jc w:val="center"/>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tblPrEx>
          <w:tblCellMar>
            <w:top w:w="15" w:type="dxa"/>
            <w:left w:w="15" w:type="dxa"/>
            <w:bottom w:w="15" w:type="dxa"/>
            <w:right w:w="15" w:type="dxa"/>
          </w:tblCellMar>
        </w:tblPrEx>
        <w:trPr>
          <w:trHeight w:val="576" w:hRule="atLeast"/>
          <w:jc w:val="center"/>
        </w:trPr>
        <w:tc>
          <w:tcPr>
            <w:tcW w:w="10233" w:type="dxa"/>
            <w:gridSpan w:val="9"/>
            <w:noWrap w:val="0"/>
            <w:vAlign w:val="center"/>
          </w:tcPr>
          <w:p>
            <w:pPr>
              <w:widowControl/>
              <w:spacing w:line="600" w:lineRule="exact"/>
              <w:jc w:val="center"/>
              <w:textAlignment w:val="center"/>
              <w:rPr>
                <w:rFonts w:ascii="黑体" w:hAnsi="宋体" w:eastAsia="黑体" w:cs="黑体"/>
                <w:color w:val="000000"/>
                <w:sz w:val="30"/>
                <w:szCs w:val="30"/>
                <w:highlight w:val="none"/>
              </w:rPr>
            </w:pPr>
            <w:r>
              <w:rPr>
                <w:rFonts w:hint="eastAsia" w:ascii="方正公文小标宋" w:hAnsi="方正公文小标宋" w:eastAsia="方正公文小标宋" w:cs="方正公文小标宋"/>
                <w:color w:val="000000"/>
                <w:kern w:val="0"/>
                <w:sz w:val="40"/>
                <w:szCs w:val="40"/>
                <w:highlight w:val="none"/>
                <w:lang w:bidi="ar"/>
              </w:rPr>
              <w:t>专项预算项目绩效目标完成情况自评表</w:t>
            </w:r>
          </w:p>
        </w:tc>
      </w:tr>
      <w:tr>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项目名称</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文旅融合发展专项资金-系列文化旅游活动</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预算单位</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广元市文化广播电视和旅游局</w:t>
            </w:r>
          </w:p>
        </w:tc>
      </w:tr>
      <w:tr>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项目类型</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left"/>
              <w:rPr>
                <w:rFonts w:hint="eastAsia"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bidi="ar"/>
              </w:rPr>
              <w:t>中长期规划（名称、文号，仅指</w:t>
            </w:r>
          </w:p>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常年项目）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left"/>
              <w:rPr>
                <w:rFonts w:hint="eastAsia" w:ascii="宋体" w:hAnsi="宋体" w:eastAsia="宋体" w:cs="宋体"/>
                <w:color w:val="000000"/>
                <w:sz w:val="24"/>
                <w:szCs w:val="24"/>
                <w:highlight w:val="none"/>
              </w:rPr>
            </w:pPr>
          </w:p>
        </w:tc>
      </w:tr>
      <w:tr>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资金管理办法（名称、文号）</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left"/>
              <w:rPr>
                <w:rFonts w:hint="eastAsia"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Wingdings 2" w:hAnsi="Wingdings 2" w:eastAsia="Wingdings 2" w:cs="Wingdings 2"/>
                <w:color w:val="000000"/>
                <w:sz w:val="24"/>
                <w:szCs w:val="24"/>
                <w:highlight w:val="none"/>
              </w:rPr>
            </w:pPr>
            <w:r>
              <w:rPr>
                <w:rFonts w:ascii="Wingdings 2" w:hAnsi="Wingdings 2" w:eastAsia="Wingdings 2" w:cs="Wingdings 2"/>
                <w:color w:val="000000"/>
                <w:kern w:val="0"/>
                <w:sz w:val="24"/>
                <w:szCs w:val="24"/>
                <w:highlight w:val="none"/>
                <w:lang w:bidi="ar"/>
              </w:rPr>
              <w:t></w:t>
            </w:r>
            <w:r>
              <w:rPr>
                <w:rFonts w:ascii="宋体" w:hAnsi="宋体" w:eastAsia="宋体" w:cs="宋体"/>
                <w:color w:val="000000"/>
                <w:kern w:val="0"/>
                <w:sz w:val="24"/>
                <w:szCs w:val="24"/>
                <w:highlight w:val="none"/>
                <w:lang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center"/>
              <w:rPr>
                <w:rFonts w:ascii="Wingdings 2" w:hAnsi="Wingdings 2" w:eastAsia="Wingdings 2" w:cs="Wingdings 2"/>
                <w:color w:val="000000"/>
                <w:sz w:val="24"/>
                <w:szCs w:val="24"/>
                <w:highlight w:val="none"/>
              </w:rPr>
            </w:pPr>
            <w:r>
              <w:rPr>
                <w:rFonts w:ascii="Wingdings 2" w:hAnsi="Wingdings 2" w:eastAsia="Wingdings 2" w:cs="Wingdings 2"/>
                <w:color w:val="000000"/>
                <w:kern w:val="0"/>
                <w:sz w:val="24"/>
                <w:szCs w:val="24"/>
                <w:highlight w:val="none"/>
                <w:lang w:bidi="ar"/>
              </w:rPr>
              <w:sym w:font="Wingdings 2" w:char="0052"/>
            </w:r>
            <w:r>
              <w:rPr>
                <w:rFonts w:ascii="Wingdings 2" w:hAnsi="Wingdings 2" w:eastAsia="Wingdings 2" w:cs="Wingdings 2"/>
                <w:color w:val="000000"/>
                <w:kern w:val="0"/>
                <w:sz w:val="24"/>
                <w:szCs w:val="24"/>
                <w:highlight w:val="none"/>
                <w:lang w:bidi="ar"/>
              </w:rPr>
              <w:t>项目法</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center"/>
              <w:rPr>
                <w:rFonts w:ascii="Wingdings 2" w:hAnsi="Wingdings 2" w:eastAsia="Wingdings 2" w:cs="Wingdings 2"/>
                <w:color w:val="000000"/>
                <w:sz w:val="24"/>
                <w:szCs w:val="24"/>
                <w:highlight w:val="none"/>
              </w:rPr>
            </w:pPr>
            <w:r>
              <w:rPr>
                <w:rFonts w:ascii="Wingdings 2" w:hAnsi="Wingdings 2" w:eastAsia="Wingdings 2" w:cs="Wingdings 2"/>
                <w:color w:val="000000"/>
                <w:kern w:val="0"/>
                <w:sz w:val="24"/>
                <w:szCs w:val="24"/>
                <w:highlight w:val="none"/>
                <w:lang w:bidi="ar"/>
              </w:rPr>
              <w:t></w:t>
            </w:r>
            <w:r>
              <w:rPr>
                <w:rFonts w:ascii="宋体" w:hAnsi="宋体" w:eastAsia="宋体" w:cs="宋体"/>
                <w:color w:val="000000"/>
                <w:kern w:val="0"/>
                <w:sz w:val="24"/>
                <w:szCs w:val="24"/>
                <w:highlight w:val="none"/>
                <w:lang w:bidi="ar"/>
              </w:rPr>
              <w:t>据实据效</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center"/>
              <w:rPr>
                <w:rFonts w:ascii="Wingdings 2" w:hAnsi="Wingdings 2" w:eastAsia="Wingdings 2" w:cs="Wingdings 2"/>
                <w:color w:val="000000"/>
                <w:sz w:val="24"/>
                <w:szCs w:val="24"/>
                <w:highlight w:val="none"/>
              </w:rPr>
            </w:pPr>
            <w:r>
              <w:rPr>
                <w:rFonts w:ascii="Wingdings 2" w:hAnsi="Wingdings 2" w:eastAsia="Wingdings 2" w:cs="Wingdings 2"/>
                <w:color w:val="000000"/>
                <w:kern w:val="0"/>
                <w:sz w:val="24"/>
                <w:szCs w:val="24"/>
                <w:highlight w:val="none"/>
                <w:lang w:bidi="ar"/>
              </w:rPr>
              <w:t></w:t>
            </w:r>
            <w:r>
              <w:rPr>
                <w:rFonts w:ascii="宋体" w:hAnsi="宋体" w:eastAsia="宋体" w:cs="宋体"/>
                <w:color w:val="000000"/>
                <w:kern w:val="0"/>
                <w:sz w:val="24"/>
                <w:szCs w:val="24"/>
                <w:highlight w:val="none"/>
                <w:lang w:bidi="ar"/>
              </w:rPr>
              <w:t>因素法与项目法相结合</w:t>
            </w:r>
          </w:p>
        </w:tc>
      </w:tr>
      <w:tr>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立项依据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left"/>
              <w:rPr>
                <w:rFonts w:hint="eastAsia"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使用范围</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left"/>
              <w:rPr>
                <w:rFonts w:hint="eastAsia" w:ascii="宋体" w:hAnsi="宋体" w:eastAsia="宋体" w:cs="宋体"/>
                <w:color w:val="000000"/>
                <w:sz w:val="24"/>
                <w:szCs w:val="24"/>
                <w:highlight w:val="none"/>
              </w:rPr>
            </w:pPr>
          </w:p>
        </w:tc>
      </w:tr>
      <w:tr>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申报（补助）条件</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left"/>
              <w:rPr>
                <w:rFonts w:hint="eastAsia" w:ascii="宋体" w:hAnsi="宋体" w:eastAsia="宋体" w:cs="宋体"/>
                <w:color w:val="000000"/>
                <w:sz w:val="24"/>
                <w:szCs w:val="24"/>
                <w:highlight w:val="none"/>
              </w:rPr>
            </w:pP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项目起止年限</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center"/>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202</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.1.1-202</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.12.31</w:t>
            </w:r>
          </w:p>
        </w:tc>
      </w:tr>
      <w:tr>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center"/>
              <w:rPr>
                <w:rFonts w:ascii="宋体" w:hAnsi="宋体" w:eastAsia="宋体" w:cs="宋体"/>
                <w:color w:val="000000"/>
                <w:kern w:val="0"/>
                <w:sz w:val="24"/>
                <w:szCs w:val="24"/>
                <w:highlight w:val="none"/>
                <w:lang w:bidi="ar"/>
              </w:rPr>
            </w:pPr>
            <w:r>
              <w:rPr>
                <w:rFonts w:ascii="宋体" w:hAnsi="宋体" w:eastAsia="宋体" w:cs="宋体"/>
                <w:color w:val="000000"/>
                <w:kern w:val="0"/>
                <w:sz w:val="24"/>
                <w:szCs w:val="24"/>
                <w:highlight w:val="none"/>
                <w:lang w:bidi="ar"/>
              </w:rPr>
              <w:t>项目资金</w:t>
            </w:r>
          </w:p>
          <w:p>
            <w:pPr>
              <w:widowControl/>
              <w:spacing w:line="300" w:lineRule="exact"/>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 xml:space="preserve">  年度资金总额：</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center"/>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160.71</w:t>
            </w:r>
          </w:p>
        </w:tc>
      </w:tr>
      <w:tr>
        <w:tblPrEx>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 xml:space="preserve">     </w:t>
            </w:r>
            <w:r>
              <w:rPr>
                <w:rFonts w:hint="eastAsia" w:ascii="宋体" w:hAnsi="宋体" w:eastAsia="宋体" w:cs="宋体"/>
                <w:color w:val="000000"/>
                <w:kern w:val="0"/>
                <w:sz w:val="24"/>
                <w:szCs w:val="24"/>
                <w:highlight w:val="none"/>
                <w:lang w:bidi="ar"/>
              </w:rPr>
              <w:t xml:space="preserve"> </w:t>
            </w:r>
            <w:r>
              <w:rPr>
                <w:rFonts w:ascii="宋体" w:hAnsi="宋体" w:eastAsia="宋体" w:cs="宋体"/>
                <w:color w:val="000000"/>
                <w:kern w:val="0"/>
                <w:sz w:val="24"/>
                <w:szCs w:val="24"/>
                <w:highlight w:val="none"/>
                <w:lang w:bidi="ar"/>
              </w:rPr>
              <w:t>其中：财政拨款</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center"/>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160.71</w:t>
            </w:r>
          </w:p>
        </w:tc>
      </w:tr>
      <w:tr>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left"/>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 xml:space="preserve">            其他资金</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center"/>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0</w:t>
            </w: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总体 目标</w:t>
            </w: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年度目标</w:t>
            </w:r>
          </w:p>
        </w:tc>
      </w:tr>
      <w:tr>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pPr>
              <w:spacing w:line="30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精心策划开展了系列“2024年广元市文化旅游系列宣传推广活动”。深入挖掘广元特色文化内涵，大力实施文旅宣推强音行动，精心策划开展“四季游广元”主题活动，推动“广元文旅”热度不断攀升，“剑门蜀道、女皇故里、红色热土、康养胜地”城市名片更加响亮。</w:t>
            </w: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pPr>
              <w:widowControl/>
              <w:spacing w:line="300" w:lineRule="exact"/>
              <w:jc w:val="center"/>
              <w:textAlignment w:val="center"/>
              <w:rPr>
                <w:rFonts w:ascii="宋体" w:hAnsi="宋体" w:eastAsia="宋体" w:cs="宋体"/>
                <w:color w:val="000000"/>
                <w:sz w:val="24"/>
                <w:szCs w:val="24"/>
                <w:highlight w:val="none"/>
              </w:rPr>
            </w:pPr>
            <w:r>
              <w:rPr>
                <w:rFonts w:ascii="宋体" w:hAnsi="宋体" w:eastAsia="宋体" w:cs="宋体"/>
                <w:color w:val="000000"/>
                <w:kern w:val="0"/>
                <w:sz w:val="24"/>
                <w:szCs w:val="24"/>
                <w:highlight w:val="none"/>
                <w:lang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完成值</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权重</w:t>
            </w:r>
          </w:p>
        </w:tc>
      </w:tr>
      <w:tr>
        <w:trPr>
          <w:trHeight w:val="1065"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25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eastAsia="zh-CN" w:bidi="ar"/>
              </w:rPr>
            </w:pPr>
            <w:r>
              <w:rPr>
                <w:rFonts w:ascii="宋体" w:hAnsi="宋体" w:eastAsia="宋体" w:cs="宋体"/>
                <w:i w:val="0"/>
                <w:iCs w:val="0"/>
                <w:color w:val="000000"/>
                <w:kern w:val="0"/>
                <w:sz w:val="18"/>
                <w:szCs w:val="18"/>
                <w:highlight w:val="none"/>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度量单位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4"/>
                <w:szCs w:val="24"/>
                <w:highlight w:val="none"/>
                <w:lang w:val="en-US" w:eastAsia="zh-CN" w:bidi="ar"/>
              </w:rPr>
            </w:pPr>
            <w:r>
              <w:rPr>
                <w:rFonts w:ascii="宋体" w:hAnsi="宋体" w:eastAsia="宋体" w:cs="宋体"/>
                <w:i w:val="0"/>
                <w:iCs w:val="0"/>
                <w:color w:val="000000"/>
                <w:kern w:val="0"/>
                <w:sz w:val="18"/>
                <w:szCs w:val="18"/>
                <w:highlight w:val="none"/>
                <w:u w:val="none"/>
                <w:lang w:val="en-US" w:eastAsia="zh-CN" w:bidi="ar"/>
              </w:rPr>
              <w:t>完成值</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eastAsia="zh-CN" w:bidi="ar"/>
              </w:rPr>
            </w:pPr>
            <w:r>
              <w:rPr>
                <w:rFonts w:ascii="宋体" w:hAnsi="宋体" w:eastAsia="宋体" w:cs="宋体"/>
                <w:i w:val="0"/>
                <w:iCs w:val="0"/>
                <w:color w:val="000000"/>
                <w:kern w:val="0"/>
                <w:sz w:val="18"/>
                <w:szCs w:val="18"/>
                <w:highlight w:val="none"/>
                <w:u w:val="none"/>
                <w:lang w:val="en-US" w:eastAsia="zh-CN" w:bidi="ar"/>
              </w:rPr>
              <w:t>权重</w:t>
            </w:r>
          </w:p>
        </w:tc>
      </w:tr>
      <w:tr>
        <w:tblPrEx>
          <w:tblCellMar>
            <w:top w:w="15" w:type="dxa"/>
            <w:left w:w="15" w:type="dxa"/>
            <w:bottom w:w="15" w:type="dxa"/>
            <w:right w:w="15" w:type="dxa"/>
          </w:tblCellMar>
        </w:tblPrEx>
        <w:trPr>
          <w:trHeight w:val="1065" w:hRule="atLeast"/>
          <w:jc w:val="center"/>
        </w:trPr>
        <w:tc>
          <w:tcPr>
            <w:tcW w:w="652" w:type="dxa"/>
            <w:vMerge w:val="continue"/>
            <w:tcBorders>
              <w:left w:val="single" w:color="000000" w:sz="4" w:space="0"/>
              <w:bottom w:val="single" w:color="000000" w:sz="4" w:space="0"/>
            </w:tcBorders>
            <w:noWrap w:val="0"/>
            <w:vAlign w:val="center"/>
          </w:tcPr>
          <w:p>
            <w:pPr>
              <w:widowControl/>
              <w:spacing w:line="300" w:lineRule="exact"/>
              <w:jc w:val="center"/>
              <w:textAlignment w:val="center"/>
              <w:rPr>
                <w:highlight w:val="none"/>
              </w:rPr>
            </w:pPr>
          </w:p>
        </w:tc>
        <w:tc>
          <w:tcPr>
            <w:tcW w:w="1081" w:type="dxa"/>
            <w:vMerge w:val="restart"/>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250"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"开展全省星级饭店行业 服务技能竞赛选拔培训赛等能力提升活动"</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4"/>
                <w:szCs w:val="24"/>
                <w:highlight w:val="none"/>
                <w:lang w:val="en-US" w:eastAsia="zh-CN" w:bidi="ar"/>
              </w:rPr>
            </w:pPr>
            <w:r>
              <w:rPr>
                <w:rFonts w:ascii="宋体" w:hAnsi="宋体" w:eastAsia="宋体" w:cs="宋体"/>
                <w:i w:val="0"/>
                <w:iCs w:val="0"/>
                <w:color w:val="000000"/>
                <w:kern w:val="0"/>
                <w:sz w:val="18"/>
                <w:szCs w:val="18"/>
                <w:highlight w:val="none"/>
                <w:u w:val="none"/>
                <w:lang w:val="en-US" w:eastAsia="zh-CN" w:bidi="ar"/>
              </w:rPr>
              <w:t>4</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val="en-US" w:eastAsia="zh-CN" w:bidi="ar"/>
              </w:rPr>
            </w:pPr>
            <w:r>
              <w:rPr>
                <w:rFonts w:ascii="宋体" w:hAnsi="宋体" w:eastAsia="宋体" w:cs="宋体"/>
                <w:i w:val="0"/>
                <w:iCs w:val="0"/>
                <w:color w:val="000000"/>
                <w:kern w:val="0"/>
                <w:sz w:val="18"/>
                <w:szCs w:val="18"/>
                <w:highlight w:val="none"/>
                <w:u w:val="none"/>
                <w:lang w:val="en-US" w:eastAsia="zh-CN" w:bidi="ar"/>
              </w:rPr>
              <w:t>项</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4"/>
                <w:szCs w:val="24"/>
                <w:highlight w:val="none"/>
                <w:lang w:val="en-US" w:eastAsia="zh-CN" w:bidi="ar"/>
              </w:rPr>
            </w:pPr>
            <w:r>
              <w:rPr>
                <w:rFonts w:ascii="宋体" w:hAnsi="宋体" w:eastAsia="宋体" w:cs="宋体"/>
                <w:i w:val="0"/>
                <w:iCs w:val="0"/>
                <w:color w:val="000000"/>
                <w:kern w:val="0"/>
                <w:sz w:val="18"/>
                <w:szCs w:val="18"/>
                <w:highlight w:val="none"/>
                <w:u w:val="none"/>
                <w:lang w:val="en-US" w:eastAsia="zh-CN" w:bidi="ar"/>
              </w:rPr>
              <w:t>4</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4"/>
                <w:szCs w:val="24"/>
                <w:highlight w:val="none"/>
                <w:lang w:val="en-US" w:eastAsia="zh-CN" w:bidi="ar"/>
              </w:rPr>
            </w:pPr>
            <w:r>
              <w:rPr>
                <w:rFonts w:ascii="宋体" w:hAnsi="宋体" w:eastAsia="宋体" w:cs="宋体"/>
                <w:i w:val="0"/>
                <w:iCs w:val="0"/>
                <w:color w:val="000000"/>
                <w:kern w:val="0"/>
                <w:sz w:val="18"/>
                <w:szCs w:val="18"/>
                <w:highlight w:val="none"/>
                <w:u w:val="none"/>
                <w:lang w:val="en-US" w:eastAsia="zh-CN" w:bidi="ar"/>
              </w:rPr>
              <w:t>10</w:t>
            </w:r>
          </w:p>
        </w:tc>
      </w:tr>
      <w:tr>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vMerge w:val="continue"/>
            <w:tcBorders>
              <w:left w:val="single" w:color="000000" w:sz="4" w:space="0"/>
              <w:right w:val="single" w:color="000000" w:sz="4" w:space="0"/>
            </w:tcBorders>
            <w:noWrap w:val="0"/>
            <w:vAlign w:val="center"/>
          </w:tcPr>
          <w:p>
            <w:pPr>
              <w:jc w:val="center"/>
              <w:rPr>
                <w:rFonts w:ascii="宋体" w:hAnsi="宋体" w:eastAsia="宋体" w:cs="宋体"/>
                <w:color w:val="000000"/>
                <w:kern w:val="0"/>
                <w:sz w:val="24"/>
                <w:szCs w:val="24"/>
                <w:highlight w:val="none"/>
                <w:lang w:bidi="ar"/>
              </w:rPr>
            </w:pPr>
          </w:p>
        </w:tc>
        <w:tc>
          <w:tcPr>
            <w:tcW w:w="1250" w:type="dxa"/>
            <w:vMerge w:val="continue"/>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开展康养旅游胜地专题研究报告编制等基础保障活动</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11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项</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4"/>
                <w:szCs w:val="24"/>
                <w:highlight w:val="none"/>
                <w:lang w:val="en-US" w:eastAsia="zh-CN" w:bidi="ar"/>
              </w:rPr>
            </w:pPr>
            <w:r>
              <w:rPr>
                <w:rFonts w:ascii="宋体" w:hAnsi="宋体" w:eastAsia="宋体" w:cs="宋体"/>
                <w:i w:val="0"/>
                <w:iCs w:val="0"/>
                <w:color w:val="000000"/>
                <w:kern w:val="0"/>
                <w:sz w:val="18"/>
                <w:szCs w:val="18"/>
                <w:highlight w:val="none"/>
                <w:u w:val="none"/>
                <w:lang w:val="en-US" w:eastAsia="zh-CN" w:bidi="ar"/>
              </w:rPr>
              <w:t>11</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4"/>
                <w:szCs w:val="24"/>
                <w:highlight w:val="none"/>
                <w:lang w:val="en-US" w:eastAsia="zh-CN" w:bidi="ar"/>
              </w:rPr>
            </w:pPr>
            <w:r>
              <w:rPr>
                <w:rFonts w:ascii="宋体" w:hAnsi="宋体" w:eastAsia="宋体" w:cs="宋体"/>
                <w:i w:val="0"/>
                <w:iCs w:val="0"/>
                <w:color w:val="000000"/>
                <w:kern w:val="0"/>
                <w:sz w:val="18"/>
                <w:szCs w:val="18"/>
                <w:highlight w:val="none"/>
                <w:u w:val="none"/>
                <w:lang w:val="en-US" w:eastAsia="zh-CN" w:bidi="ar"/>
              </w:rPr>
              <w:t>10</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vMerge w:val="continue"/>
            <w:tcBorders>
              <w:left w:val="single" w:color="000000" w:sz="4" w:space="0"/>
              <w:right w:val="single" w:color="000000" w:sz="4" w:space="0"/>
            </w:tcBorders>
            <w:noWrap w:val="0"/>
            <w:vAlign w:val="center"/>
          </w:tcPr>
          <w:p>
            <w:pPr>
              <w:jc w:val="center"/>
              <w:rPr>
                <w:rFonts w:ascii="宋体" w:hAnsi="宋体" w:eastAsia="宋体" w:cs="宋体"/>
                <w:color w:val="000000"/>
                <w:kern w:val="0"/>
                <w:sz w:val="24"/>
                <w:szCs w:val="24"/>
                <w:highlight w:val="none"/>
                <w:lang w:bidi="ar"/>
              </w:rPr>
            </w:pPr>
          </w:p>
        </w:tc>
        <w:tc>
          <w:tcPr>
            <w:tcW w:w="1250" w:type="dxa"/>
            <w:vMerge w:val="continue"/>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开展微信朋友圈精准宣传、高铁视频宣传等文化旅游宣传、艺术创作活动</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25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项</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sz w:val="24"/>
                <w:szCs w:val="24"/>
                <w:highlight w:val="none"/>
                <w:lang w:val="en-US" w:eastAsia="zh-CN"/>
              </w:rPr>
            </w:pPr>
            <w:r>
              <w:rPr>
                <w:rFonts w:ascii="宋体" w:hAnsi="宋体" w:eastAsia="宋体" w:cs="宋体"/>
                <w:i w:val="0"/>
                <w:iCs w:val="0"/>
                <w:color w:val="000000"/>
                <w:kern w:val="0"/>
                <w:sz w:val="18"/>
                <w:szCs w:val="18"/>
                <w:highlight w:val="none"/>
                <w:u w:val="none"/>
                <w:lang w:val="en-US" w:eastAsia="zh-CN" w:bidi="ar"/>
              </w:rPr>
              <w:t>25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sz w:val="24"/>
                <w:szCs w:val="24"/>
                <w:highlight w:val="none"/>
                <w:lang w:val="en-US" w:eastAsia="zh-CN"/>
              </w:rPr>
            </w:pPr>
            <w:r>
              <w:rPr>
                <w:rFonts w:ascii="宋体" w:hAnsi="宋体" w:eastAsia="宋体" w:cs="宋体"/>
                <w:i w:val="0"/>
                <w:iCs w:val="0"/>
                <w:color w:val="000000"/>
                <w:kern w:val="0"/>
                <w:sz w:val="18"/>
                <w:szCs w:val="18"/>
                <w:highlight w:val="none"/>
                <w:u w:val="none"/>
                <w:lang w:val="en-US" w:eastAsia="zh-CN" w:bidi="ar"/>
              </w:rPr>
              <w:t>10</w:t>
            </w:r>
          </w:p>
        </w:tc>
      </w:tr>
      <w:tr>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000000"/>
                <w:sz w:val="24"/>
                <w:szCs w:val="24"/>
                <w:highlight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按期完成</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年</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4"/>
                <w:szCs w:val="24"/>
                <w:highlight w:val="none"/>
                <w:lang w:val="en-US" w:eastAsia="zh-CN" w:bidi="ar"/>
              </w:rPr>
            </w:pPr>
            <w:r>
              <w:rPr>
                <w:rFonts w:ascii="宋体" w:hAnsi="宋体" w:eastAsia="宋体" w:cs="宋体"/>
                <w:i w:val="0"/>
                <w:iCs w:val="0"/>
                <w:color w:val="000000"/>
                <w:kern w:val="0"/>
                <w:sz w:val="18"/>
                <w:szCs w:val="18"/>
                <w:highlight w:val="none"/>
                <w:u w:val="none"/>
                <w:lang w:val="en-US" w:eastAsia="zh-CN" w:bidi="ar"/>
              </w:rPr>
              <w:t>1</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10</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社会效益指标</w:t>
            </w:r>
          </w:p>
        </w:tc>
        <w:tc>
          <w:tcPr>
            <w:tcW w:w="1312"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东西部交流协作促进</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好</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4"/>
                <w:szCs w:val="24"/>
                <w:highlight w:val="none"/>
                <w:lang w:val="en-US" w:eastAsia="zh-CN" w:bidi="ar"/>
              </w:rPr>
            </w:pPr>
            <w:r>
              <w:rPr>
                <w:rFonts w:ascii="宋体" w:hAnsi="宋体" w:eastAsia="宋体" w:cs="宋体"/>
                <w:i w:val="0"/>
                <w:iCs w:val="0"/>
                <w:color w:val="000000"/>
                <w:kern w:val="0"/>
                <w:sz w:val="18"/>
                <w:szCs w:val="18"/>
                <w:highlight w:val="none"/>
                <w:u w:val="none"/>
                <w:lang w:val="en-US" w:eastAsia="zh-CN" w:bidi="ar"/>
              </w:rPr>
              <w:t>好</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2</w:t>
            </w:r>
          </w:p>
        </w:tc>
      </w:tr>
      <w:tr>
        <w:trPr>
          <w:trHeight w:val="23" w:hRule="atLeast"/>
          <w:jc w:val="center"/>
        </w:trPr>
        <w:tc>
          <w:tcPr>
            <w:tcW w:w="652" w:type="dxa"/>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000000"/>
                <w:sz w:val="24"/>
                <w:szCs w:val="24"/>
                <w:highlight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1312"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成渝双城经济圈融入</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好</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好</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3</w:t>
            </w:r>
          </w:p>
        </w:tc>
      </w:tr>
      <w:tr>
        <w:tblPrEx>
          <w:tblCellMar>
            <w:top w:w="15" w:type="dxa"/>
            <w:left w:w="15" w:type="dxa"/>
            <w:bottom w:w="15" w:type="dxa"/>
            <w:right w:w="15" w:type="dxa"/>
          </w:tblCellMar>
        </w:tblPrEx>
        <w:trPr>
          <w:trHeight w:val="23" w:hRule="atLeast"/>
          <w:jc w:val="center"/>
        </w:trPr>
        <w:tc>
          <w:tcPr>
            <w:tcW w:w="652" w:type="dxa"/>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000000"/>
                <w:sz w:val="24"/>
                <w:szCs w:val="24"/>
                <w:highlight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1312"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传承中华优秀传统文化坚定文化自信</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好</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好</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5</w:t>
            </w:r>
          </w:p>
        </w:tc>
      </w:tr>
      <w:tr>
        <w:trPr>
          <w:trHeight w:val="23" w:hRule="atLeast"/>
          <w:jc w:val="center"/>
        </w:trPr>
        <w:tc>
          <w:tcPr>
            <w:tcW w:w="652" w:type="dxa"/>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000000"/>
                <w:sz w:val="24"/>
                <w:szCs w:val="24"/>
                <w:highlight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1312"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净化文旅市场环境，提升服务质量和服务效果</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好</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好</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5</w:t>
            </w:r>
          </w:p>
        </w:tc>
      </w:tr>
      <w:tr>
        <w:tblPrEx>
          <w:tblCellMar>
            <w:top w:w="15" w:type="dxa"/>
            <w:left w:w="15" w:type="dxa"/>
            <w:bottom w:w="15" w:type="dxa"/>
            <w:right w:w="15" w:type="dxa"/>
          </w:tblCellMar>
        </w:tblPrEx>
        <w:trPr>
          <w:trHeight w:val="23" w:hRule="atLeast"/>
          <w:jc w:val="center"/>
        </w:trPr>
        <w:tc>
          <w:tcPr>
            <w:tcW w:w="652" w:type="dxa"/>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000000"/>
                <w:sz w:val="24"/>
                <w:szCs w:val="24"/>
                <w:highlight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1312"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擦亮“剑门蜀道﹒女皇故里”广元文化旅游核心品牌</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好</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0"/>
                <w:sz w:val="24"/>
                <w:szCs w:val="24"/>
                <w:highlight w:val="none"/>
                <w:lang w:bidi="ar"/>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好</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5</w:t>
            </w:r>
          </w:p>
        </w:tc>
      </w:tr>
      <w:tr>
        <w:trPr>
          <w:trHeight w:val="23" w:hRule="atLeast"/>
          <w:jc w:val="center"/>
        </w:trPr>
        <w:tc>
          <w:tcPr>
            <w:tcW w:w="652" w:type="dxa"/>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color w:val="000000"/>
                <w:sz w:val="24"/>
                <w:szCs w:val="24"/>
                <w:highlight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满意度指标</w:t>
            </w:r>
          </w:p>
        </w:tc>
        <w:tc>
          <w:tcPr>
            <w:tcW w:w="1312"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社会公众满意度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95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lang w:bidi="ar"/>
              </w:rPr>
            </w:pPr>
            <w:r>
              <w:rPr>
                <w:rFonts w:ascii="宋体" w:hAnsi="宋体" w:eastAsia="宋体" w:cs="宋体"/>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95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10</w:t>
            </w:r>
          </w:p>
        </w:tc>
      </w:tr>
      <w:tr>
        <w:tblPrEx>
          <w:tblCellMar>
            <w:top w:w="15" w:type="dxa"/>
            <w:left w:w="15" w:type="dxa"/>
            <w:bottom w:w="15" w:type="dxa"/>
            <w:right w:w="15" w:type="dxa"/>
          </w:tblCellMar>
        </w:tblPrEx>
        <w:trPr>
          <w:trHeight w:val="23" w:hRule="atLeast"/>
          <w:jc w:val="center"/>
        </w:trPr>
        <w:tc>
          <w:tcPr>
            <w:tcW w:w="652" w:type="dxa"/>
            <w:tcBorders>
              <w:top w:val="single" w:color="000000" w:sz="4" w:space="0"/>
              <w:left w:val="single" w:color="000000" w:sz="4" w:space="0"/>
              <w:bottom w:val="single" w:color="000000" w:sz="4" w:space="0"/>
            </w:tcBorders>
            <w:noWrap w:val="0"/>
            <w:vAlign w:val="center"/>
          </w:tcPr>
          <w:p>
            <w:pPr>
              <w:spacing w:line="300" w:lineRule="exact"/>
              <w:jc w:val="center"/>
              <w:rPr>
                <w:rFonts w:hint="eastAsia" w:ascii="宋体" w:hAnsi="宋体" w:eastAsia="宋体" w:cs="宋体"/>
                <w:color w:val="000000"/>
                <w:sz w:val="24"/>
                <w:szCs w:val="24"/>
                <w:highlight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经济成本指标</w:t>
            </w:r>
          </w:p>
        </w:tc>
        <w:tc>
          <w:tcPr>
            <w:tcW w:w="1312"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活动预算安排</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年初预算</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highlight w:val="none"/>
                <w:u w:val="none"/>
                <w:lang w:val="en-US" w:eastAsia="zh-CN" w:bidi="ar"/>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160.71</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r>
    </w:tbl>
    <w:p>
      <w:pPr>
        <w:widowControl/>
        <w:jc w:val="center"/>
        <w:rPr>
          <w:rFonts w:hint="eastAsia" w:eastAsia="黑体"/>
          <w:sz w:val="44"/>
          <w:szCs w:val="44"/>
          <w:highlight w:val="none"/>
        </w:rPr>
      </w:pPr>
    </w:p>
    <w:p>
      <w:pPr>
        <w:pStyle w:val="9"/>
        <w:rPr>
          <w:rFonts w:hint="eastAsia" w:eastAsia="黑体"/>
          <w:sz w:val="44"/>
          <w:szCs w:val="44"/>
          <w:highlight w:val="none"/>
        </w:rPr>
      </w:pPr>
    </w:p>
    <w:p>
      <w:pPr>
        <w:rPr>
          <w:rFonts w:hint="eastAsia" w:eastAsia="黑体"/>
          <w:sz w:val="44"/>
          <w:szCs w:val="44"/>
          <w:highlight w:val="none"/>
        </w:rPr>
      </w:pPr>
    </w:p>
    <w:p>
      <w:pPr>
        <w:pStyle w:val="9"/>
        <w:rPr>
          <w:rFonts w:hint="eastAsia" w:eastAsia="黑体"/>
          <w:sz w:val="44"/>
          <w:szCs w:val="44"/>
          <w:highlight w:val="none"/>
        </w:rPr>
      </w:pPr>
    </w:p>
    <w:p>
      <w:pPr>
        <w:rPr>
          <w:rFonts w:hint="eastAsia" w:eastAsia="黑体"/>
          <w:sz w:val="44"/>
          <w:szCs w:val="44"/>
          <w:highlight w:val="none"/>
        </w:rPr>
      </w:pPr>
    </w:p>
    <w:p>
      <w:pPr>
        <w:pStyle w:val="9"/>
        <w:rPr>
          <w:rFonts w:hint="eastAsia" w:eastAsia="黑体"/>
          <w:sz w:val="44"/>
          <w:szCs w:val="44"/>
          <w:highlight w:val="none"/>
        </w:rPr>
      </w:pPr>
    </w:p>
    <w:p>
      <w:pPr>
        <w:rPr>
          <w:rFonts w:hint="eastAsia" w:eastAsia="黑体"/>
          <w:sz w:val="44"/>
          <w:szCs w:val="44"/>
          <w:highlight w:val="none"/>
        </w:rPr>
      </w:pPr>
    </w:p>
    <w:p>
      <w:pPr>
        <w:pStyle w:val="9"/>
        <w:rPr>
          <w:rFonts w:hint="eastAsia" w:eastAsia="黑体"/>
          <w:sz w:val="44"/>
          <w:szCs w:val="44"/>
          <w:highlight w:val="none"/>
        </w:rPr>
      </w:pPr>
    </w:p>
    <w:p>
      <w:pPr>
        <w:rPr>
          <w:rFonts w:hint="eastAsia" w:eastAsia="黑体"/>
          <w:sz w:val="44"/>
          <w:szCs w:val="44"/>
          <w:highlight w:val="none"/>
        </w:rPr>
      </w:pPr>
    </w:p>
    <w:p>
      <w:pPr>
        <w:pStyle w:val="9"/>
        <w:rPr>
          <w:rFonts w:hint="eastAsia" w:eastAsia="黑体"/>
          <w:sz w:val="44"/>
          <w:szCs w:val="44"/>
          <w:highlight w:val="none"/>
        </w:rPr>
      </w:pPr>
    </w:p>
    <w:p>
      <w:pPr>
        <w:rPr>
          <w:rFonts w:hint="eastAsia" w:eastAsia="黑体"/>
          <w:sz w:val="44"/>
          <w:szCs w:val="44"/>
          <w:highlight w:val="none"/>
        </w:rPr>
      </w:pPr>
    </w:p>
    <w:p>
      <w:pPr>
        <w:pStyle w:val="9"/>
        <w:rPr>
          <w:rFonts w:hint="eastAsia" w:eastAsia="黑体"/>
          <w:sz w:val="44"/>
          <w:szCs w:val="44"/>
          <w:highlight w:val="none"/>
        </w:rPr>
      </w:pPr>
    </w:p>
    <w:p>
      <w:pPr>
        <w:rPr>
          <w:rFonts w:hint="eastAsia" w:eastAsia="黑体"/>
          <w:sz w:val="44"/>
          <w:szCs w:val="44"/>
          <w:highlight w:val="none"/>
        </w:rPr>
      </w:pPr>
    </w:p>
    <w:p>
      <w:pPr>
        <w:rPr>
          <w:rFonts w:hint="eastAsia"/>
          <w:highlight w:val="none"/>
        </w:rPr>
      </w:pPr>
    </w:p>
    <w:p>
      <w:pPr>
        <w:pStyle w:val="40"/>
        <w:spacing w:line="578" w:lineRule="exact"/>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16</w:t>
      </w:r>
    </w:p>
    <w:p>
      <w:pPr>
        <w:pStyle w:val="40"/>
        <w:spacing w:line="578" w:lineRule="exact"/>
        <w:jc w:val="both"/>
        <w:rPr>
          <w:rFonts w:hint="eastAsia" w:ascii="黑体" w:hAnsi="黑体" w:eastAsia="黑体" w:cs="黑体"/>
          <w:sz w:val="32"/>
          <w:szCs w:val="32"/>
          <w:highlight w:val="none"/>
          <w:lang w:val="en-US" w:eastAsia="zh-CN"/>
        </w:rPr>
      </w:pPr>
    </w:p>
    <w:p>
      <w:pPr>
        <w:pStyle w:val="40"/>
        <w:spacing w:line="578" w:lineRule="exact"/>
        <w:jc w:val="center"/>
        <w:rPr>
          <w:rFonts w:hint="eastAsia" w:ascii="方正小标宋简体" w:hAnsi="方正小标宋简体" w:eastAsia="方正小标宋简体" w:cs="方正小标宋简体"/>
          <w:color w:val="auto"/>
          <w:spacing w:val="0"/>
          <w:kern w:val="2"/>
          <w:sz w:val="44"/>
          <w:szCs w:val="44"/>
          <w:highlight w:val="none"/>
          <w:lang w:val="en-US"/>
        </w:rPr>
      </w:pPr>
      <w:r>
        <w:rPr>
          <w:rFonts w:hint="eastAsia" w:ascii="方正小标宋简体" w:hAnsi="方正小标宋简体" w:eastAsia="方正小标宋简体" w:cs="方正小标宋简体"/>
          <w:color w:val="auto"/>
          <w:spacing w:val="0"/>
          <w:kern w:val="2"/>
          <w:sz w:val="44"/>
          <w:szCs w:val="44"/>
          <w:highlight w:val="none"/>
        </w:rPr>
        <w:t>公共文化服务体系建设专项资金之政府购买服务示范项目</w:t>
      </w:r>
      <w:r>
        <w:rPr>
          <w:rFonts w:hint="eastAsia" w:ascii="方正小标宋简体" w:hAnsi="方正小标宋简体" w:eastAsia="方正小标宋简体" w:cs="方正小标宋简体"/>
          <w:color w:val="auto"/>
          <w:spacing w:val="0"/>
          <w:kern w:val="2"/>
          <w:sz w:val="44"/>
          <w:szCs w:val="44"/>
          <w:highlight w:val="none"/>
          <w:lang w:val="en-US"/>
        </w:rPr>
        <w:t>绩效评价报告</w:t>
      </w:r>
    </w:p>
    <w:p>
      <w:pPr>
        <w:pStyle w:val="40"/>
        <w:spacing w:line="578" w:lineRule="exact"/>
        <w:ind w:firstLine="640"/>
        <w:jc w:val="center"/>
        <w:rPr>
          <w:rFonts w:ascii="宋体" w:hAnsi="宋体"/>
          <w:color w:val="auto"/>
          <w:spacing w:val="0"/>
          <w:kern w:val="2"/>
          <w:sz w:val="32"/>
          <w:szCs w:val="32"/>
          <w:highlight w:val="none"/>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spacing w:val="0"/>
          <w:kern w:val="0"/>
          <w:sz w:val="32"/>
          <w:szCs w:val="32"/>
          <w:highlight w:val="none"/>
          <w:shd w:val="clear" w:color="auto" w:fill="FFFFFF"/>
          <w:lang w:val="zh-CN" w:eastAsia="zh-CN"/>
        </w:rPr>
      </w:pPr>
      <w:r>
        <w:rPr>
          <w:rFonts w:hint="eastAsia" w:ascii="方正黑体简体" w:hAnsi="方正黑体简体" w:eastAsia="方正黑体简体" w:cs="方正黑体简体"/>
          <w:color w:val="auto"/>
          <w:spacing w:val="0"/>
          <w:kern w:val="0"/>
          <w:sz w:val="32"/>
          <w:szCs w:val="32"/>
          <w:highlight w:val="none"/>
          <w:shd w:val="clear" w:color="auto" w:fill="FFFFFF"/>
          <w:lang w:val="en-US" w:eastAsia="zh-CN"/>
        </w:rPr>
        <w:t>一、</w:t>
      </w:r>
      <w:r>
        <w:rPr>
          <w:rFonts w:hint="eastAsia" w:ascii="方正黑体简体" w:hAnsi="方正黑体简体" w:eastAsia="方正黑体简体" w:cs="方正黑体简体"/>
          <w:color w:val="auto"/>
          <w:spacing w:val="0"/>
          <w:kern w:val="0"/>
          <w:sz w:val="32"/>
          <w:szCs w:val="32"/>
          <w:highlight w:val="none"/>
          <w:shd w:val="clear" w:color="auto" w:fill="FFFFFF"/>
          <w:lang w:val="zh-CN" w:eastAsia="zh-CN"/>
        </w:rPr>
        <w:t>项目概况</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（一）设立背景及基本情况。</w:t>
      </w:r>
      <w:r>
        <w:rPr>
          <w:rFonts w:hint="eastAsia" w:ascii="仿宋_GB2312" w:hAnsi="仿宋_GB2312" w:eastAsia="仿宋_GB2312" w:cs="仿宋_GB2312"/>
          <w:color w:val="auto"/>
          <w:kern w:val="0"/>
          <w:sz w:val="32"/>
          <w:szCs w:val="32"/>
          <w:highlight w:val="none"/>
          <w:shd w:val="clear" w:color="auto" w:fill="FFFFFF"/>
          <w:lang w:val="en-US" w:eastAsia="zh-CN" w:bidi="ar-SA"/>
        </w:rPr>
        <w:t>为深入贯彻习近平文化思想，丰富群众精神文化生活，广元市积极响应号召，借助公共文化服务体系建设专项资金，旨在通过一系列政府购买服务示范项目，丰富群众的精神文化生活，同时提升广元作为文化旅游目的地的城市影响力，推动文化与旅游深度融合，打造城市文化新名片。</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（二）</w:t>
      </w:r>
      <w:r>
        <w:rPr>
          <w:rFonts w:hint="eastAsia" w:ascii="方正楷体简体" w:hAnsi="方正楷体简体" w:eastAsia="方正楷体简体" w:cs="方正楷体简体"/>
          <w:color w:val="auto"/>
          <w:spacing w:val="0"/>
          <w:kern w:val="0"/>
          <w:sz w:val="32"/>
          <w:szCs w:val="32"/>
          <w:highlight w:val="none"/>
          <w:shd w:val="clear" w:color="auto" w:fill="FFFFFF"/>
          <w:lang w:val="en-US" w:eastAsia="zh-CN"/>
        </w:rPr>
        <w:t>实施目的及支持方向。</w:t>
      </w:r>
      <w:r>
        <w:rPr>
          <w:rFonts w:hint="eastAsia" w:ascii="仿宋_GB2312" w:hAnsi="仿宋_GB2312" w:eastAsia="仿宋_GB2312" w:cs="仿宋_GB2312"/>
          <w:color w:val="auto"/>
          <w:kern w:val="0"/>
          <w:sz w:val="32"/>
          <w:szCs w:val="32"/>
          <w:highlight w:val="none"/>
          <w:shd w:val="clear" w:color="auto" w:fill="FFFFFF"/>
          <w:lang w:val="en-US" w:eastAsia="zh-CN" w:bidi="ar-SA"/>
        </w:rPr>
        <w:t>本项目旨在通过政府购买服务的形式，推动文艺进街区、“有爱无碍” 特殊群体文化关怀、川北民歌进校园传承、快乐课堂素质教育拓展以及蜀道文库文化研究整理等活动的开展。支持方向聚焦于基层文化活动的开展、文化传承与教育普及、特殊群体文化权益保障以及地方特色文化的挖掘与整理，全方位提升公共文化服务的覆盖面与质量。</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（三）</w:t>
      </w:r>
      <w:r>
        <w:rPr>
          <w:rFonts w:hint="eastAsia" w:ascii="方正楷体简体" w:hAnsi="方正楷体简体" w:eastAsia="方正楷体简体" w:cs="方正楷体简体"/>
          <w:color w:val="auto"/>
          <w:spacing w:val="0"/>
          <w:kern w:val="0"/>
          <w:sz w:val="32"/>
          <w:szCs w:val="32"/>
          <w:highlight w:val="none"/>
          <w:shd w:val="clear" w:color="auto" w:fill="FFFFFF"/>
          <w:lang w:val="en-US" w:eastAsia="zh-CN"/>
        </w:rPr>
        <w:t>预算安排及分配管理</w:t>
      </w: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w:t>
      </w:r>
      <w:r>
        <w:rPr>
          <w:rFonts w:hint="eastAsia" w:ascii="仿宋_GB2312" w:hAnsi="仿宋_GB2312" w:eastAsia="仿宋_GB2312" w:cs="仿宋_GB2312"/>
          <w:color w:val="auto"/>
          <w:kern w:val="0"/>
          <w:sz w:val="32"/>
          <w:szCs w:val="32"/>
          <w:highlight w:val="none"/>
          <w:shd w:val="clear" w:color="auto" w:fill="FFFFFF"/>
          <w:lang w:val="zh-CN" w:eastAsia="zh-CN" w:bidi="ar-SA"/>
        </w:rPr>
        <w:t>本项目预算安排共计 108.044 万元，其中，文艺进街区</w:t>
      </w:r>
      <w:r>
        <w:rPr>
          <w:rFonts w:hint="eastAsia" w:ascii="仿宋_GB2312" w:hAnsi="仿宋_GB2312" w:eastAsia="仿宋_GB2312" w:cs="仿宋_GB2312"/>
          <w:color w:val="auto"/>
          <w:kern w:val="0"/>
          <w:sz w:val="32"/>
          <w:szCs w:val="32"/>
          <w:highlight w:val="none"/>
          <w:shd w:val="clear" w:color="auto" w:fill="FFFFFF"/>
          <w:lang w:val="en-US" w:eastAsia="zh-CN" w:bidi="ar-SA"/>
        </w:rPr>
        <w:t>费用39.88万元，有爱无碍费用39.856万元，川北民歌进校园费用10.36万元，快乐课堂费用5.98万元，蜀道文库11.968万元。</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（四）项目绩效目标设置。</w:t>
      </w:r>
      <w:r>
        <w:rPr>
          <w:rFonts w:hint="eastAsia" w:ascii="仿宋_GB2312" w:hAnsi="仿宋_GB2312" w:eastAsia="仿宋_GB2312" w:cs="仿宋_GB2312"/>
          <w:color w:val="auto"/>
          <w:kern w:val="0"/>
          <w:sz w:val="32"/>
          <w:szCs w:val="32"/>
          <w:highlight w:val="none"/>
          <w:shd w:val="clear" w:color="auto" w:fill="FFFFFF"/>
          <w:lang w:val="en-US" w:eastAsia="zh-CN" w:bidi="ar-SA"/>
        </w:rPr>
        <w:t>预期通过本项目的实施，在活动覆盖人群方面，确保文艺进街区开展文艺演出不少于40场，“有爱无碍”公益服务不少于90场，川北民歌进校园活动覆盖多所学校的师生，快乐课堂惠及众多学生，蜀道文库研究成果能够广泛传播。在活动影响力方面，提升群众对公共文化服务的满意度，增强地方文化的传承与发展活力，扩大广元文化旅游的知名度与美誉度，促进文化与经济社会的协同发展。</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spacing w:val="0"/>
          <w:kern w:val="0"/>
          <w:sz w:val="32"/>
          <w:szCs w:val="32"/>
          <w:highlight w:val="none"/>
          <w:shd w:val="clear" w:color="auto" w:fill="FFFFFF"/>
          <w:lang w:val="en-US" w:eastAsia="zh-CN"/>
        </w:rPr>
      </w:pPr>
      <w:r>
        <w:rPr>
          <w:rFonts w:hint="eastAsia" w:ascii="方正黑体简体" w:hAnsi="方正黑体简体" w:eastAsia="方正黑体简体" w:cs="方正黑体简体"/>
          <w:color w:val="auto"/>
          <w:spacing w:val="0"/>
          <w:kern w:val="0"/>
          <w:sz w:val="32"/>
          <w:szCs w:val="32"/>
          <w:highlight w:val="none"/>
          <w:shd w:val="clear" w:color="auto" w:fill="FFFFFF"/>
          <w:lang w:val="en-US" w:eastAsia="zh-CN"/>
        </w:rPr>
        <w:t>二、评价实施</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（一）评价目的。</w:t>
      </w:r>
      <w:r>
        <w:rPr>
          <w:rFonts w:hint="eastAsia" w:ascii="仿宋_GB2312" w:hAnsi="仿宋_GB2312" w:eastAsia="仿宋_GB2312" w:cs="仿宋_GB2312"/>
          <w:color w:val="auto"/>
          <w:kern w:val="0"/>
          <w:sz w:val="32"/>
          <w:szCs w:val="32"/>
          <w:highlight w:val="none"/>
          <w:shd w:val="clear" w:color="auto" w:fill="FFFFFF"/>
          <w:lang w:val="en-US" w:eastAsia="zh-CN" w:bidi="ar-SA"/>
        </w:rPr>
        <w:t>本次评价旨在全面、客观、公正地评估公共文化服务体系建设专项资金之政府购买服务示范项目的实施效果，衡量项目是否达成预期绩效目标，检验项目资金使用的合规性、合理性与效益性，为后续项目的优化调整与资金分配提供科学依据，进一步提升公共文化服务的质量与效率。</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（二）预设问题及评价重点。</w:t>
      </w:r>
      <w:r>
        <w:rPr>
          <w:rFonts w:hint="eastAsia" w:ascii="仿宋_GB2312" w:hAnsi="仿宋_GB2312" w:eastAsia="仿宋_GB2312" w:cs="仿宋_GB2312"/>
          <w:color w:val="auto"/>
          <w:kern w:val="0"/>
          <w:sz w:val="32"/>
          <w:szCs w:val="32"/>
          <w:highlight w:val="none"/>
          <w:shd w:val="clear" w:color="auto" w:fill="FFFFFF"/>
          <w:lang w:val="en-US" w:eastAsia="zh-CN" w:bidi="ar-SA"/>
        </w:rPr>
        <w:t>预设问题围绕项目决策的科学性、项目管理的规范性、项目实施的有效性以及项目结果的达成度展开。评价重点聚焦于项目资金的使用是否符合财经法规与相关管理制度，项目活动的组织开展是否达到预期覆盖人群与效果，各项文化服务是否切实满足群众需求并提升群众满意度，以及项目对地方文化传承、发展和城市影响力提升的贡献程度</w:t>
      </w:r>
      <w:r>
        <w:rPr>
          <w:rFonts w:hint="eastAsia" w:ascii="仿宋_GB2312" w:hAnsi="仿宋_GB2312" w:eastAsia="仿宋_GB2312" w:cs="仿宋_GB2312"/>
          <w:color w:val="auto"/>
          <w:kern w:val="0"/>
          <w:sz w:val="32"/>
          <w:szCs w:val="32"/>
          <w:highlight w:val="none"/>
          <w:shd w:val="clear" w:color="auto" w:fill="FFFFFF"/>
          <w:lang w:val="zh-CN" w:eastAsia="zh-CN" w:bidi="ar-SA"/>
        </w:rPr>
        <w:t>。</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（三）评价选点。</w:t>
      </w:r>
      <w:r>
        <w:rPr>
          <w:rFonts w:hint="eastAsia" w:ascii="仿宋_GB2312" w:hAnsi="仿宋_GB2312" w:eastAsia="仿宋_GB2312" w:cs="仿宋_GB2312"/>
          <w:color w:val="auto"/>
          <w:kern w:val="0"/>
          <w:sz w:val="32"/>
          <w:szCs w:val="32"/>
          <w:highlight w:val="none"/>
          <w:shd w:val="clear" w:color="auto" w:fill="FFFFFF"/>
          <w:lang w:val="zh-CN" w:eastAsia="zh-CN" w:bidi="ar-SA"/>
        </w:rPr>
        <w:t>本次评价未进行特定选点，而是对整个政府购买服务示范项目的所有活动及涉及区域进行全面考量，以确保评价结果的完整性与全面性。</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（四）评价方法。</w:t>
      </w:r>
      <w:r>
        <w:rPr>
          <w:rFonts w:hint="eastAsia" w:ascii="仿宋_GB2312" w:hAnsi="仿宋_GB2312" w:eastAsia="仿宋_GB2312" w:cs="仿宋_GB2312"/>
          <w:color w:val="auto"/>
          <w:kern w:val="0"/>
          <w:sz w:val="32"/>
          <w:szCs w:val="32"/>
          <w:highlight w:val="none"/>
          <w:shd w:val="clear" w:color="auto" w:fill="FFFFFF"/>
          <w:lang w:val="zh-CN" w:eastAsia="zh-CN" w:bidi="ar-SA"/>
        </w:rPr>
        <w:t>采用自评方式，由项目实施部门依据既定的绩效目标与评价指标体系，对项目执行情况进行自我评估。</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spacing w:val="0"/>
          <w:kern w:val="0"/>
          <w:sz w:val="32"/>
          <w:szCs w:val="32"/>
          <w:highlight w:val="none"/>
          <w:shd w:val="clear" w:color="auto" w:fill="FFFFFF"/>
          <w:lang w:val="zh-CN" w:eastAsia="zh-CN"/>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艺术科、公共服务科、财务科、内部监督与审计科等相关科室组成评价小组，进行评价。</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spacing w:val="0"/>
          <w:kern w:val="0"/>
          <w:sz w:val="32"/>
          <w:szCs w:val="32"/>
          <w:highlight w:val="none"/>
          <w:shd w:val="clear" w:color="auto" w:fill="FFFFFF"/>
          <w:lang w:val="zh-CN" w:eastAsia="zh-CN"/>
        </w:rPr>
      </w:pPr>
      <w:r>
        <w:rPr>
          <w:rFonts w:hint="eastAsia" w:ascii="方正黑体简体" w:hAnsi="方正黑体简体" w:eastAsia="方正黑体简体" w:cs="方正黑体简体"/>
          <w:color w:val="auto"/>
          <w:spacing w:val="0"/>
          <w:kern w:val="0"/>
          <w:sz w:val="32"/>
          <w:szCs w:val="32"/>
          <w:highlight w:val="none"/>
          <w:shd w:val="clear" w:color="auto" w:fill="FFFFFF"/>
          <w:lang w:val="en-US" w:eastAsia="zh-CN"/>
        </w:rPr>
        <w:t>三、绩效分析</w:t>
      </w:r>
      <w:r>
        <w:rPr>
          <w:rFonts w:hint="eastAsia" w:ascii="仿宋_GB2312" w:hAnsi="仿宋_GB2312" w:eastAsia="仿宋_GB2312" w:cs="仿宋_GB2312"/>
          <w:color w:val="auto"/>
          <w:spacing w:val="0"/>
          <w:kern w:val="0"/>
          <w:sz w:val="32"/>
          <w:szCs w:val="32"/>
          <w:highlight w:val="none"/>
          <w:shd w:val="clear" w:color="auto" w:fill="FFFFFF"/>
          <w:lang w:val="zh-CN" w:eastAsia="zh-CN"/>
        </w:rPr>
        <w:tab/>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楷体简体" w:hAnsi="方正楷体简体" w:eastAsia="方正楷体简体" w:cs="方正楷体简体"/>
          <w:color w:val="auto"/>
          <w:spacing w:val="0"/>
          <w:kern w:val="0"/>
          <w:sz w:val="32"/>
          <w:szCs w:val="32"/>
          <w:highlight w:val="none"/>
          <w:shd w:val="clear" w:color="auto" w:fill="FFFFFF"/>
          <w:lang w:val="en-US" w:eastAsia="zh-CN"/>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（一）</w:t>
      </w:r>
      <w:r>
        <w:rPr>
          <w:rFonts w:hint="eastAsia" w:ascii="方正楷体简体" w:hAnsi="方正楷体简体" w:eastAsia="方正楷体简体" w:cs="方正楷体简体"/>
          <w:color w:val="auto"/>
          <w:spacing w:val="0"/>
          <w:kern w:val="0"/>
          <w:sz w:val="32"/>
          <w:szCs w:val="32"/>
          <w:highlight w:val="none"/>
          <w:shd w:val="clear" w:color="auto" w:fill="FFFFFF"/>
          <w:lang w:val="en-US" w:eastAsia="zh-CN"/>
        </w:rPr>
        <w:t>通用指标</w:t>
      </w: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1.项目决策。</w:t>
      </w:r>
      <w:r>
        <w:rPr>
          <w:rFonts w:hint="eastAsia" w:ascii="仿宋_GB2312" w:hAnsi="仿宋_GB2312" w:eastAsia="仿宋_GB2312" w:cs="仿宋_GB2312"/>
          <w:color w:val="auto"/>
          <w:kern w:val="0"/>
          <w:sz w:val="32"/>
          <w:szCs w:val="32"/>
          <w:highlight w:val="none"/>
          <w:shd w:val="clear" w:color="auto" w:fill="FFFFFF"/>
          <w:lang w:val="zh-CN" w:eastAsia="zh-CN" w:bidi="ar-SA"/>
        </w:rPr>
        <w:t>项目决策程序严密。</w:t>
      </w:r>
      <w:r>
        <w:rPr>
          <w:rFonts w:hint="eastAsia" w:ascii="仿宋_GB2312" w:hAnsi="仿宋_GB2312" w:eastAsia="仿宋_GB2312" w:cs="仿宋_GB2312"/>
          <w:color w:val="auto"/>
          <w:kern w:val="0"/>
          <w:sz w:val="32"/>
          <w:szCs w:val="32"/>
          <w:highlight w:val="none"/>
          <w:shd w:val="clear" w:color="auto" w:fill="FFFFFF"/>
          <w:lang w:val="en-US" w:eastAsia="zh-CN" w:bidi="ar-SA"/>
        </w:rPr>
        <w:t>局党组召开党组会，专题研究该课题实施情况和资金来源、使用情况等。</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2.项目管理。严格按照市文化广电旅游局资金管理办法规定，对项目进行审核、决策、拨付。</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3.项目实施。预计使用资金108.044万元，实际使用108.044万元。项目资金使用、拨付符合国家财经法规、财务管理制度及有关专项资金管理制度办法规定和审批程序。</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4.项目结果。项目完成预期目标，实施结果与绩效目标相匹配，部门子项目未完成验收。</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（二）</w:t>
      </w:r>
      <w:r>
        <w:rPr>
          <w:rFonts w:hint="eastAsia" w:ascii="方正楷体简体" w:hAnsi="方正楷体简体" w:eastAsia="方正楷体简体" w:cs="方正楷体简体"/>
          <w:color w:val="auto"/>
          <w:spacing w:val="0"/>
          <w:kern w:val="0"/>
          <w:sz w:val="32"/>
          <w:szCs w:val="32"/>
          <w:highlight w:val="none"/>
          <w:shd w:val="clear" w:color="auto" w:fill="FFFFFF"/>
          <w:lang w:val="en-US" w:eastAsia="zh-CN"/>
        </w:rPr>
        <w:t>专用指标</w:t>
      </w: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绩效分析。</w:t>
      </w:r>
      <w:r>
        <w:rPr>
          <w:rFonts w:hint="eastAsia" w:ascii="仿宋_GB2312" w:hAnsi="仿宋_GB2312" w:eastAsia="仿宋_GB2312" w:cs="仿宋_GB2312"/>
          <w:color w:val="auto"/>
          <w:kern w:val="0"/>
          <w:sz w:val="32"/>
          <w:szCs w:val="32"/>
          <w:highlight w:val="none"/>
          <w:shd w:val="clear" w:color="auto" w:fill="FFFFFF"/>
          <w:lang w:val="en-US" w:eastAsia="zh-CN" w:bidi="ar-SA"/>
        </w:rPr>
        <w:t>项目资金严格按规定用途、适用范围进行专项资金分配。无论是文艺进街区的文化活动开展，还是川北民歌进校园的文化传承工作，资金使用均符合专项资金管理要求，切实保障了各个项目的顺利实施，推动了公共文化服务工作的有序开展。</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（三）</w:t>
      </w:r>
      <w:r>
        <w:rPr>
          <w:rFonts w:hint="eastAsia" w:ascii="方正楷体简体" w:hAnsi="方正楷体简体" w:eastAsia="方正楷体简体" w:cs="方正楷体简体"/>
          <w:color w:val="auto"/>
          <w:spacing w:val="0"/>
          <w:kern w:val="0"/>
          <w:sz w:val="32"/>
          <w:szCs w:val="32"/>
          <w:highlight w:val="none"/>
          <w:shd w:val="clear" w:color="auto" w:fill="FFFFFF"/>
          <w:lang w:val="en-US" w:eastAsia="zh-CN"/>
        </w:rPr>
        <w:t>个性指标绩效</w:t>
      </w:r>
      <w:r>
        <w:rPr>
          <w:rFonts w:hint="eastAsia" w:ascii="方正楷体简体" w:hAnsi="方正楷体简体" w:eastAsia="方正楷体简体" w:cs="方正楷体简体"/>
          <w:color w:val="auto"/>
          <w:spacing w:val="0"/>
          <w:kern w:val="0"/>
          <w:sz w:val="32"/>
          <w:szCs w:val="32"/>
          <w:highlight w:val="none"/>
          <w:shd w:val="clear" w:color="auto" w:fill="FFFFFF"/>
          <w:lang w:val="zh-CN" w:eastAsia="zh-CN"/>
        </w:rPr>
        <w:t>分析。</w:t>
      </w:r>
      <w:r>
        <w:rPr>
          <w:rFonts w:hint="eastAsia" w:ascii="仿宋_GB2312" w:hAnsi="仿宋_GB2312" w:eastAsia="仿宋_GB2312" w:cs="仿宋_GB2312"/>
          <w:color w:val="auto"/>
          <w:kern w:val="0"/>
          <w:sz w:val="32"/>
          <w:szCs w:val="32"/>
          <w:highlight w:val="none"/>
          <w:shd w:val="clear" w:color="auto" w:fill="FFFFFF"/>
          <w:lang w:val="en-US" w:eastAsia="zh-CN" w:bidi="ar-SA"/>
        </w:rPr>
        <w:t>在提升地方文化影响力方面，蜀道文库项目通过深入挖掘整理蜀道文化，形成了一系列研究成果，在一定范围内传播了地方特色文化，提升了广元文化的独特魅力。“有爱无碍” 项目针对特殊群体开展文化关怀活动，创新了公共文化服务的方式，增强了特殊群体对文化生活的获得感，体现了项目在满足特殊群体文化需求方面的独特价值。</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spacing w:val="0"/>
          <w:kern w:val="0"/>
          <w:sz w:val="32"/>
          <w:szCs w:val="32"/>
          <w:highlight w:val="none"/>
          <w:shd w:val="clear" w:color="auto" w:fill="FFFFFF"/>
          <w:lang w:val="en-US" w:eastAsia="zh-CN"/>
        </w:rPr>
      </w:pPr>
      <w:r>
        <w:rPr>
          <w:rFonts w:hint="eastAsia" w:ascii="方正黑体简体" w:hAnsi="方正黑体简体" w:eastAsia="方正黑体简体" w:cs="方正黑体简体"/>
          <w:color w:val="auto"/>
          <w:spacing w:val="0"/>
          <w:kern w:val="0"/>
          <w:sz w:val="32"/>
          <w:szCs w:val="32"/>
          <w:highlight w:val="none"/>
          <w:shd w:val="clear" w:color="auto" w:fill="FFFFFF"/>
          <w:lang w:val="en-US" w:eastAsia="zh-CN"/>
        </w:rPr>
        <w:t>四、评价结论</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本项目项目绩效自评得分95分。</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spacing w:val="0"/>
          <w:kern w:val="0"/>
          <w:sz w:val="32"/>
          <w:szCs w:val="32"/>
          <w:highlight w:val="none"/>
          <w:shd w:val="clear" w:color="auto" w:fill="FFFFFF"/>
          <w:lang w:val="en-US" w:eastAsia="zh-CN"/>
        </w:rPr>
      </w:pPr>
      <w:r>
        <w:rPr>
          <w:rFonts w:hint="eastAsia" w:ascii="方正黑体简体" w:hAnsi="方正黑体简体" w:eastAsia="方正黑体简体" w:cs="方正黑体简体"/>
          <w:color w:val="auto"/>
          <w:spacing w:val="0"/>
          <w:kern w:val="0"/>
          <w:sz w:val="32"/>
          <w:szCs w:val="32"/>
          <w:highlight w:val="none"/>
          <w:shd w:val="clear" w:color="auto" w:fill="FFFFFF"/>
          <w:lang w:val="en-US" w:eastAsia="zh-CN"/>
        </w:rPr>
        <w:t>五、存在主要问题</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项目在前期宣传推广方面存在不足，导致部分活动知晓度不高。</w:t>
      </w: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方正黑体简体" w:hAnsi="方正黑体简体" w:eastAsia="方正黑体简体" w:cs="方正黑体简体"/>
          <w:color w:val="auto"/>
          <w:spacing w:val="0"/>
          <w:kern w:val="0"/>
          <w:sz w:val="32"/>
          <w:szCs w:val="32"/>
          <w:highlight w:val="none"/>
          <w:shd w:val="clear" w:color="auto" w:fill="FFFFFF"/>
          <w:lang w:val="zh-CN" w:eastAsia="zh-CN"/>
        </w:rPr>
      </w:pPr>
      <w:r>
        <w:rPr>
          <w:rFonts w:hint="eastAsia" w:ascii="方正黑体简体" w:hAnsi="方正黑体简体" w:eastAsia="方正黑体简体" w:cs="方正黑体简体"/>
          <w:color w:val="auto"/>
          <w:spacing w:val="0"/>
          <w:kern w:val="0"/>
          <w:sz w:val="32"/>
          <w:szCs w:val="32"/>
          <w:highlight w:val="none"/>
          <w:shd w:val="clear" w:color="auto" w:fill="FFFFFF"/>
          <w:lang w:val="zh-CN" w:eastAsia="zh-CN"/>
        </w:rPr>
        <w:t>六、改进建议</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提前谋划项目活动安排，制定详细的宣传推广方案，拓宽宣传渠道，提高项目活动的知晓度。加强与市级相关部门的对接，建立常态化沟通协调机制，整合资源共同举办文化活动，形成合力，进一步优化公共文化服务供给。</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pStyle w:val="40"/>
        <w:spacing w:line="578" w:lineRule="exact"/>
        <w:rPr>
          <w:rFonts w:hint="default" w:ascii="黑体" w:hAnsi="黑体" w:eastAsia="黑体" w:cs="黑体"/>
          <w:sz w:val="32"/>
          <w:szCs w:val="32"/>
          <w:highlight w:val="none"/>
          <w:lang w:val="en-US" w:eastAsia="zh-CN"/>
        </w:rPr>
      </w:pPr>
    </w:p>
    <w:p>
      <w:pPr>
        <w:pStyle w:val="40"/>
        <w:spacing w:line="578" w:lineRule="exact"/>
        <w:rPr>
          <w:rFonts w:hint="default" w:ascii="黑体" w:hAnsi="黑体" w:eastAsia="黑体" w:cs="黑体"/>
          <w:sz w:val="32"/>
          <w:szCs w:val="32"/>
          <w:highlight w:val="none"/>
          <w:lang w:val="en-US" w:eastAsia="zh-CN"/>
        </w:rPr>
      </w:pPr>
    </w:p>
    <w:p>
      <w:pPr>
        <w:pStyle w:val="40"/>
        <w:spacing w:line="578" w:lineRule="exact"/>
        <w:rPr>
          <w:rFonts w:hint="default" w:ascii="黑体" w:hAnsi="黑体" w:eastAsia="黑体" w:cs="黑体"/>
          <w:sz w:val="32"/>
          <w:szCs w:val="32"/>
          <w:highlight w:val="none"/>
          <w:lang w:val="en-US" w:eastAsia="zh-CN"/>
        </w:rPr>
      </w:pPr>
    </w:p>
    <w:p>
      <w:pPr>
        <w:pStyle w:val="40"/>
        <w:spacing w:line="578" w:lineRule="exact"/>
        <w:rPr>
          <w:rFonts w:hint="default" w:ascii="黑体" w:hAnsi="黑体" w:eastAsia="黑体" w:cs="黑体"/>
          <w:sz w:val="32"/>
          <w:szCs w:val="32"/>
          <w:highlight w:val="none"/>
          <w:lang w:val="en-US" w:eastAsia="zh-CN"/>
        </w:rPr>
      </w:pPr>
    </w:p>
    <w:p>
      <w:pPr>
        <w:pStyle w:val="40"/>
        <w:spacing w:line="578" w:lineRule="exact"/>
        <w:rPr>
          <w:rFonts w:hint="default" w:ascii="黑体" w:hAnsi="黑体" w:eastAsia="黑体" w:cs="黑体"/>
          <w:sz w:val="32"/>
          <w:szCs w:val="32"/>
          <w:highlight w:val="none"/>
          <w:lang w:val="en-US" w:eastAsia="zh-CN"/>
        </w:rPr>
      </w:pPr>
    </w:p>
    <w:p>
      <w:pPr>
        <w:pStyle w:val="40"/>
        <w:spacing w:line="578" w:lineRule="exact"/>
        <w:rPr>
          <w:rFonts w:hint="default" w:ascii="黑体" w:hAnsi="黑体" w:eastAsia="黑体" w:cs="黑体"/>
          <w:sz w:val="32"/>
          <w:szCs w:val="32"/>
          <w:highlight w:val="none"/>
          <w:lang w:val="en-US" w:eastAsia="zh-CN"/>
        </w:rPr>
      </w:pPr>
    </w:p>
    <w:p>
      <w:pPr>
        <w:pStyle w:val="40"/>
        <w:spacing w:line="578" w:lineRule="exact"/>
        <w:rPr>
          <w:rFonts w:hint="default" w:ascii="黑体" w:hAnsi="黑体" w:eastAsia="黑体" w:cs="黑体"/>
          <w:sz w:val="32"/>
          <w:szCs w:val="32"/>
          <w:highlight w:val="none"/>
          <w:lang w:val="en-US" w:eastAsia="zh-CN"/>
        </w:rPr>
      </w:pPr>
    </w:p>
    <w:p>
      <w:pPr>
        <w:pStyle w:val="40"/>
        <w:spacing w:line="578" w:lineRule="exact"/>
        <w:rPr>
          <w:rFonts w:hint="default" w:ascii="黑体" w:hAnsi="黑体" w:eastAsia="黑体" w:cs="黑体"/>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eastAsia" w:ascii="黑体" w:hAnsi="黑体" w:eastAsia="黑体" w:cs="黑体"/>
          <w:b w:val="0"/>
          <w:bCs w:val="0"/>
          <w:color w:val="auto"/>
          <w:kern w:val="0"/>
          <w:sz w:val="30"/>
          <w:szCs w:val="30"/>
          <w:highlight w:val="none"/>
          <w:u w:val="none"/>
          <w:shd w:val="clear" w:color="auto" w:fill="FFFFFF"/>
          <w:lang w:val="zh-CN" w:eastAsia="zh-CN"/>
        </w:rPr>
        <w:t>附表</w:t>
      </w:r>
    </w:p>
    <w:tbl>
      <w:tblPr>
        <w:tblStyle w:val="21"/>
        <w:tblW w:w="94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957"/>
        <w:gridCol w:w="1061"/>
        <w:gridCol w:w="1742"/>
        <w:gridCol w:w="150"/>
        <w:gridCol w:w="860"/>
        <w:gridCol w:w="971"/>
        <w:gridCol w:w="1061"/>
        <w:gridCol w:w="636"/>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2" w:hRule="atLeast"/>
          <w:jc w:val="center"/>
        </w:trPr>
        <w:tc>
          <w:tcPr>
            <w:tcW w:w="9410" w:type="dxa"/>
            <w:gridSpan w:val="10"/>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576" w:lineRule="exact"/>
              <w:ind w:left="0" w:leftChars="0"/>
              <w:jc w:val="center"/>
              <w:textAlignment w:val="center"/>
              <w:rPr>
                <w:rFonts w:hint="default" w:ascii="Times New Roman" w:hAnsi="Times New Roman" w:eastAsia="黑体" w:cs="Times New Roman"/>
                <w:i w:val="0"/>
                <w:color w:val="auto"/>
                <w:sz w:val="30"/>
                <w:szCs w:val="30"/>
                <w:highlight w:val="none"/>
                <w:u w:val="none"/>
              </w:rPr>
            </w:pPr>
            <w:r>
              <w:rPr>
                <w:rFonts w:hint="default" w:ascii="Times New Roman" w:hAnsi="Times New Roman" w:eastAsia="方正小标宋简体" w:cs="Times New Roman"/>
                <w:i w:val="0"/>
                <w:color w:val="auto"/>
                <w:kern w:val="0"/>
                <w:sz w:val="40"/>
                <w:szCs w:val="40"/>
                <w:highlight w:val="none"/>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1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项目名称</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公共文化服务体系建设专项资金之政府购买服务示范项目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1" w:hRule="atLeast"/>
          <w:jc w:val="center"/>
        </w:trPr>
        <w:tc>
          <w:tcPr>
            <w:tcW w:w="441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预算单位</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1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项目类型</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 概况</w:t>
            </w: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中长期规划（名称、文号，仅指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常年项目）</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资金管理办法（名称、文号）</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绩效分配方式</w:t>
            </w:r>
          </w:p>
        </w:tc>
        <w:tc>
          <w:tcPr>
            <w:tcW w:w="101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w:t>
            </w:r>
            <w:r>
              <w:rPr>
                <w:rFonts w:hint="default" w:ascii="Times New Roman" w:hAnsi="Times New Roman" w:eastAsia="Wingdings 2" w:cs="Times New Roman"/>
                <w:i w:val="0"/>
                <w:color w:val="auto"/>
                <w:kern w:val="0"/>
                <w:sz w:val="20"/>
                <w:szCs w:val="20"/>
                <w:highlight w:val="none"/>
                <w:u w:val="none"/>
                <w:lang w:val="en-US" w:eastAsia="zh-CN" w:bidi="ar"/>
              </w:rPr>
              <w:t>项目法</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据实据效</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立项依据</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使用范围</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用于文艺进街区、“有爱无碍” 、川北民歌进校园、快乐课堂素质教育拓展以及蜀道文库文化研究整理等活动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申报（补助）条件</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项目起止年限</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2024.05-2024.12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60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项目资金</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（万元）</w:t>
            </w:r>
          </w:p>
        </w:tc>
        <w:tc>
          <w:tcPr>
            <w:tcW w:w="28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年度资金总额：</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108.044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60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8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其中：财政拨款</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108.044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60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8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其他资金</w:t>
            </w:r>
          </w:p>
        </w:tc>
        <w:tc>
          <w:tcPr>
            <w:tcW w:w="4998"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总体 目标</w:t>
            </w:r>
          </w:p>
        </w:tc>
        <w:tc>
          <w:tcPr>
            <w:tcW w:w="8758"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8758"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举办文艺进街区、“有爱无碍” 、川北民歌进校园传承、快乐课堂素质教育拓展以及蜀道文库文化研究整理等活动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 指标</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一级指标</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二级指标</w:t>
            </w: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度量单位</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权重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实际完成指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产出指标</w:t>
            </w:r>
          </w:p>
        </w:tc>
        <w:tc>
          <w:tcPr>
            <w:tcW w:w="106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文艺进街区演出</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40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061"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color w:val="000000"/>
                <w:kern w:val="0"/>
                <w:sz w:val="18"/>
                <w:szCs w:val="18"/>
                <w:highlight w:val="none"/>
                <w:u w:val="none"/>
                <w:lang w:val="en-US" w:eastAsia="zh-CN" w:bidi="ar"/>
              </w:rPr>
            </w:pPr>
            <w:r>
              <w:rPr>
                <w:rFonts w:hint="eastAsia" w:eastAsia="宋体" w:cs="Times New Roman"/>
                <w:i w:val="0"/>
                <w:color w:val="auto"/>
                <w:sz w:val="20"/>
                <w:szCs w:val="20"/>
                <w:highlight w:val="none"/>
                <w:u w:val="none"/>
                <w:lang w:eastAsia="zh-CN"/>
              </w:rPr>
              <w:t>“有爱无碍”培训</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0"/>
                <w:szCs w:val="20"/>
                <w:highlight w:val="none"/>
                <w:u w:val="none"/>
                <w:lang w:val="en-US" w:eastAsia="zh-CN" w:bidi="ar-SA"/>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val="en-US" w:eastAsia="zh-CN"/>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kern w:val="2"/>
                <w:sz w:val="20"/>
                <w:szCs w:val="20"/>
                <w:highlight w:val="none"/>
                <w:u w:val="none"/>
                <w:lang w:val="en-US" w:eastAsia="zh-CN" w:bidi="ar-SA"/>
              </w:rPr>
            </w:pPr>
            <w:r>
              <w:rPr>
                <w:rFonts w:hint="eastAsia" w:eastAsia="宋体" w:cs="Times New Roman"/>
                <w:i w:val="0"/>
                <w:color w:val="auto"/>
                <w:sz w:val="20"/>
                <w:szCs w:val="20"/>
                <w:highlight w:val="none"/>
                <w:u w:val="none"/>
                <w:lang w:eastAsia="zh-CN"/>
              </w:rPr>
              <w:t>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061"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color w:val="000000"/>
                <w:kern w:val="0"/>
                <w:sz w:val="18"/>
                <w:szCs w:val="18"/>
                <w:highlight w:val="none"/>
                <w:u w:val="none"/>
                <w:lang w:val="en-US" w:eastAsia="zh-CN" w:bidi="ar"/>
              </w:rPr>
            </w:pPr>
            <w:r>
              <w:rPr>
                <w:rFonts w:hint="eastAsia" w:eastAsia="宋体" w:cs="Times New Roman"/>
                <w:i w:val="0"/>
                <w:color w:val="auto"/>
                <w:sz w:val="20"/>
                <w:szCs w:val="20"/>
                <w:highlight w:val="none"/>
                <w:u w:val="none"/>
                <w:lang w:eastAsia="zh-CN"/>
              </w:rPr>
              <w:t>川北民歌进校园活动</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color w:val="000000"/>
                <w:kern w:val="0"/>
                <w:sz w:val="18"/>
                <w:szCs w:val="18"/>
                <w:highlight w:val="none"/>
                <w:u w:val="none"/>
                <w:lang w:val="en-US" w:eastAsia="zh-CN" w:bidi="ar"/>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eastAsia="宋体" w:cs="Times New Roman"/>
                <w:i w:val="0"/>
                <w:color w:val="auto"/>
                <w:sz w:val="20"/>
                <w:szCs w:val="20"/>
                <w:highlight w:val="none"/>
                <w:u w:val="none"/>
                <w:lang w:val="en-US" w:eastAsia="zh-CN"/>
              </w:rPr>
              <w:t>20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color w:val="000000"/>
                <w:kern w:val="0"/>
                <w:sz w:val="18"/>
                <w:szCs w:val="18"/>
                <w:highlight w:val="none"/>
                <w:u w:val="none"/>
                <w:lang w:val="en-US" w:eastAsia="zh-CN" w:bidi="ar"/>
              </w:rPr>
            </w:pPr>
            <w:r>
              <w:rPr>
                <w:rFonts w:hint="eastAsia" w:eastAsia="宋体" w:cs="Times New Roman"/>
                <w:i w:val="0"/>
                <w:color w:val="auto"/>
                <w:sz w:val="20"/>
                <w:szCs w:val="20"/>
                <w:highlight w:val="none"/>
                <w:u w:val="none"/>
                <w:lang w:eastAsia="zh-CN"/>
              </w:rPr>
              <w:t>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061"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快乐课堂培训讲座</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eastAsia="宋体" w:cs="Times New Roman"/>
                <w:i w:val="0"/>
                <w:color w:val="auto"/>
                <w:sz w:val="20"/>
                <w:szCs w:val="20"/>
                <w:highlight w:val="none"/>
                <w:u w:val="none"/>
                <w:lang w:val="en-US" w:eastAsia="zh-CN"/>
              </w:rPr>
              <w:t>25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eastAsia="宋体" w:cs="Times New Roman"/>
                <w:i w:val="0"/>
                <w:color w:val="auto"/>
                <w:sz w:val="20"/>
                <w:szCs w:val="20"/>
                <w:highlight w:val="none"/>
                <w:u w:val="none"/>
                <w:lang w:eastAsia="zh-CN"/>
              </w:rPr>
              <w:t>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061"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整理蜀道文献</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color w:val="000000"/>
                <w:kern w:val="0"/>
                <w:sz w:val="18"/>
                <w:szCs w:val="18"/>
                <w:highlight w:val="none"/>
                <w:u w:val="none"/>
                <w:lang w:val="en-US" w:eastAsia="zh-CN" w:bidi="ar"/>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8</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种</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开展蜀道文献讲座</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eastAsia="zh-CN"/>
              </w:rPr>
            </w:pPr>
            <w:r>
              <w:rPr>
                <w:rFonts w:hint="eastAsia" w:ascii="Times New Roman" w:hAnsi="Times New Roman" w:eastAsia="宋体" w:cs="Times New Roman"/>
                <w:i w:val="0"/>
                <w:color w:val="auto"/>
                <w:sz w:val="20"/>
                <w:szCs w:val="20"/>
                <w:highlight w:val="none"/>
                <w:u w:val="none"/>
                <w:lang w:eastAsia="zh-CN"/>
              </w:rPr>
              <w:t>活动开展成功率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lang w:val="en-US"/>
              </w:rPr>
            </w:pPr>
            <w:r>
              <w:rPr>
                <w:rFonts w:hint="eastAsia" w:ascii="宋体" w:hAnsi="宋体" w:eastAsia="宋体" w:cs="宋体"/>
                <w:i w:val="0"/>
                <w:color w:val="000000"/>
                <w:kern w:val="0"/>
                <w:sz w:val="18"/>
                <w:szCs w:val="18"/>
                <w:highlight w:val="none"/>
                <w:u w:val="none"/>
                <w:lang w:val="en-US" w:eastAsia="zh-CN" w:bidi="ar"/>
              </w:rPr>
              <w:t>98</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时效指标</w:t>
            </w: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完成项目时间</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lang w:val="en-US"/>
              </w:rPr>
            </w:pPr>
            <w:r>
              <w:rPr>
                <w:rFonts w:hint="eastAsia" w:ascii="宋体" w:hAnsi="宋体" w:eastAsia="宋体" w:cs="宋体"/>
                <w:i w:val="0"/>
                <w:color w:val="000000"/>
                <w:kern w:val="0"/>
                <w:sz w:val="18"/>
                <w:szCs w:val="18"/>
                <w:highlight w:val="none"/>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年</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lang w:val="en-US"/>
              </w:rPr>
            </w:pPr>
            <w:r>
              <w:rPr>
                <w:rFonts w:hint="eastAsia" w:ascii="宋体" w:hAnsi="宋体" w:eastAsia="宋体" w:cs="宋体"/>
                <w:i w:val="0"/>
                <w:color w:val="000000"/>
                <w:kern w:val="0"/>
                <w:sz w:val="18"/>
                <w:szCs w:val="18"/>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52"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效益指标</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社会效益</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eastAsia" w:ascii="宋体" w:hAnsi="宋体" w:eastAsia="宋体" w:cs="宋体"/>
                <w:i w:val="0"/>
                <w:color w:val="000000"/>
                <w:kern w:val="0"/>
                <w:sz w:val="18"/>
                <w:szCs w:val="18"/>
                <w:highlight w:val="none"/>
                <w:u w:val="none"/>
                <w:lang w:val="en-US" w:eastAsia="zh-CN" w:bidi="ar"/>
              </w:rPr>
              <w:t>丰富群众精神文化生活，提升广元作为文化旅游目的地的城市影响力，</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满意度</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061"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服务对象</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18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参赛人员满意度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95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6"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9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成本指标</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经济成本</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892" w:type="dxa"/>
            <w:gridSpan w:val="2"/>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预算控制成本</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108.044</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万元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lang w:val="en-US"/>
              </w:rPr>
            </w:pPr>
            <w:r>
              <w:rPr>
                <w:rFonts w:hint="eastAsia" w:ascii="宋体" w:hAnsi="宋体" w:eastAsia="宋体" w:cs="宋体"/>
                <w:i w:val="0"/>
                <w:color w:val="000000"/>
                <w:kern w:val="0"/>
                <w:sz w:val="18"/>
                <w:szCs w:val="18"/>
                <w:highlight w:val="none"/>
                <w:u w:val="none"/>
                <w:lang w:val="en-US" w:eastAsia="zh-CN" w:bidi="ar"/>
              </w:rPr>
              <w:t>108.044</w:t>
            </w:r>
          </w:p>
        </w:tc>
      </w:tr>
    </w:tbl>
    <w:p>
      <w:pPr>
        <w:pStyle w:val="40"/>
        <w:spacing w:line="578" w:lineRule="exact"/>
        <w:rPr>
          <w:rFonts w:hint="default" w:ascii="黑体" w:hAnsi="黑体" w:eastAsia="黑体" w:cs="黑体"/>
          <w:sz w:val="32"/>
          <w:szCs w:val="32"/>
          <w:highlight w:val="none"/>
          <w:lang w:val="en-US" w:eastAsia="zh-CN"/>
        </w:rPr>
      </w:pPr>
    </w:p>
    <w:p>
      <w:pPr>
        <w:pStyle w:val="40"/>
        <w:spacing w:line="578" w:lineRule="exact"/>
        <w:rPr>
          <w:rFonts w:hint="default" w:ascii="黑体" w:hAnsi="黑体" w:eastAsia="黑体" w:cs="黑体"/>
          <w:sz w:val="32"/>
          <w:szCs w:val="32"/>
          <w:highlight w:val="none"/>
          <w:lang w:val="en-US" w:eastAsia="zh-CN"/>
        </w:rPr>
      </w:pPr>
    </w:p>
    <w:p>
      <w:pPr>
        <w:pStyle w:val="40"/>
        <w:spacing w:line="578" w:lineRule="exac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17</w:t>
      </w:r>
    </w:p>
    <w:p>
      <w:pPr>
        <w:pStyle w:val="40"/>
        <w:spacing w:line="578" w:lineRule="exact"/>
        <w:rPr>
          <w:rFonts w:hint="eastAsia" w:ascii="黑体" w:hAnsi="黑体" w:eastAsia="黑体" w:cs="黑体"/>
          <w:sz w:val="32"/>
          <w:szCs w:val="32"/>
          <w:highlight w:val="none"/>
          <w:lang w:val="en-US" w:eastAsia="zh-CN"/>
        </w:rPr>
      </w:pPr>
    </w:p>
    <w:p>
      <w:pPr>
        <w:pStyle w:val="40"/>
        <w:spacing w:line="578" w:lineRule="exact"/>
        <w:jc w:val="center"/>
        <w:rPr>
          <w:rFonts w:hint="eastAsia" w:ascii="方正小标宋简体" w:hAnsi="方正小标宋简体" w:eastAsia="方正小标宋简体" w:cs="方正小标宋简体"/>
          <w:color w:val="auto"/>
          <w:kern w:val="2"/>
          <w:sz w:val="44"/>
          <w:szCs w:val="44"/>
          <w:highlight w:val="none"/>
          <w:lang w:val="en-US"/>
        </w:rPr>
      </w:pPr>
      <w:r>
        <w:rPr>
          <w:rFonts w:hint="eastAsia" w:ascii="方正小标宋简体" w:hAnsi="方正小标宋简体" w:eastAsia="方正小标宋简体" w:cs="方正小标宋简体"/>
          <w:color w:val="auto"/>
          <w:kern w:val="2"/>
          <w:sz w:val="44"/>
          <w:szCs w:val="44"/>
          <w:highlight w:val="none"/>
        </w:rPr>
        <w:t>广元市首届街舞大赛研究</w:t>
      </w:r>
      <w:r>
        <w:rPr>
          <w:rFonts w:hint="eastAsia" w:ascii="方正小标宋简体" w:hAnsi="方正小标宋简体" w:eastAsia="方正小标宋简体" w:cs="方正小标宋简体"/>
          <w:color w:val="auto"/>
          <w:kern w:val="2"/>
          <w:sz w:val="44"/>
          <w:szCs w:val="44"/>
          <w:highlight w:val="none"/>
          <w:lang w:val="en-US"/>
        </w:rPr>
        <w:t>专项预算项目</w:t>
      </w:r>
    </w:p>
    <w:p>
      <w:pPr>
        <w:pStyle w:val="40"/>
        <w:spacing w:line="578" w:lineRule="exact"/>
        <w:jc w:val="center"/>
        <w:rPr>
          <w:rFonts w:hint="eastAsia" w:ascii="方正小标宋简体" w:hAnsi="方正小标宋简体" w:eastAsia="方正小标宋简体" w:cs="方正小标宋简体"/>
          <w:color w:val="auto"/>
          <w:kern w:val="2"/>
          <w:sz w:val="44"/>
          <w:szCs w:val="44"/>
          <w:highlight w:val="none"/>
          <w:lang w:val="en-US"/>
        </w:rPr>
      </w:pPr>
      <w:r>
        <w:rPr>
          <w:rFonts w:hint="eastAsia" w:ascii="方正小标宋简体" w:hAnsi="方正小标宋简体" w:eastAsia="方正小标宋简体" w:cs="方正小标宋简体"/>
          <w:color w:val="auto"/>
          <w:kern w:val="2"/>
          <w:sz w:val="44"/>
          <w:szCs w:val="44"/>
          <w:highlight w:val="none"/>
          <w:lang w:val="en-US"/>
        </w:rPr>
        <w:t>绩效评价报告</w:t>
      </w:r>
    </w:p>
    <w:p>
      <w:pPr>
        <w:pStyle w:val="40"/>
        <w:spacing w:line="578" w:lineRule="exact"/>
        <w:ind w:firstLine="640"/>
        <w:jc w:val="center"/>
        <w:rPr>
          <w:rFonts w:ascii="宋体" w:hAnsi="宋体"/>
          <w:color w:val="auto"/>
          <w:kern w:val="2"/>
          <w:sz w:val="32"/>
          <w:szCs w:val="32"/>
          <w:highlight w:val="none"/>
        </w:rPr>
      </w:pPr>
    </w:p>
    <w:p>
      <w:pPr>
        <w:adjustRightInd w:val="0"/>
        <w:snapToGrid w:val="0"/>
        <w:spacing w:line="578" w:lineRule="exact"/>
        <w:ind w:firstLine="640" w:firstLineChars="200"/>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pPr>
      <w:r>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t>一、项目概况</w:t>
      </w:r>
    </w:p>
    <w:p>
      <w:pPr>
        <w:widowControl/>
        <w:adjustRightInd w:val="0"/>
        <w:snapToGrid w:val="0"/>
        <w:spacing w:line="578" w:lineRule="exact"/>
        <w:ind w:firstLine="640" w:firstLineChars="200"/>
        <w:contextualSpacing/>
        <w:jc w:val="left"/>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（一）设立背景及基本情况。</w:t>
      </w:r>
      <w:r>
        <w:rPr>
          <w:rFonts w:hint="eastAsia" w:ascii="仿宋_GB2312" w:hAnsi="仿宋_GB2312" w:eastAsia="仿宋_GB2312" w:cs="仿宋_GB2312"/>
          <w:color w:val="auto"/>
          <w:kern w:val="0"/>
          <w:sz w:val="32"/>
          <w:szCs w:val="32"/>
          <w:highlight w:val="none"/>
          <w:shd w:val="clear" w:color="auto" w:fill="FFFFFF"/>
          <w:lang w:val="zh-CN" w:eastAsia="zh-CN" w:bidi="ar-SA"/>
        </w:rPr>
        <w:t>为提升广元文化元素的多样性、知名度和影响力，展现年轻人的活力与激情，推广街舞文化，丰富广大市民精神文化生活，进一步宣传 广元、宣传蜀道，助力大蜀道国际文化旅游目的地和康养度假胜地建设。</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（二）实施目的及支持方向。</w:t>
      </w:r>
      <w:r>
        <w:rPr>
          <w:rFonts w:hint="eastAsia" w:ascii="仿宋_GB2312" w:hAnsi="仿宋_GB2312" w:eastAsia="仿宋_GB2312" w:cs="仿宋_GB2312"/>
          <w:color w:val="auto"/>
          <w:kern w:val="0"/>
          <w:sz w:val="32"/>
          <w:szCs w:val="32"/>
          <w:highlight w:val="none"/>
          <w:shd w:val="clear" w:color="auto" w:fill="FFFFFF"/>
          <w:lang w:val="zh-CN" w:eastAsia="zh-CN" w:bidi="ar-SA"/>
        </w:rPr>
        <w:t>通过对街舞的推广，进一步宣传广元，丰富广大市民精神文化生活，助提升城市活力。</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（三）预算安排及分配管理。</w:t>
      </w:r>
      <w:r>
        <w:rPr>
          <w:rFonts w:hint="eastAsia" w:ascii="仿宋_GB2312" w:hAnsi="仿宋_GB2312" w:eastAsia="仿宋_GB2312" w:cs="仿宋_GB2312"/>
          <w:color w:val="auto"/>
          <w:kern w:val="0"/>
          <w:sz w:val="32"/>
          <w:szCs w:val="32"/>
          <w:highlight w:val="none"/>
          <w:shd w:val="clear" w:color="auto" w:fill="FFFFFF"/>
          <w:lang w:val="zh-CN" w:eastAsia="zh-CN" w:bidi="ar-SA"/>
        </w:rPr>
        <w:t>街舞大赛</w:t>
      </w:r>
      <w:r>
        <w:rPr>
          <w:rFonts w:hint="eastAsia" w:ascii="仿宋_GB2312" w:hAnsi="仿宋_GB2312" w:eastAsia="仿宋_GB2312" w:cs="仿宋_GB2312"/>
          <w:color w:val="auto"/>
          <w:kern w:val="0"/>
          <w:sz w:val="32"/>
          <w:szCs w:val="32"/>
          <w:highlight w:val="none"/>
          <w:shd w:val="clear" w:color="auto" w:fill="FFFFFF"/>
          <w:lang w:val="en-US" w:eastAsia="zh-CN" w:bidi="ar-SA"/>
        </w:rPr>
        <w:t>总</w:t>
      </w:r>
      <w:r>
        <w:rPr>
          <w:rFonts w:hint="eastAsia" w:ascii="仿宋_GB2312" w:hAnsi="仿宋_GB2312" w:eastAsia="仿宋_GB2312" w:cs="仿宋_GB2312"/>
          <w:color w:val="auto"/>
          <w:kern w:val="0"/>
          <w:sz w:val="32"/>
          <w:szCs w:val="32"/>
          <w:highlight w:val="none"/>
          <w:shd w:val="clear" w:color="auto" w:fill="FFFFFF"/>
          <w:lang w:val="zh-CN" w:eastAsia="zh-CN" w:bidi="ar-SA"/>
        </w:rPr>
        <w:t>费用</w:t>
      </w:r>
      <w:r>
        <w:rPr>
          <w:rFonts w:hint="eastAsia" w:ascii="仿宋_GB2312" w:hAnsi="仿宋_GB2312" w:eastAsia="仿宋_GB2312" w:cs="仿宋_GB2312"/>
          <w:color w:val="auto"/>
          <w:kern w:val="0"/>
          <w:sz w:val="32"/>
          <w:szCs w:val="32"/>
          <w:highlight w:val="none"/>
          <w:shd w:val="clear" w:color="auto" w:fill="FFFFFF"/>
          <w:lang w:val="en-US" w:eastAsia="zh-CN" w:bidi="ar-SA"/>
        </w:rPr>
        <w:t>5</w:t>
      </w:r>
      <w:r>
        <w:rPr>
          <w:rFonts w:hint="eastAsia" w:ascii="仿宋_GB2312" w:hAnsi="仿宋_GB2312" w:eastAsia="仿宋_GB2312" w:cs="仿宋_GB2312"/>
          <w:color w:val="auto"/>
          <w:kern w:val="0"/>
          <w:sz w:val="32"/>
          <w:szCs w:val="32"/>
          <w:highlight w:val="none"/>
          <w:shd w:val="clear" w:color="auto" w:fill="FFFFFF"/>
          <w:lang w:val="zh-CN" w:eastAsia="zh-CN" w:bidi="ar-SA"/>
        </w:rPr>
        <w:t>万元。舞台搭建</w:t>
      </w:r>
      <w:r>
        <w:rPr>
          <w:rFonts w:hint="eastAsia" w:ascii="仿宋_GB2312" w:hAnsi="仿宋_GB2312" w:eastAsia="仿宋_GB2312" w:cs="仿宋_GB2312"/>
          <w:color w:val="auto"/>
          <w:kern w:val="0"/>
          <w:sz w:val="32"/>
          <w:szCs w:val="32"/>
          <w:highlight w:val="none"/>
          <w:shd w:val="clear" w:color="auto" w:fill="FFFFFF"/>
          <w:lang w:val="en-US" w:eastAsia="zh-CN" w:bidi="ar-SA"/>
        </w:rPr>
        <w:t>3.1</w:t>
      </w:r>
      <w:r>
        <w:rPr>
          <w:rFonts w:hint="eastAsia" w:ascii="仿宋_GB2312" w:hAnsi="仿宋_GB2312" w:eastAsia="仿宋_GB2312" w:cs="仿宋_GB2312"/>
          <w:color w:val="auto"/>
          <w:kern w:val="0"/>
          <w:sz w:val="32"/>
          <w:szCs w:val="32"/>
          <w:highlight w:val="none"/>
          <w:shd w:val="clear" w:color="auto" w:fill="FFFFFF"/>
          <w:lang w:val="zh-CN" w:eastAsia="zh-CN" w:bidi="ar-SA"/>
        </w:rPr>
        <w:t>万元，奖金及荣誉证书制作1</w:t>
      </w:r>
      <w:r>
        <w:rPr>
          <w:rFonts w:hint="eastAsia" w:ascii="仿宋_GB2312" w:hAnsi="仿宋_GB2312" w:eastAsia="仿宋_GB2312" w:cs="仿宋_GB2312"/>
          <w:color w:val="auto"/>
          <w:kern w:val="0"/>
          <w:sz w:val="32"/>
          <w:szCs w:val="32"/>
          <w:highlight w:val="none"/>
          <w:shd w:val="clear" w:color="auto" w:fill="FFFFFF"/>
          <w:lang w:val="en-US" w:eastAsia="zh-CN" w:bidi="ar-SA"/>
        </w:rPr>
        <w:t>.</w:t>
      </w:r>
      <w:r>
        <w:rPr>
          <w:rFonts w:hint="eastAsia" w:ascii="仿宋_GB2312" w:hAnsi="仿宋_GB2312" w:eastAsia="仿宋_GB2312" w:cs="仿宋_GB2312"/>
          <w:color w:val="auto"/>
          <w:kern w:val="0"/>
          <w:sz w:val="32"/>
          <w:szCs w:val="32"/>
          <w:highlight w:val="none"/>
          <w:shd w:val="clear" w:color="auto" w:fill="FFFFFF"/>
          <w:lang w:val="zh-CN" w:eastAsia="zh-CN" w:bidi="ar-SA"/>
        </w:rPr>
        <w:t>9万元。</w:t>
      </w:r>
    </w:p>
    <w:p>
      <w:pPr>
        <w:widowControl/>
        <w:spacing w:line="576" w:lineRule="exact"/>
        <w:ind w:firstLine="640" w:firstLineChars="200"/>
        <w:jc w:val="left"/>
        <w:rPr>
          <w:rFonts w:hint="eastAsia" w:ascii="仿宋_GB2312" w:hAnsi="仿宋_GB2312" w:eastAsia="仿宋_GB2312" w:cs="仿宋_GB2312"/>
          <w:color w:val="222222"/>
          <w:kern w:val="0"/>
          <w:position w:val="0"/>
          <w:sz w:val="32"/>
          <w:szCs w:val="32"/>
          <w:highlight w:val="none"/>
          <w:shd w:val="clear" w:color="auto" w:fill="FFFFFF"/>
          <w:lang w:val="zh-CN" w:eastAsia="zh-CN" w:bidi="ar"/>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（四）项目绩效目标设置。</w:t>
      </w:r>
      <w:r>
        <w:rPr>
          <w:rFonts w:hint="eastAsia" w:ascii="仿宋_GB2312" w:hAnsi="仿宋_GB2312" w:eastAsia="仿宋_GB2312" w:cs="仿宋_GB2312"/>
          <w:color w:val="auto"/>
          <w:kern w:val="0"/>
          <w:sz w:val="32"/>
          <w:szCs w:val="32"/>
          <w:highlight w:val="none"/>
          <w:shd w:val="clear" w:color="auto" w:fill="FFFFFF"/>
          <w:lang w:val="zh-CN" w:eastAsia="zh-CN" w:bidi="ar-SA"/>
        </w:rPr>
        <w:t>举办广元市首届街舞比赛。</w:t>
      </w:r>
    </w:p>
    <w:p>
      <w:pPr>
        <w:adjustRightInd w:val="0"/>
        <w:snapToGrid w:val="0"/>
        <w:spacing w:line="578" w:lineRule="exact"/>
        <w:ind w:firstLine="640" w:firstLineChars="200"/>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pPr>
      <w:r>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t>二、评价实施</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（一）评价目的。</w:t>
      </w:r>
      <w:r>
        <w:rPr>
          <w:rFonts w:hint="eastAsia" w:ascii="仿宋_GB2312" w:hAnsi="仿宋_GB2312" w:eastAsia="仿宋_GB2312" w:cs="仿宋_GB2312"/>
          <w:color w:val="auto"/>
          <w:kern w:val="0"/>
          <w:sz w:val="32"/>
          <w:szCs w:val="32"/>
          <w:highlight w:val="none"/>
          <w:shd w:val="clear" w:color="auto" w:fill="FFFFFF"/>
          <w:lang w:val="zh-CN" w:eastAsia="zh-CN" w:bidi="ar-SA"/>
        </w:rPr>
        <w:t>举办广元市首届街舞比赛，推广街舞文化，丰富广大市民精神文化生活。</w:t>
      </w:r>
    </w:p>
    <w:p>
      <w:pPr>
        <w:spacing w:line="576" w:lineRule="exact"/>
        <w:ind w:firstLine="640" w:firstLineChars="200"/>
        <w:jc w:val="left"/>
        <w:rPr>
          <w:rFonts w:hint="eastAsia" w:ascii="仿宋_GB2312" w:hAnsi="仿宋_GB2312" w:eastAsia="仿宋_GB2312" w:cs="仿宋_GB2312"/>
          <w:color w:val="222222"/>
          <w:kern w:val="0"/>
          <w:position w:val="0"/>
          <w:sz w:val="32"/>
          <w:szCs w:val="32"/>
          <w:highlight w:val="none"/>
          <w:shd w:val="clear" w:color="auto" w:fill="FFFFFF"/>
          <w:lang w:val="zh-CN" w:eastAsia="zh-CN" w:bidi="ar"/>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（二）预设问题及评价重点。</w:t>
      </w:r>
      <w:r>
        <w:rPr>
          <w:rFonts w:hint="eastAsia" w:ascii="仿宋_GB2312" w:hAnsi="仿宋_GB2312" w:eastAsia="仿宋_GB2312" w:cs="仿宋_GB2312"/>
          <w:color w:val="auto"/>
          <w:kern w:val="0"/>
          <w:sz w:val="32"/>
          <w:szCs w:val="32"/>
          <w:highlight w:val="none"/>
          <w:shd w:val="clear" w:color="auto" w:fill="FFFFFF"/>
          <w:lang w:val="zh-CN" w:eastAsia="zh-CN" w:bidi="ar-SA"/>
        </w:rPr>
        <w:t>举办首届街舞比赛决赛。</w:t>
      </w:r>
    </w:p>
    <w:p>
      <w:pPr>
        <w:adjustRightInd w:val="0"/>
        <w:snapToGrid w:val="0"/>
        <w:spacing w:line="578"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（三）评价选点。</w:t>
      </w:r>
      <w:r>
        <w:rPr>
          <w:rFonts w:hint="eastAsia" w:ascii="仿宋_GB2312" w:hAnsi="仿宋_GB2312" w:eastAsia="仿宋_GB2312" w:cs="仿宋_GB2312"/>
          <w:color w:val="auto"/>
          <w:kern w:val="0"/>
          <w:sz w:val="32"/>
          <w:szCs w:val="32"/>
          <w:highlight w:val="none"/>
          <w:shd w:val="clear" w:color="auto" w:fill="FFFFFF"/>
          <w:lang w:val="zh-CN" w:eastAsia="zh-CN" w:bidi="ar-SA"/>
        </w:rPr>
        <w:t>无</w:t>
      </w:r>
    </w:p>
    <w:p>
      <w:pPr>
        <w:spacing w:line="578" w:lineRule="exact"/>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（四）评价方法。</w:t>
      </w:r>
      <w:r>
        <w:rPr>
          <w:rFonts w:hint="eastAsia" w:ascii="仿宋_GB2312" w:hAnsi="仿宋_GB2312" w:eastAsia="仿宋_GB2312" w:cs="仿宋_GB2312"/>
          <w:color w:val="auto"/>
          <w:kern w:val="0"/>
          <w:sz w:val="32"/>
          <w:szCs w:val="32"/>
          <w:highlight w:val="none"/>
          <w:shd w:val="clear" w:color="auto" w:fill="FFFFFF"/>
          <w:lang w:val="zh-CN" w:eastAsia="zh-CN" w:bidi="ar-SA"/>
        </w:rPr>
        <w:t>自评。</w:t>
      </w:r>
    </w:p>
    <w:p>
      <w:pPr>
        <w:spacing w:line="578" w:lineRule="exact"/>
        <w:ind w:firstLine="640"/>
        <w:rPr>
          <w:rFonts w:hint="eastAsia" w:ascii="仿宋_GB2312" w:hAnsi="仿宋_GB2312" w:eastAsia="仿宋_GB2312" w:cs="仿宋_GB2312"/>
          <w:color w:val="222222"/>
          <w:kern w:val="0"/>
          <w:position w:val="0"/>
          <w:sz w:val="32"/>
          <w:szCs w:val="32"/>
          <w:highlight w:val="none"/>
          <w:shd w:val="clear" w:color="auto" w:fill="FFFFFF"/>
          <w:lang w:val="zh-CN" w:eastAsia="zh-CN" w:bidi="ar"/>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（五）评价组织。</w:t>
      </w:r>
      <w:r>
        <w:rPr>
          <w:rFonts w:hint="eastAsia" w:ascii="仿宋_GB2312" w:hAnsi="仿宋_GB2312" w:eastAsia="仿宋_GB2312" w:cs="仿宋_GB2312"/>
          <w:color w:val="auto"/>
          <w:kern w:val="0"/>
          <w:sz w:val="32"/>
          <w:szCs w:val="32"/>
          <w:highlight w:val="none"/>
          <w:shd w:val="clear" w:color="auto" w:fill="FFFFFF"/>
          <w:lang w:val="zh-CN" w:eastAsia="zh-CN" w:bidi="ar-SA"/>
        </w:rPr>
        <w:t>艺术科、公共服务科、财务科、内部监督与审计科等相关科室组成评价小组，进行评价。</w:t>
      </w:r>
    </w:p>
    <w:p>
      <w:pPr>
        <w:adjustRightInd w:val="0"/>
        <w:snapToGrid w:val="0"/>
        <w:spacing w:line="578" w:lineRule="exact"/>
        <w:ind w:firstLine="640" w:firstLineChars="200"/>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pPr>
      <w:r>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t>三、绩效分析</w:t>
      </w:r>
      <w:r>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tab/>
      </w:r>
    </w:p>
    <w:p>
      <w:pPr>
        <w:spacing w:line="576" w:lineRule="exact"/>
        <w:ind w:firstLine="640" w:firstLineChars="200"/>
        <w:jc w:val="left"/>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（一）通用指标绩效分析。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1.项目决策。项目决策程序严密。局党组召开党组会，专题研究该课题实施情况和资金来源、使用情况等。</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2.项目管理。</w:t>
      </w:r>
      <w:r>
        <w:rPr>
          <w:rFonts w:hint="eastAsia" w:ascii="仿宋_GB2312" w:hAnsi="仿宋_GB2312" w:eastAsia="仿宋_GB2312" w:cs="仿宋_GB2312"/>
          <w:color w:val="auto"/>
          <w:kern w:val="0"/>
          <w:sz w:val="32"/>
          <w:szCs w:val="32"/>
          <w:highlight w:val="none"/>
          <w:shd w:val="clear" w:color="auto" w:fill="FFFFFF"/>
          <w:lang w:val="en-US" w:eastAsia="zh-CN" w:bidi="ar-SA"/>
        </w:rPr>
        <w:t>严格按照市文化广电旅游局资金管理办法规定，对项目进行审核、决策、拨付</w:t>
      </w:r>
      <w:r>
        <w:rPr>
          <w:rFonts w:hint="eastAsia" w:ascii="仿宋_GB2312" w:hAnsi="仿宋_GB2312" w:eastAsia="仿宋_GB2312" w:cs="仿宋_GB2312"/>
          <w:color w:val="auto"/>
          <w:kern w:val="0"/>
          <w:sz w:val="32"/>
          <w:szCs w:val="32"/>
          <w:highlight w:val="none"/>
          <w:shd w:val="clear" w:color="auto" w:fill="FFFFFF"/>
          <w:lang w:val="zh-CN" w:eastAsia="zh-CN" w:bidi="ar-SA"/>
        </w:rPr>
        <w:t>。</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3.项目实施。预计使用资金</w:t>
      </w:r>
      <w:r>
        <w:rPr>
          <w:rFonts w:hint="eastAsia" w:ascii="仿宋_GB2312" w:hAnsi="仿宋_GB2312" w:eastAsia="仿宋_GB2312" w:cs="仿宋_GB2312"/>
          <w:color w:val="auto"/>
          <w:kern w:val="0"/>
          <w:sz w:val="32"/>
          <w:szCs w:val="32"/>
          <w:highlight w:val="none"/>
          <w:shd w:val="clear" w:color="auto" w:fill="FFFFFF"/>
          <w:lang w:val="en-US" w:eastAsia="zh-CN" w:bidi="ar-SA"/>
        </w:rPr>
        <w:t>5</w:t>
      </w:r>
      <w:r>
        <w:rPr>
          <w:rFonts w:hint="eastAsia" w:ascii="仿宋_GB2312" w:hAnsi="仿宋_GB2312" w:eastAsia="仿宋_GB2312" w:cs="仿宋_GB2312"/>
          <w:color w:val="auto"/>
          <w:kern w:val="0"/>
          <w:sz w:val="32"/>
          <w:szCs w:val="32"/>
          <w:highlight w:val="none"/>
          <w:shd w:val="clear" w:color="auto" w:fill="FFFFFF"/>
          <w:lang w:val="zh-CN" w:eastAsia="zh-CN" w:bidi="ar-SA"/>
        </w:rPr>
        <w:t>万元，实际使用</w:t>
      </w:r>
      <w:r>
        <w:rPr>
          <w:rFonts w:hint="eastAsia" w:ascii="仿宋_GB2312" w:hAnsi="仿宋_GB2312" w:eastAsia="仿宋_GB2312" w:cs="仿宋_GB2312"/>
          <w:color w:val="auto"/>
          <w:kern w:val="0"/>
          <w:sz w:val="32"/>
          <w:szCs w:val="32"/>
          <w:highlight w:val="none"/>
          <w:shd w:val="clear" w:color="auto" w:fill="FFFFFF"/>
          <w:lang w:val="en-US" w:eastAsia="zh-CN" w:bidi="ar-SA"/>
        </w:rPr>
        <w:t>5</w:t>
      </w:r>
      <w:r>
        <w:rPr>
          <w:rFonts w:hint="eastAsia" w:ascii="仿宋_GB2312" w:hAnsi="仿宋_GB2312" w:eastAsia="仿宋_GB2312" w:cs="仿宋_GB2312"/>
          <w:color w:val="auto"/>
          <w:kern w:val="0"/>
          <w:sz w:val="32"/>
          <w:szCs w:val="32"/>
          <w:highlight w:val="none"/>
          <w:shd w:val="clear" w:color="auto" w:fill="FFFFFF"/>
          <w:lang w:val="zh-CN" w:eastAsia="zh-CN" w:bidi="ar-SA"/>
        </w:rPr>
        <w:t>万元。项目资金使用、拨付符合国家财经法规、财务管理制度及有关专项资金管理制度办法规定和审批程序。</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4.项目结果。项目完成预期目标，实施结果与绩效目标相匹配，并在计划完成时间内完成。</w:t>
      </w:r>
    </w:p>
    <w:p>
      <w:pPr>
        <w:spacing w:line="576" w:lineRule="exact"/>
        <w:ind w:firstLine="640" w:firstLineChars="200"/>
        <w:jc w:val="left"/>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（二）专用指标绩效分析。</w:t>
      </w:r>
    </w:p>
    <w:p>
      <w:pPr>
        <w:pStyle w:val="6"/>
        <w:ind w:firstLine="64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项目资金严格按规定用途、适用范围进行专项资金分配，实际用途符合专项资金管理要求。</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方正楷体简体" w:hAnsi="方正楷体简体" w:eastAsia="方正楷体简体" w:cs="方正楷体简体"/>
          <w:color w:val="222222"/>
          <w:kern w:val="0"/>
          <w:position w:val="0"/>
          <w:sz w:val="32"/>
          <w:szCs w:val="32"/>
          <w:highlight w:val="none"/>
          <w:shd w:val="clear" w:color="auto" w:fill="FFFFFF"/>
          <w:lang w:val="zh-CN" w:eastAsia="zh-CN" w:bidi="ar"/>
        </w:rPr>
        <w:t>（三）个性指标绩效分析。</w:t>
      </w:r>
      <w:r>
        <w:rPr>
          <w:rFonts w:hint="eastAsia" w:ascii="仿宋_GB2312" w:hAnsi="仿宋_GB2312" w:eastAsia="仿宋_GB2312" w:cs="仿宋_GB2312"/>
          <w:color w:val="auto"/>
          <w:kern w:val="0"/>
          <w:sz w:val="32"/>
          <w:szCs w:val="32"/>
          <w:highlight w:val="none"/>
          <w:shd w:val="clear" w:color="auto" w:fill="FFFFFF"/>
          <w:lang w:val="zh-CN" w:eastAsia="zh-CN" w:bidi="ar-SA"/>
        </w:rPr>
        <w:t>举办街舞大赛，设置比赛项目类别不少于</w:t>
      </w:r>
      <w:r>
        <w:rPr>
          <w:rFonts w:hint="eastAsia" w:ascii="仿宋_GB2312" w:hAnsi="仿宋_GB2312" w:eastAsia="仿宋_GB2312" w:cs="仿宋_GB2312"/>
          <w:color w:val="auto"/>
          <w:kern w:val="0"/>
          <w:sz w:val="32"/>
          <w:szCs w:val="32"/>
          <w:highlight w:val="none"/>
          <w:shd w:val="clear" w:color="auto" w:fill="FFFFFF"/>
          <w:lang w:val="en-US" w:eastAsia="zh-CN" w:bidi="ar-SA"/>
        </w:rPr>
        <w:t>5个</w:t>
      </w:r>
      <w:r>
        <w:rPr>
          <w:rFonts w:hint="eastAsia" w:ascii="仿宋_GB2312" w:hAnsi="仿宋_GB2312" w:eastAsia="仿宋_GB2312" w:cs="仿宋_GB2312"/>
          <w:color w:val="auto"/>
          <w:kern w:val="0"/>
          <w:sz w:val="32"/>
          <w:szCs w:val="32"/>
          <w:highlight w:val="none"/>
          <w:shd w:val="clear" w:color="auto" w:fill="FFFFFF"/>
          <w:lang w:val="zh-CN" w:eastAsia="zh-CN" w:bidi="ar-SA"/>
        </w:rPr>
        <w:t>，配置裁判人数不少于</w:t>
      </w:r>
      <w:r>
        <w:rPr>
          <w:rFonts w:hint="eastAsia" w:ascii="仿宋_GB2312" w:hAnsi="仿宋_GB2312" w:eastAsia="仿宋_GB2312" w:cs="仿宋_GB2312"/>
          <w:color w:val="auto"/>
          <w:kern w:val="0"/>
          <w:sz w:val="32"/>
          <w:szCs w:val="32"/>
          <w:highlight w:val="none"/>
          <w:shd w:val="clear" w:color="auto" w:fill="FFFFFF"/>
          <w:lang w:val="en-US" w:eastAsia="zh-CN" w:bidi="ar-SA"/>
        </w:rPr>
        <w:t>5人</w:t>
      </w:r>
      <w:r>
        <w:rPr>
          <w:rFonts w:hint="eastAsia" w:ascii="仿宋_GB2312" w:hAnsi="仿宋_GB2312" w:eastAsia="仿宋_GB2312" w:cs="仿宋_GB2312"/>
          <w:color w:val="auto"/>
          <w:kern w:val="0"/>
          <w:sz w:val="32"/>
          <w:szCs w:val="32"/>
          <w:highlight w:val="none"/>
          <w:shd w:val="clear" w:color="auto" w:fill="FFFFFF"/>
          <w:lang w:val="zh-CN" w:eastAsia="zh-CN" w:bidi="ar-SA"/>
        </w:rPr>
        <w:t>。</w:t>
      </w:r>
    </w:p>
    <w:p>
      <w:pPr>
        <w:adjustRightInd w:val="0"/>
        <w:snapToGrid w:val="0"/>
        <w:spacing w:line="578" w:lineRule="exact"/>
        <w:ind w:firstLine="640" w:firstLineChars="200"/>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pPr>
      <w:r>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t>四、评价结论</w:t>
      </w:r>
    </w:p>
    <w:p>
      <w:pPr>
        <w:pStyle w:val="2"/>
        <w:tabs>
          <w:tab w:val="left" w:pos="2160"/>
        </w:tabs>
        <w:spacing w:line="600" w:lineRule="exact"/>
        <w:ind w:firstLine="640" w:firstLineChars="200"/>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本项目项目绩效自评得分96分。</w:t>
      </w:r>
    </w:p>
    <w:p>
      <w:pPr>
        <w:adjustRightInd w:val="0"/>
        <w:snapToGrid w:val="0"/>
        <w:spacing w:line="578" w:lineRule="exact"/>
        <w:ind w:firstLine="640" w:firstLineChars="200"/>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pPr>
      <w:r>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t>五、存在主要问题</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提前宣传不足，与市体育局、市商务局街舞比赛时间临近，影响了参赛规模。</w:t>
      </w:r>
    </w:p>
    <w:p>
      <w:pPr>
        <w:adjustRightInd w:val="0"/>
        <w:snapToGrid w:val="0"/>
        <w:spacing w:line="578" w:lineRule="exact"/>
        <w:ind w:firstLine="640" w:firstLineChars="200"/>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pPr>
      <w:r>
        <w:rPr>
          <w:rFonts w:hint="eastAsia" w:ascii="方正黑体简体" w:hAnsi="方正黑体简体" w:eastAsia="方正黑体简体" w:cs="方正黑体简体"/>
          <w:color w:val="222222"/>
          <w:kern w:val="0"/>
          <w:position w:val="0"/>
          <w:sz w:val="32"/>
          <w:szCs w:val="32"/>
          <w:highlight w:val="none"/>
          <w:shd w:val="clear" w:color="auto" w:fill="FFFFFF"/>
          <w:lang w:val="zh-CN" w:eastAsia="zh-CN" w:bidi="ar"/>
        </w:rPr>
        <w:t>六、改进建议</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zh-CN" w:eastAsia="zh-CN" w:bidi="ar-SA"/>
        </w:rPr>
        <w:t>提前谋划，加强与市体育局、市商务局对接，整合资源举办赛事，提升街舞赛事影响力。</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zh-CN"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附表：专项预算项目绩效目标完成情况自评表</w:t>
      </w: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tbl>
      <w:tblPr>
        <w:tblStyle w:val="21"/>
        <w:tblW w:w="94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636"/>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32" w:hRule="atLeast"/>
          <w:jc w:val="center"/>
        </w:trPr>
        <w:tc>
          <w:tcPr>
            <w:tcW w:w="9410" w:type="dxa"/>
            <w:gridSpan w:val="9"/>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576" w:lineRule="exact"/>
              <w:ind w:left="0" w:leftChars="0"/>
              <w:jc w:val="center"/>
              <w:textAlignment w:val="center"/>
              <w:rPr>
                <w:rFonts w:hint="default" w:ascii="Times New Roman" w:hAnsi="Times New Roman" w:eastAsia="黑体" w:cs="Times New Roman"/>
                <w:i w:val="0"/>
                <w:color w:val="auto"/>
                <w:sz w:val="30"/>
                <w:szCs w:val="30"/>
                <w:highlight w:val="none"/>
                <w:u w:val="none"/>
              </w:rPr>
            </w:pPr>
            <w:r>
              <w:rPr>
                <w:rFonts w:hint="default" w:ascii="Times New Roman" w:hAnsi="Times New Roman" w:eastAsia="方正小标宋简体" w:cs="Times New Roman"/>
                <w:i w:val="0"/>
                <w:color w:val="auto"/>
                <w:kern w:val="0"/>
                <w:sz w:val="40"/>
                <w:szCs w:val="40"/>
                <w:highlight w:val="none"/>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项目名称</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sz w:val="20"/>
                <w:szCs w:val="20"/>
                <w:highlight w:val="none"/>
                <w:u w:val="none"/>
              </w:rPr>
              <w:t>广元市首届街舞大赛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预算单位</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广元市文化广播电视和旅游局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项目类型</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中长期规划（名称、文号，仅指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常年项目）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资金管理办法（名称、文号）</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w:t>
            </w:r>
            <w:r>
              <w:rPr>
                <w:rFonts w:hint="default" w:ascii="Times New Roman" w:hAnsi="Times New Roman" w:eastAsia="Wingdings 2" w:cs="Times New Roman"/>
                <w:i w:val="0"/>
                <w:color w:val="auto"/>
                <w:kern w:val="0"/>
                <w:sz w:val="20"/>
                <w:szCs w:val="20"/>
                <w:highlight w:val="none"/>
                <w:u w:val="none"/>
                <w:lang w:val="en-US" w:eastAsia="zh-CN" w:bidi="ar"/>
              </w:rPr>
              <w:t>项目法</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据实据效</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Wingdings 2" w:cs="Times New Roman"/>
                <w:i w:val="0"/>
                <w:color w:val="auto"/>
                <w:sz w:val="20"/>
                <w:szCs w:val="20"/>
                <w:highlight w:val="none"/>
                <w:u w:val="none"/>
              </w:rPr>
            </w:pPr>
            <w:r>
              <w:rPr>
                <w:rFonts w:hint="default" w:ascii="Times New Roman" w:hAnsi="Times New Roman" w:eastAsia="Wingdings 2" w:cs="Times New Roman"/>
                <w:i w:val="0"/>
                <w:color w:val="auto"/>
                <w:kern w:val="0"/>
                <w:sz w:val="20"/>
                <w:szCs w:val="20"/>
                <w:highlight w:val="none"/>
                <w:u w:val="none"/>
                <w:lang w:val="en-US" w:eastAsia="zh-CN" w:bidi="ar"/>
              </w:rPr>
              <w:t>£</w:t>
            </w:r>
            <w:r>
              <w:rPr>
                <w:rFonts w:hint="default" w:ascii="Times New Roman" w:hAnsi="Times New Roman" w:eastAsia="宋体" w:cs="Times New Roman"/>
                <w:i w:val="0"/>
                <w:color w:val="auto"/>
                <w:kern w:val="0"/>
                <w:sz w:val="20"/>
                <w:szCs w:val="20"/>
                <w:highlight w:val="none"/>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立项依据</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使用范围</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用于首届街舞大赛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申报（补助）条件</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项目起止年限</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r>
              <w:rPr>
                <w:rFonts w:hint="eastAsia" w:eastAsia="宋体" w:cs="Times New Roman"/>
                <w:i w:val="0"/>
                <w:color w:val="auto"/>
                <w:sz w:val="20"/>
                <w:szCs w:val="20"/>
                <w:highlight w:val="none"/>
                <w:u w:val="none"/>
                <w:lang w:val="en-US" w:eastAsia="zh-CN"/>
              </w:rPr>
              <w:t>2024.05-2024.12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项目资金</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年度资金总额：</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其中：财政拨款</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val="en-US" w:eastAsia="zh-CN"/>
              </w:rPr>
            </w:pPr>
            <w:r>
              <w:rPr>
                <w:rFonts w:hint="eastAsia" w:eastAsia="宋体" w:cs="Times New Roman"/>
                <w:i w:val="0"/>
                <w:color w:val="auto"/>
                <w:sz w:val="20"/>
                <w:szCs w:val="20"/>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其他资金</w:t>
            </w:r>
          </w:p>
        </w:tc>
        <w:tc>
          <w:tcPr>
            <w:tcW w:w="51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总体 目标</w:t>
            </w: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default" w:ascii="Times New Roman" w:hAnsi="Times New Roman" w:eastAsia="宋体" w:cs="Times New Roman"/>
                <w:i w:val="0"/>
                <w:color w:val="auto"/>
                <w:sz w:val="20"/>
                <w:szCs w:val="20"/>
                <w:highlight w:val="none"/>
                <w:u w:val="none"/>
              </w:rPr>
            </w:pP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Times New Roman" w:hAnsi="Times New Roman" w:eastAsia="宋体" w:cs="Times New Roman"/>
                <w:i w:val="0"/>
                <w:color w:val="auto"/>
                <w:sz w:val="20"/>
                <w:szCs w:val="20"/>
                <w:highlight w:val="none"/>
                <w:u w:val="none"/>
                <w:lang w:eastAsia="zh-CN"/>
              </w:rPr>
            </w:pPr>
            <w:r>
              <w:rPr>
                <w:rFonts w:hint="eastAsia" w:eastAsia="宋体" w:cs="Times New Roman"/>
                <w:i w:val="0"/>
                <w:color w:val="auto"/>
                <w:sz w:val="20"/>
                <w:szCs w:val="20"/>
                <w:highlight w:val="none"/>
                <w:u w:val="none"/>
                <w:lang w:eastAsia="zh-CN"/>
              </w:rPr>
              <w:t>举办全市首届街舞大赛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度量单位</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权重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实际完成指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产出指标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设置比赛项目类别</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个</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250" w:type="dxa"/>
            <w:vMerge w:val="continue"/>
            <w:tcBorders>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举办街舞大赛</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组织参赛人数</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1000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配置裁判人数</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人</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设置奖项</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个</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完成项目时间</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1个月</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效益指标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社会效益</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展现年轻人的活力与激情，推广街舞文化，丰富广大市民精神文化生活</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满意度</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服务对象</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参赛人员满意度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95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default" w:ascii="Times New Roman" w:hAnsi="Times New Roman" w:eastAsia="宋体" w:cs="Times New Roman"/>
                <w:i w:val="0"/>
                <w:color w:val="auto"/>
                <w:sz w:val="20"/>
                <w:szCs w:val="20"/>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kern w:val="0"/>
                <w:sz w:val="20"/>
                <w:szCs w:val="20"/>
                <w:highlight w:val="none"/>
                <w:u w:val="none"/>
                <w:lang w:val="en-US" w:eastAsia="zh-CN" w:bidi="ar"/>
              </w:rPr>
            </w:pPr>
            <w:r>
              <w:rPr>
                <w:rFonts w:hint="default" w:ascii="Times New Roman" w:hAnsi="Times New Roman" w:eastAsia="宋体" w:cs="Times New Roman"/>
                <w:i w:val="0"/>
                <w:color w:val="auto"/>
                <w:kern w:val="0"/>
                <w:sz w:val="20"/>
                <w:szCs w:val="20"/>
                <w:highlight w:val="none"/>
                <w:u w:val="none"/>
                <w:lang w:val="en-US" w:eastAsia="zh-CN" w:bidi="ar"/>
              </w:rPr>
              <w:t>经济成本</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预算控制成本</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万元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20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ascii="宋体" w:hAnsi="宋体" w:eastAsia="宋体" w:cs="宋体"/>
                <w:i w:val="0"/>
                <w:color w:val="000000"/>
                <w:kern w:val="0"/>
                <w:sz w:val="18"/>
                <w:szCs w:val="18"/>
                <w:highlight w:val="none"/>
                <w:u w:val="none"/>
                <w:lang w:val="en-US" w:eastAsia="zh-CN" w:bidi="ar"/>
              </w:rPr>
              <w:t>5</w:t>
            </w:r>
          </w:p>
        </w:tc>
      </w:tr>
    </w:tbl>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17"/>
        <w:spacing w:after="0" w:line="578" w:lineRule="exact"/>
        <w:ind w:leftChars="0" w:firstLine="480"/>
        <w:rPr>
          <w:rFonts w:ascii="黑体" w:hAnsi="黑体" w:eastAsia="黑体" w:cs="黑体"/>
          <w:sz w:val="24"/>
          <w:szCs w:val="24"/>
          <w:highlight w:val="none"/>
        </w:rPr>
      </w:pPr>
    </w:p>
    <w:p>
      <w:pPr>
        <w:pStyle w:val="3"/>
        <w:bidi w:val="0"/>
        <w:jc w:val="center"/>
        <w:rPr>
          <w:rFonts w:hint="eastAsia"/>
          <w:lang w:val="en-US" w:eastAsia="zh-CN"/>
        </w:rPr>
      </w:pPr>
      <w:bookmarkStart w:id="117" w:name="_Toc25994"/>
      <w:r>
        <w:rPr>
          <w:rFonts w:hint="eastAsia"/>
          <w:lang w:val="en-US" w:eastAsia="zh-CN"/>
        </w:rPr>
        <w:t>第五部分 附表</w:t>
      </w:r>
      <w:bookmarkEnd w:id="106"/>
      <w:bookmarkEnd w:id="112"/>
      <w:bookmarkEnd w:id="117"/>
      <w:bookmarkStart w:id="118" w:name="_Toc15396619"/>
    </w:p>
    <w:p>
      <w:pPr>
        <w:pStyle w:val="19"/>
        <w:adjustRightInd w:val="0"/>
        <w:snapToGrid w:val="0"/>
        <w:spacing w:line="560" w:lineRule="exact"/>
        <w:jc w:val="left"/>
        <w:rPr>
          <w:rFonts w:eastAsia="仿宋_GB2312" w:cs="仿宋_GB2312"/>
          <w:sz w:val="32"/>
          <w:szCs w:val="32"/>
          <w:highlight w:val="none"/>
        </w:rPr>
      </w:pPr>
    </w:p>
    <w:p>
      <w:pPr>
        <w:pStyle w:val="4"/>
        <w:bidi w:val="0"/>
        <w:rPr>
          <w:rFonts w:hint="eastAsia" w:ascii="仿宋_GB2312" w:hAnsi="仿宋_GB2312" w:eastAsia="仿宋_GB2312" w:cs="仿宋_GB2312"/>
          <w:b w:val="0"/>
          <w:bCs w:val="0"/>
          <w:lang w:val="zh-CN" w:eastAsia="zh-CN"/>
        </w:rPr>
      </w:pPr>
      <w:bookmarkStart w:id="119" w:name="_Toc22623"/>
      <w:r>
        <w:rPr>
          <w:rFonts w:hint="eastAsia" w:ascii="仿宋_GB2312" w:hAnsi="仿宋_GB2312" w:eastAsia="仿宋_GB2312" w:cs="仿宋_GB2312"/>
          <w:b w:val="0"/>
          <w:bCs w:val="0"/>
          <w:lang w:val="zh-CN" w:eastAsia="zh-CN"/>
        </w:rPr>
        <w:t>一、收入支出决算总表</w:t>
      </w:r>
      <w:bookmarkEnd w:id="118"/>
      <w:bookmarkEnd w:id="119"/>
    </w:p>
    <w:p>
      <w:pPr>
        <w:pStyle w:val="4"/>
        <w:bidi w:val="0"/>
        <w:rPr>
          <w:rFonts w:hint="eastAsia" w:ascii="仿宋_GB2312" w:hAnsi="仿宋_GB2312" w:eastAsia="仿宋_GB2312" w:cs="仿宋_GB2312"/>
          <w:b w:val="0"/>
          <w:bCs w:val="0"/>
          <w:lang w:val="zh-CN" w:eastAsia="zh-CN"/>
        </w:rPr>
      </w:pPr>
      <w:bookmarkStart w:id="120" w:name="_Toc3220"/>
      <w:bookmarkStart w:id="121" w:name="_Toc15396620"/>
      <w:r>
        <w:rPr>
          <w:rFonts w:hint="eastAsia" w:ascii="仿宋_GB2312" w:hAnsi="仿宋_GB2312" w:eastAsia="仿宋_GB2312" w:cs="仿宋_GB2312"/>
          <w:b w:val="0"/>
          <w:bCs w:val="0"/>
          <w:lang w:val="zh-CN" w:eastAsia="zh-CN"/>
        </w:rPr>
        <w:t>二、收入决算表</w:t>
      </w:r>
      <w:bookmarkEnd w:id="120"/>
      <w:bookmarkEnd w:id="121"/>
    </w:p>
    <w:p>
      <w:pPr>
        <w:pStyle w:val="4"/>
        <w:bidi w:val="0"/>
        <w:rPr>
          <w:rFonts w:hint="eastAsia" w:ascii="仿宋_GB2312" w:hAnsi="仿宋_GB2312" w:eastAsia="仿宋_GB2312" w:cs="仿宋_GB2312"/>
          <w:b w:val="0"/>
          <w:bCs w:val="0"/>
          <w:lang w:val="zh-CN" w:eastAsia="zh-CN"/>
        </w:rPr>
      </w:pPr>
      <w:bookmarkStart w:id="122" w:name="_Toc28038"/>
      <w:bookmarkStart w:id="123" w:name="_Toc15396621"/>
      <w:r>
        <w:rPr>
          <w:rFonts w:hint="eastAsia" w:ascii="仿宋_GB2312" w:hAnsi="仿宋_GB2312" w:eastAsia="仿宋_GB2312" w:cs="仿宋_GB2312"/>
          <w:b w:val="0"/>
          <w:bCs w:val="0"/>
          <w:lang w:val="zh-CN" w:eastAsia="zh-CN"/>
        </w:rPr>
        <w:t>三、支出决算表</w:t>
      </w:r>
      <w:bookmarkEnd w:id="122"/>
      <w:bookmarkEnd w:id="123"/>
    </w:p>
    <w:p>
      <w:pPr>
        <w:pStyle w:val="4"/>
        <w:bidi w:val="0"/>
        <w:rPr>
          <w:rFonts w:hint="eastAsia" w:ascii="仿宋_GB2312" w:hAnsi="仿宋_GB2312" w:eastAsia="仿宋_GB2312" w:cs="仿宋_GB2312"/>
          <w:b w:val="0"/>
          <w:bCs w:val="0"/>
          <w:lang w:val="zh-CN" w:eastAsia="zh-CN"/>
        </w:rPr>
      </w:pPr>
      <w:bookmarkStart w:id="124" w:name="_Toc9967"/>
      <w:bookmarkStart w:id="125" w:name="_Toc15396622"/>
      <w:r>
        <w:rPr>
          <w:rFonts w:hint="eastAsia" w:ascii="仿宋_GB2312" w:hAnsi="仿宋_GB2312" w:eastAsia="仿宋_GB2312" w:cs="仿宋_GB2312"/>
          <w:b w:val="0"/>
          <w:bCs w:val="0"/>
          <w:lang w:val="zh-CN" w:eastAsia="zh-CN"/>
        </w:rPr>
        <w:t>四、财政拨款收入支出决算总表</w:t>
      </w:r>
      <w:bookmarkEnd w:id="124"/>
      <w:bookmarkEnd w:id="125"/>
    </w:p>
    <w:p>
      <w:pPr>
        <w:pStyle w:val="4"/>
        <w:bidi w:val="0"/>
        <w:rPr>
          <w:rFonts w:hint="eastAsia" w:ascii="仿宋_GB2312" w:hAnsi="仿宋_GB2312" w:eastAsia="仿宋_GB2312" w:cs="仿宋_GB2312"/>
          <w:b w:val="0"/>
          <w:bCs w:val="0"/>
          <w:lang w:val="zh-CN" w:eastAsia="zh-CN"/>
        </w:rPr>
      </w:pPr>
      <w:bookmarkStart w:id="126" w:name="_Toc15396623"/>
      <w:bookmarkStart w:id="127" w:name="_Toc10025"/>
      <w:r>
        <w:rPr>
          <w:rFonts w:hint="eastAsia" w:ascii="仿宋_GB2312" w:hAnsi="仿宋_GB2312" w:eastAsia="仿宋_GB2312" w:cs="仿宋_GB2312"/>
          <w:b w:val="0"/>
          <w:bCs w:val="0"/>
          <w:lang w:val="zh-CN" w:eastAsia="zh-CN"/>
        </w:rPr>
        <w:t>五、财政拨款支出决算明细表</w:t>
      </w:r>
      <w:bookmarkEnd w:id="126"/>
      <w:bookmarkEnd w:id="127"/>
      <w:bookmarkStart w:id="128" w:name="_Toc15396624"/>
    </w:p>
    <w:p>
      <w:pPr>
        <w:pStyle w:val="4"/>
        <w:bidi w:val="0"/>
        <w:rPr>
          <w:rFonts w:hint="eastAsia" w:ascii="仿宋_GB2312" w:hAnsi="仿宋_GB2312" w:eastAsia="仿宋_GB2312" w:cs="仿宋_GB2312"/>
          <w:b w:val="0"/>
          <w:bCs w:val="0"/>
          <w:lang w:val="zh-CN" w:eastAsia="zh-CN"/>
        </w:rPr>
      </w:pPr>
      <w:bookmarkStart w:id="129" w:name="_Toc7564"/>
      <w:r>
        <w:rPr>
          <w:rFonts w:hint="eastAsia" w:ascii="仿宋_GB2312" w:hAnsi="仿宋_GB2312" w:eastAsia="仿宋_GB2312" w:cs="仿宋_GB2312"/>
          <w:b w:val="0"/>
          <w:bCs w:val="0"/>
          <w:lang w:val="zh-CN" w:eastAsia="zh-CN"/>
        </w:rPr>
        <w:t>六、一般公共预算财政拨款支出决算表</w:t>
      </w:r>
      <w:bookmarkEnd w:id="128"/>
      <w:bookmarkEnd w:id="129"/>
    </w:p>
    <w:p>
      <w:pPr>
        <w:pStyle w:val="4"/>
        <w:bidi w:val="0"/>
        <w:rPr>
          <w:rFonts w:hint="eastAsia" w:ascii="仿宋_GB2312" w:hAnsi="仿宋_GB2312" w:eastAsia="仿宋_GB2312" w:cs="仿宋_GB2312"/>
          <w:b w:val="0"/>
          <w:bCs w:val="0"/>
          <w:lang w:val="zh-CN" w:eastAsia="zh-CN"/>
        </w:rPr>
      </w:pPr>
      <w:bookmarkStart w:id="130" w:name="_Toc15396625"/>
      <w:bookmarkStart w:id="131" w:name="_Toc8156"/>
      <w:r>
        <w:rPr>
          <w:rFonts w:hint="eastAsia" w:ascii="仿宋_GB2312" w:hAnsi="仿宋_GB2312" w:eastAsia="仿宋_GB2312" w:cs="仿宋_GB2312"/>
          <w:b w:val="0"/>
          <w:bCs w:val="0"/>
          <w:lang w:val="zh-CN" w:eastAsia="zh-CN"/>
        </w:rPr>
        <w:t>七、一般公共预算财政拨款支出决算明细表</w:t>
      </w:r>
      <w:bookmarkEnd w:id="130"/>
      <w:bookmarkEnd w:id="131"/>
    </w:p>
    <w:p>
      <w:pPr>
        <w:pStyle w:val="4"/>
        <w:bidi w:val="0"/>
        <w:rPr>
          <w:rFonts w:hint="eastAsia" w:ascii="仿宋_GB2312" w:hAnsi="仿宋_GB2312" w:eastAsia="仿宋_GB2312" w:cs="仿宋_GB2312"/>
          <w:b w:val="0"/>
          <w:bCs w:val="0"/>
          <w:lang w:val="zh-CN" w:eastAsia="zh-CN"/>
        </w:rPr>
      </w:pPr>
      <w:bookmarkStart w:id="132" w:name="_Toc15396626"/>
      <w:bookmarkStart w:id="133" w:name="_Toc18548"/>
      <w:r>
        <w:rPr>
          <w:rFonts w:hint="eastAsia" w:ascii="仿宋_GB2312" w:hAnsi="仿宋_GB2312" w:eastAsia="仿宋_GB2312" w:cs="仿宋_GB2312"/>
          <w:b w:val="0"/>
          <w:bCs w:val="0"/>
          <w:lang w:val="zh-CN" w:eastAsia="zh-CN"/>
        </w:rPr>
        <w:t>八、一般公共预算财政拨款基本支出决算表</w:t>
      </w:r>
      <w:bookmarkEnd w:id="132"/>
      <w:bookmarkEnd w:id="133"/>
    </w:p>
    <w:p>
      <w:pPr>
        <w:pStyle w:val="4"/>
        <w:bidi w:val="0"/>
        <w:rPr>
          <w:rFonts w:hint="eastAsia" w:ascii="仿宋_GB2312" w:hAnsi="仿宋_GB2312" w:eastAsia="仿宋_GB2312" w:cs="仿宋_GB2312"/>
          <w:b w:val="0"/>
          <w:bCs w:val="0"/>
          <w:lang w:val="zh-CN" w:eastAsia="zh-CN"/>
        </w:rPr>
      </w:pPr>
      <w:bookmarkStart w:id="134" w:name="_Toc24638"/>
      <w:bookmarkStart w:id="135" w:name="_Toc15396627"/>
      <w:r>
        <w:rPr>
          <w:rFonts w:hint="eastAsia" w:ascii="仿宋_GB2312" w:hAnsi="仿宋_GB2312" w:eastAsia="仿宋_GB2312" w:cs="仿宋_GB2312"/>
          <w:b w:val="0"/>
          <w:bCs w:val="0"/>
          <w:lang w:val="zh-CN" w:eastAsia="zh-CN"/>
        </w:rPr>
        <w:t>九、一般公共预算财政拨款项目支出决算表</w:t>
      </w:r>
      <w:bookmarkEnd w:id="134"/>
      <w:bookmarkEnd w:id="135"/>
    </w:p>
    <w:p>
      <w:pPr>
        <w:pStyle w:val="4"/>
        <w:bidi w:val="0"/>
        <w:rPr>
          <w:rFonts w:hint="eastAsia" w:ascii="仿宋_GB2312" w:hAnsi="仿宋_GB2312" w:eastAsia="仿宋_GB2312" w:cs="仿宋_GB2312"/>
          <w:b w:val="0"/>
          <w:bCs w:val="0"/>
          <w:lang w:val="zh-CN" w:eastAsia="zh-CN"/>
        </w:rPr>
      </w:pPr>
      <w:bookmarkStart w:id="136" w:name="_Toc15396628"/>
      <w:bookmarkStart w:id="137" w:name="_Toc17308"/>
      <w:r>
        <w:rPr>
          <w:rFonts w:hint="eastAsia" w:ascii="仿宋_GB2312" w:hAnsi="仿宋_GB2312" w:eastAsia="仿宋_GB2312" w:cs="仿宋_GB2312"/>
          <w:b w:val="0"/>
          <w:bCs w:val="0"/>
          <w:lang w:val="zh-CN" w:eastAsia="zh-CN"/>
        </w:rPr>
        <w:t>十、</w:t>
      </w:r>
      <w:bookmarkEnd w:id="136"/>
      <w:r>
        <w:rPr>
          <w:rFonts w:hint="eastAsia" w:ascii="仿宋_GB2312" w:hAnsi="仿宋_GB2312" w:eastAsia="仿宋_GB2312" w:cs="仿宋_GB2312"/>
          <w:b w:val="0"/>
          <w:bCs w:val="0"/>
          <w:lang w:val="zh-CN" w:eastAsia="zh-CN"/>
        </w:rPr>
        <w:t>政府性基金预算财政拨款收入支出决算表</w:t>
      </w:r>
      <w:bookmarkEnd w:id="137"/>
    </w:p>
    <w:p>
      <w:pPr>
        <w:pStyle w:val="4"/>
        <w:bidi w:val="0"/>
        <w:rPr>
          <w:rFonts w:hint="eastAsia"/>
          <w:b w:val="0"/>
          <w:bCs w:val="0"/>
          <w:lang w:val="zh-CN" w:eastAsia="zh-CN"/>
        </w:rPr>
      </w:pPr>
      <w:bookmarkStart w:id="138" w:name="_Toc15396629"/>
      <w:bookmarkStart w:id="139" w:name="_Toc15101"/>
      <w:r>
        <w:rPr>
          <w:rFonts w:hint="eastAsia"/>
          <w:b w:val="0"/>
          <w:bCs w:val="0"/>
          <w:lang w:val="zh-CN" w:eastAsia="zh-CN"/>
        </w:rPr>
        <w:t>十一、</w:t>
      </w:r>
      <w:bookmarkEnd w:id="138"/>
      <w:r>
        <w:rPr>
          <w:rFonts w:hint="eastAsia"/>
          <w:b w:val="0"/>
          <w:bCs w:val="0"/>
          <w:lang w:val="zh-CN" w:eastAsia="zh-CN"/>
        </w:rPr>
        <w:t>国有资本经营预算财政拨款收入支出决算表</w:t>
      </w:r>
      <w:bookmarkEnd w:id="139"/>
    </w:p>
    <w:p>
      <w:pPr>
        <w:pStyle w:val="4"/>
        <w:bidi w:val="0"/>
        <w:rPr>
          <w:rFonts w:hint="eastAsia"/>
          <w:b w:val="0"/>
          <w:bCs w:val="0"/>
          <w:lang w:val="zh-CN" w:eastAsia="zh-CN"/>
        </w:rPr>
      </w:pPr>
      <w:bookmarkStart w:id="140" w:name="_Toc15396630"/>
      <w:bookmarkStart w:id="141" w:name="_Toc19293"/>
      <w:r>
        <w:rPr>
          <w:rFonts w:hint="eastAsia"/>
          <w:b w:val="0"/>
          <w:bCs w:val="0"/>
          <w:lang w:val="zh-CN" w:eastAsia="zh-CN"/>
        </w:rPr>
        <w:t>十二、</w:t>
      </w:r>
      <w:bookmarkEnd w:id="140"/>
      <w:r>
        <w:rPr>
          <w:rFonts w:hint="eastAsia"/>
          <w:b w:val="0"/>
          <w:bCs w:val="0"/>
          <w:lang w:val="zh-CN" w:eastAsia="zh-CN"/>
        </w:rPr>
        <w:t>国有资本经营预算财政拨款支出决算表</w:t>
      </w:r>
      <w:bookmarkEnd w:id="141"/>
    </w:p>
    <w:p>
      <w:pPr>
        <w:pStyle w:val="4"/>
        <w:bidi w:val="0"/>
        <w:rPr>
          <w:rFonts w:hint="eastAsia"/>
          <w:b w:val="0"/>
          <w:bCs w:val="0"/>
          <w:lang w:val="zh-CN" w:eastAsia="zh-CN"/>
        </w:rPr>
      </w:pPr>
      <w:bookmarkStart w:id="142" w:name="_Toc15396631"/>
      <w:bookmarkStart w:id="143" w:name="_Toc26087"/>
      <w:r>
        <w:rPr>
          <w:rFonts w:hint="eastAsia"/>
          <w:b w:val="0"/>
          <w:bCs w:val="0"/>
          <w:lang w:val="zh-CN" w:eastAsia="zh-CN"/>
        </w:rPr>
        <w:t>十三、</w:t>
      </w:r>
      <w:bookmarkEnd w:id="142"/>
      <w:r>
        <w:rPr>
          <w:rFonts w:hint="eastAsia"/>
          <w:b w:val="0"/>
          <w:bCs w:val="0"/>
          <w:lang w:val="zh-CN" w:eastAsia="zh-CN"/>
        </w:rPr>
        <w:t>财政拨款“三公”经费支出决算表</w:t>
      </w:r>
      <w:bookmarkEnd w:id="143"/>
    </w:p>
    <w:p>
      <w:pPr>
        <w:rPr>
          <w:highlight w:val="none"/>
        </w:rPr>
      </w:pP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方正黑体简体">
    <w:altName w:val="方正小标宋简体"/>
    <w:panose1 w:val="02010601030101010101"/>
    <w:charset w:val="86"/>
    <w:family w:val="auto"/>
    <w:pitch w:val="default"/>
    <w:sig w:usb0="00000000" w:usb1="0000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微软雅黑">
    <w:altName w:val="黑体"/>
    <w:panose1 w:val="020B0503020204020204"/>
    <w:charset w:val="86"/>
    <w:family w:val="auto"/>
    <w:pitch w:val="default"/>
    <w:sig w:usb0="00000000" w:usb1="00000000" w:usb2="00000016" w:usb3="00000000" w:csb0="0004001F" w:csb1="00000000"/>
  </w:font>
  <w:font w:name="方正楷体简体">
    <w:altName w:val="宋体"/>
    <w:panose1 w:val="02010601030101010101"/>
    <w:charset w:val="86"/>
    <w:family w:val="auto"/>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等线">
    <w:altName w:val="宋体"/>
    <w:panose1 w:val="02010600030101010101"/>
    <w:charset w:val="86"/>
    <w:family w:val="auto"/>
    <w:pitch w:val="default"/>
    <w:sig w:usb0="00000000" w:usb1="00000000" w:usb2="00000016" w:usb3="00000000" w:csb0="0004000F" w:csb1="00000000"/>
  </w:font>
  <w:font w:name="方正公文小标宋">
    <w:altName w:val="方正小标宋_GBK"/>
    <w:panose1 w:val="02000500000000000000"/>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汉仪仿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- 2 -</w:t>
                    </w:r>
                    <w:r>
                      <w:fldChar w:fldCharType="end"/>
                    </w:r>
                  </w:p>
                </w:txbxContent>
              </v:textbox>
            </v:shape>
          </w:pict>
        </mc:Fallback>
      </mc:AlternateContent>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52C6"/>
    <w:rsid w:val="001877A7"/>
    <w:rsid w:val="00191536"/>
    <w:rsid w:val="00192702"/>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093D"/>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0315F"/>
    <w:rsid w:val="007127B7"/>
    <w:rsid w:val="0071798E"/>
    <w:rsid w:val="007400E3"/>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35D3"/>
    <w:rsid w:val="008B768C"/>
    <w:rsid w:val="008C1491"/>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26E7"/>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568"/>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1BBD"/>
    <w:rsid w:val="00F42D58"/>
    <w:rsid w:val="00F45853"/>
    <w:rsid w:val="00F602DF"/>
    <w:rsid w:val="00F754A1"/>
    <w:rsid w:val="00F81FD9"/>
    <w:rsid w:val="00F841AA"/>
    <w:rsid w:val="00F84A94"/>
    <w:rsid w:val="00F87E96"/>
    <w:rsid w:val="00FA23E8"/>
    <w:rsid w:val="00FD3CC1"/>
    <w:rsid w:val="00FF1E02"/>
    <w:rsid w:val="00FF30B4"/>
    <w:rsid w:val="01044493"/>
    <w:rsid w:val="012A5EC2"/>
    <w:rsid w:val="015975B8"/>
    <w:rsid w:val="016C61E5"/>
    <w:rsid w:val="016C6714"/>
    <w:rsid w:val="01897A84"/>
    <w:rsid w:val="01BA4589"/>
    <w:rsid w:val="01C12F02"/>
    <w:rsid w:val="02247ACE"/>
    <w:rsid w:val="022F2A93"/>
    <w:rsid w:val="02510197"/>
    <w:rsid w:val="02647955"/>
    <w:rsid w:val="0273010D"/>
    <w:rsid w:val="02811877"/>
    <w:rsid w:val="02FEBE30"/>
    <w:rsid w:val="03605772"/>
    <w:rsid w:val="03655DEA"/>
    <w:rsid w:val="044A5B0B"/>
    <w:rsid w:val="04576BB0"/>
    <w:rsid w:val="048A6227"/>
    <w:rsid w:val="04916F1E"/>
    <w:rsid w:val="04CD18B6"/>
    <w:rsid w:val="05215625"/>
    <w:rsid w:val="054418A4"/>
    <w:rsid w:val="05D528ED"/>
    <w:rsid w:val="05FD666C"/>
    <w:rsid w:val="061E35DE"/>
    <w:rsid w:val="066E0107"/>
    <w:rsid w:val="06B63431"/>
    <w:rsid w:val="06E80494"/>
    <w:rsid w:val="074E737B"/>
    <w:rsid w:val="07573D64"/>
    <w:rsid w:val="07666648"/>
    <w:rsid w:val="07996F6E"/>
    <w:rsid w:val="07C509C5"/>
    <w:rsid w:val="07DFD8BA"/>
    <w:rsid w:val="07FF6D7E"/>
    <w:rsid w:val="089A4646"/>
    <w:rsid w:val="08A44410"/>
    <w:rsid w:val="08D80C97"/>
    <w:rsid w:val="092755E1"/>
    <w:rsid w:val="09867E8F"/>
    <w:rsid w:val="0A027ABB"/>
    <w:rsid w:val="0A2032A3"/>
    <w:rsid w:val="0A9D5E96"/>
    <w:rsid w:val="0B5906E8"/>
    <w:rsid w:val="0B65361C"/>
    <w:rsid w:val="0B8D10DD"/>
    <w:rsid w:val="0C0A3890"/>
    <w:rsid w:val="0C0F616A"/>
    <w:rsid w:val="0C4900DF"/>
    <w:rsid w:val="0C4E531C"/>
    <w:rsid w:val="0C6A379C"/>
    <w:rsid w:val="0C894187"/>
    <w:rsid w:val="0CA8290A"/>
    <w:rsid w:val="0CF4450C"/>
    <w:rsid w:val="0D35B1ED"/>
    <w:rsid w:val="0DE620DB"/>
    <w:rsid w:val="0DF93BBD"/>
    <w:rsid w:val="0E1A2DE0"/>
    <w:rsid w:val="0E254B6B"/>
    <w:rsid w:val="0EB31509"/>
    <w:rsid w:val="0EEF3211"/>
    <w:rsid w:val="0F1158AF"/>
    <w:rsid w:val="0F36499C"/>
    <w:rsid w:val="0F98263C"/>
    <w:rsid w:val="0FA30A72"/>
    <w:rsid w:val="0FCC11E1"/>
    <w:rsid w:val="0FFC3E38"/>
    <w:rsid w:val="101860EC"/>
    <w:rsid w:val="101F47CC"/>
    <w:rsid w:val="10277AA1"/>
    <w:rsid w:val="102B6224"/>
    <w:rsid w:val="10C055FF"/>
    <w:rsid w:val="10C90A0E"/>
    <w:rsid w:val="10DB57FB"/>
    <w:rsid w:val="10E945E4"/>
    <w:rsid w:val="10F9139C"/>
    <w:rsid w:val="11694EBD"/>
    <w:rsid w:val="11772AA4"/>
    <w:rsid w:val="118107EC"/>
    <w:rsid w:val="11883ED4"/>
    <w:rsid w:val="11A049C5"/>
    <w:rsid w:val="12B7275C"/>
    <w:rsid w:val="12E24EE2"/>
    <w:rsid w:val="12F3351A"/>
    <w:rsid w:val="13712447"/>
    <w:rsid w:val="13817574"/>
    <w:rsid w:val="13D50BC4"/>
    <w:rsid w:val="14095E5A"/>
    <w:rsid w:val="14364792"/>
    <w:rsid w:val="14694713"/>
    <w:rsid w:val="14B17F78"/>
    <w:rsid w:val="16343BF3"/>
    <w:rsid w:val="163B0E0F"/>
    <w:rsid w:val="165E0673"/>
    <w:rsid w:val="166B0F58"/>
    <w:rsid w:val="16735174"/>
    <w:rsid w:val="16975C4F"/>
    <w:rsid w:val="16B831D5"/>
    <w:rsid w:val="16BB723D"/>
    <w:rsid w:val="171C5001"/>
    <w:rsid w:val="17DB4333"/>
    <w:rsid w:val="17E50567"/>
    <w:rsid w:val="18435A3D"/>
    <w:rsid w:val="18452ED7"/>
    <w:rsid w:val="186504BB"/>
    <w:rsid w:val="189D7185"/>
    <w:rsid w:val="18AF7445"/>
    <w:rsid w:val="19A445FC"/>
    <w:rsid w:val="19E56488"/>
    <w:rsid w:val="1A906C6F"/>
    <w:rsid w:val="1A947877"/>
    <w:rsid w:val="1ACE1F0B"/>
    <w:rsid w:val="1AFC4CEC"/>
    <w:rsid w:val="1AFD0A64"/>
    <w:rsid w:val="1B326D81"/>
    <w:rsid w:val="1B5667A8"/>
    <w:rsid w:val="1B8460F1"/>
    <w:rsid w:val="1BE8440E"/>
    <w:rsid w:val="1C3D380E"/>
    <w:rsid w:val="1D155CEE"/>
    <w:rsid w:val="1D1638FE"/>
    <w:rsid w:val="1E214A6A"/>
    <w:rsid w:val="1E2153C6"/>
    <w:rsid w:val="1E2D4352"/>
    <w:rsid w:val="1E312DEB"/>
    <w:rsid w:val="1E740ACF"/>
    <w:rsid w:val="1FF35744"/>
    <w:rsid w:val="1FF6BC77"/>
    <w:rsid w:val="200A0E90"/>
    <w:rsid w:val="203171E6"/>
    <w:rsid w:val="20360CA0"/>
    <w:rsid w:val="208C2851"/>
    <w:rsid w:val="20B27EFC"/>
    <w:rsid w:val="20F33D8C"/>
    <w:rsid w:val="21083E02"/>
    <w:rsid w:val="2119490D"/>
    <w:rsid w:val="2186353C"/>
    <w:rsid w:val="21A07BC5"/>
    <w:rsid w:val="21B93937"/>
    <w:rsid w:val="225E2D88"/>
    <w:rsid w:val="227003CC"/>
    <w:rsid w:val="230128BD"/>
    <w:rsid w:val="2336437F"/>
    <w:rsid w:val="23751ADF"/>
    <w:rsid w:val="23860B96"/>
    <w:rsid w:val="23A10B26"/>
    <w:rsid w:val="23D46713"/>
    <w:rsid w:val="240371BF"/>
    <w:rsid w:val="244F3473"/>
    <w:rsid w:val="24C97D99"/>
    <w:rsid w:val="24F072A8"/>
    <w:rsid w:val="24FF3D57"/>
    <w:rsid w:val="25777D91"/>
    <w:rsid w:val="25A718F0"/>
    <w:rsid w:val="25BB59F6"/>
    <w:rsid w:val="25C81342"/>
    <w:rsid w:val="26056E61"/>
    <w:rsid w:val="260F557C"/>
    <w:rsid w:val="263B4944"/>
    <w:rsid w:val="2640518B"/>
    <w:rsid w:val="264350A6"/>
    <w:rsid w:val="26687F42"/>
    <w:rsid w:val="269153D4"/>
    <w:rsid w:val="26970054"/>
    <w:rsid w:val="26B9533C"/>
    <w:rsid w:val="276E51C4"/>
    <w:rsid w:val="281408E2"/>
    <w:rsid w:val="28553C8E"/>
    <w:rsid w:val="28603C25"/>
    <w:rsid w:val="28781857"/>
    <w:rsid w:val="28980531"/>
    <w:rsid w:val="28C22AF5"/>
    <w:rsid w:val="28CB21A2"/>
    <w:rsid w:val="29752839"/>
    <w:rsid w:val="297939AC"/>
    <w:rsid w:val="29C61D8F"/>
    <w:rsid w:val="29F84304"/>
    <w:rsid w:val="29FD04D3"/>
    <w:rsid w:val="2A380263"/>
    <w:rsid w:val="2ABF3192"/>
    <w:rsid w:val="2B213D29"/>
    <w:rsid w:val="2B370255"/>
    <w:rsid w:val="2B4E3C62"/>
    <w:rsid w:val="2BD94DE7"/>
    <w:rsid w:val="2BFF71DE"/>
    <w:rsid w:val="2BFF7BC6"/>
    <w:rsid w:val="2C0A0A3A"/>
    <w:rsid w:val="2C264570"/>
    <w:rsid w:val="2C2B5431"/>
    <w:rsid w:val="2C6C14CA"/>
    <w:rsid w:val="2C8A61B5"/>
    <w:rsid w:val="2CA220B4"/>
    <w:rsid w:val="2CFE1B59"/>
    <w:rsid w:val="2DDD4419"/>
    <w:rsid w:val="2DF04E50"/>
    <w:rsid w:val="2E026666"/>
    <w:rsid w:val="2E057E65"/>
    <w:rsid w:val="2E321C26"/>
    <w:rsid w:val="2E336DAE"/>
    <w:rsid w:val="2E586DFA"/>
    <w:rsid w:val="2E604128"/>
    <w:rsid w:val="2EE15246"/>
    <w:rsid w:val="2F040D46"/>
    <w:rsid w:val="2F6B035B"/>
    <w:rsid w:val="2FAE5751"/>
    <w:rsid w:val="2FB1A395"/>
    <w:rsid w:val="2FD9A7D8"/>
    <w:rsid w:val="2FDBF714"/>
    <w:rsid w:val="30057875"/>
    <w:rsid w:val="308C0484"/>
    <w:rsid w:val="30AB6865"/>
    <w:rsid w:val="315476F4"/>
    <w:rsid w:val="319F7F4E"/>
    <w:rsid w:val="31A55C86"/>
    <w:rsid w:val="31CE37F5"/>
    <w:rsid w:val="32533D91"/>
    <w:rsid w:val="32BD1EF1"/>
    <w:rsid w:val="32FD11AA"/>
    <w:rsid w:val="3304709D"/>
    <w:rsid w:val="333164AF"/>
    <w:rsid w:val="333164E8"/>
    <w:rsid w:val="33A773CB"/>
    <w:rsid w:val="33B93111"/>
    <w:rsid w:val="33CA5530"/>
    <w:rsid w:val="349D6851"/>
    <w:rsid w:val="359803DD"/>
    <w:rsid w:val="365732C7"/>
    <w:rsid w:val="36A35209"/>
    <w:rsid w:val="36AA5135"/>
    <w:rsid w:val="36AF6DEB"/>
    <w:rsid w:val="36BE0DA7"/>
    <w:rsid w:val="36CC05D0"/>
    <w:rsid w:val="371422D7"/>
    <w:rsid w:val="371B42F4"/>
    <w:rsid w:val="371E0A3E"/>
    <w:rsid w:val="372413FB"/>
    <w:rsid w:val="376679AF"/>
    <w:rsid w:val="376B6AA6"/>
    <w:rsid w:val="376D39B2"/>
    <w:rsid w:val="379F5483"/>
    <w:rsid w:val="37B52ABB"/>
    <w:rsid w:val="37E16F03"/>
    <w:rsid w:val="37F53A3B"/>
    <w:rsid w:val="38064FA4"/>
    <w:rsid w:val="384C6E5B"/>
    <w:rsid w:val="386D5023"/>
    <w:rsid w:val="389B6C89"/>
    <w:rsid w:val="389F78EA"/>
    <w:rsid w:val="38D469F0"/>
    <w:rsid w:val="39627CCD"/>
    <w:rsid w:val="397BAF1F"/>
    <w:rsid w:val="397F6DBC"/>
    <w:rsid w:val="3A4806E3"/>
    <w:rsid w:val="3A704FD8"/>
    <w:rsid w:val="3AB15803"/>
    <w:rsid w:val="3AB79AF3"/>
    <w:rsid w:val="3AD16EE3"/>
    <w:rsid w:val="3AE834C0"/>
    <w:rsid w:val="3B195017"/>
    <w:rsid w:val="3B7EF35A"/>
    <w:rsid w:val="3B9FDB6C"/>
    <w:rsid w:val="3BB222F8"/>
    <w:rsid w:val="3BD258C9"/>
    <w:rsid w:val="3BF5BC2F"/>
    <w:rsid w:val="3C6C6B1B"/>
    <w:rsid w:val="3CDB37E5"/>
    <w:rsid w:val="3CE60938"/>
    <w:rsid w:val="3CEBA265"/>
    <w:rsid w:val="3D722FBB"/>
    <w:rsid w:val="3D7D3B8B"/>
    <w:rsid w:val="3D98207C"/>
    <w:rsid w:val="3D994F0A"/>
    <w:rsid w:val="3DA94408"/>
    <w:rsid w:val="3DEE7CF3"/>
    <w:rsid w:val="3E6D438D"/>
    <w:rsid w:val="3E740A63"/>
    <w:rsid w:val="3E78745D"/>
    <w:rsid w:val="3E7B287F"/>
    <w:rsid w:val="3E9A01F4"/>
    <w:rsid w:val="3EB92D70"/>
    <w:rsid w:val="3EE17838"/>
    <w:rsid w:val="3F55381A"/>
    <w:rsid w:val="3F7F7599"/>
    <w:rsid w:val="3FA50EB1"/>
    <w:rsid w:val="3FF4CAE0"/>
    <w:rsid w:val="3FF7B227"/>
    <w:rsid w:val="40002EC6"/>
    <w:rsid w:val="4030259C"/>
    <w:rsid w:val="405E7FB9"/>
    <w:rsid w:val="40804E2F"/>
    <w:rsid w:val="40B958F3"/>
    <w:rsid w:val="40CB3A83"/>
    <w:rsid w:val="411527A6"/>
    <w:rsid w:val="412F57AC"/>
    <w:rsid w:val="41691F8F"/>
    <w:rsid w:val="4171348E"/>
    <w:rsid w:val="41D6053F"/>
    <w:rsid w:val="41FC7F6E"/>
    <w:rsid w:val="422420A8"/>
    <w:rsid w:val="426E15F8"/>
    <w:rsid w:val="42932922"/>
    <w:rsid w:val="42C5221E"/>
    <w:rsid w:val="42DB2FB6"/>
    <w:rsid w:val="42F36125"/>
    <w:rsid w:val="42F8701F"/>
    <w:rsid w:val="432804C5"/>
    <w:rsid w:val="43A7763B"/>
    <w:rsid w:val="44E268DA"/>
    <w:rsid w:val="44F70C3B"/>
    <w:rsid w:val="450D13D7"/>
    <w:rsid w:val="4524614E"/>
    <w:rsid w:val="45506656"/>
    <w:rsid w:val="45533857"/>
    <w:rsid w:val="45DC2621"/>
    <w:rsid w:val="462A6302"/>
    <w:rsid w:val="46364CA7"/>
    <w:rsid w:val="46C75BAD"/>
    <w:rsid w:val="46D6425C"/>
    <w:rsid w:val="47517078"/>
    <w:rsid w:val="47613F36"/>
    <w:rsid w:val="48407062"/>
    <w:rsid w:val="484A0D91"/>
    <w:rsid w:val="486766EF"/>
    <w:rsid w:val="486A6C7A"/>
    <w:rsid w:val="492E6109"/>
    <w:rsid w:val="495C174C"/>
    <w:rsid w:val="4A026D98"/>
    <w:rsid w:val="4A277803"/>
    <w:rsid w:val="4A627F82"/>
    <w:rsid w:val="4AAC4280"/>
    <w:rsid w:val="4AB259D0"/>
    <w:rsid w:val="4AB36114"/>
    <w:rsid w:val="4B094764"/>
    <w:rsid w:val="4B0E749A"/>
    <w:rsid w:val="4B2477C4"/>
    <w:rsid w:val="4B4F25DA"/>
    <w:rsid w:val="4BBE1E0D"/>
    <w:rsid w:val="4BE068DB"/>
    <w:rsid w:val="4C217DB3"/>
    <w:rsid w:val="4CF431C6"/>
    <w:rsid w:val="4CFE63D3"/>
    <w:rsid w:val="4D051D57"/>
    <w:rsid w:val="4D092C92"/>
    <w:rsid w:val="4D577224"/>
    <w:rsid w:val="4DAD49F4"/>
    <w:rsid w:val="4DBF1CEB"/>
    <w:rsid w:val="4DF0007C"/>
    <w:rsid w:val="4DF3347D"/>
    <w:rsid w:val="4E540BB1"/>
    <w:rsid w:val="4E69415F"/>
    <w:rsid w:val="4E6A78E3"/>
    <w:rsid w:val="4EAA00E9"/>
    <w:rsid w:val="4EAB630A"/>
    <w:rsid w:val="4ECE2238"/>
    <w:rsid w:val="4F381A8F"/>
    <w:rsid w:val="4F4C1097"/>
    <w:rsid w:val="4F833267"/>
    <w:rsid w:val="4FD63DB7"/>
    <w:rsid w:val="4FDC066D"/>
    <w:rsid w:val="4FE9BD67"/>
    <w:rsid w:val="4FFB052F"/>
    <w:rsid w:val="501E2A33"/>
    <w:rsid w:val="50253B41"/>
    <w:rsid w:val="5039786D"/>
    <w:rsid w:val="50921911"/>
    <w:rsid w:val="51B74BC8"/>
    <w:rsid w:val="51D161C1"/>
    <w:rsid w:val="51E25659"/>
    <w:rsid w:val="522527EE"/>
    <w:rsid w:val="52494F85"/>
    <w:rsid w:val="531D5224"/>
    <w:rsid w:val="53281E1B"/>
    <w:rsid w:val="537E6D0A"/>
    <w:rsid w:val="53CD19F7"/>
    <w:rsid w:val="53F74C96"/>
    <w:rsid w:val="548D2129"/>
    <w:rsid w:val="54BF4A67"/>
    <w:rsid w:val="55170BA8"/>
    <w:rsid w:val="553218C9"/>
    <w:rsid w:val="55852E44"/>
    <w:rsid w:val="55CB2296"/>
    <w:rsid w:val="55EC3199"/>
    <w:rsid w:val="567E1AA5"/>
    <w:rsid w:val="56924C2A"/>
    <w:rsid w:val="569F0646"/>
    <w:rsid w:val="56E27F2F"/>
    <w:rsid w:val="56E47B74"/>
    <w:rsid w:val="57175D52"/>
    <w:rsid w:val="57415259"/>
    <w:rsid w:val="579104A4"/>
    <w:rsid w:val="57A26921"/>
    <w:rsid w:val="57BD3DD4"/>
    <w:rsid w:val="57EF1159"/>
    <w:rsid w:val="59146777"/>
    <w:rsid w:val="598D117D"/>
    <w:rsid w:val="59B01EF5"/>
    <w:rsid w:val="59BE1867"/>
    <w:rsid w:val="5A0D113D"/>
    <w:rsid w:val="5A8550FA"/>
    <w:rsid w:val="5AF92295"/>
    <w:rsid w:val="5B250254"/>
    <w:rsid w:val="5B9E120E"/>
    <w:rsid w:val="5B9F0927"/>
    <w:rsid w:val="5BB54205"/>
    <w:rsid w:val="5BDD79E6"/>
    <w:rsid w:val="5BF561CA"/>
    <w:rsid w:val="5BFF5DFC"/>
    <w:rsid w:val="5C0A056E"/>
    <w:rsid w:val="5CD71FC4"/>
    <w:rsid w:val="5D1F11B5"/>
    <w:rsid w:val="5D290C69"/>
    <w:rsid w:val="5D29552D"/>
    <w:rsid w:val="5D3E0859"/>
    <w:rsid w:val="5D4F5EF1"/>
    <w:rsid w:val="5D5644F8"/>
    <w:rsid w:val="5D695134"/>
    <w:rsid w:val="5D740137"/>
    <w:rsid w:val="5D946854"/>
    <w:rsid w:val="5DAE1B18"/>
    <w:rsid w:val="5DE7D9E5"/>
    <w:rsid w:val="5E160661"/>
    <w:rsid w:val="5E570923"/>
    <w:rsid w:val="5ECEC941"/>
    <w:rsid w:val="5F41298F"/>
    <w:rsid w:val="5F5D0D5A"/>
    <w:rsid w:val="5F6B1B65"/>
    <w:rsid w:val="5FAE166A"/>
    <w:rsid w:val="5FBF9FF3"/>
    <w:rsid w:val="5FCD4E2C"/>
    <w:rsid w:val="5FDB7FCB"/>
    <w:rsid w:val="5FEC48FC"/>
    <w:rsid w:val="5FEF394A"/>
    <w:rsid w:val="5FF67715"/>
    <w:rsid w:val="60094195"/>
    <w:rsid w:val="601D0383"/>
    <w:rsid w:val="60397415"/>
    <w:rsid w:val="60C42B12"/>
    <w:rsid w:val="612C758A"/>
    <w:rsid w:val="61CF7750"/>
    <w:rsid w:val="624D1859"/>
    <w:rsid w:val="628E51DF"/>
    <w:rsid w:val="62BF3928"/>
    <w:rsid w:val="62CF058D"/>
    <w:rsid w:val="63444160"/>
    <w:rsid w:val="635D73C4"/>
    <w:rsid w:val="63B3701E"/>
    <w:rsid w:val="63EF7D33"/>
    <w:rsid w:val="643B7249"/>
    <w:rsid w:val="647F5392"/>
    <w:rsid w:val="649A6E44"/>
    <w:rsid w:val="65324C98"/>
    <w:rsid w:val="65DD5E4D"/>
    <w:rsid w:val="65E66580"/>
    <w:rsid w:val="65EF1435"/>
    <w:rsid w:val="66083B12"/>
    <w:rsid w:val="661612F8"/>
    <w:rsid w:val="664B1D71"/>
    <w:rsid w:val="664B4E8E"/>
    <w:rsid w:val="6675200B"/>
    <w:rsid w:val="669929BC"/>
    <w:rsid w:val="66FE7D9B"/>
    <w:rsid w:val="67277B67"/>
    <w:rsid w:val="6794296C"/>
    <w:rsid w:val="67AA3209"/>
    <w:rsid w:val="680F13E2"/>
    <w:rsid w:val="68272C9C"/>
    <w:rsid w:val="68F93BE6"/>
    <w:rsid w:val="69197656"/>
    <w:rsid w:val="69237496"/>
    <w:rsid w:val="695E7F4E"/>
    <w:rsid w:val="698A2B79"/>
    <w:rsid w:val="698D0931"/>
    <w:rsid w:val="6A7627AD"/>
    <w:rsid w:val="6A7FE5F3"/>
    <w:rsid w:val="6AE57851"/>
    <w:rsid w:val="6AF042AC"/>
    <w:rsid w:val="6B053271"/>
    <w:rsid w:val="6B160A7F"/>
    <w:rsid w:val="6B337868"/>
    <w:rsid w:val="6B7678FF"/>
    <w:rsid w:val="6BA936A1"/>
    <w:rsid w:val="6BD50998"/>
    <w:rsid w:val="6BDD78B3"/>
    <w:rsid w:val="6C3A430E"/>
    <w:rsid w:val="6C3E75AB"/>
    <w:rsid w:val="6C4A05C8"/>
    <w:rsid w:val="6C661592"/>
    <w:rsid w:val="6C8742B8"/>
    <w:rsid w:val="6CDE381E"/>
    <w:rsid w:val="6CDE737B"/>
    <w:rsid w:val="6D17288C"/>
    <w:rsid w:val="6DBF5E93"/>
    <w:rsid w:val="6DFF077E"/>
    <w:rsid w:val="6E597B1B"/>
    <w:rsid w:val="6E714EF0"/>
    <w:rsid w:val="6E7E3605"/>
    <w:rsid w:val="6E7FDCC7"/>
    <w:rsid w:val="6ED6A62E"/>
    <w:rsid w:val="6EE00B15"/>
    <w:rsid w:val="6EEF50BB"/>
    <w:rsid w:val="6EFB3697"/>
    <w:rsid w:val="6F2B614D"/>
    <w:rsid w:val="6F6FB3EB"/>
    <w:rsid w:val="6F8731EA"/>
    <w:rsid w:val="6FCE6052"/>
    <w:rsid w:val="6FD57C00"/>
    <w:rsid w:val="6FDF6C9A"/>
    <w:rsid w:val="6FEFFFD8"/>
    <w:rsid w:val="6FF5CC65"/>
    <w:rsid w:val="6FFB47EC"/>
    <w:rsid w:val="6FFF034A"/>
    <w:rsid w:val="70273F68"/>
    <w:rsid w:val="70484440"/>
    <w:rsid w:val="70BA18F5"/>
    <w:rsid w:val="712A28F1"/>
    <w:rsid w:val="715C0E4B"/>
    <w:rsid w:val="715F6E35"/>
    <w:rsid w:val="719641E7"/>
    <w:rsid w:val="71992E7C"/>
    <w:rsid w:val="721B70F0"/>
    <w:rsid w:val="72233669"/>
    <w:rsid w:val="72734D90"/>
    <w:rsid w:val="729B5D0E"/>
    <w:rsid w:val="73160E6D"/>
    <w:rsid w:val="732B09DB"/>
    <w:rsid w:val="7332FE48"/>
    <w:rsid w:val="73AB61DA"/>
    <w:rsid w:val="73AD73D5"/>
    <w:rsid w:val="73B6EB34"/>
    <w:rsid w:val="73FA497D"/>
    <w:rsid w:val="73FB62BB"/>
    <w:rsid w:val="744731E5"/>
    <w:rsid w:val="746B3C73"/>
    <w:rsid w:val="746B4637"/>
    <w:rsid w:val="746E72F3"/>
    <w:rsid w:val="74743265"/>
    <w:rsid w:val="74BBD01D"/>
    <w:rsid w:val="74ED5379"/>
    <w:rsid w:val="751622C0"/>
    <w:rsid w:val="758E0F28"/>
    <w:rsid w:val="75A679F3"/>
    <w:rsid w:val="75BC4D0C"/>
    <w:rsid w:val="75DEEEC2"/>
    <w:rsid w:val="75E32345"/>
    <w:rsid w:val="7683085C"/>
    <w:rsid w:val="769F0857"/>
    <w:rsid w:val="76E3355F"/>
    <w:rsid w:val="76FF5125"/>
    <w:rsid w:val="776E3A21"/>
    <w:rsid w:val="776F6FFA"/>
    <w:rsid w:val="777C6C7A"/>
    <w:rsid w:val="778769C8"/>
    <w:rsid w:val="77A75DCA"/>
    <w:rsid w:val="77DC22F5"/>
    <w:rsid w:val="783E271A"/>
    <w:rsid w:val="78616DE9"/>
    <w:rsid w:val="78826FA1"/>
    <w:rsid w:val="78880AE2"/>
    <w:rsid w:val="78994A9D"/>
    <w:rsid w:val="78BC44A3"/>
    <w:rsid w:val="78BE0E43"/>
    <w:rsid w:val="78E875D7"/>
    <w:rsid w:val="79086DAD"/>
    <w:rsid w:val="79257F12"/>
    <w:rsid w:val="792A257B"/>
    <w:rsid w:val="793278EB"/>
    <w:rsid w:val="7967201E"/>
    <w:rsid w:val="799E4AA8"/>
    <w:rsid w:val="79D7FD79"/>
    <w:rsid w:val="79EE5BA4"/>
    <w:rsid w:val="79F77CCE"/>
    <w:rsid w:val="7A1B35DC"/>
    <w:rsid w:val="7A3E76AA"/>
    <w:rsid w:val="7A603AC5"/>
    <w:rsid w:val="7A894339"/>
    <w:rsid w:val="7AD284E8"/>
    <w:rsid w:val="7AFF7572"/>
    <w:rsid w:val="7B4A0588"/>
    <w:rsid w:val="7B6C7DFB"/>
    <w:rsid w:val="7B896DE6"/>
    <w:rsid w:val="7B915F00"/>
    <w:rsid w:val="7B917CAE"/>
    <w:rsid w:val="7B9F47D4"/>
    <w:rsid w:val="7BA23C69"/>
    <w:rsid w:val="7BBFBED0"/>
    <w:rsid w:val="7BC3E394"/>
    <w:rsid w:val="7C1F3737"/>
    <w:rsid w:val="7C2D1777"/>
    <w:rsid w:val="7C4B4301"/>
    <w:rsid w:val="7C7337C0"/>
    <w:rsid w:val="7CBFC87B"/>
    <w:rsid w:val="7CC04CEF"/>
    <w:rsid w:val="7CFE0F48"/>
    <w:rsid w:val="7D0E34DE"/>
    <w:rsid w:val="7D272ABC"/>
    <w:rsid w:val="7D4A19AF"/>
    <w:rsid w:val="7D7C5DC2"/>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EF0AAD"/>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7F7443"/>
    <w:rsid w:val="BFD475C3"/>
    <w:rsid w:val="BFDE5EA6"/>
    <w:rsid w:val="CF6FC6F3"/>
    <w:rsid w:val="CFD3D3D7"/>
    <w:rsid w:val="CFDF1009"/>
    <w:rsid w:val="D5EBBAC8"/>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1"/>
    <w:qFormat/>
    <w:uiPriority w:val="99"/>
    <w:pPr>
      <w:spacing w:beforeLines="30"/>
    </w:pPr>
    <w:rPr>
      <w:rFonts w:ascii="仿宋_GB2312" w:eastAsia="仿宋_GB2312"/>
      <w:kern w:val="0"/>
      <w:sz w:val="30"/>
    </w:rPr>
  </w:style>
  <w:style w:type="paragraph" w:styleId="6">
    <w:name w:val="Normal Indent"/>
    <w:basedOn w:val="1"/>
    <w:next w:val="7"/>
    <w:qFormat/>
    <w:uiPriority w:val="0"/>
    <w:pPr>
      <w:ind w:firstLine="420" w:firstLineChars="200"/>
    </w:pPr>
  </w:style>
  <w:style w:type="paragraph" w:styleId="7">
    <w:name w:val="header"/>
    <w:basedOn w:val="1"/>
    <w:next w:val="8"/>
    <w:link w:val="2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Plain Text"/>
    <w:basedOn w:val="1"/>
    <w:qFormat/>
    <w:uiPriority w:val="99"/>
    <w:pPr>
      <w:jc w:val="both"/>
    </w:pPr>
    <w:rPr>
      <w:rFonts w:hAnsi="Courier New" w:eastAsia="宋体" w:cs="Times New Roman"/>
      <w:kern w:val="2"/>
      <w:sz w:val="21"/>
    </w:rPr>
  </w:style>
  <w:style w:type="paragraph" w:styleId="9">
    <w:name w:val="Salutation"/>
    <w:basedOn w:val="1"/>
    <w:next w:val="1"/>
    <w:qFormat/>
    <w:uiPriority w:val="0"/>
    <w:rPr>
      <w:rFonts w:ascii="Times New Roman" w:hAnsi="Times New Roman"/>
    </w:rPr>
  </w:style>
  <w:style w:type="paragraph" w:styleId="10">
    <w:name w:val="Body Text Indent"/>
    <w:basedOn w:val="1"/>
    <w:qFormat/>
    <w:uiPriority w:val="0"/>
    <w:pPr>
      <w:spacing w:after="120"/>
      <w:ind w:left="200" w:leftChars="200"/>
    </w:pPr>
    <w:rPr>
      <w:rFonts w:ascii="仿宋_GB2312"/>
      <w:szCs w:val="32"/>
    </w:rPr>
  </w:style>
  <w:style w:type="paragraph" w:styleId="11">
    <w:name w:val="toc 3"/>
    <w:basedOn w:val="1"/>
    <w:next w:val="1"/>
    <w:unhideWhenUsed/>
    <w:qFormat/>
    <w:uiPriority w:val="39"/>
    <w:pPr>
      <w:tabs>
        <w:tab w:val="right" w:leader="dot" w:pos="8296"/>
      </w:tabs>
      <w:ind w:left="840" w:leftChars="400"/>
    </w:pPr>
  </w:style>
  <w:style w:type="paragraph" w:styleId="12">
    <w:name w:val="Balloon Text"/>
    <w:basedOn w:val="1"/>
    <w:link w:val="37"/>
    <w:semiHidden/>
    <w:unhideWhenUsed/>
    <w:qFormat/>
    <w:uiPriority w:val="99"/>
    <w:rPr>
      <w:sz w:val="18"/>
      <w:szCs w:val="18"/>
    </w:rPr>
  </w:style>
  <w:style w:type="paragraph" w:styleId="13">
    <w:name w:val="footer"/>
    <w:basedOn w:val="1"/>
    <w:link w:val="29"/>
    <w:qFormat/>
    <w:uiPriority w:val="99"/>
    <w:pPr>
      <w:tabs>
        <w:tab w:val="center" w:pos="4153"/>
        <w:tab w:val="right" w:pos="8306"/>
      </w:tabs>
      <w:snapToGrid w:val="0"/>
      <w:jc w:val="left"/>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Subtitle"/>
    <w:basedOn w:val="1"/>
    <w:next w:val="1"/>
    <w:qFormat/>
    <w:uiPriority w:val="99"/>
    <w:pPr>
      <w:spacing w:before="240" w:after="60" w:line="312" w:lineRule="auto"/>
      <w:jc w:val="center"/>
      <w:outlineLvl w:val="1"/>
    </w:pPr>
    <w:rPr>
      <w:rFonts w:ascii="Arial" w:hAnsi="Arial" w:cs="Arial"/>
      <w:b/>
      <w:bCs/>
      <w:kern w:val="28"/>
      <w:szCs w:val="32"/>
    </w:rPr>
  </w:style>
  <w:style w:type="paragraph" w:styleId="16">
    <w:name w:val="footnote text"/>
    <w:basedOn w:val="1"/>
    <w:next w:val="17"/>
    <w:semiHidden/>
    <w:qFormat/>
    <w:uiPriority w:val="0"/>
    <w:pPr>
      <w:snapToGrid w:val="0"/>
      <w:jc w:val="left"/>
    </w:pPr>
    <w:rPr>
      <w:sz w:val="18"/>
      <w:szCs w:val="18"/>
    </w:rPr>
  </w:style>
  <w:style w:type="paragraph" w:styleId="17">
    <w:name w:val="Body Text First Indent 2"/>
    <w:basedOn w:val="10"/>
    <w:unhideWhenUsed/>
    <w:qFormat/>
    <w:uiPriority w:val="99"/>
    <w:pPr>
      <w:ind w:firstLine="420" w:firstLineChars="200"/>
    </w:pPr>
  </w:style>
  <w:style w:type="paragraph" w:styleId="18">
    <w:name w:val="table of figures"/>
    <w:basedOn w:val="1"/>
    <w:next w:val="1"/>
    <w:qFormat/>
    <w:uiPriority w:val="0"/>
    <w:pPr>
      <w:ind w:left="200" w:leftChars="200" w:hanging="200" w:hangingChars="200"/>
    </w:pPr>
  </w:style>
  <w:style w:type="paragraph" w:styleId="19">
    <w:name w:val="toc 2"/>
    <w:basedOn w:val="1"/>
    <w:next w:val="1"/>
    <w:unhideWhenUsed/>
    <w:qFormat/>
    <w:uiPriority w:val="39"/>
    <w:pPr>
      <w:tabs>
        <w:tab w:val="right" w:leader="dot" w:pos="8296"/>
      </w:tabs>
      <w:ind w:left="420" w:leftChars="200"/>
    </w:pPr>
  </w:style>
  <w:style w:type="paragraph" w:styleId="20">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23">
    <w:name w:val="Strong"/>
    <w:basedOn w:val="22"/>
    <w:qFormat/>
    <w:uiPriority w:val="99"/>
    <w:rPr>
      <w:b/>
    </w:rPr>
  </w:style>
  <w:style w:type="character" w:styleId="24">
    <w:name w:val="Hyperlink"/>
    <w:basedOn w:val="22"/>
    <w:unhideWhenUsed/>
    <w:qFormat/>
    <w:uiPriority w:val="99"/>
    <w:rPr>
      <w:color w:val="0000FF" w:themeColor="hyperlink"/>
      <w:u w:val="single"/>
      <w14:textFill>
        <w14:solidFill>
          <w14:schemeClr w14:val="hlink"/>
        </w14:solidFill>
      </w14:textFill>
    </w:rPr>
  </w:style>
  <w:style w:type="paragraph" w:customStyle="1" w:styleId="25">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6">
    <w:name w:val="Header Char"/>
    <w:basedOn w:val="22"/>
    <w:semiHidden/>
    <w:qFormat/>
    <w:uiPriority w:val="99"/>
    <w:rPr>
      <w:rFonts w:ascii="Times New Roman" w:hAnsi="Times New Roman"/>
      <w:sz w:val="18"/>
      <w:szCs w:val="18"/>
    </w:rPr>
  </w:style>
  <w:style w:type="character" w:customStyle="1" w:styleId="27">
    <w:name w:val="页眉 字符"/>
    <w:link w:val="7"/>
    <w:semiHidden/>
    <w:qFormat/>
    <w:locked/>
    <w:uiPriority w:val="99"/>
    <w:rPr>
      <w:sz w:val="18"/>
    </w:rPr>
  </w:style>
  <w:style w:type="character" w:customStyle="1" w:styleId="28">
    <w:name w:val="Footer Char"/>
    <w:basedOn w:val="22"/>
    <w:semiHidden/>
    <w:qFormat/>
    <w:uiPriority w:val="99"/>
    <w:rPr>
      <w:rFonts w:ascii="Times New Roman" w:hAnsi="Times New Roman"/>
      <w:sz w:val="18"/>
      <w:szCs w:val="18"/>
    </w:rPr>
  </w:style>
  <w:style w:type="character" w:customStyle="1" w:styleId="29">
    <w:name w:val="页脚 字符"/>
    <w:link w:val="13"/>
    <w:qFormat/>
    <w:locked/>
    <w:uiPriority w:val="99"/>
    <w:rPr>
      <w:sz w:val="18"/>
    </w:rPr>
  </w:style>
  <w:style w:type="character" w:customStyle="1" w:styleId="30">
    <w:name w:val="Body Text Char"/>
    <w:basedOn w:val="22"/>
    <w:semiHidden/>
    <w:qFormat/>
    <w:uiPriority w:val="99"/>
    <w:rPr>
      <w:rFonts w:ascii="Times New Roman" w:hAnsi="Times New Roman"/>
      <w:szCs w:val="24"/>
    </w:rPr>
  </w:style>
  <w:style w:type="character" w:customStyle="1" w:styleId="31">
    <w:name w:val="正文文本 字符"/>
    <w:link w:val="2"/>
    <w:qFormat/>
    <w:locked/>
    <w:uiPriority w:val="99"/>
    <w:rPr>
      <w:rFonts w:ascii="仿宋_GB2312" w:hAnsi="Times New Roman" w:eastAsia="仿宋_GB2312"/>
      <w:sz w:val="24"/>
    </w:rPr>
  </w:style>
  <w:style w:type="paragraph" w:customStyle="1" w:styleId="3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3">
    <w:name w:val="List Paragraph"/>
    <w:basedOn w:val="1"/>
    <w:qFormat/>
    <w:uiPriority w:val="34"/>
    <w:pPr>
      <w:ind w:firstLine="420" w:firstLineChars="200"/>
    </w:pPr>
  </w:style>
  <w:style w:type="character" w:customStyle="1" w:styleId="34">
    <w:name w:val="标题 1 字符"/>
    <w:basedOn w:val="22"/>
    <w:link w:val="3"/>
    <w:qFormat/>
    <w:uiPriority w:val="9"/>
    <w:rPr>
      <w:rFonts w:ascii="Times New Roman" w:hAnsi="Times New Roman"/>
      <w:b/>
      <w:bCs/>
      <w:kern w:val="44"/>
      <w:sz w:val="44"/>
      <w:szCs w:val="44"/>
    </w:rPr>
  </w:style>
  <w:style w:type="character" w:customStyle="1" w:styleId="35">
    <w:name w:val="标题 2 字符"/>
    <w:basedOn w:val="22"/>
    <w:link w:val="4"/>
    <w:qFormat/>
    <w:uiPriority w:val="9"/>
    <w:rPr>
      <w:rFonts w:asciiTheme="majorHAnsi" w:hAnsiTheme="majorHAnsi" w:eastAsiaTheme="majorEastAsia" w:cstheme="majorBidi"/>
      <w:b/>
      <w:bCs/>
      <w:kern w:val="2"/>
      <w:sz w:val="32"/>
      <w:szCs w:val="32"/>
    </w:rPr>
  </w:style>
  <w:style w:type="paragraph" w:customStyle="1" w:styleId="3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7">
    <w:name w:val="批注框文本 字符"/>
    <w:basedOn w:val="22"/>
    <w:link w:val="12"/>
    <w:semiHidden/>
    <w:qFormat/>
    <w:uiPriority w:val="99"/>
    <w:rPr>
      <w:rFonts w:ascii="Times New Roman" w:hAnsi="Times New Roman"/>
      <w:kern w:val="2"/>
      <w:sz w:val="18"/>
      <w:szCs w:val="18"/>
    </w:rPr>
  </w:style>
  <w:style w:type="character" w:customStyle="1" w:styleId="38">
    <w:name w:val="标题 3 字符"/>
    <w:basedOn w:val="22"/>
    <w:link w:val="5"/>
    <w:qFormat/>
    <w:uiPriority w:val="9"/>
    <w:rPr>
      <w:rFonts w:ascii="Times New Roman" w:hAnsi="Times New Roman"/>
      <w:b/>
      <w:bCs/>
      <w:kern w:val="2"/>
      <w:sz w:val="32"/>
      <w:szCs w:val="32"/>
    </w:rPr>
  </w:style>
  <w:style w:type="paragraph" w:customStyle="1" w:styleId="3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40">
    <w:name w:val="四号正文"/>
    <w:basedOn w:val="1"/>
    <w:qFormat/>
    <w:uiPriority w:val="0"/>
    <w:pPr>
      <w:spacing w:line="360" w:lineRule="auto"/>
    </w:pPr>
    <w:rPr>
      <w:rFonts w:ascii="??" w:hAnsi="??"/>
      <w:color w:val="000000"/>
      <w:kern w:val="0"/>
      <w:sz w:val="28"/>
      <w:szCs w:val="21"/>
      <w:lang w:val="zh-CN"/>
    </w:rPr>
  </w:style>
  <w:style w:type="paragraph" w:customStyle="1" w:styleId="41">
    <w:name w:val="WPSOffice手动目录 2"/>
    <w:qFormat/>
    <w:uiPriority w:val="0"/>
    <w:pPr>
      <w:ind w:leftChars="200"/>
    </w:pPr>
    <w:rPr>
      <w:rFonts w:ascii="Times New Roman" w:hAnsi="Times New Roman" w:eastAsia="宋体" w:cs="Times New Roman"/>
      <w:sz w:val="20"/>
      <w:szCs w:val="20"/>
    </w:rPr>
  </w:style>
  <w:style w:type="character" w:customStyle="1" w:styleId="42">
    <w:name w:val="NormalCharacter"/>
    <w:qFormat/>
    <w:uiPriority w:val="99"/>
    <w:rPr>
      <w:rFonts w:ascii="Calibri" w:hAnsi="Calibri" w:eastAsia="宋体"/>
      <w:kern w:val="2"/>
      <w:sz w:val="21"/>
      <w:lang w:val="en-US" w:eastAsia="zh-CN"/>
    </w:rPr>
  </w:style>
  <w:style w:type="paragraph" w:customStyle="1" w:styleId="43">
    <w:name w:val="天创内容"/>
    <w:basedOn w:val="1"/>
    <w:qFormat/>
    <w:uiPriority w:val="0"/>
    <w:pPr>
      <w:widowControl w:val="0"/>
      <w:spacing w:line="560" w:lineRule="exact"/>
      <w:ind w:firstLine="200" w:firstLineChars="200"/>
      <w:jc w:val="both"/>
    </w:pPr>
    <w:rPr>
      <w:rFonts w:ascii="Times New Roman" w:hAnsi="Times New Roman" w:eastAsia="宋体" w:cs="Times New Roman"/>
      <w:kern w:val="2"/>
      <w:sz w:val="32"/>
      <w:szCs w:val="24"/>
      <w:lang w:val="en-US" w:eastAsia="zh-CN" w:bidi="ar-SA"/>
    </w:rPr>
  </w:style>
  <w:style w:type="paragraph" w:customStyle="1" w:styleId="44">
    <w:name w:val="样式1"/>
    <w:basedOn w:val="1"/>
    <w:qFormat/>
    <w:uiPriority w:val="0"/>
    <w:pPr>
      <w:suppressAutoHyphens/>
    </w:pPr>
    <w:rPr>
      <w:b/>
      <w:color w:val="538135"/>
      <w:sz w:val="28"/>
      <w:szCs w:val="21"/>
    </w:rPr>
  </w:style>
  <w:style w:type="paragraph" w:customStyle="1" w:styleId="45">
    <w:name w:val="PlainText"/>
    <w:basedOn w:val="1"/>
    <w:qFormat/>
    <w:uiPriority w:val="99"/>
    <w:pPr>
      <w:textAlignment w:val="baseline"/>
    </w:pPr>
    <w:rPr>
      <w:rFonts w:ascii="宋体" w:eastAsia="宋体"/>
      <w:szCs w:val="21"/>
    </w:rPr>
  </w:style>
  <w:style w:type="character" w:customStyle="1" w:styleId="46">
    <w:name w:val="font31"/>
    <w:basedOn w:val="22"/>
    <w:qFormat/>
    <w:uiPriority w:val="0"/>
    <w:rPr>
      <w:rFonts w:ascii="宋体" w:hAnsi="宋体" w:eastAsia="宋体" w:cs="宋体"/>
      <w:color w:val="000000"/>
      <w:sz w:val="18"/>
      <w:szCs w:val="18"/>
      <w:u w:val="none"/>
    </w:rPr>
  </w:style>
  <w:style w:type="character" w:customStyle="1" w:styleId="47">
    <w:name w:val="font122"/>
    <w:basedOn w:val="22"/>
    <w:qFormat/>
    <w:uiPriority w:val="0"/>
    <w:rPr>
      <w:rFonts w:ascii="Arial" w:hAnsi="Arial" w:cs="Arial"/>
      <w:color w:val="000000"/>
      <w:sz w:val="18"/>
      <w:szCs w:val="18"/>
      <w:u w:val="none"/>
    </w:rPr>
  </w:style>
  <w:style w:type="character" w:customStyle="1" w:styleId="48">
    <w:name w:val="font61"/>
    <w:basedOn w:val="22"/>
    <w:qFormat/>
    <w:uiPriority w:val="0"/>
    <w:rPr>
      <w:rFonts w:hint="default" w:ascii="黑体" w:hAnsi="黑体" w:eastAsia="黑体" w:cs="黑体"/>
      <w:color w:val="000000"/>
      <w:sz w:val="18"/>
      <w:szCs w:val="18"/>
      <w:u w:val="none"/>
    </w:rPr>
  </w:style>
  <w:style w:type="character" w:customStyle="1" w:styleId="49">
    <w:name w:val="font91"/>
    <w:basedOn w:val="22"/>
    <w:qFormat/>
    <w:uiPriority w:val="0"/>
    <w:rPr>
      <w:rFonts w:hint="eastAsia" w:ascii="宋体" w:hAnsi="宋体" w:eastAsia="宋体" w:cs="宋体"/>
      <w:color w:val="000000"/>
      <w:sz w:val="18"/>
      <w:szCs w:val="18"/>
      <w:u w:val="none"/>
    </w:rPr>
  </w:style>
  <w:style w:type="character" w:customStyle="1" w:styleId="50">
    <w:name w:val="font51"/>
    <w:basedOn w:val="22"/>
    <w:qFormat/>
    <w:uiPriority w:val="0"/>
    <w:rPr>
      <w:rFonts w:hint="eastAsia" w:ascii="宋体" w:hAnsi="宋体" w:eastAsia="宋体" w:cs="宋体"/>
      <w:color w:val="000000"/>
      <w:sz w:val="18"/>
      <w:szCs w:val="18"/>
      <w:u w:val="none"/>
    </w:rPr>
  </w:style>
  <w:style w:type="paragraph" w:customStyle="1" w:styleId="5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35745;&#31639;&#33609;&#3129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35745;&#31639;&#33609;&#31295;.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35745;&#31639;&#33609;&#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收入、支出决算总计变动情况图（单位：万元）</a:t>
            </a:r>
          </a:p>
        </c:rich>
      </c:tx>
      <c:layout>
        <c:manualLayout>
          <c:xMode val="edge"/>
          <c:yMode val="edge"/>
          <c:x val="0.114418187256955"/>
          <c:y val="0.0072992700729927"/>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delete val="true"/>
          </c:dLbls>
          <c:trendline>
            <c:spPr>
              <a:ln w="19050" cap="rnd">
                <a:solidFill>
                  <a:schemeClr val="accent1"/>
                </a:solidFill>
                <a:prstDash val="sysDot"/>
              </a:ln>
              <a:effectLst/>
            </c:spPr>
            <c:trendlineType val="linear"/>
            <c:dispRSqr val="false"/>
            <c:dispEq val="false"/>
          </c:trendline>
          <c:cat>
            <c:strRef>
              <c:f>[计算草稿.xlsx]Sheet3!$B$700:$B$701</c:f>
              <c:strCache>
                <c:ptCount val="2"/>
                <c:pt idx="0">
                  <c:v>2023年度</c:v>
                </c:pt>
                <c:pt idx="1">
                  <c:v>2024年度</c:v>
                </c:pt>
              </c:strCache>
            </c:strRef>
          </c:cat>
          <c:val>
            <c:numRef>
              <c:f>[计算草稿.xlsx]Sheet3!$C$700:$C$701</c:f>
              <c:numCache>
                <c:formatCode>#,##0.00</c:formatCode>
                <c:ptCount val="2"/>
                <c:pt idx="0">
                  <c:v>17491.47</c:v>
                </c:pt>
                <c:pt idx="1" c:formatCode="General">
                  <c:v>8493.05</c:v>
                </c:pt>
              </c:numCache>
            </c:numRef>
          </c:val>
        </c:ser>
        <c:dLbls>
          <c:showLegendKey val="false"/>
          <c:showVal val="false"/>
          <c:showCatName val="false"/>
          <c:showSerName val="false"/>
          <c:showPercent val="false"/>
          <c:showBubbleSize val="false"/>
        </c:dLbls>
        <c:gapWidth val="246"/>
        <c:overlap val="-28"/>
        <c:axId val="649636055"/>
        <c:axId val="214619519"/>
      </c:barChart>
      <c:catAx>
        <c:axId val="649636055"/>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14619519"/>
        <c:crosses val="autoZero"/>
        <c:auto val="true"/>
        <c:lblAlgn val="ctr"/>
        <c:lblOffset val="100"/>
        <c:noMultiLvlLbl val="false"/>
      </c:catAx>
      <c:valAx>
        <c:axId val="214619519"/>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49636055"/>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收入决算结构图（单位：万元）</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[计算草稿.xlsx]Sheet3!$B$711:$B$712</c:f>
              <c:strCache>
                <c:ptCount val="2"/>
                <c:pt idx="0">
                  <c:v>一般公共预算财政拨款收入</c:v>
                </c:pt>
                <c:pt idx="1">
                  <c:v>其他收入</c:v>
                </c:pt>
              </c:strCache>
            </c:strRef>
          </c:cat>
          <c:val>
            <c:numRef>
              <c:f>[计算草稿.xlsx]Sheet3!$C$711:$C$712</c:f>
              <c:numCache>
                <c:formatCode>General</c:formatCode>
                <c:ptCount val="2"/>
                <c:pt idx="0">
                  <c:v>8122.4</c:v>
                </c:pt>
                <c:pt idx="1">
                  <c:v>240.31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支出决算结构图（单位：万元）</a:t>
            </a:r>
          </a:p>
        </c:rich>
      </c:tx>
      <c:layout>
        <c:manualLayout>
          <c:xMode val="edge"/>
          <c:yMode val="edge"/>
          <c:x val="0.191515992610039"/>
          <c:y val="0.0389690237364945"/>
        </c:manualLayout>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[计算草稿.xlsx]Sheet3!$B$730:$B$731</c:f>
              <c:strCache>
                <c:ptCount val="2"/>
                <c:pt idx="0">
                  <c:v>基本支出</c:v>
                </c:pt>
                <c:pt idx="1">
                  <c:v>项目支出</c:v>
                </c:pt>
              </c:strCache>
            </c:strRef>
          </c:cat>
          <c:val>
            <c:numRef>
              <c:f>[计算草稿.xlsx]Sheet3!$C$730:$C$731</c:f>
              <c:numCache>
                <c:formatCode>General</c:formatCode>
                <c:ptCount val="2"/>
                <c:pt idx="0">
                  <c:v>5175.77</c:v>
                </c:pt>
                <c:pt idx="1">
                  <c:v>3296.69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368486842105263"/>
          <c:y val="0.17764410537297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218</Pages>
  <Words>24572</Words>
  <Characters>26989</Characters>
  <Lines>81</Lines>
  <Paragraphs>23</Paragraphs>
  <TotalTime>1</TotalTime>
  <ScaleCrop>false</ScaleCrop>
  <LinksUpToDate>false</LinksUpToDate>
  <CharactersWithSpaces>27122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 </cp:lastModifiedBy>
  <cp:lastPrinted>2025-08-07T09:34:00Z</cp:lastPrinted>
  <dcterms:modified xsi:type="dcterms:W3CDTF">2025-10-11T16:39:33Z</dcterms:modified>
  <dc:title>四川省***</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5CA23A618D904181B0EFA381456ED3E7_13</vt:lpwstr>
  </property>
  <property fmtid="{D5CDD505-2E9C-101B-9397-08002B2CF9AE}" pid="4" name="KSOTemplateDocerSaveRecord">
    <vt:lpwstr>eyJoZGlkIjoiYTc2ZGZiNzZiNDVlOGViOWVmM2JhOTY0NGJkNjUyYzgiLCJ1c2VySWQiOiIyMjA2OTAwNTAifQ==</vt:lpwstr>
  </property>
</Properties>
</file>