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p>
    <w:p>
      <w:pPr>
        <w:pStyle w:val="2"/>
        <w:jc w:val="center"/>
        <w:outlineLvl w:val="0"/>
        <w:rPr>
          <w:rFonts w:hint="eastAsia" w:ascii="方正小标宋简体" w:hAnsi="宋体" w:eastAsia="方正小标宋简体"/>
          <w:sz w:val="44"/>
          <w:szCs w:val="44"/>
        </w:rPr>
      </w:pPr>
      <w:bookmarkStart w:id="0" w:name="_Toc5551"/>
      <w:bookmarkStart w:id="1" w:name="_Toc9849"/>
      <w:bookmarkStart w:id="2" w:name="_Toc15377194"/>
      <w:bookmarkStart w:id="3" w:name="_Toc15396598"/>
      <w:bookmarkStart w:id="4" w:name="_Toc15396476"/>
      <w:bookmarkStart w:id="5" w:name="_Toc15378442"/>
      <w:bookmarkStart w:id="6" w:name="_Toc15377426"/>
      <w:r>
        <w:rPr>
          <w:rFonts w:hint="eastAsia" w:ascii="方正小标宋简体" w:hAnsi="宋体" w:eastAsia="方正小标宋简体"/>
          <w:sz w:val="44"/>
          <w:szCs w:val="44"/>
        </w:rPr>
        <w:t>2024年度</w:t>
      </w:r>
      <w:bookmarkEnd w:id="0"/>
      <w:bookmarkEnd w:id="1"/>
    </w:p>
    <w:p>
      <w:pPr>
        <w:pStyle w:val="2"/>
        <w:jc w:val="center"/>
        <w:outlineLvl w:val="0"/>
        <w:rPr>
          <w:rFonts w:ascii="方正小标宋简体" w:hAnsi="宋体" w:eastAsia="方正小标宋简体"/>
          <w:sz w:val="44"/>
          <w:szCs w:val="44"/>
        </w:rPr>
      </w:pPr>
      <w:bookmarkStart w:id="7" w:name="_Toc32363"/>
      <w:bookmarkStart w:id="8" w:name="_Toc30540"/>
      <w:bookmarkStart w:id="9" w:name="_Toc3844"/>
      <w:r>
        <w:rPr>
          <w:rFonts w:hint="eastAsia" w:ascii="方正小标宋简体" w:hAnsi="宋体" w:eastAsia="方正小标宋简体"/>
          <w:sz w:val="44"/>
          <w:szCs w:val="44"/>
        </w:rPr>
        <w:t>广元市</w:t>
      </w:r>
      <w:bookmarkStart w:id="10" w:name="_Toc15306268"/>
      <w:r>
        <w:rPr>
          <w:rFonts w:hint="eastAsia" w:ascii="方正小标宋简体" w:hAnsi="宋体" w:eastAsia="方正小标宋简体"/>
          <w:sz w:val="44"/>
          <w:szCs w:val="44"/>
        </w:rPr>
        <w:t>公安局单位决算</w:t>
      </w:r>
      <w:bookmarkEnd w:id="2"/>
      <w:bookmarkEnd w:id="3"/>
      <w:bookmarkEnd w:id="4"/>
      <w:bookmarkEnd w:id="5"/>
      <w:bookmarkEnd w:id="6"/>
      <w:bookmarkEnd w:id="7"/>
      <w:bookmarkEnd w:id="8"/>
      <w:bookmarkEnd w:id="9"/>
      <w:bookmarkEnd w:id="10"/>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8"/>
      </w:pPr>
      <w:r>
        <w:rPr>
          <w:rFonts w:hint="eastAsia"/>
        </w:rPr>
        <w:t>公开时间：2025年</w:t>
      </w:r>
      <w:r>
        <w:rPr>
          <w:rFonts w:hint="eastAsia"/>
          <w:lang w:val="en-US" w:eastAsia="zh-CN"/>
        </w:rPr>
        <w:t>10</w:t>
      </w:r>
      <w:r>
        <w:rPr>
          <w:rFonts w:hint="eastAsia"/>
        </w:rPr>
        <w:t>月</w:t>
      </w:r>
      <w:r>
        <w:rPr>
          <w:rFonts w:hint="eastAsia"/>
          <w:lang w:val="en-US" w:eastAsia="zh-CN"/>
        </w:rPr>
        <w:t>14</w:t>
      </w:r>
      <w:r>
        <w:rPr>
          <w:rFonts w:hint="eastAsia"/>
        </w:rPr>
        <w:t>日</w:t>
      </w:r>
    </w:p>
    <w:sdt>
      <w:sdtPr>
        <w:rPr>
          <w:rFonts w:ascii="宋体" w:hAnsi="宋体"/>
        </w:rPr>
        <w:id w:val="147456481"/>
        <w:docPartObj>
          <w:docPartGallery w:val="Table of Contents"/>
          <w:docPartUnique/>
        </w:docPartObj>
      </w:sdtPr>
      <w:sdtEndPr>
        <w:rPr>
          <w:rFonts w:ascii="宋体" w:hAnsi="宋体"/>
          <w:b/>
        </w:rPr>
      </w:sdtEndPr>
      <w:sdtContent>
        <w:p>
          <w:pPr>
            <w:jc w:val="center"/>
          </w:pPr>
          <w:r>
            <w:fldChar w:fldCharType="begin"/>
          </w:r>
          <w:r>
            <w:instrText xml:space="preserve">TOC \o "1-2" \h \u </w:instrText>
          </w:r>
          <w:r>
            <w:fldChar w:fldCharType="separate"/>
          </w:r>
        </w:p>
        <w:p>
          <w:pPr>
            <w:pStyle w:val="8"/>
            <w:tabs>
              <w:tab w:val="right" w:leader="dot" w:pos="8306"/>
              <w:tab w:val="clear" w:pos="8296"/>
            </w:tabs>
          </w:pPr>
          <w:r>
            <w:fldChar w:fldCharType="begin"/>
          </w:r>
          <w:r>
            <w:instrText xml:space="preserve"> HYPERLINK \l _Toc1696 </w:instrText>
          </w:r>
          <w:r>
            <w:fldChar w:fldCharType="separate"/>
          </w:r>
          <w:r>
            <w:rPr>
              <w:rFonts w:hint="eastAsia" w:ascii="黑体" w:hAnsi="黑体" w:eastAsia="黑体"/>
            </w:rPr>
            <w:t xml:space="preserve">第一部分 </w:t>
          </w:r>
          <w:r>
            <w:rPr>
              <w:rFonts w:hint="eastAsia" w:ascii="黑体" w:hAnsi="黑体" w:eastAsia="黑体"/>
              <w:lang w:val="en-US" w:eastAsia="zh-CN"/>
            </w:rPr>
            <w:t>单位</w:t>
          </w:r>
          <w:r>
            <w:rPr>
              <w:rFonts w:hint="eastAsia" w:ascii="黑体" w:hAnsi="黑体" w:eastAsia="黑体"/>
              <w:bCs w:val="0"/>
            </w:rPr>
            <w:t>概况</w:t>
          </w:r>
          <w:r>
            <w:tab/>
          </w:r>
          <w:r>
            <w:fldChar w:fldCharType="begin"/>
          </w:r>
          <w:r>
            <w:instrText xml:space="preserve"> PAGEREF _Toc1696 \h </w:instrText>
          </w:r>
          <w:r>
            <w:fldChar w:fldCharType="separate"/>
          </w:r>
          <w:r>
            <w:t>1</w:t>
          </w:r>
          <w:r>
            <w:fldChar w:fldCharType="end"/>
          </w:r>
          <w:r>
            <w:fldChar w:fldCharType="end"/>
          </w:r>
        </w:p>
        <w:p>
          <w:pPr>
            <w:pStyle w:val="9"/>
            <w:tabs>
              <w:tab w:val="right" w:leader="dot" w:pos="8306"/>
            </w:tabs>
          </w:pPr>
          <w:r>
            <w:fldChar w:fldCharType="begin"/>
          </w:r>
          <w:r>
            <w:instrText xml:space="preserve"> HYPERLINK \l _Toc18066 </w:instrText>
          </w:r>
          <w:r>
            <w:fldChar w:fldCharType="separate"/>
          </w:r>
          <w:r>
            <w:rPr>
              <w:rFonts w:hint="eastAsia" w:ascii="黑体" w:eastAsia="黑体"/>
            </w:rPr>
            <w:t>一、</w:t>
          </w:r>
          <w:r>
            <w:rPr>
              <w:rFonts w:hint="eastAsia" w:ascii="黑体" w:eastAsia="黑体"/>
              <w:lang w:val="en-US" w:eastAsia="zh-CN"/>
            </w:rPr>
            <w:t>主要</w:t>
          </w:r>
          <w:r>
            <w:rPr>
              <w:rFonts w:hint="eastAsia" w:ascii="黑体" w:hAnsi="黑体" w:eastAsia="黑体"/>
            </w:rPr>
            <w:t>职责</w:t>
          </w:r>
          <w:r>
            <w:tab/>
          </w:r>
          <w:r>
            <w:fldChar w:fldCharType="begin"/>
          </w:r>
          <w:r>
            <w:instrText xml:space="preserve"> PAGEREF _Toc18066 \h </w:instrText>
          </w:r>
          <w:r>
            <w:fldChar w:fldCharType="separate"/>
          </w:r>
          <w:r>
            <w:t>1</w:t>
          </w:r>
          <w:r>
            <w:fldChar w:fldCharType="end"/>
          </w:r>
          <w:r>
            <w:fldChar w:fldCharType="end"/>
          </w:r>
        </w:p>
        <w:p>
          <w:pPr>
            <w:pStyle w:val="9"/>
            <w:tabs>
              <w:tab w:val="right" w:leader="dot" w:pos="8306"/>
            </w:tabs>
          </w:pPr>
          <w:r>
            <w:fldChar w:fldCharType="begin"/>
          </w:r>
          <w:r>
            <w:instrText xml:space="preserve"> HYPERLINK \l _Toc8955 </w:instrText>
          </w:r>
          <w:r>
            <w:fldChar w:fldCharType="separate"/>
          </w:r>
          <w:r>
            <w:rPr>
              <w:rFonts w:hint="eastAsia" w:ascii="黑体" w:hAnsi="黑体" w:eastAsia="黑体"/>
            </w:rPr>
            <w:t>二、机构设置</w:t>
          </w:r>
          <w:r>
            <w:tab/>
          </w:r>
          <w:r>
            <w:fldChar w:fldCharType="begin"/>
          </w:r>
          <w:r>
            <w:instrText xml:space="preserve"> PAGEREF _Toc8955 \h </w:instrText>
          </w:r>
          <w:r>
            <w:fldChar w:fldCharType="separate"/>
          </w:r>
          <w:r>
            <w:t>3</w:t>
          </w:r>
          <w:r>
            <w:fldChar w:fldCharType="end"/>
          </w:r>
          <w:r>
            <w:fldChar w:fldCharType="end"/>
          </w:r>
        </w:p>
        <w:p>
          <w:pPr>
            <w:pStyle w:val="8"/>
            <w:tabs>
              <w:tab w:val="right" w:leader="dot" w:pos="8306"/>
              <w:tab w:val="clear" w:pos="8296"/>
            </w:tabs>
          </w:pPr>
          <w:r>
            <w:fldChar w:fldCharType="begin"/>
          </w:r>
          <w:r>
            <w:instrText xml:space="preserve"> HYPERLINK \l _Toc1846 </w:instrText>
          </w:r>
          <w:r>
            <w:fldChar w:fldCharType="separate"/>
          </w:r>
          <w:r>
            <w:rPr>
              <w:rFonts w:hint="eastAsia" w:ascii="黑体" w:hAnsi="黑体" w:eastAsia="黑体"/>
            </w:rPr>
            <w:t>第二部分 2024年度单位决算情况说明</w:t>
          </w:r>
          <w:r>
            <w:tab/>
          </w:r>
          <w:r>
            <w:fldChar w:fldCharType="begin"/>
          </w:r>
          <w:r>
            <w:instrText xml:space="preserve"> PAGEREF _Toc1846 \h </w:instrText>
          </w:r>
          <w:r>
            <w:fldChar w:fldCharType="separate"/>
          </w:r>
          <w:r>
            <w:t>4</w:t>
          </w:r>
          <w:r>
            <w:fldChar w:fldCharType="end"/>
          </w:r>
          <w:r>
            <w:fldChar w:fldCharType="end"/>
          </w:r>
        </w:p>
        <w:p>
          <w:pPr>
            <w:pStyle w:val="9"/>
            <w:tabs>
              <w:tab w:val="right" w:leader="dot" w:pos="8306"/>
            </w:tabs>
          </w:pPr>
          <w:r>
            <w:fldChar w:fldCharType="begin"/>
          </w:r>
          <w:r>
            <w:instrText xml:space="preserve"> HYPERLINK \l _Toc17298 </w:instrText>
          </w:r>
          <w:r>
            <w:fldChar w:fldCharType="separate"/>
          </w:r>
          <w:r>
            <w:rPr>
              <w:rFonts w:hint="eastAsia" w:ascii="黑体" w:hAnsi="黑体" w:eastAsia="黑体"/>
              <w:szCs w:val="32"/>
            </w:rPr>
            <w:t>一、收</w:t>
          </w:r>
          <w:r>
            <w:rPr>
              <w:rFonts w:hint="eastAsia" w:ascii="黑体" w:hAnsi="黑体" w:eastAsia="黑体"/>
              <w:bCs/>
            </w:rPr>
            <w:t>入支出决算总体情况说明</w:t>
          </w:r>
          <w:r>
            <w:tab/>
          </w:r>
          <w:r>
            <w:fldChar w:fldCharType="begin"/>
          </w:r>
          <w:r>
            <w:instrText xml:space="preserve"> PAGEREF _Toc17298 \h </w:instrText>
          </w:r>
          <w:r>
            <w:fldChar w:fldCharType="separate"/>
          </w:r>
          <w:r>
            <w:t>4</w:t>
          </w:r>
          <w:r>
            <w:fldChar w:fldCharType="end"/>
          </w:r>
          <w:r>
            <w:fldChar w:fldCharType="end"/>
          </w:r>
        </w:p>
        <w:p>
          <w:pPr>
            <w:pStyle w:val="9"/>
            <w:tabs>
              <w:tab w:val="right" w:leader="dot" w:pos="8306"/>
            </w:tabs>
          </w:pPr>
          <w:r>
            <w:fldChar w:fldCharType="begin"/>
          </w:r>
          <w:r>
            <w:instrText xml:space="preserve"> HYPERLINK \l _Toc4872 </w:instrText>
          </w:r>
          <w:r>
            <w:fldChar w:fldCharType="separate"/>
          </w:r>
          <w:r>
            <w:rPr>
              <w:rFonts w:hint="eastAsia" w:ascii="黑体" w:hAnsi="黑体" w:eastAsia="黑体"/>
              <w:szCs w:val="32"/>
            </w:rPr>
            <w:t>二、收</w:t>
          </w:r>
          <w:r>
            <w:rPr>
              <w:rFonts w:hint="eastAsia" w:ascii="黑体" w:hAnsi="黑体" w:eastAsia="黑体"/>
            </w:rPr>
            <w:t>入决算情况说明</w:t>
          </w:r>
          <w:r>
            <w:tab/>
          </w:r>
          <w:r>
            <w:fldChar w:fldCharType="begin"/>
          </w:r>
          <w:r>
            <w:instrText xml:space="preserve"> PAGEREF _Toc4872 \h </w:instrText>
          </w:r>
          <w:r>
            <w:fldChar w:fldCharType="separate"/>
          </w:r>
          <w:r>
            <w:t>4</w:t>
          </w:r>
          <w:r>
            <w:fldChar w:fldCharType="end"/>
          </w:r>
          <w:r>
            <w:fldChar w:fldCharType="end"/>
          </w:r>
        </w:p>
        <w:p>
          <w:pPr>
            <w:pStyle w:val="9"/>
            <w:tabs>
              <w:tab w:val="right" w:leader="dot" w:pos="8306"/>
            </w:tabs>
          </w:pPr>
          <w:r>
            <w:fldChar w:fldCharType="begin"/>
          </w:r>
          <w:r>
            <w:instrText xml:space="preserve"> HYPERLINK \l _Toc27772 </w:instrText>
          </w:r>
          <w:r>
            <w:fldChar w:fldCharType="separate"/>
          </w:r>
          <w:r>
            <w:rPr>
              <w:rFonts w:hint="eastAsia" w:ascii="黑体" w:hAnsi="黑体" w:eastAsia="黑体"/>
              <w:szCs w:val="32"/>
            </w:rPr>
            <w:t>三、支</w:t>
          </w:r>
          <w:r>
            <w:rPr>
              <w:rFonts w:hint="eastAsia" w:ascii="黑体" w:hAnsi="黑体" w:eastAsia="黑体"/>
            </w:rPr>
            <w:t>出决算情况说明</w:t>
          </w:r>
          <w:r>
            <w:tab/>
          </w:r>
          <w:r>
            <w:fldChar w:fldCharType="begin"/>
          </w:r>
          <w:r>
            <w:instrText xml:space="preserve"> PAGEREF _Toc27772 \h </w:instrText>
          </w:r>
          <w:r>
            <w:fldChar w:fldCharType="separate"/>
          </w:r>
          <w:r>
            <w:t>5</w:t>
          </w:r>
          <w:r>
            <w:fldChar w:fldCharType="end"/>
          </w:r>
          <w:r>
            <w:fldChar w:fldCharType="end"/>
          </w:r>
        </w:p>
        <w:p>
          <w:pPr>
            <w:pStyle w:val="9"/>
            <w:tabs>
              <w:tab w:val="right" w:leader="dot" w:pos="8306"/>
            </w:tabs>
          </w:pPr>
          <w:r>
            <w:fldChar w:fldCharType="begin"/>
          </w:r>
          <w:r>
            <w:instrText xml:space="preserve"> HYPERLINK \l _Toc13665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_Toc13665 \h </w:instrText>
          </w:r>
          <w:r>
            <w:fldChar w:fldCharType="separate"/>
          </w:r>
          <w:r>
            <w:t>5</w:t>
          </w:r>
          <w:r>
            <w:fldChar w:fldCharType="end"/>
          </w:r>
          <w:r>
            <w:fldChar w:fldCharType="end"/>
          </w:r>
        </w:p>
        <w:p>
          <w:pPr>
            <w:pStyle w:val="9"/>
            <w:tabs>
              <w:tab w:val="right" w:leader="dot" w:pos="8306"/>
            </w:tabs>
          </w:pPr>
          <w:r>
            <w:fldChar w:fldCharType="begin"/>
          </w:r>
          <w:r>
            <w:instrText xml:space="preserve"> HYPERLINK \l _Toc10486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_Toc10486 \h </w:instrText>
          </w:r>
          <w:r>
            <w:fldChar w:fldCharType="separate"/>
          </w:r>
          <w:r>
            <w:t>6</w:t>
          </w:r>
          <w:r>
            <w:fldChar w:fldCharType="end"/>
          </w:r>
          <w:r>
            <w:fldChar w:fldCharType="end"/>
          </w:r>
        </w:p>
        <w:p>
          <w:pPr>
            <w:pStyle w:val="9"/>
            <w:tabs>
              <w:tab w:val="right" w:leader="dot" w:pos="8306"/>
            </w:tabs>
          </w:pPr>
          <w:r>
            <w:fldChar w:fldCharType="begin"/>
          </w:r>
          <w:r>
            <w:instrText xml:space="preserve"> HYPERLINK \l _Toc10379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_Toc10379 \h </w:instrText>
          </w:r>
          <w:r>
            <w:fldChar w:fldCharType="separate"/>
          </w:r>
          <w:r>
            <w:t>9</w:t>
          </w:r>
          <w:r>
            <w:fldChar w:fldCharType="end"/>
          </w:r>
          <w:r>
            <w:fldChar w:fldCharType="end"/>
          </w:r>
        </w:p>
        <w:p>
          <w:pPr>
            <w:pStyle w:val="9"/>
            <w:tabs>
              <w:tab w:val="right" w:leader="dot" w:pos="8306"/>
            </w:tabs>
          </w:pPr>
          <w:r>
            <w:fldChar w:fldCharType="begin"/>
          </w:r>
          <w:r>
            <w:instrText xml:space="preserve"> HYPERLINK \l _Toc17983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_Toc17983 \h </w:instrText>
          </w:r>
          <w:r>
            <w:fldChar w:fldCharType="separate"/>
          </w:r>
          <w:r>
            <w:t>10</w:t>
          </w:r>
          <w:r>
            <w:fldChar w:fldCharType="end"/>
          </w:r>
          <w:r>
            <w:fldChar w:fldCharType="end"/>
          </w:r>
        </w:p>
        <w:p>
          <w:pPr>
            <w:pStyle w:val="9"/>
            <w:tabs>
              <w:tab w:val="right" w:leader="dot" w:pos="8306"/>
            </w:tabs>
          </w:pPr>
          <w:r>
            <w:fldChar w:fldCharType="begin"/>
          </w:r>
          <w:r>
            <w:instrText xml:space="preserve"> HYPERLINK \l _Toc21881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_Toc21881 \h </w:instrText>
          </w:r>
          <w:r>
            <w:fldChar w:fldCharType="separate"/>
          </w:r>
          <w:r>
            <w:t>12</w:t>
          </w:r>
          <w:r>
            <w:fldChar w:fldCharType="end"/>
          </w:r>
          <w:r>
            <w:fldChar w:fldCharType="end"/>
          </w:r>
        </w:p>
        <w:p>
          <w:pPr>
            <w:pStyle w:val="9"/>
            <w:tabs>
              <w:tab w:val="right" w:leader="dot" w:pos="8306"/>
            </w:tabs>
          </w:pPr>
          <w:r>
            <w:fldChar w:fldCharType="begin"/>
          </w:r>
          <w:r>
            <w:instrText xml:space="preserve"> HYPERLINK \l _Toc30140 </w:instrText>
          </w:r>
          <w:r>
            <w:fldChar w:fldCharType="separate"/>
          </w:r>
          <w:r>
            <w:rPr>
              <w:rFonts w:hint="eastAsia" w:ascii="黑体" w:hAnsi="黑体" w:eastAsia="黑体"/>
            </w:rPr>
            <w:t>九、国有资本经营预算支出决算情况说明</w:t>
          </w:r>
          <w:r>
            <w:tab/>
          </w:r>
          <w:r>
            <w:fldChar w:fldCharType="begin"/>
          </w:r>
          <w:r>
            <w:instrText xml:space="preserve"> PAGEREF _Toc30140 \h </w:instrText>
          </w:r>
          <w:r>
            <w:fldChar w:fldCharType="separate"/>
          </w:r>
          <w:r>
            <w:t>12</w:t>
          </w:r>
          <w:r>
            <w:fldChar w:fldCharType="end"/>
          </w:r>
          <w:r>
            <w:fldChar w:fldCharType="end"/>
          </w:r>
        </w:p>
        <w:p>
          <w:pPr>
            <w:pStyle w:val="9"/>
            <w:tabs>
              <w:tab w:val="right" w:leader="dot" w:pos="8306"/>
            </w:tabs>
          </w:pPr>
          <w:r>
            <w:fldChar w:fldCharType="begin"/>
          </w:r>
          <w:r>
            <w:instrText xml:space="preserve"> HYPERLINK \l _Toc22094 </w:instrText>
          </w:r>
          <w:r>
            <w:fldChar w:fldCharType="separate"/>
          </w:r>
          <w:r>
            <w:rPr>
              <w:rFonts w:hint="eastAsia" w:ascii="黑体" w:hAnsi="黑体" w:eastAsia="黑体"/>
            </w:rPr>
            <w:t>十、其他重要事项的情况说明</w:t>
          </w:r>
          <w:r>
            <w:tab/>
          </w:r>
          <w:r>
            <w:fldChar w:fldCharType="begin"/>
          </w:r>
          <w:r>
            <w:instrText xml:space="preserve"> PAGEREF _Toc22094 \h </w:instrText>
          </w:r>
          <w:r>
            <w:fldChar w:fldCharType="separate"/>
          </w:r>
          <w:r>
            <w:t>12</w:t>
          </w:r>
          <w:r>
            <w:fldChar w:fldCharType="end"/>
          </w:r>
          <w:r>
            <w:fldChar w:fldCharType="end"/>
          </w:r>
        </w:p>
        <w:p>
          <w:pPr>
            <w:pStyle w:val="8"/>
            <w:tabs>
              <w:tab w:val="right" w:leader="dot" w:pos="8306"/>
              <w:tab w:val="clear" w:pos="8296"/>
            </w:tabs>
          </w:pPr>
          <w:r>
            <w:fldChar w:fldCharType="begin"/>
          </w:r>
          <w:r>
            <w:instrText xml:space="preserve"> HYPERLINK \l _Toc12018 </w:instrText>
          </w:r>
          <w:r>
            <w:fldChar w:fldCharType="separate"/>
          </w:r>
          <w:r>
            <w:rPr>
              <w:rFonts w:hint="eastAsia" w:ascii="黑体" w:hAnsi="黑体" w:eastAsia="黑体"/>
              <w:szCs w:val="44"/>
            </w:rPr>
            <w:t>第三部分  名</w:t>
          </w:r>
          <w:r>
            <w:rPr>
              <w:rFonts w:hint="eastAsia" w:ascii="黑体" w:hAnsi="黑体" w:eastAsia="黑体"/>
            </w:rPr>
            <w:t>词解释</w:t>
          </w:r>
          <w:r>
            <w:tab/>
          </w:r>
          <w:r>
            <w:fldChar w:fldCharType="begin"/>
          </w:r>
          <w:r>
            <w:instrText xml:space="preserve"> PAGEREF _Toc12018 \h </w:instrText>
          </w:r>
          <w:r>
            <w:fldChar w:fldCharType="separate"/>
          </w:r>
          <w:r>
            <w:t>14</w:t>
          </w:r>
          <w:r>
            <w:fldChar w:fldCharType="end"/>
          </w:r>
          <w:r>
            <w:fldChar w:fldCharType="end"/>
          </w:r>
        </w:p>
        <w:p>
          <w:pPr>
            <w:pStyle w:val="8"/>
            <w:tabs>
              <w:tab w:val="right" w:leader="dot" w:pos="8306"/>
              <w:tab w:val="clear" w:pos="8296"/>
            </w:tabs>
          </w:pPr>
          <w:r>
            <w:fldChar w:fldCharType="begin"/>
          </w:r>
          <w:r>
            <w:instrText xml:space="preserve"> HYPERLINK \l _Toc30240 </w:instrText>
          </w:r>
          <w:r>
            <w:fldChar w:fldCharType="separate"/>
          </w:r>
          <w:r>
            <w:rPr>
              <w:rFonts w:hint="eastAsia" w:ascii="黑体" w:hAnsi="黑体" w:eastAsia="黑体" w:cs="Times New Roman"/>
              <w:szCs w:val="44"/>
            </w:rPr>
            <w:t>第四部分 附件</w:t>
          </w:r>
          <w:r>
            <w:tab/>
          </w:r>
          <w:r>
            <w:fldChar w:fldCharType="begin"/>
          </w:r>
          <w:r>
            <w:instrText xml:space="preserve"> PAGEREF _Toc30240 \h </w:instrText>
          </w:r>
          <w:r>
            <w:fldChar w:fldCharType="separate"/>
          </w:r>
          <w:r>
            <w:t>18</w:t>
          </w:r>
          <w:r>
            <w:fldChar w:fldCharType="end"/>
          </w:r>
          <w:r>
            <w:fldChar w:fldCharType="end"/>
          </w:r>
        </w:p>
        <w:p>
          <w:pPr>
            <w:pStyle w:val="8"/>
            <w:tabs>
              <w:tab w:val="right" w:leader="dot" w:pos="8306"/>
              <w:tab w:val="clear" w:pos="8296"/>
            </w:tabs>
          </w:pPr>
          <w:r>
            <w:fldChar w:fldCharType="begin"/>
          </w:r>
          <w:r>
            <w:instrText xml:space="preserve"> HYPERLINK \l _Toc26963 </w:instrText>
          </w:r>
          <w: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_Toc26963 \h </w:instrText>
          </w:r>
          <w:r>
            <w:fldChar w:fldCharType="separate"/>
          </w:r>
          <w:r>
            <w:t>84</w:t>
          </w:r>
          <w:r>
            <w:fldChar w:fldCharType="end"/>
          </w:r>
          <w:r>
            <w:fldChar w:fldCharType="end"/>
          </w:r>
        </w:p>
        <w:p>
          <w:pPr>
            <w:pStyle w:val="9"/>
            <w:tabs>
              <w:tab w:val="right" w:leader="dot" w:pos="8306"/>
            </w:tabs>
          </w:pPr>
          <w:r>
            <w:fldChar w:fldCharType="begin"/>
          </w:r>
          <w:r>
            <w:instrText xml:space="preserve"> HYPERLINK \l _Toc22344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_Toc22344 \h </w:instrText>
          </w:r>
          <w:r>
            <w:fldChar w:fldCharType="separate"/>
          </w:r>
          <w:r>
            <w:t>84</w:t>
          </w:r>
          <w:r>
            <w:fldChar w:fldCharType="end"/>
          </w:r>
          <w:r>
            <w:fldChar w:fldCharType="end"/>
          </w:r>
        </w:p>
        <w:p>
          <w:pPr>
            <w:pStyle w:val="9"/>
            <w:tabs>
              <w:tab w:val="right" w:leader="dot" w:pos="8306"/>
            </w:tabs>
          </w:pPr>
          <w:r>
            <w:fldChar w:fldCharType="begin"/>
          </w:r>
          <w:r>
            <w:instrText xml:space="preserve"> HYPERLINK \l _Toc942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_Toc942 \h </w:instrText>
          </w:r>
          <w:r>
            <w:fldChar w:fldCharType="separate"/>
          </w:r>
          <w:r>
            <w:t>84</w:t>
          </w:r>
          <w:r>
            <w:fldChar w:fldCharType="end"/>
          </w:r>
          <w:r>
            <w:fldChar w:fldCharType="end"/>
          </w:r>
        </w:p>
        <w:p>
          <w:pPr>
            <w:pStyle w:val="9"/>
            <w:tabs>
              <w:tab w:val="right" w:leader="dot" w:pos="8306"/>
            </w:tabs>
          </w:pPr>
          <w:r>
            <w:fldChar w:fldCharType="begin"/>
          </w:r>
          <w:r>
            <w:instrText xml:space="preserve"> HYPERLINK \l _Toc29918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_Toc29918 \h </w:instrText>
          </w:r>
          <w:r>
            <w:fldChar w:fldCharType="separate"/>
          </w:r>
          <w:r>
            <w:t>84</w:t>
          </w:r>
          <w:r>
            <w:fldChar w:fldCharType="end"/>
          </w:r>
          <w:r>
            <w:fldChar w:fldCharType="end"/>
          </w:r>
        </w:p>
        <w:p>
          <w:pPr>
            <w:pStyle w:val="9"/>
            <w:tabs>
              <w:tab w:val="right" w:leader="dot" w:pos="8306"/>
            </w:tabs>
          </w:pPr>
          <w:r>
            <w:fldChar w:fldCharType="begin"/>
          </w:r>
          <w:r>
            <w:instrText xml:space="preserve"> HYPERLINK \l _Toc29335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_Toc29335 \h </w:instrText>
          </w:r>
          <w:r>
            <w:fldChar w:fldCharType="separate"/>
          </w:r>
          <w:r>
            <w:t>84</w:t>
          </w:r>
          <w:r>
            <w:fldChar w:fldCharType="end"/>
          </w:r>
          <w:r>
            <w:fldChar w:fldCharType="end"/>
          </w:r>
        </w:p>
        <w:p>
          <w:pPr>
            <w:pStyle w:val="9"/>
            <w:tabs>
              <w:tab w:val="right" w:leader="dot" w:pos="8306"/>
            </w:tabs>
          </w:pPr>
          <w:r>
            <w:fldChar w:fldCharType="begin"/>
          </w:r>
          <w:r>
            <w:instrText xml:space="preserve"> HYPERLINK \l _Toc10305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_Toc10305 \h </w:instrText>
          </w:r>
          <w:r>
            <w:fldChar w:fldCharType="separate"/>
          </w:r>
          <w:r>
            <w:t>84</w:t>
          </w:r>
          <w:r>
            <w:fldChar w:fldCharType="end"/>
          </w:r>
          <w:r>
            <w:fldChar w:fldCharType="end"/>
          </w:r>
        </w:p>
        <w:p>
          <w:pPr>
            <w:pStyle w:val="9"/>
            <w:tabs>
              <w:tab w:val="right" w:leader="dot" w:pos="8306"/>
            </w:tabs>
          </w:pPr>
          <w:r>
            <w:fldChar w:fldCharType="begin"/>
          </w:r>
          <w:r>
            <w:instrText xml:space="preserve"> HYPERLINK \l _Toc21170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_Toc21170 \h </w:instrText>
          </w:r>
          <w:r>
            <w:fldChar w:fldCharType="separate"/>
          </w:r>
          <w:r>
            <w:t>84</w:t>
          </w:r>
          <w:r>
            <w:fldChar w:fldCharType="end"/>
          </w:r>
          <w:r>
            <w:fldChar w:fldCharType="end"/>
          </w:r>
        </w:p>
        <w:p>
          <w:pPr>
            <w:pStyle w:val="9"/>
            <w:tabs>
              <w:tab w:val="right" w:leader="dot" w:pos="8306"/>
            </w:tabs>
          </w:pPr>
          <w:r>
            <w:fldChar w:fldCharType="begin"/>
          </w:r>
          <w:r>
            <w:instrText xml:space="preserve"> HYPERLINK \l _Toc10560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_Toc10560 \h </w:instrText>
          </w:r>
          <w:r>
            <w:fldChar w:fldCharType="separate"/>
          </w:r>
          <w:r>
            <w:t>84</w:t>
          </w:r>
          <w:r>
            <w:fldChar w:fldCharType="end"/>
          </w:r>
          <w:r>
            <w:fldChar w:fldCharType="end"/>
          </w:r>
        </w:p>
        <w:p>
          <w:pPr>
            <w:pStyle w:val="9"/>
            <w:tabs>
              <w:tab w:val="right" w:leader="dot" w:pos="8306"/>
            </w:tabs>
          </w:pPr>
          <w:r>
            <w:fldChar w:fldCharType="begin"/>
          </w:r>
          <w:r>
            <w:instrText xml:space="preserve"> HYPERLINK \l _Toc15208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_Toc15208 \h </w:instrText>
          </w:r>
          <w:r>
            <w:fldChar w:fldCharType="separate"/>
          </w:r>
          <w:r>
            <w:t>84</w:t>
          </w:r>
          <w:r>
            <w:fldChar w:fldCharType="end"/>
          </w:r>
          <w:r>
            <w:fldChar w:fldCharType="end"/>
          </w:r>
        </w:p>
        <w:p>
          <w:pPr>
            <w:pStyle w:val="9"/>
            <w:tabs>
              <w:tab w:val="right" w:leader="dot" w:pos="8306"/>
            </w:tabs>
          </w:pPr>
          <w:r>
            <w:fldChar w:fldCharType="begin"/>
          </w:r>
          <w:r>
            <w:instrText xml:space="preserve"> HYPERLINK \l _Toc15655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_Toc15655 \h </w:instrText>
          </w:r>
          <w:r>
            <w:fldChar w:fldCharType="separate"/>
          </w:r>
          <w:r>
            <w:t>84</w:t>
          </w:r>
          <w:r>
            <w:fldChar w:fldCharType="end"/>
          </w:r>
          <w:r>
            <w:fldChar w:fldCharType="end"/>
          </w:r>
        </w:p>
        <w:p>
          <w:pPr>
            <w:pStyle w:val="9"/>
            <w:tabs>
              <w:tab w:val="right" w:leader="dot" w:pos="8306"/>
            </w:tabs>
          </w:pPr>
          <w:r>
            <w:fldChar w:fldCharType="begin"/>
          </w:r>
          <w:r>
            <w:instrText xml:space="preserve"> HYPERLINK \l _Toc25138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_Toc25138 \h </w:instrText>
          </w:r>
          <w:r>
            <w:fldChar w:fldCharType="separate"/>
          </w:r>
          <w:r>
            <w:t>84</w:t>
          </w:r>
          <w:r>
            <w:fldChar w:fldCharType="end"/>
          </w:r>
          <w:r>
            <w:fldChar w:fldCharType="end"/>
          </w:r>
        </w:p>
        <w:p>
          <w:pPr>
            <w:pStyle w:val="9"/>
            <w:tabs>
              <w:tab w:val="right" w:leader="dot" w:pos="8306"/>
            </w:tabs>
          </w:pPr>
          <w:r>
            <w:fldChar w:fldCharType="begin"/>
          </w:r>
          <w:r>
            <w:instrText xml:space="preserve"> HYPERLINK \l _Toc15209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_Toc15209 \h </w:instrText>
          </w:r>
          <w:r>
            <w:fldChar w:fldCharType="separate"/>
          </w:r>
          <w:r>
            <w:t>84</w:t>
          </w:r>
          <w:r>
            <w:fldChar w:fldCharType="end"/>
          </w:r>
          <w:r>
            <w:fldChar w:fldCharType="end"/>
          </w:r>
        </w:p>
        <w:p>
          <w:pPr>
            <w:pStyle w:val="9"/>
            <w:tabs>
              <w:tab w:val="right" w:leader="dot" w:pos="8306"/>
            </w:tabs>
          </w:pPr>
          <w:r>
            <w:fldChar w:fldCharType="begin"/>
          </w:r>
          <w:r>
            <w:instrText xml:space="preserve"> HYPERLINK \l _Toc16686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_Toc16686 \h </w:instrText>
          </w:r>
          <w:r>
            <w:fldChar w:fldCharType="separate"/>
          </w:r>
          <w:r>
            <w:t>84</w:t>
          </w:r>
          <w:r>
            <w:fldChar w:fldCharType="end"/>
          </w:r>
          <w:r>
            <w:fldChar w:fldCharType="end"/>
          </w:r>
        </w:p>
        <w:p>
          <w:pPr>
            <w:pStyle w:val="9"/>
            <w:tabs>
              <w:tab w:val="right" w:leader="dot" w:pos="8306"/>
            </w:tabs>
          </w:pPr>
          <w:r>
            <w:fldChar w:fldCharType="begin"/>
          </w:r>
          <w:r>
            <w:instrText xml:space="preserve"> HYPERLINK \l _Toc31830 </w:instrText>
          </w:r>
          <w:r>
            <w:fldChar w:fldCharType="separate"/>
          </w:r>
          <w:r>
            <w:rPr>
              <w:rFonts w:hint="eastAsia" w:ascii="仿宋" w:hAnsi="仿宋" w:eastAsia="仿宋"/>
              <w:bCs w:val="0"/>
            </w:rPr>
            <w:t>十三、财政拨款“三公”经费支出决算表</w:t>
          </w:r>
          <w:r>
            <w:tab/>
          </w:r>
          <w:r>
            <w:fldChar w:fldCharType="begin"/>
          </w:r>
          <w:r>
            <w:instrText xml:space="preserve"> PAGEREF _Toc31830 \h </w:instrText>
          </w:r>
          <w:r>
            <w:fldChar w:fldCharType="separate"/>
          </w:r>
          <w:r>
            <w:t>84</w:t>
          </w:r>
          <w:r>
            <w:fldChar w:fldCharType="end"/>
          </w:r>
          <w:r>
            <w:fldChar w:fldCharType="end"/>
          </w:r>
        </w:p>
        <w:p>
          <w:pPr>
            <w:rPr>
              <w:b/>
            </w:rPr>
          </w:pPr>
          <w:r>
            <w:fldChar w:fldCharType="end"/>
          </w:r>
        </w:p>
      </w:sdtContent>
    </w:sdt>
    <w:p>
      <w:pPr>
        <w:rPr>
          <w:b/>
        </w:rPr>
      </w:pPr>
    </w:p>
    <w:p>
      <w:pPr>
        <w:pStyle w:val="3"/>
        <w:jc w:val="center"/>
        <w:rPr>
          <w:rFonts w:hint="eastAsia" w:ascii="黑体" w:hAnsi="黑体" w:eastAsia="黑体"/>
          <w:b w:val="0"/>
        </w:rPr>
        <w:sectPr>
          <w:footerReference r:id="rId3" w:type="default"/>
          <w:pgSz w:w="11906" w:h="16838"/>
          <w:pgMar w:top="1440" w:right="1800" w:bottom="1440" w:left="1800" w:header="720" w:footer="720" w:gutter="0"/>
          <w:cols w:space="720" w:num="1"/>
          <w:docGrid w:type="lines" w:linePitch="312" w:charSpace="0"/>
        </w:sectPr>
      </w:pPr>
    </w:p>
    <w:p>
      <w:pPr>
        <w:pStyle w:val="3"/>
        <w:jc w:val="center"/>
        <w:rPr>
          <w:rStyle w:val="13"/>
          <w:rFonts w:ascii="黑体" w:hAnsi="黑体" w:eastAsia="黑体"/>
          <w:b w:val="0"/>
          <w:bCs w:val="0"/>
        </w:rPr>
      </w:pPr>
      <w:bookmarkStart w:id="11" w:name="_Toc1696"/>
      <w:r>
        <w:rPr>
          <w:rFonts w:hint="eastAsia" w:ascii="黑体" w:hAnsi="黑体" w:eastAsia="黑体"/>
          <w:b w:val="0"/>
        </w:rPr>
        <w:t xml:space="preserve">第一部分 </w:t>
      </w:r>
      <w:r>
        <w:rPr>
          <w:rFonts w:hint="eastAsia" w:ascii="黑体" w:hAnsi="黑体" w:eastAsia="黑体"/>
          <w:b w:val="0"/>
          <w:lang w:val="en-US" w:eastAsia="zh-CN"/>
        </w:rPr>
        <w:t>单位</w:t>
      </w:r>
      <w:r>
        <w:rPr>
          <w:rStyle w:val="13"/>
          <w:rFonts w:hint="eastAsia" w:ascii="黑体" w:hAnsi="黑体" w:eastAsia="黑体"/>
          <w:b w:val="0"/>
          <w:bCs w:val="0"/>
        </w:rPr>
        <w:t>概况</w:t>
      </w:r>
      <w:bookmarkEnd w:id="11"/>
    </w:p>
    <w:p>
      <w:pPr>
        <w:widowControl/>
        <w:jc w:val="left"/>
        <w:rPr>
          <w:rFonts w:ascii="黑体" w:eastAsia="黑体"/>
          <w:sz w:val="32"/>
          <w:szCs w:val="32"/>
        </w:rPr>
      </w:pPr>
    </w:p>
    <w:p>
      <w:pPr>
        <w:pStyle w:val="4"/>
        <w:spacing w:line="600" w:lineRule="exact"/>
        <w:ind w:firstLine="640" w:firstLineChars="200"/>
        <w:rPr>
          <w:rStyle w:val="14"/>
          <w:b w:val="0"/>
          <w:bCs w:val="0"/>
        </w:rPr>
      </w:pPr>
      <w:bookmarkStart w:id="12" w:name="_Toc11723"/>
      <w:bookmarkStart w:id="13" w:name="_Toc18066"/>
      <w:r>
        <w:rPr>
          <w:rFonts w:hint="eastAsia" w:ascii="黑体" w:eastAsia="黑体"/>
          <w:b w:val="0"/>
        </w:rPr>
        <w:t>一、</w:t>
      </w:r>
      <w:r>
        <w:rPr>
          <w:rFonts w:hint="eastAsia" w:ascii="黑体" w:eastAsia="黑体"/>
          <w:b w:val="0"/>
          <w:lang w:val="en-US" w:eastAsia="zh-CN"/>
        </w:rPr>
        <w:t>主要</w:t>
      </w:r>
      <w:r>
        <w:rPr>
          <w:rFonts w:hint="eastAsia" w:ascii="黑体" w:hAnsi="黑体" w:eastAsia="黑体"/>
          <w:b w:val="0"/>
        </w:rPr>
        <w:t>职责</w:t>
      </w:r>
      <w:bookmarkEnd w:id="12"/>
      <w:bookmarkEnd w:id="13"/>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1.贯彻执行党和国家公安工作的方针、政策和法律、法规、规章；部署、指导、监督、检查全市公安工作；负责本系统、本部门依法行政工作，落实行政执法责任制。</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2.组织、指导、协调全市公安机关应急管理、抢险救援工作和社会公共突发事件的处置工作。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3.组织指导全市公安机关侦查工作，协调或直接侦办全市重大刑事案件、国内危害国家安全的犯罪案件及重大经济犯罪案件。</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负责全市治安管理工作并承担相应责任。协调处置全市重大治安案件和群体性事件，指导、监督全市公安机关依法查处破坏社会治安秩序行为，依法开展治安行政管理工作，指导、监督全市公安机关治安保卫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5.负责全市出入境管理有关工作。依法管理国籍，组织、指导全市出境、入境和持普通护照的外国人在广居留、旅行的有关管理工作。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6.负责全市道路交通安全管理工作并承担相应责任。指导、监督全市公安机关维护道路交通安全、交通秩序以及开展机动车辆（不含拖拉机）、驾驶人管理工作。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7.指导、监督全市公安机关对公共信息网络的安全保护工作，负责信息安全等级保护工作的监督、检查、指导。</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8.组织、指导、协调对恐怖活动的情报、防范、侦察和应急处置工作。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指导、监督全市公安机关依法承担的执行刑罚和监督、考察工作；指导、监督全市看守所、拘留所、强制隔离戒毒所、收容教育所、安康医院的管理工作，指导、监督、办理收容教养和劳动教养审批工作。管理广元市看守所、广元市拘留所、广元市强制隔离戒毒所。</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10.指导全市公安警卫业务工作，组织实施对有关的党和国家领导人以及重要外宾在广的安全警卫工作并承担相应责任。</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11.组织实施全市公安科学技术工作，组织、指导、规划全市公安机关的指挥系统、信息技术、刑事技术建设。</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12.拟订全市公安机关装备、被装和经费等警务保障计划及管理制度，组织协调全市公安机关重大任务的警务保障工作。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13.组织开展同市外公安机关、港澳台警方及外国内政警察机构的交往与业务合作。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14.指导全市公安队伍建设和公安机关党风廉政建设，组织、指导全市公安机关人事管理、民警教育训练和宣传工作，按规定权限管理干部，拟订全市公安队伍监督管理工作规章制度，组织、指导全市公安机关督察、审计、信访工作，指导、监督全市公安机关及人民警察的执法活动，按规定权限实施对干部的监督、查处或督办公安队伍重大违纪案件。</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15.指导市内森林等专门公安机关的业务工作。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16.承担广元市禁毒委员会的具体工作。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17.承担市政府公布的有关行政审批事项。</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18.承办市政府和省公安厅交办的其他事项。</w:t>
      </w:r>
    </w:p>
    <w:p>
      <w:pPr>
        <w:pStyle w:val="4"/>
        <w:ind w:firstLine="640" w:firstLineChars="200"/>
        <w:rPr>
          <w:rFonts w:ascii="黑体" w:hAnsi="黑体" w:eastAsia="黑体"/>
          <w:b w:val="0"/>
        </w:rPr>
      </w:pPr>
      <w:bookmarkStart w:id="14" w:name="_Toc8955"/>
      <w:r>
        <w:rPr>
          <w:rFonts w:hint="eastAsia" w:ascii="黑体" w:hAnsi="黑体" w:eastAsia="黑体"/>
          <w:b w:val="0"/>
        </w:rPr>
        <w:t>二、机构设置</w:t>
      </w:r>
      <w:bookmarkEnd w:id="14"/>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广元市公安局单位是行政单位，截至2024年末，在职509人，其中行政人员495人、事业人员14人，下设未独立核算的广元市警务标准化研究中心1个事业单位。</w:t>
      </w:r>
    </w:p>
    <w:p>
      <w:pPr>
        <w:rPr>
          <w:rFonts w:hint="eastAsia"/>
          <w:color w:val="FF0000"/>
        </w:rPr>
      </w:pPr>
    </w:p>
    <w:p>
      <w:pPr>
        <w:pStyle w:val="3"/>
        <w:ind w:right="440"/>
        <w:jc w:val="center"/>
        <w:rPr>
          <w:rFonts w:ascii="黑体" w:hAnsi="黑体" w:eastAsia="黑体"/>
          <w:b w:val="0"/>
        </w:rPr>
      </w:pPr>
      <w:r>
        <w:rPr>
          <w:rFonts w:ascii="仿宋" w:hAnsi="仿宋" w:eastAsia="仿宋"/>
          <w:sz w:val="32"/>
          <w:szCs w:val="32"/>
        </w:rPr>
        <w:br w:type="page"/>
      </w:r>
      <w:bookmarkStart w:id="15" w:name="_Toc1846"/>
      <w:r>
        <w:rPr>
          <w:rFonts w:hint="eastAsia" w:ascii="黑体" w:hAnsi="黑体" w:eastAsia="黑体"/>
          <w:b w:val="0"/>
        </w:rPr>
        <w:t>第二部分 2024年度单位决算情况说明</w:t>
      </w:r>
      <w:bookmarkEnd w:id="15"/>
    </w:p>
    <w:p>
      <w:pPr>
        <w:pStyle w:val="4"/>
        <w:bidi w:val="0"/>
        <w:rPr>
          <w:rStyle w:val="14"/>
          <w:rFonts w:ascii="黑体" w:hAnsi="黑体" w:eastAsia="黑体"/>
          <w:b w:val="0"/>
          <w:bCs/>
        </w:rPr>
      </w:pPr>
      <w:bookmarkStart w:id="16" w:name="_Toc17298"/>
      <w:r>
        <w:rPr>
          <w:rFonts w:hint="eastAsia" w:ascii="黑体" w:hAnsi="黑体" w:eastAsia="黑体"/>
          <w:b w:val="0"/>
          <w:bCs w:val="0"/>
          <w:sz w:val="32"/>
          <w:szCs w:val="32"/>
        </w:rPr>
        <w:t>一、收</w:t>
      </w:r>
      <w:r>
        <w:rPr>
          <w:rStyle w:val="14"/>
          <w:rFonts w:hint="eastAsia" w:ascii="黑体" w:hAnsi="黑体" w:eastAsia="黑体"/>
          <w:b w:val="0"/>
          <w:bCs/>
        </w:rPr>
        <w:t>入支出决算总体情况说明</w:t>
      </w:r>
      <w:bookmarkEnd w:id="16"/>
    </w:p>
    <w:p>
      <w:pPr>
        <w:spacing w:line="600" w:lineRule="exact"/>
        <w:ind w:firstLine="640" w:firstLineChars="200"/>
        <w:rPr>
          <w:rFonts w:ascii="仿宋_GB2312" w:hAnsi="仿宋_GB2312" w:eastAsia="仿宋_GB2312" w:cs="仿宋_GB2312"/>
          <w:color w:val="FF0000"/>
          <w:sz w:val="32"/>
          <w:szCs w:val="32"/>
          <w:u w:val="single"/>
        </w:rPr>
      </w:pPr>
      <w:r>
        <w:rPr>
          <w:rFonts w:hint="eastAsia" w:ascii="仿宋_GB2312" w:hAnsi="仿宋_GB2312" w:eastAsia="仿宋_GB2312" w:cs="仿宋_GB2312"/>
          <w:sz w:val="32"/>
          <w:szCs w:val="32"/>
        </w:rPr>
        <w:t>2024年度收、支总计均为20216.5万元。与2023年度相比，收、支总计各增加1560.6万元，增长8.37%。主要变动原因是偿还专项债务导致政府性基金预算收入和支出增加。</w:t>
      </w:r>
    </w:p>
    <w:p>
      <w:pPr>
        <w:pStyle w:val="2"/>
        <w:tabs>
          <w:tab w:val="left" w:pos="843"/>
        </w:tabs>
      </w:pPr>
      <w:r>
        <w:tab/>
      </w:r>
      <w:r>
        <w:drawing>
          <wp:inline distT="0" distB="0" distL="0" distR="0">
            <wp:extent cx="4034790" cy="2478405"/>
            <wp:effectExtent l="19050" t="0" r="22285" b="0"/>
            <wp:docPr id="8" name="对象 1"/>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（图1：收、支决算总计变动情况图）</w:t>
      </w:r>
    </w:p>
    <w:p>
      <w:pPr>
        <w:pStyle w:val="18"/>
        <w:spacing w:line="600" w:lineRule="exact"/>
        <w:ind w:left="640" w:firstLine="0" w:firstLineChars="0"/>
        <w:outlineLvl w:val="1"/>
        <w:rPr>
          <w:rStyle w:val="14"/>
          <w:rFonts w:ascii="黑体" w:hAnsi="黑体" w:eastAsia="黑体"/>
          <w:b w:val="0"/>
        </w:rPr>
      </w:pPr>
      <w:bookmarkStart w:id="17" w:name="_Toc4872"/>
      <w:r>
        <w:rPr>
          <w:rFonts w:hint="eastAsia" w:ascii="黑体" w:hAnsi="黑体" w:eastAsia="黑体"/>
          <w:sz w:val="32"/>
          <w:szCs w:val="32"/>
        </w:rPr>
        <w:t>二、收</w:t>
      </w:r>
      <w:r>
        <w:rPr>
          <w:rStyle w:val="14"/>
          <w:rFonts w:hint="eastAsia" w:ascii="黑体" w:hAnsi="黑体" w:eastAsia="黑体"/>
          <w:b w:val="0"/>
        </w:rPr>
        <w:t>入决算情况说明</w:t>
      </w:r>
      <w:bookmarkEnd w:id="17"/>
    </w:p>
    <w:p>
      <w:pPr>
        <w:spacing w:line="600" w:lineRule="exact"/>
        <w:ind w:firstLine="640" w:firstLineChars="200"/>
        <w:outlineLvl w:val="1"/>
        <w:rPr>
          <w:rFonts w:ascii="仿宋_GB2312" w:hAnsi="仿宋_GB2312" w:eastAsia="仿宋_GB2312" w:cs="仿宋_GB2312"/>
          <w:sz w:val="32"/>
          <w:szCs w:val="32"/>
        </w:rPr>
      </w:pPr>
      <w:bookmarkStart w:id="18" w:name="_Toc14862"/>
      <w:bookmarkStart w:id="19" w:name="_Toc6131"/>
      <w:r>
        <w:rPr>
          <w:rFonts w:hint="eastAsia" w:ascii="仿宋_GB2312" w:hAnsi="仿宋_GB2312" w:eastAsia="仿宋_GB2312" w:cs="仿宋_GB2312"/>
          <w:sz w:val="32"/>
          <w:szCs w:val="32"/>
        </w:rPr>
        <w:t>2024年度本年收入合计20037.44万元，其中：一般公共预算财政拨款收入18002.09万元，占89.84%；政府性基金预算财政拨款收入1845万元，占9.21%；其他收入190.36万元，占0.95%。</w:t>
      </w:r>
      <w:bookmarkEnd w:id="18"/>
      <w:bookmarkEnd w:id="19"/>
    </w:p>
    <w:p>
      <w:pPr>
        <w:pStyle w:val="2"/>
      </w:pPr>
    </w:p>
    <w:p>
      <w:pPr>
        <w:pStyle w:val="2"/>
      </w:pPr>
      <w:r>
        <w:rPr>
          <w:rFonts w:hint="eastAsia"/>
        </w:rPr>
        <w:drawing>
          <wp:inline distT="0" distB="0" distL="0" distR="0">
            <wp:extent cx="5018405" cy="2233930"/>
            <wp:effectExtent l="19050" t="0" r="10423"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（图2：收入决算结构图）</w:t>
      </w:r>
    </w:p>
    <w:p>
      <w:pPr>
        <w:pStyle w:val="18"/>
        <w:spacing w:line="600" w:lineRule="exact"/>
        <w:ind w:left="640" w:firstLine="0" w:firstLineChars="0"/>
        <w:outlineLvl w:val="1"/>
        <w:rPr>
          <w:rStyle w:val="14"/>
          <w:rFonts w:ascii="黑体" w:hAnsi="黑体" w:eastAsia="黑体"/>
          <w:b w:val="0"/>
        </w:rPr>
      </w:pPr>
      <w:bookmarkStart w:id="20" w:name="_Toc27772"/>
      <w:r>
        <w:rPr>
          <w:rFonts w:hint="eastAsia" w:ascii="黑体" w:hAnsi="黑体" w:eastAsia="黑体"/>
          <w:sz w:val="32"/>
          <w:szCs w:val="32"/>
        </w:rPr>
        <w:t>三、支</w:t>
      </w:r>
      <w:r>
        <w:rPr>
          <w:rStyle w:val="14"/>
          <w:rFonts w:hint="eastAsia" w:ascii="黑体" w:hAnsi="黑体" w:eastAsia="黑体"/>
          <w:b w:val="0"/>
        </w:rPr>
        <w:t>出决算情况说明</w:t>
      </w:r>
      <w:bookmarkEnd w:id="20"/>
    </w:p>
    <w:p>
      <w:pPr>
        <w:spacing w:line="600" w:lineRule="exact"/>
        <w:ind w:firstLine="640" w:firstLineChars="200"/>
        <w:outlineLvl w:val="1"/>
        <w:rPr>
          <w:rFonts w:ascii="仿宋" w:hAnsi="仿宋" w:eastAsia="仿宋"/>
          <w:sz w:val="32"/>
          <w:szCs w:val="32"/>
        </w:rPr>
      </w:pPr>
      <w:bookmarkStart w:id="21" w:name="_Toc22673"/>
      <w:bookmarkStart w:id="22" w:name="_Toc19834"/>
      <w:r>
        <w:rPr>
          <w:rFonts w:hint="eastAsia" w:ascii="仿宋" w:hAnsi="仿宋" w:eastAsia="仿宋"/>
          <w:sz w:val="32"/>
          <w:szCs w:val="32"/>
        </w:rPr>
        <w:t>2024年度本年支出合计19855.54万元，其中：基本支出12764.14万元，占64.29</w:t>
      </w:r>
      <w:r>
        <w:rPr>
          <w:rFonts w:ascii="仿宋" w:hAnsi="仿宋" w:eastAsia="仿宋"/>
          <w:sz w:val="32"/>
          <w:szCs w:val="32"/>
        </w:rPr>
        <w:t>%</w:t>
      </w:r>
      <w:r>
        <w:rPr>
          <w:rFonts w:hint="eastAsia" w:ascii="仿宋" w:hAnsi="仿宋" w:eastAsia="仿宋"/>
          <w:sz w:val="32"/>
          <w:szCs w:val="32"/>
        </w:rPr>
        <w:t>；项目支出7091.4万元，占35.71</w:t>
      </w:r>
      <w:r>
        <w:rPr>
          <w:rFonts w:ascii="仿宋" w:hAnsi="仿宋" w:eastAsia="仿宋"/>
          <w:sz w:val="32"/>
          <w:szCs w:val="32"/>
        </w:rPr>
        <w:t>%</w:t>
      </w:r>
      <w:r>
        <w:rPr>
          <w:rFonts w:hint="eastAsia" w:ascii="仿宋" w:hAnsi="仿宋" w:eastAsia="仿宋"/>
          <w:sz w:val="32"/>
          <w:szCs w:val="32"/>
        </w:rPr>
        <w:t>。</w:t>
      </w:r>
      <w:bookmarkEnd w:id="21"/>
      <w:bookmarkEnd w:id="22"/>
    </w:p>
    <w:p>
      <w:pPr>
        <w:pStyle w:val="2"/>
      </w:pPr>
      <w:r>
        <w:rPr>
          <w:rFonts w:hint="eastAsia"/>
        </w:rPr>
        <w:drawing>
          <wp:inline distT="0" distB="0" distL="0" distR="0">
            <wp:extent cx="4855845" cy="2113280"/>
            <wp:effectExtent l="19050" t="0" r="20547" b="1078"/>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（图3：支出决算结构图）</w:t>
      </w:r>
    </w:p>
    <w:p>
      <w:pPr>
        <w:spacing w:line="600" w:lineRule="exact"/>
        <w:ind w:firstLine="640" w:firstLineChars="200"/>
        <w:rPr>
          <w:rFonts w:ascii="仿宋_GB2312" w:eastAsia="仿宋_GB2312"/>
          <w:sz w:val="32"/>
          <w:szCs w:val="32"/>
        </w:rPr>
      </w:pPr>
    </w:p>
    <w:p>
      <w:pPr>
        <w:spacing w:line="600" w:lineRule="exact"/>
        <w:ind w:firstLine="640" w:firstLineChars="200"/>
        <w:outlineLvl w:val="1"/>
        <w:rPr>
          <w:rStyle w:val="14"/>
          <w:rFonts w:ascii="黑体" w:hAnsi="黑体" w:eastAsia="黑体"/>
          <w:b w:val="0"/>
        </w:rPr>
      </w:pPr>
      <w:bookmarkStart w:id="23" w:name="_Toc13665"/>
      <w:r>
        <w:rPr>
          <w:rFonts w:hint="eastAsia" w:ascii="黑体" w:hAnsi="黑体" w:eastAsia="黑体"/>
          <w:sz w:val="32"/>
          <w:szCs w:val="32"/>
        </w:rPr>
        <w:t>四、财</w:t>
      </w:r>
      <w:r>
        <w:rPr>
          <w:rStyle w:val="14"/>
          <w:rFonts w:hint="eastAsia" w:ascii="黑体" w:hAnsi="黑体" w:eastAsia="黑体"/>
          <w:b w:val="0"/>
        </w:rPr>
        <w:t>政拨款收入支出决算总体情况说明</w:t>
      </w:r>
      <w:bookmarkEnd w:id="23"/>
    </w:p>
    <w:p>
      <w:pPr>
        <w:spacing w:line="600" w:lineRule="exact"/>
        <w:ind w:firstLine="640" w:firstLineChars="200"/>
        <w:rPr>
          <w:rFonts w:ascii="仿宋_GB2312" w:hAnsi="仿宋_GB2312" w:eastAsia="仿宋_GB2312" w:cs="仿宋_GB2312"/>
          <w:color w:val="000000" w:themeColor="text1"/>
          <w:sz w:val="32"/>
          <w:szCs w:val="32"/>
          <w:u w:val="single"/>
        </w:rPr>
      </w:pPr>
      <w:r>
        <w:rPr>
          <w:rFonts w:hint="eastAsia" w:ascii="仿宋_GB2312" w:hAnsi="仿宋_GB2312" w:eastAsia="仿宋_GB2312" w:cs="仿宋_GB2312"/>
          <w:sz w:val="32"/>
          <w:szCs w:val="32"/>
        </w:rPr>
        <w:t>2024年度财政拨款收、支总计均为19995.11万元。与2023年度相比，财政拨款收、支总计各增加1380.04万元，增长7.41%。</w:t>
      </w:r>
      <w:r>
        <w:rPr>
          <w:rFonts w:hint="eastAsia" w:ascii="仿宋_GB2312" w:hAnsi="仿宋_GB2312" w:eastAsia="仿宋_GB2312" w:cs="仿宋_GB2312"/>
          <w:color w:val="000000" w:themeColor="text1"/>
          <w:sz w:val="32"/>
          <w:szCs w:val="32"/>
        </w:rPr>
        <w:t>主要变动原因是偿还专项债务导致政府性基金预算收入和支出增加。</w:t>
      </w:r>
    </w:p>
    <w:p>
      <w:pPr>
        <w:pStyle w:val="2"/>
      </w:pPr>
      <w:r>
        <w:rPr>
          <w:rFonts w:hint="eastAsia"/>
        </w:rPr>
        <w:drawing>
          <wp:inline distT="0" distB="0" distL="0" distR="0">
            <wp:extent cx="5029835" cy="2115185"/>
            <wp:effectExtent l="19050" t="0" r="18307"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（图4：财政拨款收、支决算总计变动情况）</w:t>
      </w:r>
    </w:p>
    <w:p>
      <w:pPr>
        <w:spacing w:line="600" w:lineRule="exact"/>
        <w:ind w:firstLine="640" w:firstLineChars="200"/>
        <w:outlineLvl w:val="1"/>
        <w:rPr>
          <w:rStyle w:val="14"/>
          <w:rFonts w:ascii="黑体" w:hAnsi="黑体" w:eastAsia="黑体"/>
          <w:b w:val="0"/>
        </w:rPr>
      </w:pPr>
      <w:bookmarkStart w:id="24" w:name="_Toc10486"/>
      <w:r>
        <w:rPr>
          <w:rFonts w:hint="eastAsia" w:ascii="黑体" w:hAnsi="黑体" w:eastAsia="黑体"/>
          <w:sz w:val="32"/>
          <w:szCs w:val="32"/>
        </w:rPr>
        <w:t>五、</w:t>
      </w:r>
      <w:r>
        <w:rPr>
          <w:rFonts w:hint="eastAsia" w:ascii="黑体" w:hAnsi="黑体" w:eastAsia="黑体"/>
          <w:b/>
          <w:sz w:val="32"/>
          <w:szCs w:val="32"/>
        </w:rPr>
        <w:t>一</w:t>
      </w:r>
      <w:r>
        <w:rPr>
          <w:rStyle w:val="14"/>
          <w:rFonts w:hint="eastAsia" w:ascii="黑体" w:hAnsi="黑体" w:eastAsia="黑体"/>
          <w:b w:val="0"/>
        </w:rPr>
        <w:t>般公共预算财政拨款支出决算情况说明</w:t>
      </w:r>
      <w:bookmarkEnd w:id="24"/>
    </w:p>
    <w:p>
      <w:pPr>
        <w:spacing w:line="600" w:lineRule="exact"/>
        <w:ind w:firstLine="642" w:firstLineChars="200"/>
        <w:outlineLvl w:val="2"/>
        <w:rPr>
          <w:rFonts w:ascii="仿宋_GB2312" w:hAnsi="仿宋_GB2312" w:eastAsia="仿宋_GB2312" w:cs="仿宋_GB2312"/>
          <w:b/>
          <w:sz w:val="32"/>
          <w:szCs w:val="32"/>
        </w:rPr>
      </w:pPr>
      <w:r>
        <w:rPr>
          <w:rFonts w:hint="eastAsia" w:ascii="仿宋_GB2312" w:hAnsi="仿宋_GB2312" w:eastAsia="仿宋_GB2312" w:cs="仿宋_GB2312"/>
          <w:b/>
          <w:sz w:val="32"/>
          <w:szCs w:val="32"/>
        </w:rPr>
        <w:t>（一）一般公共预算财政拨款支出决算总体情况</w:t>
      </w:r>
    </w:p>
    <w:p>
      <w:pPr>
        <w:spacing w:line="600" w:lineRule="exact"/>
        <w:ind w:firstLine="640" w:firstLineChars="200"/>
        <w:rPr>
          <w:rFonts w:ascii="仿宋_GB2312" w:hAnsi="仿宋_GB2312" w:eastAsia="仿宋_GB2312" w:cs="仿宋_GB2312"/>
          <w:color w:val="000000" w:themeColor="text1"/>
          <w:sz w:val="32"/>
          <w:szCs w:val="32"/>
          <w:u w:val="single"/>
        </w:rPr>
      </w:pPr>
      <w:r>
        <w:rPr>
          <w:rFonts w:hint="eastAsia" w:ascii="仿宋_GB2312" w:hAnsi="仿宋_GB2312" w:eastAsia="仿宋_GB2312" w:cs="仿宋_GB2312"/>
          <w:sz w:val="32"/>
          <w:szCs w:val="32"/>
        </w:rPr>
        <w:t>2024年</w:t>
      </w:r>
      <w:r>
        <w:rPr>
          <w:rFonts w:hint="eastAsia" w:ascii="仿宋_GB2312" w:hAnsi="仿宋_GB2312" w:eastAsia="仿宋_GB2312" w:cs="仿宋_GB2312"/>
          <w:color w:val="000000" w:themeColor="text1"/>
          <w:sz w:val="32"/>
          <w:szCs w:val="32"/>
        </w:rPr>
        <w:t>度一般公共预算财政拨款支出17828.91万元，占本年支出合计的89.79%。与2023年度相比，一般公共预算财政拨款支出减少310.52万元，下降1.71%。主要变动原因是住房公积金缴费基数变化导致支出相应下降。</w:t>
      </w:r>
    </w:p>
    <w:p>
      <w:pPr>
        <w:pStyle w:val="2"/>
      </w:pPr>
      <w:r>
        <w:rPr>
          <w:rFonts w:hint="eastAsia"/>
        </w:rPr>
        <w:drawing>
          <wp:inline distT="0" distB="0" distL="0" distR="0">
            <wp:extent cx="5277485" cy="3030220"/>
            <wp:effectExtent l="6350" t="6350" r="12065" b="1143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（图5：一般公共预算财政拨款支出决算变动情况）</w:t>
      </w:r>
    </w:p>
    <w:p>
      <w:pPr>
        <w:spacing w:line="600" w:lineRule="exact"/>
        <w:ind w:firstLine="642" w:firstLineChars="200"/>
        <w:outlineLvl w:val="2"/>
        <w:rPr>
          <w:rFonts w:ascii="仿宋_GB2312" w:hAnsi="仿宋_GB2312" w:eastAsia="仿宋_GB2312" w:cs="仿宋_GB2312"/>
          <w:b/>
          <w:sz w:val="32"/>
          <w:szCs w:val="32"/>
        </w:rPr>
      </w:pPr>
      <w:r>
        <w:rPr>
          <w:rFonts w:hint="eastAsia" w:ascii="仿宋_GB2312" w:hAnsi="仿宋_GB2312" w:eastAsia="仿宋_GB2312" w:cs="仿宋_GB2312"/>
          <w:b/>
          <w:sz w:val="32"/>
          <w:szCs w:val="32"/>
        </w:rPr>
        <w:t>（二）一般公共预算财政拨款支出决算结构情况</w:t>
      </w:r>
    </w:p>
    <w:p>
      <w:pPr>
        <w:spacing w:line="600" w:lineRule="exact"/>
        <w:ind w:firstLine="640"/>
        <w:rPr>
          <w:rFonts w:ascii="仿宋" w:hAnsi="仿宋" w:eastAsia="仿宋"/>
          <w:sz w:val="32"/>
          <w:szCs w:val="32"/>
        </w:rPr>
      </w:pPr>
      <w:r>
        <w:rPr>
          <w:rFonts w:hint="eastAsia" w:ascii="仿宋_GB2312" w:hAnsi="仿宋_GB2312" w:eastAsia="仿宋_GB2312" w:cs="仿宋_GB2312"/>
          <w:sz w:val="32"/>
          <w:szCs w:val="32"/>
        </w:rPr>
        <w:t>2024年度一般公共预算财政拨款支出17828.91万元，主要用于以下方面</w:t>
      </w:r>
      <w:r>
        <w:rPr>
          <w:rFonts w:hint="eastAsia" w:ascii="仿宋_GB2312" w:hAnsi="仿宋_GB2312" w:eastAsia="仿宋_GB2312" w:cs="仿宋_GB2312"/>
          <w:sz w:val="32"/>
          <w:szCs w:val="32"/>
          <w:lang w:eastAsia="zh-CN"/>
        </w:rPr>
        <w:t>：</w:t>
      </w:r>
      <w:r>
        <w:rPr>
          <w:rFonts w:hint="eastAsia" w:ascii="仿宋" w:hAnsi="仿宋" w:eastAsia="仿宋"/>
          <w:sz w:val="32"/>
          <w:szCs w:val="32"/>
        </w:rPr>
        <w:t xml:space="preserve"> 公共安全（类）支出15378.59万元，占86.26</w:t>
      </w:r>
      <w:r>
        <w:rPr>
          <w:rFonts w:ascii="仿宋" w:hAnsi="仿宋" w:eastAsia="仿宋"/>
          <w:sz w:val="32"/>
          <w:szCs w:val="32"/>
        </w:rPr>
        <w:t>%</w:t>
      </w:r>
      <w:r>
        <w:rPr>
          <w:rFonts w:hint="eastAsia" w:ascii="仿宋" w:hAnsi="仿宋" w:eastAsia="仿宋"/>
          <w:sz w:val="32"/>
          <w:szCs w:val="32"/>
        </w:rPr>
        <w:t>；社会保障和就业（类）支出1216.44万元，占6.82</w:t>
      </w:r>
      <w:r>
        <w:rPr>
          <w:rFonts w:ascii="仿宋" w:hAnsi="仿宋" w:eastAsia="仿宋"/>
          <w:sz w:val="32"/>
          <w:szCs w:val="32"/>
        </w:rPr>
        <w:t>%</w:t>
      </w:r>
      <w:r>
        <w:rPr>
          <w:rFonts w:hint="eastAsia" w:ascii="仿宋" w:hAnsi="仿宋" w:eastAsia="仿宋"/>
          <w:sz w:val="32"/>
          <w:szCs w:val="32"/>
        </w:rPr>
        <w:t>；卫生健康（类）支出294.1</w:t>
      </w:r>
      <w:bookmarkStart w:id="49" w:name="_GoBack"/>
      <w:bookmarkEnd w:id="49"/>
      <w:r>
        <w:rPr>
          <w:rFonts w:hint="eastAsia" w:ascii="仿宋" w:hAnsi="仿宋" w:eastAsia="仿宋"/>
          <w:sz w:val="32"/>
          <w:szCs w:val="32"/>
        </w:rPr>
        <w:t>万元，占1.65</w:t>
      </w:r>
      <w:r>
        <w:rPr>
          <w:rFonts w:ascii="仿宋" w:hAnsi="仿宋" w:eastAsia="仿宋"/>
          <w:sz w:val="32"/>
          <w:szCs w:val="32"/>
        </w:rPr>
        <w:t>%</w:t>
      </w:r>
      <w:r>
        <w:rPr>
          <w:rFonts w:hint="eastAsia" w:ascii="仿宋" w:hAnsi="仿宋" w:eastAsia="仿宋"/>
          <w:sz w:val="32"/>
          <w:szCs w:val="32"/>
        </w:rPr>
        <w:t>；住房保障（类）支出939.79万元，占5.27</w:t>
      </w:r>
      <w:r>
        <w:rPr>
          <w:rFonts w:ascii="仿宋" w:hAnsi="仿宋" w:eastAsia="仿宋"/>
          <w:sz w:val="32"/>
          <w:szCs w:val="32"/>
        </w:rPr>
        <w:t>%</w:t>
      </w:r>
      <w:r>
        <w:rPr>
          <w:rFonts w:hint="eastAsia" w:ascii="仿宋" w:hAnsi="仿宋" w:eastAsia="仿宋"/>
          <w:sz w:val="32"/>
          <w:szCs w:val="32"/>
        </w:rPr>
        <w:t>。</w:t>
      </w:r>
    </w:p>
    <w:p>
      <w:pPr>
        <w:pStyle w:val="2"/>
      </w:pPr>
      <w:r>
        <w:rPr>
          <w:rFonts w:hint="eastAsia"/>
        </w:rPr>
        <w:drawing>
          <wp:inline distT="0" distB="0" distL="0" distR="0">
            <wp:extent cx="5274310" cy="2879090"/>
            <wp:effectExtent l="6350" t="6350" r="15240" b="1016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（图6：一般公共预算财政拨款支出决算结构）</w:t>
      </w:r>
    </w:p>
    <w:p>
      <w:pPr>
        <w:spacing w:line="600" w:lineRule="exact"/>
        <w:ind w:firstLine="642" w:firstLineChars="200"/>
        <w:outlineLvl w:val="2"/>
        <w:rPr>
          <w:rFonts w:ascii="仿宋_GB2312" w:hAnsi="仿宋_GB2312" w:eastAsia="仿宋_GB2312" w:cs="仿宋_GB2312"/>
          <w:b/>
          <w:sz w:val="32"/>
          <w:szCs w:val="32"/>
        </w:rPr>
      </w:pPr>
      <w:r>
        <w:rPr>
          <w:rFonts w:hint="eastAsia" w:ascii="仿宋_GB2312" w:hAnsi="仿宋_GB2312" w:eastAsia="仿宋_GB2312" w:cs="仿宋_GB2312"/>
          <w:b/>
          <w:sz w:val="32"/>
          <w:szCs w:val="32"/>
        </w:rPr>
        <w:t>（三）一般公共预算财政拨款支出决算具体情况</w:t>
      </w:r>
    </w:p>
    <w:p>
      <w:pPr>
        <w:spacing w:line="600" w:lineRule="exact"/>
        <w:ind w:firstLine="642" w:firstLineChars="200"/>
        <w:outlineLvl w:val="2"/>
        <w:rPr>
          <w:rFonts w:ascii="仿宋_GB2312" w:hAnsi="仿宋_GB2312" w:eastAsia="仿宋_GB2312" w:cs="仿宋_GB2312"/>
          <w:color w:val="000000" w:themeColor="text1"/>
          <w:sz w:val="32"/>
          <w:szCs w:val="32"/>
        </w:rPr>
      </w:pPr>
      <w:r>
        <w:rPr>
          <w:rFonts w:hint="eastAsia" w:ascii="仿宋_GB2312" w:hAnsi="仿宋_GB2312" w:eastAsia="仿宋_GB2312" w:cs="仿宋_GB2312"/>
          <w:b/>
          <w:sz w:val="32"/>
          <w:szCs w:val="32"/>
        </w:rPr>
        <w:t>2024年度一般公共预算支出决算数为17828.91万元</w:t>
      </w:r>
      <w:r>
        <w:rPr>
          <w:rFonts w:hint="eastAsia" w:ascii="仿宋_GB2312" w:hAnsi="仿宋_GB2312" w:eastAsia="仿宋_GB2312" w:cs="仿宋_GB2312"/>
          <w:sz w:val="32"/>
          <w:szCs w:val="32"/>
        </w:rPr>
        <w:t>，</w:t>
      </w:r>
      <w:r>
        <w:rPr>
          <w:rStyle w:val="12"/>
          <w:rFonts w:hint="eastAsia" w:ascii="仿宋_GB2312" w:hAnsi="仿宋_GB2312" w:eastAsia="仿宋_GB2312" w:cs="仿宋_GB2312"/>
          <w:bCs/>
          <w:sz w:val="32"/>
          <w:szCs w:val="32"/>
        </w:rPr>
        <w:t>完成</w:t>
      </w:r>
      <w:r>
        <w:rPr>
          <w:rStyle w:val="12"/>
          <w:rFonts w:hint="eastAsia" w:ascii="仿宋_GB2312" w:hAnsi="仿宋_GB2312" w:eastAsia="仿宋_GB2312" w:cs="仿宋_GB2312"/>
          <w:bCs/>
          <w:color w:val="auto"/>
          <w:sz w:val="32"/>
          <w:szCs w:val="32"/>
        </w:rPr>
        <w:t>预算98.</w:t>
      </w:r>
      <w:r>
        <w:rPr>
          <w:rStyle w:val="12"/>
          <w:rFonts w:hint="eastAsia" w:ascii="仿宋_GB2312" w:hAnsi="仿宋_GB2312" w:eastAsia="仿宋_GB2312" w:cs="仿宋_GB2312"/>
          <w:bCs/>
          <w:color w:val="auto"/>
          <w:sz w:val="32"/>
          <w:szCs w:val="32"/>
          <w:lang w:val="en-US" w:eastAsia="zh-CN"/>
        </w:rPr>
        <w:t>23</w:t>
      </w:r>
      <w:r>
        <w:rPr>
          <w:rStyle w:val="12"/>
          <w:rFonts w:hint="eastAsia" w:ascii="仿宋_GB2312" w:hAnsi="仿宋_GB2312" w:eastAsia="仿宋_GB2312" w:cs="仿宋_GB2312"/>
          <w:bCs/>
          <w:color w:val="auto"/>
          <w:sz w:val="32"/>
          <w:szCs w:val="32"/>
        </w:rPr>
        <w:t>%。</w:t>
      </w:r>
      <w:r>
        <w:rPr>
          <w:rStyle w:val="12"/>
          <w:rFonts w:hint="eastAsia" w:ascii="仿宋_GB2312" w:hAnsi="仿宋_GB2312" w:eastAsia="仿宋_GB2312" w:cs="仿宋_GB2312"/>
          <w:bCs/>
          <w:color w:val="000000" w:themeColor="text1"/>
          <w:sz w:val="32"/>
          <w:szCs w:val="32"/>
        </w:rPr>
        <w:t>其中：</w:t>
      </w:r>
    </w:p>
    <w:p>
      <w:pPr>
        <w:ind w:firstLine="642" w:firstLineChars="200"/>
        <w:rPr>
          <w:rStyle w:val="12"/>
          <w:rFonts w:hint="eastAsia" w:ascii="仿宋" w:hAnsi="仿宋" w:eastAsia="仿宋"/>
          <w:b w:val="0"/>
          <w:bCs/>
          <w:color w:val="FF0000"/>
          <w:sz w:val="32"/>
          <w:szCs w:val="32"/>
        </w:rPr>
      </w:pPr>
      <w:r>
        <w:rPr>
          <w:rStyle w:val="12"/>
          <w:rFonts w:hint="eastAsia" w:ascii="仿宋" w:hAnsi="仿宋" w:eastAsia="仿宋"/>
          <w:bCs/>
          <w:color w:val="000000" w:themeColor="text1"/>
          <w:sz w:val="32"/>
          <w:szCs w:val="32"/>
        </w:rPr>
        <w:t>1</w:t>
      </w:r>
      <w:r>
        <w:rPr>
          <w:rStyle w:val="12"/>
          <w:rFonts w:ascii="仿宋" w:hAnsi="仿宋" w:eastAsia="仿宋"/>
          <w:bCs/>
          <w:color w:val="000000" w:themeColor="text1"/>
          <w:sz w:val="32"/>
          <w:szCs w:val="32"/>
        </w:rPr>
        <w:t>.</w:t>
      </w:r>
      <w:r>
        <w:rPr>
          <w:rStyle w:val="12"/>
          <w:rFonts w:hint="eastAsia" w:ascii="仿宋" w:hAnsi="仿宋" w:eastAsia="仿宋"/>
          <w:bCs/>
          <w:color w:val="000000" w:themeColor="text1"/>
          <w:sz w:val="32"/>
          <w:szCs w:val="32"/>
        </w:rPr>
        <w:t>公共安全（类）公安（款）行政运行（项）</w:t>
      </w:r>
      <w:r>
        <w:rPr>
          <w:rStyle w:val="12"/>
          <w:rFonts w:hint="eastAsia" w:ascii="仿宋" w:hAnsi="仿宋" w:eastAsia="仿宋"/>
          <w:bCs/>
          <w:color w:val="000000" w:themeColor="text1"/>
          <w:sz w:val="32"/>
          <w:szCs w:val="32"/>
          <w:lang w:eastAsia="zh-CN"/>
        </w:rPr>
        <w:t>：</w:t>
      </w:r>
      <w:r>
        <w:rPr>
          <w:rStyle w:val="12"/>
          <w:rFonts w:hint="eastAsia" w:ascii="仿宋" w:hAnsi="仿宋" w:eastAsia="仿宋"/>
          <w:b w:val="0"/>
          <w:bCs/>
          <w:color w:val="000000" w:themeColor="text1"/>
          <w:sz w:val="32"/>
          <w:szCs w:val="32"/>
        </w:rPr>
        <w:t>支出决算为10135.31万元，完成预算 97.96%，决算数小于预算数的主要原因</w:t>
      </w:r>
      <w:r>
        <w:rPr>
          <w:rStyle w:val="12"/>
          <w:rFonts w:hint="eastAsia" w:ascii="仿宋_GB2312" w:hAnsi="仿宋_GB2312" w:eastAsia="仿宋_GB2312" w:cs="仿宋_GB2312"/>
          <w:b w:val="0"/>
          <w:bCs/>
          <w:color w:val="000000" w:themeColor="text1"/>
          <w:sz w:val="32"/>
          <w:szCs w:val="32"/>
        </w:rPr>
        <w:t>个税社保等未完成支付</w:t>
      </w:r>
      <w:r>
        <w:rPr>
          <w:rStyle w:val="12"/>
          <w:rFonts w:hint="eastAsia" w:ascii="仿宋_GB2312" w:hAnsi="仿宋_GB2312" w:eastAsia="仿宋_GB2312" w:cs="仿宋_GB2312"/>
          <w:b w:val="0"/>
          <w:bCs/>
          <w:sz w:val="32"/>
          <w:szCs w:val="32"/>
        </w:rPr>
        <w:t>。</w:t>
      </w:r>
      <w:r>
        <w:rPr>
          <w:rStyle w:val="12"/>
          <w:rFonts w:hint="eastAsia" w:ascii="仿宋" w:hAnsi="仿宋" w:eastAsia="仿宋"/>
          <w:b w:val="0"/>
          <w:bCs/>
          <w:color w:val="FF0000"/>
          <w:sz w:val="32"/>
          <w:szCs w:val="32"/>
        </w:rPr>
        <w:t xml:space="preserve">  </w:t>
      </w:r>
    </w:p>
    <w:p>
      <w:pPr>
        <w:ind w:firstLine="642" w:firstLineChars="200"/>
        <w:rPr>
          <w:rStyle w:val="12"/>
          <w:rFonts w:ascii="仿宋" w:hAnsi="仿宋" w:eastAsia="仿宋"/>
          <w:bCs/>
          <w:sz w:val="32"/>
          <w:szCs w:val="32"/>
        </w:rPr>
      </w:pPr>
      <w:r>
        <w:rPr>
          <w:rStyle w:val="12"/>
          <w:rFonts w:hint="eastAsia" w:ascii="仿宋" w:hAnsi="仿宋" w:eastAsia="仿宋"/>
          <w:bCs/>
          <w:sz w:val="32"/>
          <w:szCs w:val="32"/>
        </w:rPr>
        <w:t xml:space="preserve"> 2</w:t>
      </w:r>
      <w:r>
        <w:rPr>
          <w:rStyle w:val="12"/>
          <w:rFonts w:ascii="仿宋" w:hAnsi="仿宋" w:eastAsia="仿宋"/>
          <w:bCs/>
          <w:sz w:val="32"/>
          <w:szCs w:val="32"/>
        </w:rPr>
        <w:t>.</w:t>
      </w:r>
      <w:r>
        <w:rPr>
          <w:rStyle w:val="12"/>
          <w:rFonts w:hint="eastAsia" w:ascii="仿宋" w:hAnsi="仿宋" w:eastAsia="仿宋"/>
          <w:bCs/>
          <w:sz w:val="32"/>
          <w:szCs w:val="32"/>
        </w:rPr>
        <w:t>公共安全（类）公安（款）一般行政管理事务（项）</w:t>
      </w:r>
      <w:r>
        <w:rPr>
          <w:rStyle w:val="12"/>
          <w:rFonts w:hint="eastAsia" w:ascii="仿宋" w:hAnsi="仿宋" w:eastAsia="仿宋"/>
          <w:bCs/>
          <w:sz w:val="32"/>
          <w:szCs w:val="32"/>
          <w:lang w:eastAsia="zh-CN"/>
        </w:rPr>
        <w:t>：</w:t>
      </w:r>
      <w:r>
        <w:rPr>
          <w:rStyle w:val="12"/>
          <w:rFonts w:hint="eastAsia" w:ascii="仿宋" w:hAnsi="仿宋" w:eastAsia="仿宋"/>
          <w:b w:val="0"/>
          <w:bCs/>
          <w:sz w:val="32"/>
          <w:szCs w:val="32"/>
        </w:rPr>
        <w:t>支出决算为2505.21万元，完成预算100%。</w:t>
      </w:r>
    </w:p>
    <w:p>
      <w:pPr>
        <w:rPr>
          <w:rFonts w:ascii="仿宋" w:hAnsi="仿宋" w:eastAsia="仿宋"/>
          <w:b/>
          <w:bCs/>
          <w:sz w:val="32"/>
          <w:szCs w:val="32"/>
        </w:rPr>
      </w:pPr>
      <w:r>
        <w:rPr>
          <w:rStyle w:val="12"/>
          <w:rFonts w:hint="eastAsia" w:ascii="仿宋" w:hAnsi="仿宋" w:eastAsia="仿宋"/>
          <w:bCs/>
          <w:sz w:val="32"/>
          <w:szCs w:val="32"/>
        </w:rPr>
        <w:t xml:space="preserve">    3</w:t>
      </w:r>
      <w:r>
        <w:rPr>
          <w:rStyle w:val="12"/>
          <w:rFonts w:ascii="仿宋" w:hAnsi="仿宋" w:eastAsia="仿宋"/>
          <w:bCs/>
          <w:sz w:val="32"/>
          <w:szCs w:val="32"/>
        </w:rPr>
        <w:t>.</w:t>
      </w:r>
      <w:r>
        <w:rPr>
          <w:rStyle w:val="12"/>
          <w:rFonts w:hint="eastAsia" w:ascii="仿宋" w:hAnsi="仿宋" w:eastAsia="仿宋"/>
          <w:bCs/>
          <w:sz w:val="32"/>
          <w:szCs w:val="32"/>
        </w:rPr>
        <w:t>公共安全（类）公安（款）信息化建设（项）</w:t>
      </w:r>
      <w:r>
        <w:rPr>
          <w:rStyle w:val="12"/>
          <w:rFonts w:hint="eastAsia" w:ascii="仿宋" w:hAnsi="仿宋" w:eastAsia="仿宋"/>
          <w:bCs/>
          <w:sz w:val="32"/>
          <w:szCs w:val="32"/>
          <w:lang w:eastAsia="zh-CN"/>
        </w:rPr>
        <w:t>：</w:t>
      </w:r>
      <w:r>
        <w:rPr>
          <w:rStyle w:val="12"/>
          <w:rFonts w:hint="eastAsia" w:ascii="仿宋" w:hAnsi="仿宋" w:eastAsia="仿宋"/>
          <w:b w:val="0"/>
          <w:bCs/>
          <w:sz w:val="32"/>
          <w:szCs w:val="32"/>
        </w:rPr>
        <w:t>支出决算为468.8万元，完成预算100%。</w:t>
      </w:r>
    </w:p>
    <w:p>
      <w:pPr>
        <w:ind w:firstLine="642"/>
        <w:rPr>
          <w:rStyle w:val="12"/>
          <w:rFonts w:ascii="仿宋" w:hAnsi="仿宋" w:eastAsia="仿宋"/>
          <w:b w:val="0"/>
          <w:bCs/>
          <w:sz w:val="32"/>
          <w:szCs w:val="32"/>
        </w:rPr>
      </w:pPr>
      <w:r>
        <w:rPr>
          <w:rStyle w:val="12"/>
          <w:rFonts w:hint="eastAsia" w:ascii="仿宋" w:hAnsi="仿宋" w:eastAsia="仿宋"/>
          <w:bCs/>
          <w:sz w:val="32"/>
          <w:szCs w:val="32"/>
        </w:rPr>
        <w:t>4</w:t>
      </w:r>
      <w:r>
        <w:rPr>
          <w:rStyle w:val="12"/>
          <w:rFonts w:ascii="仿宋" w:hAnsi="仿宋" w:eastAsia="仿宋"/>
          <w:bCs/>
          <w:sz w:val="32"/>
          <w:szCs w:val="32"/>
        </w:rPr>
        <w:t>.</w:t>
      </w:r>
      <w:r>
        <w:rPr>
          <w:rStyle w:val="12"/>
          <w:rFonts w:hint="eastAsia" w:ascii="仿宋" w:hAnsi="仿宋" w:eastAsia="仿宋"/>
          <w:bCs/>
          <w:sz w:val="32"/>
          <w:szCs w:val="32"/>
        </w:rPr>
        <w:t>公共安全（类）公安（款）执法办案（项）</w:t>
      </w:r>
      <w:r>
        <w:rPr>
          <w:rStyle w:val="12"/>
          <w:rFonts w:hint="eastAsia" w:ascii="仿宋" w:hAnsi="仿宋" w:eastAsia="仿宋"/>
          <w:bCs/>
          <w:sz w:val="32"/>
          <w:szCs w:val="32"/>
          <w:lang w:eastAsia="zh-CN"/>
        </w:rPr>
        <w:t>：</w:t>
      </w:r>
      <w:r>
        <w:rPr>
          <w:rStyle w:val="12"/>
          <w:rFonts w:hint="eastAsia" w:ascii="仿宋" w:hAnsi="仿宋" w:eastAsia="仿宋"/>
          <w:b w:val="0"/>
          <w:bCs/>
          <w:sz w:val="32"/>
          <w:szCs w:val="32"/>
        </w:rPr>
        <w:t>支出决算为177.88万元，完成预算100%。</w:t>
      </w:r>
    </w:p>
    <w:p>
      <w:pPr>
        <w:ind w:firstLine="642"/>
        <w:rPr>
          <w:rStyle w:val="12"/>
          <w:rFonts w:ascii="仿宋" w:hAnsi="仿宋" w:eastAsia="仿宋"/>
          <w:b w:val="0"/>
          <w:bCs/>
          <w:sz w:val="32"/>
          <w:szCs w:val="32"/>
        </w:rPr>
      </w:pPr>
      <w:r>
        <w:rPr>
          <w:rStyle w:val="12"/>
          <w:rFonts w:hint="eastAsia" w:ascii="仿宋" w:hAnsi="仿宋" w:eastAsia="仿宋"/>
          <w:bCs/>
          <w:sz w:val="32"/>
          <w:szCs w:val="32"/>
        </w:rPr>
        <w:t>5.公共安全（类）公安（款）特别业务项（项）：</w:t>
      </w:r>
      <w:r>
        <w:rPr>
          <w:rStyle w:val="12"/>
          <w:rFonts w:hint="eastAsia" w:ascii="仿宋" w:hAnsi="仿宋" w:eastAsia="仿宋"/>
          <w:b w:val="0"/>
          <w:bCs/>
          <w:sz w:val="32"/>
          <w:szCs w:val="32"/>
        </w:rPr>
        <w:t>支出决算为9万元，完成预算100%。</w:t>
      </w:r>
    </w:p>
    <w:p>
      <w:pPr>
        <w:ind w:firstLine="642"/>
        <w:rPr>
          <w:rStyle w:val="12"/>
          <w:rFonts w:ascii="仿宋" w:hAnsi="仿宋" w:eastAsia="仿宋"/>
          <w:b w:val="0"/>
          <w:bCs/>
          <w:sz w:val="32"/>
          <w:szCs w:val="32"/>
        </w:rPr>
      </w:pPr>
      <w:r>
        <w:rPr>
          <w:rStyle w:val="12"/>
          <w:rFonts w:hint="eastAsia" w:ascii="仿宋" w:hAnsi="仿宋" w:eastAsia="仿宋"/>
          <w:bCs/>
          <w:sz w:val="32"/>
          <w:szCs w:val="32"/>
        </w:rPr>
        <w:t>6.公共安全（类）公安（款）事业运行（项）</w:t>
      </w:r>
      <w:r>
        <w:rPr>
          <w:rStyle w:val="12"/>
          <w:rFonts w:hint="eastAsia" w:ascii="仿宋" w:hAnsi="仿宋" w:eastAsia="仿宋"/>
          <w:bCs/>
          <w:sz w:val="32"/>
          <w:szCs w:val="32"/>
          <w:lang w:eastAsia="zh-CN"/>
        </w:rPr>
        <w:t>：</w:t>
      </w:r>
      <w:r>
        <w:rPr>
          <w:rStyle w:val="12"/>
          <w:rFonts w:hint="eastAsia" w:ascii="仿宋" w:hAnsi="仿宋" w:eastAsia="仿宋"/>
          <w:b w:val="0"/>
          <w:bCs/>
          <w:sz w:val="32"/>
          <w:szCs w:val="32"/>
        </w:rPr>
        <w:t>支出决算为178.38万元，完成预算100</w:t>
      </w:r>
      <w:r>
        <w:rPr>
          <w:rStyle w:val="12"/>
          <w:rFonts w:ascii="仿宋" w:hAnsi="仿宋" w:eastAsia="仿宋"/>
          <w:b w:val="0"/>
          <w:bCs/>
          <w:sz w:val="32"/>
          <w:szCs w:val="32"/>
        </w:rPr>
        <w:t>%</w:t>
      </w:r>
      <w:r>
        <w:rPr>
          <w:rStyle w:val="12"/>
          <w:rFonts w:hint="eastAsia" w:ascii="仿宋" w:hAnsi="仿宋" w:eastAsia="仿宋"/>
          <w:b w:val="0"/>
          <w:bCs/>
          <w:sz w:val="32"/>
          <w:szCs w:val="32"/>
        </w:rPr>
        <w:t>。</w:t>
      </w:r>
    </w:p>
    <w:p>
      <w:pPr>
        <w:ind w:firstLine="642" w:firstLineChars="200"/>
        <w:rPr>
          <w:rStyle w:val="12"/>
          <w:rFonts w:ascii="仿宋" w:hAnsi="仿宋" w:eastAsia="仿宋"/>
          <w:b w:val="0"/>
          <w:bCs/>
          <w:sz w:val="32"/>
          <w:szCs w:val="32"/>
        </w:rPr>
      </w:pPr>
      <w:r>
        <w:rPr>
          <w:rFonts w:hint="eastAsia" w:ascii="仿宋" w:hAnsi="仿宋" w:eastAsia="仿宋"/>
          <w:b/>
          <w:bCs/>
          <w:sz w:val="32"/>
          <w:szCs w:val="32"/>
        </w:rPr>
        <w:t>7.</w:t>
      </w:r>
      <w:r>
        <w:rPr>
          <w:rStyle w:val="12"/>
          <w:rFonts w:hint="eastAsia" w:ascii="仿宋" w:hAnsi="仿宋" w:eastAsia="仿宋"/>
          <w:bCs/>
          <w:sz w:val="32"/>
          <w:szCs w:val="32"/>
        </w:rPr>
        <w:t>公共安全（类）公安（款）其他公安支出（项）</w:t>
      </w:r>
      <w:r>
        <w:rPr>
          <w:rStyle w:val="12"/>
          <w:rFonts w:hint="eastAsia" w:ascii="仿宋" w:hAnsi="仿宋" w:eastAsia="仿宋"/>
          <w:bCs/>
          <w:sz w:val="32"/>
          <w:szCs w:val="32"/>
          <w:lang w:eastAsia="zh-CN"/>
        </w:rPr>
        <w:t>：</w:t>
      </w:r>
      <w:r>
        <w:rPr>
          <w:rStyle w:val="12"/>
          <w:rFonts w:hint="eastAsia" w:ascii="仿宋" w:hAnsi="仿宋" w:eastAsia="仿宋"/>
          <w:b w:val="0"/>
          <w:bCs/>
          <w:sz w:val="32"/>
          <w:szCs w:val="32"/>
        </w:rPr>
        <w:t>支出决算为1899.01万元，完成预算100%。</w:t>
      </w:r>
    </w:p>
    <w:p>
      <w:pPr>
        <w:ind w:firstLine="642" w:firstLineChars="200"/>
        <w:rPr>
          <w:rStyle w:val="12"/>
          <w:b w:val="0"/>
          <w:bCs/>
          <w:sz w:val="32"/>
          <w:szCs w:val="32"/>
        </w:rPr>
      </w:pPr>
      <w:r>
        <w:rPr>
          <w:rFonts w:hint="eastAsia" w:ascii="仿宋" w:hAnsi="仿宋" w:eastAsia="仿宋"/>
          <w:b/>
          <w:bCs/>
          <w:sz w:val="32"/>
          <w:szCs w:val="32"/>
        </w:rPr>
        <w:t>8.</w:t>
      </w:r>
      <w:r>
        <w:rPr>
          <w:rStyle w:val="12"/>
          <w:rFonts w:hint="eastAsia" w:ascii="仿宋" w:hAnsi="仿宋" w:eastAsia="仿宋"/>
          <w:bCs/>
          <w:sz w:val="32"/>
          <w:szCs w:val="32"/>
        </w:rPr>
        <w:t>公共安全（类）其他公共安全支出（款）国家司法救助支出（项）</w:t>
      </w:r>
      <w:r>
        <w:rPr>
          <w:rStyle w:val="12"/>
          <w:rFonts w:hint="eastAsia" w:ascii="仿宋" w:hAnsi="仿宋" w:eastAsia="仿宋"/>
          <w:bCs/>
          <w:sz w:val="32"/>
          <w:szCs w:val="32"/>
          <w:lang w:eastAsia="zh-CN"/>
        </w:rPr>
        <w:t>：</w:t>
      </w:r>
      <w:r>
        <w:rPr>
          <w:rStyle w:val="12"/>
          <w:rFonts w:hint="eastAsia" w:ascii="仿宋" w:hAnsi="仿宋" w:eastAsia="仿宋"/>
          <w:b w:val="0"/>
          <w:bCs/>
          <w:sz w:val="32"/>
          <w:szCs w:val="32"/>
        </w:rPr>
        <w:t>支出决算为</w:t>
      </w:r>
      <w:r>
        <w:rPr>
          <w:rFonts w:hint="eastAsia" w:ascii="仿宋" w:hAnsi="仿宋" w:eastAsia="仿宋" w:cs="Arial"/>
          <w:kern w:val="0"/>
          <w:sz w:val="32"/>
          <w:szCs w:val="32"/>
        </w:rPr>
        <w:t>5</w:t>
      </w:r>
      <w:r>
        <w:rPr>
          <w:rStyle w:val="12"/>
          <w:rFonts w:hint="eastAsia" w:ascii="仿宋" w:hAnsi="仿宋" w:eastAsia="仿宋"/>
          <w:b w:val="0"/>
          <w:bCs/>
          <w:sz w:val="32"/>
          <w:szCs w:val="32"/>
        </w:rPr>
        <w:t>万元，完成预算</w:t>
      </w:r>
      <w:r>
        <w:rPr>
          <w:rFonts w:hint="eastAsia" w:ascii="仿宋" w:hAnsi="仿宋" w:eastAsia="仿宋" w:cs="Arial"/>
          <w:kern w:val="0"/>
          <w:sz w:val="32"/>
          <w:szCs w:val="32"/>
        </w:rPr>
        <w:t>100%</w:t>
      </w:r>
      <w:r>
        <w:rPr>
          <w:rStyle w:val="12"/>
          <w:rFonts w:hint="eastAsia" w:ascii="仿宋" w:hAnsi="仿宋" w:eastAsia="仿宋"/>
          <w:b w:val="0"/>
          <w:bCs/>
          <w:sz w:val="32"/>
          <w:szCs w:val="32"/>
        </w:rPr>
        <w:t>。</w:t>
      </w:r>
    </w:p>
    <w:p>
      <w:pPr>
        <w:ind w:firstLine="642" w:firstLineChars="200"/>
        <w:rPr>
          <w:rFonts w:ascii="仿宋" w:hAnsi="仿宋" w:eastAsia="仿宋"/>
          <w:b/>
          <w:bCs/>
          <w:sz w:val="32"/>
          <w:szCs w:val="32"/>
        </w:rPr>
      </w:pPr>
      <w:r>
        <w:rPr>
          <w:rStyle w:val="12"/>
          <w:rFonts w:hint="eastAsia" w:ascii="仿宋" w:hAnsi="仿宋" w:eastAsia="仿宋"/>
          <w:bCs/>
          <w:sz w:val="32"/>
          <w:szCs w:val="32"/>
        </w:rPr>
        <w:t>10.社会保障和就业（类）行政事业单位养老支出（款）行政单位离退休（项）</w:t>
      </w:r>
      <w:r>
        <w:rPr>
          <w:rStyle w:val="12"/>
          <w:rFonts w:hint="eastAsia" w:ascii="仿宋" w:hAnsi="仿宋" w:eastAsia="仿宋"/>
          <w:bCs/>
          <w:sz w:val="32"/>
          <w:szCs w:val="32"/>
          <w:lang w:eastAsia="zh-CN"/>
        </w:rPr>
        <w:t>：</w:t>
      </w:r>
      <w:r>
        <w:rPr>
          <w:rStyle w:val="12"/>
          <w:rFonts w:hint="eastAsia" w:ascii="仿宋" w:hAnsi="仿宋" w:eastAsia="仿宋"/>
          <w:b w:val="0"/>
          <w:bCs/>
          <w:sz w:val="32"/>
          <w:szCs w:val="32"/>
        </w:rPr>
        <w:t>支出决算为</w:t>
      </w:r>
      <w:r>
        <w:rPr>
          <w:rFonts w:hint="eastAsia" w:ascii="宋体" w:hAnsi="宋体" w:eastAsia="仿宋" w:cs="Arial"/>
          <w:kern w:val="0"/>
          <w:sz w:val="32"/>
          <w:szCs w:val="32"/>
        </w:rPr>
        <w:t>34.78</w:t>
      </w:r>
      <w:r>
        <w:rPr>
          <w:rStyle w:val="12"/>
          <w:rFonts w:hint="eastAsia" w:ascii="仿宋" w:hAnsi="仿宋" w:eastAsia="仿宋"/>
          <w:b w:val="0"/>
          <w:bCs/>
          <w:sz w:val="32"/>
          <w:szCs w:val="32"/>
        </w:rPr>
        <w:t>万元，完成预算100</w:t>
      </w:r>
      <w:r>
        <w:rPr>
          <w:rStyle w:val="12"/>
          <w:rFonts w:ascii="仿宋" w:hAnsi="仿宋" w:eastAsia="仿宋"/>
          <w:b w:val="0"/>
          <w:bCs/>
          <w:sz w:val="32"/>
          <w:szCs w:val="32"/>
        </w:rPr>
        <w:t>%</w:t>
      </w:r>
      <w:r>
        <w:rPr>
          <w:rStyle w:val="12"/>
          <w:rFonts w:hint="eastAsia" w:ascii="仿宋" w:hAnsi="仿宋" w:eastAsia="仿宋"/>
          <w:b w:val="0"/>
          <w:bCs/>
          <w:sz w:val="32"/>
          <w:szCs w:val="32"/>
        </w:rPr>
        <w:t>。</w:t>
      </w:r>
    </w:p>
    <w:p>
      <w:pPr>
        <w:ind w:firstLine="642" w:firstLineChars="200"/>
        <w:rPr>
          <w:rStyle w:val="12"/>
          <w:rFonts w:ascii="仿宋" w:hAnsi="仿宋" w:eastAsia="仿宋"/>
          <w:b w:val="0"/>
          <w:bCs/>
          <w:color w:val="000000" w:themeColor="text1"/>
          <w:sz w:val="32"/>
          <w:szCs w:val="32"/>
        </w:rPr>
      </w:pPr>
      <w:r>
        <w:rPr>
          <w:rStyle w:val="12"/>
          <w:rFonts w:hint="eastAsia" w:ascii="仿宋" w:hAnsi="仿宋" w:eastAsia="仿宋"/>
          <w:bCs/>
          <w:sz w:val="32"/>
          <w:szCs w:val="32"/>
        </w:rPr>
        <w:t>11.社会保障和就业（类）行政事业单位养老支出（款）机关事业单位基本养老保险</w:t>
      </w:r>
      <w:r>
        <w:rPr>
          <w:rStyle w:val="12"/>
          <w:rFonts w:hint="eastAsia" w:ascii="仿宋" w:hAnsi="仿宋" w:eastAsia="仿宋"/>
          <w:bCs/>
          <w:color w:val="000000" w:themeColor="text1"/>
          <w:sz w:val="32"/>
          <w:szCs w:val="32"/>
        </w:rPr>
        <w:t>缴费支出（项）</w:t>
      </w:r>
      <w:r>
        <w:rPr>
          <w:rStyle w:val="12"/>
          <w:rFonts w:hint="eastAsia" w:ascii="仿宋" w:hAnsi="仿宋" w:eastAsia="仿宋"/>
          <w:bCs/>
          <w:color w:val="000000" w:themeColor="text1"/>
          <w:sz w:val="32"/>
          <w:szCs w:val="32"/>
          <w:lang w:eastAsia="zh-CN"/>
        </w:rPr>
        <w:t>：</w:t>
      </w:r>
      <w:r>
        <w:rPr>
          <w:rStyle w:val="12"/>
          <w:rFonts w:hint="eastAsia" w:ascii="仿宋" w:hAnsi="仿宋" w:eastAsia="仿宋"/>
          <w:b w:val="0"/>
          <w:bCs/>
          <w:color w:val="000000" w:themeColor="text1"/>
          <w:sz w:val="32"/>
          <w:szCs w:val="32"/>
        </w:rPr>
        <w:t>支出决算为</w:t>
      </w:r>
      <w:r>
        <w:rPr>
          <w:rFonts w:hint="eastAsia" w:ascii="宋体" w:hAnsi="宋体" w:eastAsia="仿宋" w:cs="Arial"/>
          <w:color w:val="000000" w:themeColor="text1"/>
          <w:kern w:val="0"/>
          <w:sz w:val="32"/>
          <w:szCs w:val="32"/>
        </w:rPr>
        <w:t>847.93</w:t>
      </w:r>
      <w:r>
        <w:rPr>
          <w:rStyle w:val="12"/>
          <w:rFonts w:hint="eastAsia" w:ascii="仿宋" w:hAnsi="仿宋" w:eastAsia="仿宋"/>
          <w:b w:val="0"/>
          <w:bCs/>
          <w:color w:val="000000" w:themeColor="text1"/>
          <w:sz w:val="32"/>
          <w:szCs w:val="32"/>
        </w:rPr>
        <w:t>万元，完成预算99.29</w:t>
      </w:r>
      <w:r>
        <w:rPr>
          <w:rStyle w:val="12"/>
          <w:rFonts w:ascii="仿宋" w:hAnsi="仿宋" w:eastAsia="仿宋"/>
          <w:b w:val="0"/>
          <w:bCs/>
          <w:color w:val="000000" w:themeColor="text1"/>
          <w:sz w:val="32"/>
          <w:szCs w:val="32"/>
        </w:rPr>
        <w:t>%</w:t>
      </w:r>
      <w:r>
        <w:rPr>
          <w:rStyle w:val="12"/>
          <w:rFonts w:hint="eastAsia" w:ascii="仿宋" w:hAnsi="仿宋" w:eastAsia="仿宋"/>
          <w:b w:val="0"/>
          <w:bCs/>
          <w:color w:val="000000" w:themeColor="text1"/>
          <w:sz w:val="32"/>
          <w:szCs w:val="32"/>
          <w:lang w:eastAsia="zh-CN"/>
        </w:rPr>
        <w:t>，</w:t>
      </w:r>
      <w:r>
        <w:rPr>
          <w:rStyle w:val="12"/>
          <w:rFonts w:hint="eastAsia" w:ascii="仿宋" w:hAnsi="仿宋" w:eastAsia="仿宋"/>
          <w:b w:val="0"/>
          <w:bCs/>
          <w:color w:val="000000" w:themeColor="text1"/>
          <w:sz w:val="32"/>
          <w:szCs w:val="32"/>
        </w:rPr>
        <w:t>决算数小于预算数的主要原因是为新进人员跨年缴纳养老保险</w:t>
      </w:r>
      <w:r>
        <w:rPr>
          <w:rStyle w:val="12"/>
          <w:rFonts w:hint="eastAsia" w:ascii="仿宋_GB2312" w:hAnsi="仿宋_GB2312" w:eastAsia="仿宋_GB2312" w:cs="仿宋_GB2312"/>
          <w:b w:val="0"/>
          <w:bCs/>
          <w:color w:val="000000" w:themeColor="text1"/>
          <w:sz w:val="32"/>
          <w:szCs w:val="32"/>
        </w:rPr>
        <w:t>。</w:t>
      </w:r>
      <w:r>
        <w:rPr>
          <w:rStyle w:val="12"/>
          <w:rFonts w:hint="eastAsia" w:ascii="仿宋" w:hAnsi="仿宋" w:eastAsia="仿宋"/>
          <w:b w:val="0"/>
          <w:bCs/>
          <w:color w:val="000000" w:themeColor="text1"/>
          <w:sz w:val="32"/>
          <w:szCs w:val="32"/>
        </w:rPr>
        <w:t xml:space="preserve">   </w:t>
      </w:r>
    </w:p>
    <w:p>
      <w:pPr>
        <w:ind w:firstLine="660"/>
        <w:rPr>
          <w:rStyle w:val="12"/>
          <w:rFonts w:ascii="仿宋" w:hAnsi="仿宋" w:eastAsia="仿宋"/>
          <w:b w:val="0"/>
          <w:bCs/>
          <w:sz w:val="32"/>
          <w:szCs w:val="32"/>
        </w:rPr>
      </w:pPr>
      <w:r>
        <w:rPr>
          <w:rStyle w:val="12"/>
          <w:rFonts w:hint="eastAsia" w:ascii="仿宋" w:hAnsi="仿宋" w:eastAsia="仿宋"/>
          <w:bCs/>
          <w:sz w:val="32"/>
          <w:szCs w:val="32"/>
        </w:rPr>
        <w:t>12</w:t>
      </w:r>
      <w:r>
        <w:rPr>
          <w:rStyle w:val="12"/>
          <w:rFonts w:ascii="仿宋" w:hAnsi="仿宋" w:eastAsia="仿宋"/>
          <w:bCs/>
          <w:sz w:val="32"/>
          <w:szCs w:val="32"/>
        </w:rPr>
        <w:t>.</w:t>
      </w:r>
      <w:r>
        <w:rPr>
          <w:rStyle w:val="12"/>
          <w:rFonts w:hint="eastAsia" w:ascii="仿宋" w:hAnsi="仿宋" w:eastAsia="仿宋"/>
          <w:bCs/>
          <w:sz w:val="32"/>
          <w:szCs w:val="32"/>
        </w:rPr>
        <w:t>社会保障和就业（类）行政事业单位养老支出（款）机关事业单位职业年金缴费支出（项）</w:t>
      </w:r>
      <w:r>
        <w:rPr>
          <w:rStyle w:val="12"/>
          <w:rFonts w:hint="eastAsia" w:ascii="仿宋" w:hAnsi="仿宋" w:eastAsia="仿宋"/>
          <w:bCs/>
          <w:sz w:val="32"/>
          <w:szCs w:val="32"/>
          <w:lang w:eastAsia="zh-CN"/>
        </w:rPr>
        <w:t>：</w:t>
      </w:r>
      <w:r>
        <w:rPr>
          <w:rStyle w:val="12"/>
          <w:rFonts w:hint="eastAsia" w:ascii="仿宋" w:hAnsi="仿宋" w:eastAsia="仿宋"/>
          <w:b w:val="0"/>
          <w:bCs/>
          <w:sz w:val="32"/>
          <w:szCs w:val="32"/>
        </w:rPr>
        <w:t>支出决算为</w:t>
      </w:r>
      <w:r>
        <w:rPr>
          <w:rFonts w:hint="eastAsia" w:ascii="宋体" w:hAnsi="宋体" w:eastAsia="仿宋" w:cs="Arial"/>
          <w:kern w:val="0"/>
          <w:sz w:val="32"/>
          <w:szCs w:val="32"/>
        </w:rPr>
        <w:t>186.72</w:t>
      </w:r>
      <w:r>
        <w:rPr>
          <w:rStyle w:val="12"/>
          <w:rFonts w:hint="eastAsia" w:ascii="仿宋" w:hAnsi="仿宋" w:eastAsia="仿宋"/>
          <w:b w:val="0"/>
          <w:bCs/>
          <w:sz w:val="32"/>
          <w:szCs w:val="32"/>
        </w:rPr>
        <w:t>万元，完成预算100</w:t>
      </w:r>
      <w:r>
        <w:rPr>
          <w:rStyle w:val="12"/>
          <w:rFonts w:ascii="仿宋" w:hAnsi="仿宋" w:eastAsia="仿宋"/>
          <w:b w:val="0"/>
          <w:bCs/>
          <w:sz w:val="32"/>
          <w:szCs w:val="32"/>
        </w:rPr>
        <w:t>%</w:t>
      </w:r>
      <w:r>
        <w:rPr>
          <w:rStyle w:val="12"/>
          <w:rFonts w:hint="eastAsia" w:ascii="仿宋" w:hAnsi="仿宋" w:eastAsia="仿宋"/>
          <w:b w:val="0"/>
          <w:bCs/>
          <w:sz w:val="32"/>
          <w:szCs w:val="32"/>
        </w:rPr>
        <w:t>。</w:t>
      </w:r>
    </w:p>
    <w:p>
      <w:pPr>
        <w:ind w:firstLine="660"/>
        <w:rPr>
          <w:rStyle w:val="12"/>
          <w:rFonts w:hint="eastAsia" w:ascii="仿宋" w:hAnsi="仿宋" w:eastAsia="仿宋"/>
          <w:b w:val="0"/>
          <w:bCs/>
          <w:sz w:val="32"/>
          <w:szCs w:val="32"/>
        </w:rPr>
      </w:pPr>
      <w:r>
        <w:rPr>
          <w:rStyle w:val="12"/>
          <w:rFonts w:hint="eastAsia" w:ascii="仿宋" w:hAnsi="仿宋" w:eastAsia="仿宋"/>
          <w:bCs/>
          <w:sz w:val="32"/>
          <w:szCs w:val="32"/>
        </w:rPr>
        <w:t>13</w:t>
      </w:r>
      <w:r>
        <w:rPr>
          <w:rStyle w:val="12"/>
          <w:rFonts w:ascii="仿宋" w:hAnsi="仿宋" w:eastAsia="仿宋"/>
          <w:bCs/>
          <w:sz w:val="32"/>
          <w:szCs w:val="32"/>
        </w:rPr>
        <w:t>.</w:t>
      </w:r>
      <w:r>
        <w:rPr>
          <w:rStyle w:val="12"/>
          <w:rFonts w:hint="eastAsia" w:ascii="仿宋" w:hAnsi="仿宋" w:eastAsia="仿宋"/>
          <w:bCs/>
          <w:sz w:val="32"/>
          <w:szCs w:val="32"/>
        </w:rPr>
        <w:t>社会保障和就业（类）抚恤（款）死亡抚恤（项）</w:t>
      </w:r>
      <w:r>
        <w:rPr>
          <w:rStyle w:val="12"/>
          <w:rFonts w:hint="eastAsia" w:ascii="仿宋" w:hAnsi="仿宋" w:eastAsia="仿宋"/>
          <w:bCs/>
          <w:sz w:val="32"/>
          <w:szCs w:val="32"/>
          <w:lang w:eastAsia="zh-CN"/>
        </w:rPr>
        <w:t>：</w:t>
      </w:r>
      <w:r>
        <w:rPr>
          <w:rStyle w:val="12"/>
          <w:rFonts w:hint="eastAsia" w:ascii="仿宋" w:hAnsi="仿宋" w:eastAsia="仿宋"/>
          <w:b w:val="0"/>
          <w:bCs/>
          <w:sz w:val="32"/>
          <w:szCs w:val="32"/>
        </w:rPr>
        <w:t>支出决算为</w:t>
      </w:r>
      <w:r>
        <w:rPr>
          <w:rFonts w:hint="eastAsia" w:ascii="宋体" w:hAnsi="宋体" w:eastAsia="仿宋" w:cs="Arial"/>
          <w:kern w:val="0"/>
          <w:sz w:val="32"/>
          <w:szCs w:val="32"/>
        </w:rPr>
        <w:t>127.65</w:t>
      </w:r>
      <w:r>
        <w:rPr>
          <w:rStyle w:val="12"/>
          <w:rFonts w:hint="eastAsia" w:ascii="仿宋" w:hAnsi="仿宋" w:eastAsia="仿宋"/>
          <w:b w:val="0"/>
          <w:bCs/>
          <w:sz w:val="32"/>
          <w:szCs w:val="32"/>
        </w:rPr>
        <w:t>万元，完成预算100</w:t>
      </w:r>
      <w:r>
        <w:rPr>
          <w:rStyle w:val="12"/>
          <w:rFonts w:ascii="仿宋" w:hAnsi="仿宋" w:eastAsia="仿宋"/>
          <w:b w:val="0"/>
          <w:bCs/>
          <w:sz w:val="32"/>
          <w:szCs w:val="32"/>
        </w:rPr>
        <w:t>%</w:t>
      </w:r>
      <w:r>
        <w:rPr>
          <w:rStyle w:val="12"/>
          <w:rFonts w:hint="eastAsia" w:ascii="仿宋" w:hAnsi="仿宋" w:eastAsia="仿宋"/>
          <w:b w:val="0"/>
          <w:bCs/>
          <w:sz w:val="32"/>
          <w:szCs w:val="32"/>
        </w:rPr>
        <w:t>。</w:t>
      </w:r>
    </w:p>
    <w:p>
      <w:pPr>
        <w:pStyle w:val="2"/>
        <w:ind w:firstLine="629" w:firstLineChars="196"/>
        <w:rPr>
          <w:rFonts w:ascii="仿宋" w:hAnsi="仿宋" w:eastAsia="仿宋"/>
          <w:bCs/>
          <w:sz w:val="32"/>
          <w:szCs w:val="32"/>
        </w:rPr>
      </w:pPr>
      <w:r>
        <w:rPr>
          <w:rFonts w:hint="eastAsia" w:ascii="仿宋" w:hAnsi="仿宋" w:eastAsia="仿宋"/>
          <w:b/>
          <w:sz w:val="32"/>
          <w:szCs w:val="32"/>
        </w:rPr>
        <w:t>9.</w:t>
      </w:r>
      <w:r>
        <w:rPr>
          <w:rStyle w:val="12"/>
          <w:rFonts w:hint="eastAsia" w:ascii="仿宋" w:hAnsi="仿宋" w:eastAsia="仿宋"/>
          <w:bCs/>
          <w:sz w:val="32"/>
          <w:szCs w:val="32"/>
        </w:rPr>
        <w:t xml:space="preserve"> 社会保障和就业（类）其他社会保障和就业支出（款）其他社会保障和就业支出（项）</w:t>
      </w:r>
      <w:r>
        <w:rPr>
          <w:rStyle w:val="12"/>
          <w:rFonts w:hint="eastAsia" w:ascii="仿宋" w:hAnsi="仿宋" w:eastAsia="仿宋"/>
          <w:bCs/>
          <w:sz w:val="32"/>
          <w:szCs w:val="32"/>
          <w:lang w:eastAsia="zh-CN"/>
        </w:rPr>
        <w:t>：</w:t>
      </w:r>
      <w:r>
        <w:rPr>
          <w:rStyle w:val="12"/>
          <w:rFonts w:hint="eastAsia" w:ascii="仿宋" w:hAnsi="仿宋" w:eastAsia="仿宋"/>
          <w:b w:val="0"/>
          <w:bCs/>
          <w:sz w:val="32"/>
          <w:szCs w:val="32"/>
        </w:rPr>
        <w:t>支出决算为</w:t>
      </w:r>
      <w:r>
        <w:rPr>
          <w:rFonts w:hint="eastAsia" w:ascii="宋体" w:hAnsi="宋体" w:eastAsia="仿宋" w:cs="Arial"/>
          <w:kern w:val="0"/>
          <w:sz w:val="32"/>
          <w:szCs w:val="32"/>
        </w:rPr>
        <w:t>19.36</w:t>
      </w:r>
      <w:r>
        <w:rPr>
          <w:rStyle w:val="12"/>
          <w:rFonts w:hint="eastAsia" w:ascii="仿宋" w:hAnsi="仿宋" w:eastAsia="仿宋"/>
          <w:b w:val="0"/>
          <w:bCs/>
          <w:sz w:val="32"/>
          <w:szCs w:val="32"/>
        </w:rPr>
        <w:t>万元，完成预算100</w:t>
      </w:r>
      <w:r>
        <w:rPr>
          <w:rStyle w:val="12"/>
          <w:rFonts w:ascii="仿宋" w:hAnsi="仿宋" w:eastAsia="仿宋"/>
          <w:b w:val="0"/>
          <w:bCs/>
          <w:sz w:val="32"/>
          <w:szCs w:val="32"/>
        </w:rPr>
        <w:t>%</w:t>
      </w:r>
      <w:r>
        <w:rPr>
          <w:rStyle w:val="12"/>
          <w:rFonts w:hint="eastAsia" w:ascii="仿宋" w:hAnsi="仿宋" w:eastAsia="仿宋"/>
          <w:b w:val="0"/>
          <w:bCs/>
          <w:sz w:val="32"/>
          <w:szCs w:val="32"/>
        </w:rPr>
        <w:t>。</w:t>
      </w:r>
    </w:p>
    <w:p>
      <w:pPr>
        <w:ind w:firstLine="642" w:firstLineChars="200"/>
        <w:rPr>
          <w:rFonts w:ascii="仿宋" w:hAnsi="仿宋" w:eastAsia="仿宋"/>
          <w:bCs/>
          <w:color w:val="000000" w:themeColor="text1"/>
          <w:sz w:val="32"/>
          <w:szCs w:val="32"/>
        </w:rPr>
      </w:pPr>
      <w:r>
        <w:rPr>
          <w:rStyle w:val="12"/>
          <w:rFonts w:hint="eastAsia" w:ascii="仿宋" w:hAnsi="仿宋" w:eastAsia="仿宋"/>
          <w:bCs/>
          <w:sz w:val="32"/>
          <w:szCs w:val="32"/>
        </w:rPr>
        <w:t>14</w:t>
      </w:r>
      <w:r>
        <w:rPr>
          <w:rStyle w:val="12"/>
          <w:rFonts w:ascii="仿宋" w:hAnsi="仿宋" w:eastAsia="仿宋"/>
          <w:bCs/>
          <w:sz w:val="32"/>
          <w:szCs w:val="32"/>
        </w:rPr>
        <w:t>.</w:t>
      </w:r>
      <w:r>
        <w:rPr>
          <w:rStyle w:val="12"/>
          <w:rFonts w:hint="eastAsia" w:ascii="仿宋" w:hAnsi="仿宋" w:eastAsia="仿宋"/>
          <w:bCs/>
          <w:sz w:val="32"/>
          <w:szCs w:val="32"/>
        </w:rPr>
        <w:t>卫生健康支出（类）行政事业单位医疗（款）行政</w:t>
      </w:r>
      <w:r>
        <w:rPr>
          <w:rStyle w:val="12"/>
          <w:rFonts w:hint="eastAsia" w:ascii="仿宋" w:hAnsi="仿宋" w:eastAsia="仿宋"/>
          <w:bCs/>
          <w:color w:val="000000" w:themeColor="text1"/>
          <w:sz w:val="32"/>
          <w:szCs w:val="32"/>
        </w:rPr>
        <w:t>单位医疗（项）</w:t>
      </w:r>
      <w:r>
        <w:rPr>
          <w:rStyle w:val="12"/>
          <w:rFonts w:hint="eastAsia" w:ascii="仿宋" w:hAnsi="仿宋" w:eastAsia="仿宋"/>
          <w:bCs/>
          <w:color w:val="000000" w:themeColor="text1"/>
          <w:sz w:val="32"/>
          <w:szCs w:val="32"/>
          <w:lang w:eastAsia="zh-CN"/>
        </w:rPr>
        <w:t>：</w:t>
      </w:r>
      <w:r>
        <w:rPr>
          <w:rStyle w:val="12"/>
          <w:rFonts w:hint="eastAsia" w:ascii="仿宋" w:hAnsi="仿宋" w:eastAsia="仿宋"/>
          <w:b w:val="0"/>
          <w:bCs/>
          <w:color w:val="000000" w:themeColor="text1"/>
          <w:sz w:val="32"/>
          <w:szCs w:val="32"/>
        </w:rPr>
        <w:t>支出决算为</w:t>
      </w:r>
      <w:r>
        <w:rPr>
          <w:rFonts w:hint="eastAsia" w:ascii="宋体" w:hAnsi="宋体" w:eastAsia="仿宋" w:cs="Arial"/>
          <w:color w:val="000000" w:themeColor="text1"/>
          <w:kern w:val="0"/>
          <w:sz w:val="32"/>
          <w:szCs w:val="32"/>
        </w:rPr>
        <w:t>294.1</w:t>
      </w:r>
      <w:r>
        <w:rPr>
          <w:rStyle w:val="12"/>
          <w:rFonts w:hint="eastAsia" w:ascii="仿宋" w:hAnsi="仿宋" w:eastAsia="仿宋"/>
          <w:b w:val="0"/>
          <w:bCs/>
          <w:color w:val="000000" w:themeColor="text1"/>
          <w:sz w:val="32"/>
          <w:szCs w:val="32"/>
        </w:rPr>
        <w:t>万元，完成预算</w:t>
      </w:r>
      <w:r>
        <w:rPr>
          <w:rFonts w:hint="eastAsia" w:ascii="宋体" w:hAnsi="宋体" w:eastAsia="仿宋" w:cs="Arial"/>
          <w:color w:val="000000" w:themeColor="text1"/>
          <w:kern w:val="0"/>
          <w:sz w:val="32"/>
          <w:szCs w:val="32"/>
        </w:rPr>
        <w:t>73.91</w:t>
      </w:r>
      <w:r>
        <w:rPr>
          <w:rFonts w:hint="eastAsia" w:ascii="宋体" w:hAnsi="宋体" w:cs="Arial"/>
          <w:color w:val="000000" w:themeColor="text1"/>
          <w:kern w:val="0"/>
          <w:sz w:val="32"/>
          <w:szCs w:val="32"/>
        </w:rPr>
        <w:t>%</w:t>
      </w:r>
      <w:r>
        <w:rPr>
          <w:rFonts w:hint="eastAsia" w:ascii="宋体" w:hAnsi="宋体" w:cs="Arial"/>
          <w:color w:val="000000" w:themeColor="text1"/>
          <w:kern w:val="0"/>
          <w:sz w:val="32"/>
          <w:szCs w:val="32"/>
          <w:lang w:eastAsia="zh-CN"/>
        </w:rPr>
        <w:t>，</w:t>
      </w:r>
      <w:r>
        <w:rPr>
          <w:rStyle w:val="12"/>
          <w:rFonts w:hint="eastAsia" w:ascii="仿宋" w:hAnsi="仿宋" w:eastAsia="仿宋"/>
          <w:b w:val="0"/>
          <w:bCs/>
          <w:color w:val="000000" w:themeColor="text1"/>
          <w:sz w:val="32"/>
          <w:szCs w:val="32"/>
        </w:rPr>
        <w:t xml:space="preserve">决算数小于预算数的主要原因是新进人员医疗保险费跨年缴纳。  </w:t>
      </w:r>
    </w:p>
    <w:p>
      <w:pPr>
        <w:spacing w:line="600" w:lineRule="exact"/>
        <w:ind w:firstLine="642" w:firstLineChars="200"/>
        <w:rPr>
          <w:rFonts w:ascii="仿宋" w:hAnsi="仿宋" w:eastAsia="仿宋"/>
          <w:b/>
          <w:bCs/>
          <w:sz w:val="32"/>
          <w:szCs w:val="32"/>
        </w:rPr>
      </w:pPr>
      <w:r>
        <w:rPr>
          <w:rStyle w:val="12"/>
          <w:rFonts w:hint="eastAsia" w:ascii="仿宋" w:hAnsi="仿宋" w:eastAsia="仿宋"/>
          <w:bCs/>
          <w:sz w:val="32"/>
          <w:szCs w:val="32"/>
        </w:rPr>
        <w:t>15</w:t>
      </w:r>
      <w:r>
        <w:rPr>
          <w:rStyle w:val="12"/>
          <w:rFonts w:ascii="仿宋" w:hAnsi="仿宋" w:eastAsia="仿宋"/>
          <w:bCs/>
          <w:sz w:val="32"/>
          <w:szCs w:val="32"/>
        </w:rPr>
        <w:t>.</w:t>
      </w:r>
      <w:r>
        <w:rPr>
          <w:rStyle w:val="12"/>
          <w:rFonts w:hint="eastAsia" w:ascii="仿宋" w:hAnsi="仿宋" w:eastAsia="仿宋"/>
          <w:bCs/>
          <w:sz w:val="32"/>
          <w:szCs w:val="32"/>
        </w:rPr>
        <w:t>住房保障支出（类）住房改革支出（款）住房公积金（项）</w:t>
      </w:r>
      <w:r>
        <w:rPr>
          <w:rStyle w:val="12"/>
          <w:rFonts w:hint="eastAsia" w:ascii="仿宋" w:hAnsi="仿宋" w:eastAsia="仿宋"/>
          <w:bCs/>
          <w:sz w:val="32"/>
          <w:szCs w:val="32"/>
          <w:lang w:eastAsia="zh-CN"/>
        </w:rPr>
        <w:t>：</w:t>
      </w:r>
      <w:r>
        <w:rPr>
          <w:rStyle w:val="12"/>
          <w:rFonts w:hint="eastAsia" w:ascii="仿宋" w:hAnsi="仿宋" w:eastAsia="仿宋"/>
          <w:b w:val="0"/>
          <w:bCs/>
          <w:sz w:val="32"/>
          <w:szCs w:val="32"/>
        </w:rPr>
        <w:t>支出决算为</w:t>
      </w:r>
      <w:r>
        <w:rPr>
          <w:rFonts w:hint="eastAsia" w:ascii="宋体" w:hAnsi="宋体" w:eastAsia="仿宋" w:cs="Arial"/>
          <w:kern w:val="0"/>
          <w:sz w:val="32"/>
          <w:szCs w:val="32"/>
        </w:rPr>
        <w:t>939.79</w:t>
      </w:r>
      <w:r>
        <w:rPr>
          <w:rStyle w:val="12"/>
          <w:rFonts w:hint="eastAsia" w:ascii="仿宋" w:hAnsi="仿宋" w:eastAsia="仿宋"/>
          <w:b w:val="0"/>
          <w:bCs/>
          <w:sz w:val="32"/>
          <w:szCs w:val="32"/>
        </w:rPr>
        <w:t>万元，完成预算100</w:t>
      </w:r>
      <w:r>
        <w:rPr>
          <w:rStyle w:val="12"/>
          <w:rFonts w:ascii="仿宋" w:hAnsi="仿宋" w:eastAsia="仿宋"/>
          <w:b w:val="0"/>
          <w:bCs/>
          <w:sz w:val="32"/>
          <w:szCs w:val="32"/>
        </w:rPr>
        <w:t>%</w:t>
      </w:r>
      <w:r>
        <w:rPr>
          <w:rStyle w:val="12"/>
          <w:rFonts w:hint="eastAsia" w:ascii="仿宋" w:hAnsi="仿宋" w:eastAsia="仿宋"/>
          <w:b w:val="0"/>
          <w:bCs/>
          <w:sz w:val="32"/>
          <w:szCs w:val="32"/>
        </w:rPr>
        <w:t>。</w:t>
      </w:r>
    </w:p>
    <w:p>
      <w:pPr>
        <w:tabs>
          <w:tab w:val="right" w:pos="8306"/>
        </w:tabs>
        <w:spacing w:line="600" w:lineRule="exact"/>
        <w:ind w:firstLine="640"/>
        <w:outlineLvl w:val="1"/>
        <w:rPr>
          <w:rStyle w:val="14"/>
        </w:rPr>
      </w:pPr>
      <w:bookmarkStart w:id="25" w:name="_Toc10379"/>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14"/>
          <w:rFonts w:hint="eastAsia" w:ascii="黑体" w:hAnsi="黑体" w:eastAsia="黑体"/>
          <w:b w:val="0"/>
        </w:rPr>
        <w:t>般公共预算财政拨款基本支出决算情况说明</w:t>
      </w:r>
      <w:bookmarkEnd w:id="25"/>
      <w:r>
        <w:rPr>
          <w:rStyle w:val="14"/>
          <w:rFonts w:ascii="黑体" w:hAnsi="黑体" w:eastAsia="黑体"/>
          <w:b w:val="0"/>
        </w:rPr>
        <w:tab/>
      </w:r>
    </w:p>
    <w:p>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2024年度一般公共预算财政拨款基本支出12764.01万元，其中：</w:t>
      </w:r>
    </w:p>
    <w:p>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11042.22万元，主要包括：基本工资、津贴补贴、奖金、绩效工资、机关事业单位基本养老保险缴费、职业年金缴费、职工基本医疗保险缴费、其他社会保障缴费、住房公积金、其他工资福利支出、抚恤金、生活补助、奖励金、其他对个人和家庭的补助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公用经费1721.79万元，主要包括：办公费、印刷费、咨询费、水费、电费、邮电费、物业管理费、差旅费、维修（护）费、会议费、培训费、公务接待费、专用材料费、劳务费、委托业务费、工会经费、福利费、公务用车运行维护费、其他交通费用、其他商品和服务支出、办公设备购置、专用设备购置。</w:t>
      </w:r>
    </w:p>
    <w:p>
      <w:pPr>
        <w:spacing w:line="600" w:lineRule="exact"/>
        <w:ind w:firstLine="640"/>
        <w:outlineLvl w:val="1"/>
        <w:rPr>
          <w:rStyle w:val="14"/>
          <w:rFonts w:ascii="黑体" w:hAnsi="黑体" w:eastAsia="黑体"/>
          <w:b w:val="0"/>
        </w:rPr>
      </w:pPr>
      <w:bookmarkStart w:id="26" w:name="_Toc17983"/>
      <w:r>
        <w:rPr>
          <w:rFonts w:hint="eastAsia" w:ascii="黑体" w:eastAsia="黑体"/>
          <w:sz w:val="32"/>
          <w:szCs w:val="32"/>
        </w:rPr>
        <w:t>七、</w:t>
      </w:r>
      <w:r>
        <w:rPr>
          <w:rStyle w:val="14"/>
          <w:rFonts w:hint="eastAsia" w:ascii="黑体" w:hAnsi="黑体" w:eastAsia="黑体"/>
          <w:b w:val="0"/>
        </w:rPr>
        <w:t>财政拨款</w:t>
      </w:r>
      <w:r>
        <w:rPr>
          <w:rStyle w:val="14"/>
          <w:rFonts w:hint="eastAsia" w:ascii="黑体" w:hAnsi="黑体" w:eastAsia="黑体"/>
        </w:rPr>
        <w:t>“</w:t>
      </w:r>
      <w:r>
        <w:rPr>
          <w:rStyle w:val="14"/>
          <w:rFonts w:hint="eastAsia" w:ascii="黑体" w:hAnsi="黑体" w:eastAsia="黑体"/>
          <w:b w:val="0"/>
        </w:rPr>
        <w:t>三公”经费支出决算情况说明</w:t>
      </w:r>
      <w:bookmarkEnd w:id="26"/>
    </w:p>
    <w:p>
      <w:pPr>
        <w:spacing w:line="600" w:lineRule="exact"/>
        <w:ind w:firstLine="640"/>
        <w:outlineLvl w:val="2"/>
        <w:rPr>
          <w:rFonts w:ascii="仿宋_GB2312" w:hAnsi="仿宋_GB2312" w:eastAsia="仿宋_GB2312" w:cs="仿宋_GB2312"/>
          <w:b/>
          <w:sz w:val="32"/>
          <w:szCs w:val="32"/>
        </w:rPr>
      </w:pPr>
      <w:r>
        <w:rPr>
          <w:rFonts w:hint="eastAsia" w:ascii="仿宋_GB2312" w:hAnsi="仿宋_GB2312" w:eastAsia="仿宋_GB2312" w:cs="仿宋_GB2312"/>
          <w:b/>
          <w:sz w:val="32"/>
          <w:szCs w:val="32"/>
        </w:rPr>
        <w:t>（一）“三公”经费财政拨款支出决算总体情况说明</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2024年度“三公”经费财政拨款支出决算为369.29万元，完成预算100%，较上年度减少10.99万元，下降2.89%。决算数与预算数持平。</w:t>
      </w:r>
    </w:p>
    <w:p>
      <w:pPr>
        <w:spacing w:line="600" w:lineRule="exact"/>
        <w:ind w:firstLine="640"/>
        <w:outlineLvl w:val="2"/>
        <w:rPr>
          <w:rFonts w:ascii="仿宋_GB2312" w:hAnsi="仿宋_GB2312" w:eastAsia="仿宋_GB2312" w:cs="仿宋_GB2312"/>
          <w:b/>
          <w:sz w:val="32"/>
          <w:szCs w:val="32"/>
        </w:rPr>
      </w:pPr>
      <w:r>
        <w:rPr>
          <w:rFonts w:hint="eastAsia" w:ascii="仿宋_GB2312" w:hAnsi="仿宋_GB2312" w:eastAsia="仿宋_GB2312" w:cs="仿宋_GB2312"/>
          <w:b/>
          <w:sz w:val="32"/>
          <w:szCs w:val="32"/>
        </w:rPr>
        <w:t>（二）“三公”经费财政拨款支出决算具体情况说明</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2024年度“三公”经费财政拨款支出决算中，因公出国（境）费支出决算0万元，占0%；公务用车购置及运行维护费支出决算367.65万元，占99.56%；公务接待费支出决算1.64万元，占0.44%。具体情况如下：</w:t>
      </w:r>
    </w:p>
    <w:p>
      <w:pPr>
        <w:pStyle w:val="2"/>
      </w:pPr>
      <w:r>
        <w:rPr>
          <w:rFonts w:hint="eastAsia"/>
        </w:rPr>
        <w:drawing>
          <wp:inline distT="0" distB="0" distL="0" distR="0">
            <wp:extent cx="5274310" cy="3076575"/>
            <wp:effectExtent l="6350" t="6350" r="15240" b="1587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（图7：“三公”经费财政拨款支出结构）</w:t>
      </w:r>
    </w:p>
    <w:p>
      <w:pPr>
        <w:spacing w:line="600" w:lineRule="exact"/>
        <w:ind w:firstLine="640"/>
        <w:rPr>
          <w:rFonts w:ascii="仿宋" w:hAnsi="仿宋" w:eastAsia="仿宋"/>
          <w:sz w:val="32"/>
          <w:szCs w:val="32"/>
        </w:rPr>
      </w:pPr>
      <w:r>
        <w:rPr>
          <w:rFonts w:hint="eastAsia" w:ascii="仿宋_GB2312" w:hAnsi="仿宋_GB2312" w:eastAsia="仿宋_GB2312" w:cs="仿宋_GB2312"/>
          <w:b/>
          <w:sz w:val="32"/>
          <w:szCs w:val="32"/>
        </w:rPr>
        <w:t>1.</w:t>
      </w:r>
      <w:r>
        <w:rPr>
          <w:rFonts w:hint="eastAsia" w:ascii="仿宋" w:hAnsi="仿宋" w:eastAsia="仿宋"/>
          <w:b/>
          <w:sz w:val="32"/>
          <w:szCs w:val="32"/>
        </w:rPr>
        <w:t>因公出国</w:t>
      </w:r>
      <w:r>
        <w:rPr>
          <w:rFonts w:hint="eastAsia" w:ascii="仿宋_GB2312" w:eastAsia="仿宋_GB2312"/>
          <w:b/>
          <w:sz w:val="32"/>
          <w:szCs w:val="32"/>
        </w:rPr>
        <w:t>（境）</w:t>
      </w:r>
      <w:r>
        <w:rPr>
          <w:rFonts w:hint="eastAsia" w:ascii="仿宋" w:hAnsi="仿宋" w:eastAsia="仿宋"/>
          <w:b/>
          <w:sz w:val="32"/>
          <w:szCs w:val="32"/>
        </w:rPr>
        <w:t>经费支出</w:t>
      </w:r>
      <w:r>
        <w:rPr>
          <w:rFonts w:hint="eastAsia" w:ascii="仿宋" w:hAnsi="仿宋" w:eastAsia="仿宋"/>
          <w:sz w:val="32"/>
          <w:szCs w:val="32"/>
        </w:rPr>
        <w:t>0万元，年初未安排预算，因公出国</w:t>
      </w:r>
      <w:r>
        <w:rPr>
          <w:rFonts w:hint="eastAsia" w:ascii="仿宋_GB2312" w:eastAsia="仿宋_GB2312"/>
          <w:sz w:val="32"/>
          <w:szCs w:val="32"/>
        </w:rPr>
        <w:t>（境）</w:t>
      </w:r>
      <w:r>
        <w:rPr>
          <w:rFonts w:hint="eastAsia" w:ascii="仿宋" w:hAnsi="仿宋" w:eastAsia="仿宋"/>
          <w:sz w:val="32"/>
          <w:szCs w:val="32"/>
        </w:rPr>
        <w:t>支出决算较2023年无变化。</w:t>
      </w:r>
    </w:p>
    <w:p>
      <w:pPr>
        <w:spacing w:line="600"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b/>
          <w:sz w:val="32"/>
          <w:szCs w:val="32"/>
        </w:rPr>
        <w:t>2.公务用车购置及运行维护费支出367.65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Style w:val="12"/>
          <w:rFonts w:hint="eastAsia" w:ascii="仿宋_GB2312" w:hAnsi="仿宋_GB2312" w:eastAsia="仿宋_GB2312" w:cs="仿宋_GB2312"/>
          <w:b w:val="0"/>
          <w:bCs/>
          <w:sz w:val="32"/>
          <w:szCs w:val="32"/>
        </w:rPr>
        <w:t>完成预算100%。</w:t>
      </w:r>
      <w:r>
        <w:rPr>
          <w:rFonts w:hint="eastAsia" w:ascii="仿宋_GB2312" w:hAnsi="仿宋_GB2312" w:eastAsia="仿宋_GB2312" w:cs="仿宋_GB2312"/>
          <w:color w:val="000000" w:themeColor="text1"/>
          <w:sz w:val="32"/>
          <w:szCs w:val="32"/>
        </w:rPr>
        <w:t>公务用车购置及运行维护费支出决算比2023年度减少10.5万元，下降2.78%。主要原因是公务用车运行维护费用下降。</w:t>
      </w:r>
    </w:p>
    <w:p>
      <w:pPr>
        <w:spacing w:line="600" w:lineRule="exact"/>
        <w:ind w:firstLine="640" w:firstLineChars="200"/>
        <w:rPr>
          <w:rFonts w:ascii="仿宋_GB2312" w:hAnsi="仿宋_GB2312" w:eastAsia="仿宋_GB2312" w:cs="仿宋_GB2312"/>
          <w:b/>
          <w:color w:val="FF0000"/>
          <w:sz w:val="32"/>
          <w:szCs w:val="32"/>
        </w:rPr>
      </w:pP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公务用车购置支出</w:t>
      </w:r>
      <w:r>
        <w:rPr>
          <w:rFonts w:hint="eastAsia" w:ascii="仿宋_GB2312" w:hAnsi="仿宋_GB2312" w:eastAsia="仿宋_GB2312" w:cs="仿宋_GB2312"/>
          <w:sz w:val="32"/>
          <w:szCs w:val="32"/>
        </w:rPr>
        <w:t>316.96万元。全年按规定更新购置公务用车16辆，其中：轿车11辆、金额197.23万元，越野车4辆、金额96.73万元，其他车型1辆、金额23万元，主要用于</w:t>
      </w:r>
      <w:r>
        <w:rPr>
          <w:rFonts w:hint="eastAsia" w:ascii="仿宋_GB2312" w:eastAsia="仿宋_GB2312"/>
          <w:sz w:val="32"/>
          <w:szCs w:val="32"/>
        </w:rPr>
        <w:t>刑警、</w:t>
      </w:r>
      <w:r>
        <w:rPr>
          <w:rFonts w:hint="eastAsia" w:ascii="仿宋" w:hAnsi="仿宋" w:eastAsia="仿宋"/>
          <w:sz w:val="32"/>
          <w:szCs w:val="32"/>
        </w:rPr>
        <w:t>巡警执法办案、街面巡防、押解等工作</w:t>
      </w:r>
      <w:r>
        <w:rPr>
          <w:rFonts w:hint="eastAsia" w:ascii="仿宋_GB2312" w:hAnsi="仿宋_GB2312" w:eastAsia="仿宋_GB2312" w:cs="仿宋_GB2312"/>
          <w:sz w:val="32"/>
          <w:szCs w:val="32"/>
        </w:rPr>
        <w:t>。截至2024年12月31日，单位共有公务用车98辆，其中：</w:t>
      </w:r>
      <w:r>
        <w:rPr>
          <w:rFonts w:hint="eastAsia" w:ascii="仿宋_GB2312" w:eastAsia="仿宋_GB2312"/>
          <w:sz w:val="32"/>
          <w:szCs w:val="32"/>
        </w:rPr>
        <w:t>轿车64辆、越野车13辆、载客汽车4辆、其他车型17辆</w:t>
      </w:r>
      <w:r>
        <w:rPr>
          <w:rFonts w:hint="eastAsia" w:ascii="仿宋_GB2312" w:hAnsi="仿宋_GB2312" w:eastAsia="仿宋_GB2312" w:cs="仿宋_GB2312"/>
          <w:sz w:val="32"/>
          <w:szCs w:val="32"/>
        </w:rPr>
        <w:t>。</w:t>
      </w:r>
    </w:p>
    <w:p>
      <w:pPr>
        <w:spacing w:line="600" w:lineRule="exact"/>
        <w:ind w:firstLine="640"/>
        <w:rPr>
          <w:rFonts w:ascii="仿宋_GB2312" w:eastAsia="仿宋_GB2312"/>
          <w:sz w:val="32"/>
          <w:szCs w:val="32"/>
        </w:rPr>
      </w:pPr>
      <w:r>
        <w:rPr>
          <w:rFonts w:hint="eastAsia" w:ascii="仿宋_GB2312" w:hAnsi="仿宋_GB2312" w:eastAsia="仿宋_GB2312" w:cs="仿宋_GB2312"/>
          <w:b/>
          <w:sz w:val="32"/>
          <w:szCs w:val="32"/>
        </w:rPr>
        <w:t>公务用车运行维护费支出</w:t>
      </w:r>
      <w:r>
        <w:rPr>
          <w:rFonts w:hint="eastAsia" w:ascii="仿宋_GB2312" w:hAnsi="仿宋_GB2312" w:eastAsia="仿宋_GB2312" w:cs="仿宋_GB2312"/>
          <w:sz w:val="32"/>
          <w:szCs w:val="32"/>
        </w:rPr>
        <w:t>50.69万元。</w:t>
      </w:r>
      <w:r>
        <w:rPr>
          <w:rFonts w:hint="eastAsia" w:ascii="仿宋_GB2312" w:eastAsia="仿宋_GB2312"/>
          <w:sz w:val="32"/>
          <w:szCs w:val="32"/>
        </w:rPr>
        <w:t>主要用于执法办案、治安巡逻、抓捕罪犯、跨区域拉动等所需的</w:t>
      </w:r>
      <w:r>
        <w:rPr>
          <w:rFonts w:hint="eastAsia" w:ascii="仿宋" w:hAnsi="仿宋" w:eastAsia="仿宋"/>
          <w:sz w:val="32"/>
          <w:szCs w:val="32"/>
        </w:rPr>
        <w:t>执法执勤</w:t>
      </w:r>
      <w:r>
        <w:rPr>
          <w:rFonts w:hint="eastAsia" w:ascii="仿宋_GB2312" w:eastAsia="仿宋_GB2312"/>
          <w:sz w:val="32"/>
          <w:szCs w:val="32"/>
        </w:rPr>
        <w:t>用车燃料费、维修费、过路过桥费、保险费等支出。</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b/>
          <w:color w:val="000000" w:themeColor="text1"/>
          <w:sz w:val="32"/>
          <w:szCs w:val="32"/>
        </w:rPr>
        <w:t>3.公务接待费支出</w:t>
      </w:r>
      <w:r>
        <w:rPr>
          <w:rFonts w:hint="eastAsia" w:ascii="仿宋_GB2312" w:hAnsi="仿宋_GB2312" w:eastAsia="仿宋_GB2312" w:cs="仿宋_GB2312"/>
          <w:color w:val="000000" w:themeColor="text1"/>
          <w:sz w:val="32"/>
          <w:szCs w:val="32"/>
        </w:rPr>
        <w:t>1.64万元，</w:t>
      </w:r>
      <w:r>
        <w:rPr>
          <w:rStyle w:val="12"/>
          <w:rFonts w:hint="eastAsia" w:ascii="仿宋_GB2312" w:hAnsi="仿宋_GB2312" w:eastAsia="仿宋_GB2312" w:cs="仿宋_GB2312"/>
          <w:b w:val="0"/>
          <w:bCs/>
          <w:color w:val="000000" w:themeColor="text1"/>
          <w:sz w:val="32"/>
          <w:szCs w:val="32"/>
        </w:rPr>
        <w:t>完成预算100%。</w:t>
      </w:r>
      <w:r>
        <w:rPr>
          <w:rFonts w:hint="eastAsia" w:ascii="仿宋_GB2312" w:hAnsi="仿宋_GB2312" w:eastAsia="仿宋_GB2312" w:cs="仿宋_GB2312"/>
          <w:color w:val="000000" w:themeColor="text1"/>
          <w:sz w:val="32"/>
          <w:szCs w:val="32"/>
        </w:rPr>
        <w:t>公务接待费支出决算比2023年度减少0.49万元，下降23%。</w:t>
      </w:r>
      <w:r>
        <w:rPr>
          <w:rFonts w:hint="eastAsia" w:ascii="仿宋_GB2312" w:eastAsia="仿宋_GB2312"/>
          <w:color w:val="000000" w:themeColor="text1"/>
          <w:sz w:val="32"/>
          <w:szCs w:val="32"/>
        </w:rPr>
        <w:t>主要原因是严格落实过紧日</w:t>
      </w:r>
      <w:r>
        <w:rPr>
          <w:rFonts w:hint="eastAsia" w:ascii="仿宋_GB2312" w:eastAsia="仿宋_GB2312"/>
          <w:sz w:val="32"/>
          <w:szCs w:val="32"/>
        </w:rPr>
        <w:t>子措施，压减</w:t>
      </w:r>
      <w:r>
        <w:rPr>
          <w:rFonts w:hint="eastAsia" w:ascii="仿宋_GB2312" w:eastAsia="仿宋_GB2312"/>
          <w:sz w:val="32"/>
          <w:szCs w:val="32"/>
          <w:lang w:eastAsia="zh-CN"/>
        </w:rPr>
        <w:t>“三公”经费</w:t>
      </w:r>
      <w:r>
        <w:rPr>
          <w:rFonts w:hint="eastAsia" w:ascii="仿宋_GB2312" w:eastAsia="仿宋_GB2312"/>
          <w:sz w:val="32"/>
          <w:szCs w:val="32"/>
        </w:rPr>
        <w:t>支出</w:t>
      </w:r>
      <w:r>
        <w:rPr>
          <w:rFonts w:hint="eastAsia" w:ascii="仿宋" w:hAnsi="仿宋" w:eastAsia="仿宋"/>
          <w:sz w:val="32"/>
          <w:szCs w:val="32"/>
        </w:rPr>
        <w:t>。</w:t>
      </w:r>
      <w:r>
        <w:rPr>
          <w:rFonts w:hint="eastAsia" w:ascii="仿宋_GB2312" w:hAnsi="仿宋_GB2312" w:eastAsia="仿宋_GB2312" w:cs="仿宋_GB2312"/>
          <w:sz w:val="32"/>
          <w:szCs w:val="32"/>
        </w:rPr>
        <w:t>其中：</w:t>
      </w:r>
    </w:p>
    <w:p>
      <w:pPr>
        <w:spacing w:line="600" w:lineRule="exact"/>
        <w:ind w:firstLine="640"/>
        <w:rPr>
          <w:rFonts w:ascii="仿宋_GB2312" w:hAnsi="仿宋_GB2312" w:eastAsia="仿宋_GB2312" w:cs="仿宋_GB2312"/>
          <w:color w:val="FF0000"/>
          <w:sz w:val="32"/>
          <w:szCs w:val="32"/>
        </w:rPr>
      </w:pPr>
      <w:r>
        <w:rPr>
          <w:rFonts w:hint="eastAsia" w:ascii="仿宋_GB2312" w:hAnsi="仿宋_GB2312" w:eastAsia="仿宋_GB2312" w:cs="仿宋_GB2312"/>
          <w:b/>
          <w:sz w:val="32"/>
          <w:szCs w:val="32"/>
        </w:rPr>
        <w:t>国内公务接待支出</w:t>
      </w:r>
      <w:r>
        <w:rPr>
          <w:rFonts w:hint="eastAsia" w:ascii="仿宋_GB2312" w:hAnsi="仿宋_GB2312" w:eastAsia="仿宋_GB2312" w:cs="仿宋_GB2312"/>
          <w:sz w:val="32"/>
          <w:szCs w:val="32"/>
        </w:rPr>
        <w:t>1.64万元，</w:t>
      </w:r>
      <w:r>
        <w:rPr>
          <w:rFonts w:hint="eastAsia" w:ascii="仿宋_GB2312" w:eastAsia="仿宋_GB2312"/>
          <w:sz w:val="32"/>
          <w:szCs w:val="32"/>
        </w:rPr>
        <w:t>主要用于异地公安机关执行公务、开展学习交流的用餐费</w:t>
      </w:r>
      <w:r>
        <w:rPr>
          <w:rFonts w:hint="eastAsia" w:ascii="仿宋_GB2312" w:hAnsi="仿宋_GB2312" w:eastAsia="仿宋_GB2312" w:cs="仿宋_GB2312"/>
          <w:sz w:val="32"/>
          <w:szCs w:val="32"/>
        </w:rPr>
        <w:t>。国内公务接待17批次，205人次（不包括陪同人员），共计支出1.64万元，具体内容包括：</w:t>
      </w:r>
      <w:r>
        <w:rPr>
          <w:rFonts w:hint="eastAsia" w:ascii="仿宋_GB2312" w:eastAsia="仿宋_GB2312"/>
          <w:sz w:val="32"/>
          <w:szCs w:val="32"/>
        </w:rPr>
        <w:t>上级调研视察0.45万元、其他市州交流考察</w:t>
      </w:r>
      <w:r>
        <w:rPr>
          <w:rFonts w:hint="eastAsia" w:ascii="仿宋_GB2312" w:eastAsia="仿宋_GB2312"/>
          <w:color w:val="000000"/>
          <w:sz w:val="32"/>
          <w:szCs w:val="32"/>
        </w:rPr>
        <w:t>1万元、办案单位接待0.19万元</w:t>
      </w:r>
      <w:r>
        <w:rPr>
          <w:rFonts w:hint="eastAsia" w:ascii="仿宋_GB2312" w:eastAsia="仿宋_GB2312"/>
          <w:sz w:val="32"/>
          <w:szCs w:val="32"/>
        </w:rPr>
        <w:t>。</w:t>
      </w:r>
    </w:p>
    <w:p>
      <w:pPr>
        <w:spacing w:line="600" w:lineRule="exact"/>
        <w:ind w:firstLine="642" w:firstLineChars="200"/>
        <w:rPr>
          <w:rFonts w:ascii="黑体" w:eastAsia="黑体"/>
          <w:sz w:val="32"/>
          <w:szCs w:val="32"/>
        </w:rPr>
      </w:pPr>
      <w:r>
        <w:rPr>
          <w:rFonts w:hint="eastAsia" w:ascii="仿宋_GB2312" w:hAnsi="仿宋_GB2312" w:eastAsia="仿宋_GB2312" w:cs="仿宋_GB2312"/>
          <w:b/>
          <w:sz w:val="32"/>
          <w:szCs w:val="32"/>
        </w:rPr>
        <w:t>外事接待支出</w:t>
      </w:r>
      <w:r>
        <w:rPr>
          <w:rFonts w:hint="eastAsia" w:ascii="仿宋_GB2312" w:hAnsi="仿宋_GB2312" w:eastAsia="仿宋_GB2312" w:cs="仿宋_GB2312"/>
          <w:sz w:val="32"/>
          <w:szCs w:val="32"/>
        </w:rPr>
        <w:t>0万元，</w:t>
      </w:r>
      <w:r>
        <w:rPr>
          <w:rFonts w:hint="eastAsia" w:ascii="仿宋_GB2312" w:eastAsia="仿宋_GB2312"/>
          <w:sz w:val="32"/>
          <w:szCs w:val="32"/>
        </w:rPr>
        <w:t>外事接待0批次，0人，共计支出0万元。</w:t>
      </w:r>
    </w:p>
    <w:p>
      <w:pPr>
        <w:spacing w:line="600" w:lineRule="exact"/>
        <w:ind w:firstLine="640"/>
        <w:outlineLvl w:val="1"/>
        <w:rPr>
          <w:rStyle w:val="14"/>
          <w:rFonts w:ascii="黑体" w:hAnsi="黑体" w:eastAsia="黑体"/>
        </w:rPr>
      </w:pPr>
      <w:bookmarkStart w:id="27" w:name="_Toc21881"/>
      <w:r>
        <w:rPr>
          <w:rFonts w:hint="eastAsia" w:ascii="黑体" w:eastAsia="黑体"/>
          <w:sz w:val="32"/>
          <w:szCs w:val="32"/>
        </w:rPr>
        <w:t>八、</w:t>
      </w:r>
      <w:r>
        <w:rPr>
          <w:rStyle w:val="14"/>
          <w:rFonts w:hint="eastAsia" w:ascii="黑体" w:hAnsi="黑体" w:eastAsia="黑体"/>
          <w:b w:val="0"/>
        </w:rPr>
        <w:t>政府性基金预算支出决算情况说明</w:t>
      </w:r>
      <w:bookmarkEnd w:id="27"/>
    </w:p>
    <w:p>
      <w:pPr>
        <w:spacing w:line="600" w:lineRule="exact"/>
        <w:ind w:firstLine="640"/>
        <w:rPr>
          <w:rFonts w:ascii="仿宋_GB2312" w:eastAsia="仿宋_GB2312"/>
          <w:sz w:val="32"/>
          <w:szCs w:val="32"/>
        </w:rPr>
      </w:pPr>
      <w:r>
        <w:rPr>
          <w:rFonts w:hint="eastAsia" w:ascii="仿宋_GB2312" w:eastAsia="仿宋_GB2312"/>
          <w:sz w:val="32"/>
          <w:szCs w:val="32"/>
        </w:rPr>
        <w:t>2024年度政府性基金预算财政拨款支出1845万元。</w:t>
      </w:r>
    </w:p>
    <w:p>
      <w:pPr>
        <w:spacing w:line="600" w:lineRule="exact"/>
        <w:ind w:firstLine="640" w:firstLineChars="200"/>
        <w:outlineLvl w:val="1"/>
        <w:rPr>
          <w:rStyle w:val="14"/>
          <w:rFonts w:ascii="黑体" w:hAnsi="黑体" w:eastAsia="黑体"/>
          <w:b w:val="0"/>
        </w:rPr>
      </w:pPr>
      <w:bookmarkStart w:id="28" w:name="_Toc30140"/>
      <w:r>
        <w:rPr>
          <w:rStyle w:val="14"/>
          <w:rFonts w:hint="eastAsia" w:ascii="黑体" w:hAnsi="黑体" w:eastAsia="黑体"/>
          <w:b w:val="0"/>
        </w:rPr>
        <w:t>九、国有资本经营预算支出决算情况说明</w:t>
      </w:r>
      <w:bookmarkEnd w:id="28"/>
    </w:p>
    <w:p>
      <w:pPr>
        <w:spacing w:line="600" w:lineRule="exact"/>
        <w:ind w:firstLine="640"/>
        <w:rPr>
          <w:rFonts w:ascii="仿宋_GB2312" w:eastAsia="仿宋_GB2312"/>
          <w:sz w:val="32"/>
          <w:szCs w:val="32"/>
        </w:rPr>
      </w:pPr>
      <w:r>
        <w:rPr>
          <w:rFonts w:hint="eastAsia" w:ascii="仿宋_GB2312" w:eastAsia="仿宋_GB2312"/>
          <w:sz w:val="32"/>
          <w:szCs w:val="32"/>
        </w:rPr>
        <w:t>2024年度国有资本经营预算财政拨款支出0万元。</w:t>
      </w:r>
    </w:p>
    <w:p>
      <w:pPr>
        <w:spacing w:line="600" w:lineRule="exact"/>
        <w:ind w:firstLine="640" w:firstLineChars="200"/>
        <w:outlineLvl w:val="1"/>
        <w:rPr>
          <w:rStyle w:val="14"/>
          <w:rFonts w:ascii="黑体" w:hAnsi="黑体" w:eastAsia="黑体"/>
          <w:b w:val="0"/>
        </w:rPr>
      </w:pPr>
      <w:bookmarkStart w:id="29" w:name="_Toc22094"/>
      <w:r>
        <w:rPr>
          <w:rStyle w:val="14"/>
          <w:rFonts w:hint="eastAsia" w:ascii="黑体" w:hAnsi="黑体" w:eastAsia="黑体"/>
          <w:b w:val="0"/>
        </w:rPr>
        <w:t>十、其他重要事项的情况说明</w:t>
      </w:r>
      <w:bookmarkEnd w:id="29"/>
    </w:p>
    <w:p>
      <w:pPr>
        <w:spacing w:line="600" w:lineRule="exact"/>
        <w:ind w:firstLine="642" w:firstLineChars="200"/>
        <w:outlineLvl w:val="2"/>
        <w:rPr>
          <w:rFonts w:ascii="仿宋" w:hAnsi="仿宋" w:eastAsia="仿宋"/>
          <w:sz w:val="32"/>
          <w:szCs w:val="32"/>
        </w:rPr>
      </w:pPr>
      <w:r>
        <w:rPr>
          <w:rFonts w:hint="eastAsia" w:ascii="仿宋" w:hAnsi="仿宋" w:eastAsia="仿宋"/>
          <w:b/>
          <w:sz w:val="32"/>
          <w:szCs w:val="32"/>
        </w:rPr>
        <w:t>（一）机关运行经费支出情况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2024年度，广元市公安局单位机关运行经费支出1721.79万元，比2023年度增加82.96万元，增长5.06</w:t>
      </w:r>
      <w:r>
        <w:rPr>
          <w:rFonts w:ascii="仿宋_GB2312" w:eastAsia="仿宋_GB2312"/>
          <w:sz w:val="32"/>
          <w:szCs w:val="32"/>
        </w:rPr>
        <w:t>%</w:t>
      </w:r>
      <w:r>
        <w:rPr>
          <w:rFonts w:hint="eastAsia" w:ascii="仿宋_GB2312" w:eastAsia="仿宋_GB2312"/>
          <w:sz w:val="32"/>
          <w:szCs w:val="32"/>
        </w:rPr>
        <w:t>。主要原因是部分办公桌椅、设备老旧，导致维修维护费增加。</w:t>
      </w:r>
    </w:p>
    <w:p>
      <w:pPr>
        <w:autoSpaceDE w:val="0"/>
        <w:autoSpaceDN w:val="0"/>
        <w:adjustRightInd w:val="0"/>
        <w:spacing w:line="600" w:lineRule="exact"/>
        <w:ind w:firstLine="642" w:firstLineChars="200"/>
        <w:jc w:val="left"/>
        <w:outlineLvl w:val="2"/>
        <w:rPr>
          <w:rFonts w:ascii="仿宋" w:hAnsi="仿宋" w:eastAsia="仿宋"/>
          <w:b/>
          <w:sz w:val="32"/>
          <w:szCs w:val="32"/>
        </w:rPr>
      </w:pPr>
      <w:r>
        <w:rPr>
          <w:rFonts w:hint="eastAsia" w:ascii="仿宋" w:hAnsi="仿宋" w:eastAsia="仿宋"/>
          <w:b/>
          <w:sz w:val="32"/>
          <w:szCs w:val="32"/>
        </w:rPr>
        <w:t>（二）政府采购支出情况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2024年度，广元市公安局单位政府采购支出总额1633.17万元，其中：政府采购货物支出528.08万元、政府采购工程支出0万元、政府采购服务支出1105.09万元。主要用于刑事侦查、禁毒缉毒、网络安全以及物业管理、网络租赁等工作。授予中小企业合同金额1557.07万元，占政府采购支出总额的95.34</w:t>
      </w:r>
      <w:r>
        <w:rPr>
          <w:rFonts w:ascii="仿宋_GB2312" w:eastAsia="仿宋_GB2312"/>
          <w:sz w:val="32"/>
          <w:szCs w:val="32"/>
        </w:rPr>
        <w:t>%</w:t>
      </w:r>
      <w:r>
        <w:rPr>
          <w:rFonts w:hint="eastAsia" w:ascii="仿宋_GB2312" w:eastAsia="仿宋_GB2312"/>
          <w:sz w:val="32"/>
          <w:szCs w:val="32"/>
        </w:rPr>
        <w:t>，其中：授予小微企业合同金额996.07万元，占政府采购支出总额的60.99</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2" w:firstLineChars="200"/>
        <w:jc w:val="left"/>
        <w:outlineLvl w:val="2"/>
        <w:rPr>
          <w:rFonts w:ascii="仿宋" w:hAnsi="仿宋" w:eastAsia="仿宋"/>
          <w:b/>
          <w:sz w:val="32"/>
          <w:szCs w:val="32"/>
        </w:rPr>
      </w:pPr>
      <w:r>
        <w:rPr>
          <w:rFonts w:hint="eastAsia" w:ascii="仿宋" w:hAnsi="仿宋" w:eastAsia="仿宋"/>
          <w:b/>
          <w:sz w:val="32"/>
          <w:szCs w:val="32"/>
        </w:rPr>
        <w:t>（三）国有资产占有使用情况</w:t>
      </w:r>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截至2024年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日，广元市公安局共有车辆98辆，其中：机要通信用车1辆、执法执勤用车81辆、特种专业技术用车</w:t>
      </w:r>
      <w:r>
        <w:rPr>
          <w:rFonts w:ascii="仿宋_GB2312" w:eastAsia="仿宋_GB2312"/>
          <w:sz w:val="32"/>
          <w:szCs w:val="32"/>
        </w:rPr>
        <w:t>1</w:t>
      </w:r>
      <w:r>
        <w:rPr>
          <w:rFonts w:hint="eastAsia" w:ascii="仿宋_GB2312" w:eastAsia="仿宋_GB2312"/>
          <w:sz w:val="32"/>
          <w:szCs w:val="32"/>
        </w:rPr>
        <w:t>6辆。单价</w:t>
      </w:r>
      <w:r>
        <w:rPr>
          <w:rFonts w:ascii="仿宋_GB2312" w:eastAsia="仿宋_GB2312"/>
          <w:sz w:val="32"/>
          <w:szCs w:val="32"/>
        </w:rPr>
        <w:t>100</w:t>
      </w:r>
      <w:r>
        <w:rPr>
          <w:rFonts w:hint="eastAsia" w:ascii="仿宋_GB2312" w:eastAsia="仿宋_GB2312"/>
          <w:sz w:val="32"/>
          <w:szCs w:val="32"/>
        </w:rPr>
        <w:t>万元以上专用设备10台（套）。</w:t>
      </w:r>
    </w:p>
    <w:p>
      <w:pPr>
        <w:autoSpaceDE w:val="0"/>
        <w:autoSpaceDN w:val="0"/>
        <w:adjustRightInd w:val="0"/>
        <w:spacing w:line="600" w:lineRule="exact"/>
        <w:ind w:firstLine="642"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spacing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根据预算绩效管理要求，本单位在2024年度预算编制阶段，组织对市禁毒办专项工作经费、房屋及附属设施运行维护等43个项目开展了预算事前绩效评估，对43个项目编制了绩效目标，预算执行过程中，选取43个项目开展绩效监控，组织对43个项目开展绩效自评，绩效自评表详见第四部分附件。</w:t>
      </w:r>
    </w:p>
    <w:p>
      <w:pPr>
        <w:spacing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br w:type="page"/>
      </w:r>
    </w:p>
    <w:p>
      <w:pPr>
        <w:spacing w:line="600" w:lineRule="exact"/>
        <w:jc w:val="center"/>
        <w:outlineLvl w:val="0"/>
        <w:rPr>
          <w:rStyle w:val="13"/>
          <w:rFonts w:ascii="黑体" w:hAnsi="黑体" w:eastAsia="黑体"/>
          <w:b w:val="0"/>
        </w:rPr>
      </w:pPr>
      <w:bookmarkStart w:id="30" w:name="_Toc12018"/>
      <w:r>
        <w:rPr>
          <w:rFonts w:hint="eastAsia" w:ascii="黑体" w:hAnsi="黑体" w:eastAsia="黑体"/>
          <w:sz w:val="44"/>
          <w:szCs w:val="44"/>
        </w:rPr>
        <w:t>第三部分  名</w:t>
      </w:r>
      <w:r>
        <w:rPr>
          <w:rStyle w:val="13"/>
          <w:rFonts w:hint="eastAsia" w:ascii="黑体" w:hAnsi="黑体" w:eastAsia="黑体"/>
          <w:b w:val="0"/>
        </w:rPr>
        <w:t>词解释</w:t>
      </w:r>
      <w:bookmarkEnd w:id="30"/>
    </w:p>
    <w:p>
      <w:pPr>
        <w:spacing w:line="600" w:lineRule="exact"/>
        <w:jc w:val="left"/>
        <w:rPr>
          <w:rFonts w:ascii="宋体"/>
          <w:b/>
          <w:sz w:val="44"/>
          <w:szCs w:val="44"/>
        </w:rPr>
      </w:pPr>
    </w:p>
    <w:p>
      <w:pPr>
        <w:pStyle w:val="19"/>
        <w:numPr>
          <w:ilvl w:val="0"/>
          <w:numId w:val="1"/>
        </w:numPr>
        <w:spacing w:line="560" w:lineRule="exact"/>
        <w:ind w:left="0" w:leftChars="0" w:firstLine="640" w:firstLineChars="200"/>
        <w:outlineLvl w:val="1"/>
        <w:rPr>
          <w:rFonts w:ascii="仿宋_GB2312" w:eastAsia="仿宋_GB2312"/>
          <w:color w:val="auto"/>
          <w:sz w:val="32"/>
          <w:szCs w:val="32"/>
        </w:rPr>
      </w:pPr>
      <w:bookmarkStart w:id="31" w:name="_Toc27589"/>
      <w:bookmarkStart w:id="32" w:name="_Toc15020"/>
      <w:r>
        <w:rPr>
          <w:rFonts w:hint="eastAsia" w:ascii="仿宋_GB2312" w:eastAsia="仿宋_GB2312"/>
          <w:color w:val="auto"/>
          <w:sz w:val="32"/>
          <w:szCs w:val="32"/>
        </w:rPr>
        <w:t>财政拨款收入：指单位从同级财政部门取得的财政预算资金。</w:t>
      </w:r>
      <w:bookmarkEnd w:id="31"/>
      <w:bookmarkEnd w:id="32"/>
    </w:p>
    <w:p>
      <w:pPr>
        <w:pStyle w:val="19"/>
        <w:numPr>
          <w:ilvl w:val="0"/>
          <w:numId w:val="1"/>
        </w:numPr>
        <w:spacing w:line="560" w:lineRule="exact"/>
        <w:ind w:left="0" w:leftChars="0" w:firstLine="640" w:firstLineChars="200"/>
        <w:outlineLvl w:val="1"/>
        <w:rPr>
          <w:rFonts w:ascii="仿宋_GB2312" w:eastAsia="仿宋_GB2312"/>
          <w:color w:val="auto"/>
          <w:sz w:val="32"/>
          <w:szCs w:val="32"/>
        </w:rPr>
      </w:pPr>
      <w:bookmarkStart w:id="33" w:name="_Toc2178"/>
      <w:r>
        <w:rPr>
          <w:rFonts w:hint="eastAsia" w:ascii="仿宋_GB2312" w:eastAsia="仿宋_GB2312"/>
          <w:color w:val="auto"/>
          <w:sz w:val="32"/>
          <w:szCs w:val="32"/>
        </w:rPr>
        <w:t>其他收入：指单位取得的除上述收入以外的各项收入。主要是上级拨入专项工作经费和利息收入等。</w:t>
      </w:r>
      <w:bookmarkEnd w:id="33"/>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年初结转和结余：指以前年度尚未完成、结转到本年按有关规定继续使用的资金。</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年末结转和结余：指单位按有关规定结转到下年或以后年度继续使用的资金。</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公共安全支出（类）公安（款）行政运行（项）：反映行政单位（包括实行公务员管理的事业单位）的基本支出。</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公共安全支出（类）公安（款）一般行政管理事务（项）：反映行政单位（包括实行公务员管理的事业单位）未单独设置项级科目的其他项目支出。</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公共安全支出（类）公安（款）信息化建设（项）：反映各级公安机关用于非涉密的信息网络建设和运行维护相关支出。</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公共安全支出（类）公安（款）执法办案（项）：反映公安机关从事行政执法、刑事司法及侦查办案等相关活动的支出。</w:t>
      </w:r>
    </w:p>
    <w:p>
      <w:pPr>
        <w:numPr>
          <w:ilvl w:val="0"/>
          <w:numId w:val="1"/>
        </w:numPr>
        <w:ind w:left="0" w:leftChars="0" w:firstLine="640" w:firstLineChars="200"/>
        <w:rPr>
          <w:rFonts w:ascii="仿宋_GB2312" w:eastAsia="仿宋_GB2312" w:cs="仿宋"/>
          <w:kern w:val="0"/>
          <w:sz w:val="32"/>
          <w:szCs w:val="32"/>
        </w:rPr>
      </w:pPr>
      <w:r>
        <w:rPr>
          <w:rFonts w:hint="eastAsia" w:ascii="仿宋_GB2312" w:eastAsia="仿宋_GB2312" w:cs="仿宋"/>
          <w:kern w:val="0"/>
          <w:sz w:val="32"/>
          <w:szCs w:val="32"/>
        </w:rPr>
        <w:t>公共安全（类）公安（款）特别业务（项）： 反映公安机关开展特别业务工作相关的支出。</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公共安全支出（类）公安（款）事业运行（项）：反映事业单位的基本支出，不包括行政单位（包括实行公务员管理的事业单位）后勤服务中心、医务室等附属事业单位。</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公共安全支出（类）公安（款）其他公安支出（项）：反映除上述项目以外其他用于公安方面的支出。</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公共安全支出（类）其他公共安全支出（款）国家司法救助支出（项）：反映用于国家司法救助方面的支出。</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社会保障和就业支出（类）行政事业单位养老支出（款）</w:t>
      </w:r>
      <w:r>
        <w:rPr>
          <w:rFonts w:ascii="仿宋_GB2312" w:eastAsia="仿宋_GB2312"/>
          <w:color w:val="auto"/>
          <w:sz w:val="32"/>
          <w:szCs w:val="32"/>
        </w:rPr>
        <w:t>行政单位离退休</w:t>
      </w:r>
      <w:r>
        <w:rPr>
          <w:rFonts w:hint="eastAsia" w:ascii="仿宋_GB2312" w:eastAsia="仿宋_GB2312"/>
          <w:color w:val="auto"/>
          <w:sz w:val="32"/>
          <w:szCs w:val="32"/>
        </w:rPr>
        <w:t>（项）：反映行政单位（包括实行公务员管理的事业单位）开支的离退休经费。</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社会保障和就业支出（类）行政事业单位养老支出（款）机关事业单位基本养老保险缴费支出（项）：反映机关事业单位实施养老保险制度由单位缴纳的基本养老保险费支出。</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社会保障和就业支出（类）行政事业单位养老支出（款）机关事业单位职业年金缴费支出（项）：反映机关事业单位实施养老保险制度由单位实际缴纳的职业年金支出。</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社会保障和就业（类）抚恤（款）死亡抚恤（项）：反映按规定用于烈士和牺牲、病故人员家属的一次性和定期抚恤金、丧葬补助费以及烈士褒扬金。</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社会保障和就业（类）其他社会保障和就业支出（款）其他社会保障和就业支出（项）： 反映除上述项目以外其他用于社会保障和就业方面的支出。</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r>
    </w:p>
    <w:p>
      <w:pPr>
        <w:pStyle w:val="19"/>
        <w:numPr>
          <w:ilvl w:val="0"/>
          <w:numId w:val="1"/>
        </w:numPr>
        <w:spacing w:line="560" w:lineRule="exact"/>
        <w:ind w:left="0" w:leftChars="0"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住房保障支出（类）住房改革支出（款）住房公积金（项）：反映行政事业单位按人力资源和社会保障部、财政部规定的基本工资和津贴补贴以及规定比例为职工缴纳的住房公积金。</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000000" w:themeColor="text1"/>
          <w:sz w:val="32"/>
          <w:szCs w:val="32"/>
        </w:rPr>
        <w:t>基</w:t>
      </w:r>
      <w:r>
        <w:rPr>
          <w:rFonts w:hint="eastAsia" w:ascii="仿宋_GB2312" w:eastAsia="仿宋_GB2312"/>
          <w:color w:val="auto"/>
          <w:sz w:val="32"/>
          <w:szCs w:val="32"/>
        </w:rPr>
        <w:t>本支出：指为保障机构正常运转、完成日常工作任务而发生的人员支出和公用支出。</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项目支出：指在基本支出之外为完成特定行政任务和事业发展目标所发生的支出。</w:t>
      </w:r>
    </w:p>
    <w:p>
      <w:pPr>
        <w:pStyle w:val="19"/>
        <w:numPr>
          <w:ilvl w:val="0"/>
          <w:numId w:val="1"/>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9"/>
        <w:numPr>
          <w:ilvl w:val="0"/>
          <w:numId w:val="1"/>
        </w:numPr>
        <w:spacing w:line="560" w:lineRule="exact"/>
        <w:ind w:left="0" w:leftChars="0" w:firstLine="640" w:firstLineChars="200"/>
        <w:rPr>
          <w:rFonts w:hint="eastAsia" w:ascii="宋体"/>
          <w:b/>
          <w:sz w:val="44"/>
          <w:szCs w:val="44"/>
        </w:rPr>
        <w:sectPr>
          <w:footerReference r:id="rId4" w:type="default"/>
          <w:pgSz w:w="11906" w:h="16838"/>
          <w:pgMar w:top="1440" w:right="1800" w:bottom="1440" w:left="1800" w:header="720" w:footer="720" w:gutter="0"/>
          <w:pgNumType w:fmt="decimal" w:start="1"/>
          <w:cols w:space="720" w:num="1"/>
          <w:docGrid w:type="lines" w:linePitch="312" w:charSpace="0"/>
        </w:sectPr>
      </w:pP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r>
        <w:rPr>
          <w:rFonts w:hint="eastAsia" w:ascii="仿宋_GB2312" w:eastAsia="仿宋_GB2312"/>
          <w:color w:val="auto"/>
          <w:sz w:val="32"/>
          <w:szCs w:val="32"/>
          <w:lang w:eastAsia="zh-CN"/>
        </w:rPr>
        <w:t>。</w:t>
      </w:r>
    </w:p>
    <w:p>
      <w:pPr>
        <w:pStyle w:val="3"/>
        <w:bidi w:val="0"/>
        <w:jc w:val="center"/>
        <w:rPr>
          <w:rFonts w:hint="eastAsia"/>
        </w:rPr>
      </w:pPr>
      <w:bookmarkStart w:id="34" w:name="_Toc30240"/>
      <w:r>
        <w:rPr>
          <w:rFonts w:hint="eastAsia"/>
        </w:rPr>
        <w:t>第四部分 附件</w:t>
      </w:r>
      <w:bookmarkEnd w:id="34"/>
    </w:p>
    <w:tbl>
      <w:tblPr>
        <w:tblStyle w:val="10"/>
        <w:tblpPr w:leftFromText="180" w:rightFromText="180" w:vertAnchor="text" w:tblpX="-494" w:tblpY="1"/>
        <w:tblOverlap w:val="never"/>
        <w:tblW w:w="546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6"/>
        <w:gridCol w:w="1311"/>
        <w:gridCol w:w="936"/>
        <w:gridCol w:w="1206"/>
        <w:gridCol w:w="396"/>
        <w:gridCol w:w="936"/>
        <w:gridCol w:w="851"/>
        <w:gridCol w:w="936"/>
        <w:gridCol w:w="486"/>
        <w:gridCol w:w="486"/>
        <w:gridCol w:w="12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按照工资文件，及时足额发放。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按照人事变动文件及职级职务晋升等文件，严格考核，及时足额发放。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119.87</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119.87</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119.87</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119.87</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发放（缴纳）覆盖率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right"/>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51000021R000000019952-其他人员支出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足额发放或社保及时、足额缴纳，完成了既定年度目标任务。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按照组织部、人社局及市公安局人事处等文件，严格核查，足额缴纳。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107.48</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106.08</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98.70%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107.48</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106.08</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98.70%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发放（缴纳）覆盖率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51080021T000000054926-市禁毒办专项工作经费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通过开展多种形式的禁毒宣传，加强毒品预防教育；掌握、分析禁毒工作进展情况、研究制定针对性措施；组织、协调、指导、督查禁毒办成员单位和各社区的工作，对社区戒毒康复人员进行监督；确保全市政治稳定、治安良好，人民群众的安全感、获得感、幸福感进一步提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全年通过开展多种形式的禁毒宣传，加强毒品预防教育；掌握、分析禁毒工作进展情况、研究制定针对性措施；组织、协调、指导、督查禁毒办成员单位和各社区的工作，对社区戒毒康复人员进行监督；确保全市政治稳定、治安良好，人民群众的安全感、获得感、幸福感进一步提升，未发生吸毒人员肇事肇祸案事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项目经费用于全民禁毒集中宣传八大主题活动(“拒毒防毒”进万群、“禁毒有我”视频赛、“青春无毒”书画赛、“禁毒卫士”我争当、 “防危毒鉴”图片展、“全民禁毒”大汇演、“百业千行”宣禁毒、“警示标语”齐亮屏)等方面，专款专用。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集中宣传活动次数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召开全市禁毒工作会议次数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社区戒毒社区康复人数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吸毒人员下降率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吸毒人员帮扶率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打击毒品犯罪</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2023年12月底前完成禁毒会议</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2023年6月底完成“6.26”禁毒晚会及系列活动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2023年12月底完成各项宣传任务</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减少毒品消费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管控吸毒人员其他犯罪行为</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打击毒品犯罪</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投资环境进一步优化</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社会治安进一步好转</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进一步打击毒品犯罪</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生态效益指标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污水指数持续下降</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全市社会治安持续稳定</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吸毒人员管控持续减少</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群众满意度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戒毒人员家属满意度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宣传资料印刷费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污水采集</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6.26禁毒日宣传</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举办了形式更新、覆盖更广、影响更大、氛围更浓、效果更好的一系列体现新时代特点、群众喜闻乐见、富有地方特色的禁毒宣传教育活动，形成了全民参与的良好氛围，禁毒宣传活动刷爆广元朋友圈。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项目负责人：刘阿朋</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51080021T000000055265-房屋及附属设施运行维护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ind w:right="1464" w:rightChars="697"/>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对市局机关房屋及附属设施日常维护，对部分设施保养维修。</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全年共对市局机关房屋</w:t>
            </w:r>
            <w:r>
              <w:rPr>
                <w:rFonts w:hint="default" w:ascii="Courier New" w:hAnsi="Courier New" w:cs="Courier New"/>
                <w:color w:val="000000"/>
                <w:kern w:val="0"/>
                <w:sz w:val="18"/>
                <w:szCs w:val="18"/>
              </w:rPr>
              <w:t>8</w:t>
            </w:r>
            <w:r>
              <w:rPr>
                <w:rFonts w:hint="eastAsia" w:ascii="宋体" w:hAnsi="宋体" w:cs="宋体"/>
                <w:color w:val="000000"/>
                <w:kern w:val="0"/>
                <w:sz w:val="18"/>
                <w:szCs w:val="18"/>
              </w:rPr>
              <w:t>座维修</w:t>
            </w:r>
            <w:r>
              <w:rPr>
                <w:rFonts w:hint="default" w:ascii="Courier New" w:hAnsi="Courier New" w:cs="Courier New"/>
                <w:color w:val="000000"/>
                <w:kern w:val="0"/>
                <w:sz w:val="18"/>
                <w:szCs w:val="18"/>
              </w:rPr>
              <w:t>15</w:t>
            </w:r>
            <w:r>
              <w:rPr>
                <w:rFonts w:hint="eastAsia" w:ascii="宋体" w:hAnsi="宋体" w:cs="宋体"/>
                <w:color w:val="000000"/>
                <w:kern w:val="0"/>
                <w:sz w:val="18"/>
                <w:szCs w:val="18"/>
              </w:rPr>
              <w:t>次，经验收，维修保养合格，切实稳定了市局办公环境，提高了房屋使用周期，民警对办公环境满意度提高。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发现问题上报分管领导审批，待领导审批同意后，寻找维修公司进行施工。维修费用5万以下自行采购评审，5万以上报机关服务中心现场查看，确认项目是否实施。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维修次数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检修维修工人次</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250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252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维修房屋</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检验率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合格标准</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合格率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完成时效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180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坚固实用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节约维修资金</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带动就业率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安全事故下降</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稳定办公环境</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提升房屋使用周期</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民警满意度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群众满意度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下水道清理</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防水处理</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墙面维护</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日常设施维护</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16</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设施设备保养</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right"/>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项目定质、定量、定时进行施工，解决了问题，得到了广大民警职工好评。经自评，该项目自评得100分。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对房屋及附属设施的完成时效可进一缩短，节约维修成本。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加大同参与维修的公司对接商洽，提升维修效率，节约维修时间，节约单次维修成本。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项目负责人：韩玉杰</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51080021T000000055267-教育训练经费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ind w:left="-1959" w:leftChars="-933"/>
              <w:jc w:val="left"/>
              <w:rPr>
                <w:rFonts w:hint="eastAsia" w:ascii="宋体" w:hAnsi="宋体" w:cs="宋体"/>
                <w:color w:val="000000"/>
                <w:kern w:val="0"/>
                <w:sz w:val="18"/>
                <w:szCs w:val="18"/>
              </w:rPr>
            </w:pPr>
            <w:r>
              <w:rPr>
                <w:rFonts w:hint="eastAsia" w:ascii="宋体" w:hAnsi="宋体" w:cs="宋体"/>
                <w:color w:val="000000"/>
                <w:kern w:val="0"/>
                <w:sz w:val="18"/>
                <w:szCs w:val="18"/>
              </w:rPr>
              <w:t>　民警专项业务技能培训及警衔晋升培训是公安部在公安教育方面所作出的一项重大决策,它对于贯彻党的路线、方针政策，更好地完成公安任务；对于提高公安民警整体素质和公安工作水平，加强公安队伍建设，培养政治合格，纪律严明、作风过硬、业务精通、执法如山的党和人民的忠诚卫士具有重要意义。</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在培训过程中，很好的贯彻了党的路线、方针政策，更好的完成了公安任务；提高了公安民警整体素质和公安工作水平，加强了公安队伍建设，培养了一批政治过硬，业务精通的党和人民的忠诚卫士。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根据市局机关民警训练计划安排，按照训练经费的相关标准，经报局领导同意，统筹全年训练计划和训练班次，合理安排经费支出。在实施过程中，严格按照财务管理规定，坚持专款专用。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培训人数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培训期次</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期</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培训率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合格率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培训时间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增强打击违法犯罪能力</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护航经济环境</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接处警规范</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提升实战处置</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增强民警警务能力</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民警满意度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群众满意度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参训民警单位满意度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伙食费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其他运行费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课酬费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项目整体完成情况良好，培训期数大于20次，培训人数大于1000人次，合格率大于98%，培训率100%，培训时间大于180天。切实提升了实战处置能力，增强了民警警务技能。群众满意度、民警满意度和参训民警单位满意度均大于95%。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合格率仍有上升空间，资金统筹能力有待加强。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进一步统筹好资金，加强管理，合理规划安排，提升资金使用效率。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项目负责人：向碧胜</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51080021T000000055321-七盘关公安检查站运维费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50名民辅警在七盘关公安检查站开展工作。1、反恐，截堵涉恐人员和车辆。2、查缉布控，开展治安检查、毒品检查、交通检查、专项检查；3、应急，驰援周边处置突发事件。4、为民服务，为出入川车辆和人员提供服务</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50名民辅警在七盘关公安检查站开展工作，全年核查重点人数212人，协助办理行政案件80起，在反恐维稳、查缉布控、治安巡防等方面发挥了重要作用。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项目资金全部用于在站人员的查缉布控需要，包括专用材料费、办公费等，据实报销，专款专用。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21.50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21.50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21.50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21.50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21.50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21.50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核查重点人员</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212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协助查获行政案件</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件</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查获吸毒人员</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治安防控率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设卡盘查覆盖率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贩毒运毒案件破获率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设卡查缉时长</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小时/天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平均车辆查缉时长</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分钟</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驰援周边时长</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分钟</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服务七盘关石材城、中子经济开发区</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开展结对帮扶工作</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服务旅游业</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驰援周边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打击毒品犯罪行为</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打击涉恐人员</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开展涉毒案件查缉布控工作</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维护服务区周边治安</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逢疑必查，打击犯罪、服务群众</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在站民辅警满意度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基础设施维修费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民警乡镇津补贴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水电气等日常运行费用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临时用工费用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项目的实施切实打击了川内外毒品交易，涉恐涉稳犯罪线索等，有力维护了社会治安的稳定。经自评，该项目自评得100分。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项目负责人：彭俊</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51080022R000006844873-退休“中人”一次性退休补贴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按照年初预算安排，及时足额发放，保障了退休人员的权益。）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按照文件要求，对应考核，及时足额发放退休“中人”一次性退休补贴。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34.78</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34.78</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34.78</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34.78</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发放（缴纳）覆盖率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51080022T000004925406-派驻纪检监察组工作经费（单列）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监督、检查市公安局及直属分局贯彻执行党的路线、方针、政策和决议情况，遵守国家法律、法规和执行各级政策情况；对市局党委及其成员和其他领导干部实行监督；会同市局党委抓好党风廉政建设和反腐败工作，纠正部门和行业不正之风；全覆盖对民辅警进行党风廉政教育；完成自办案件和指导案件；营造廉洁警营，树立公安队伍良好形象，推动全面从严治警向纵深发展。</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全年按照年初既定目标，完成了培训和警示教育6次，指导和督办案件18起，案件办结率100%,切实发挥了纪检监察的作用，成效明显。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项目资金全部用于派驻纪检监察组经费开支，包含办案差旅费、办公费等，全部据实报销，专款专用。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开展培训和警示教育次数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指导案件办理</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件</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自办案件</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件</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案件办结率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案件质量</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党风廉政建设率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培训按时完成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案件办理按时完成时间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护航经济发展</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改善投资环境</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维护政治生态</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推动干部队伍纯净建设</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推动从严治警纵深发展</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持续增强执行力</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群众满意度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培训民警满意度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谈话室建设费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车辆运行维护</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案件办理差旅费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项目的实施推动了公安队伍的纯洁性建设，纵深发展了从严治警的政策方针。经自评，该项目自评得100分。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51080022T000004925530-乡村振兴工作经费（单列）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促进产业发展、使帮扶户生活水平逐年提高，同时保障驻村人员生活和驻村工作的有序运转。</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项目的实施促进产业发展、使帮扶户生活水平逐年提高，同时保障驻村人员生活和驻村工作的有序运转。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项目资金全部用于乡村振兴工作队的日常开支，补助发放和困难户帮扶慰问工作，按月报销。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10.92</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10.92</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10.92</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10.92</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10.92</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10.92</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帮扶对象</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93</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户</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引进项目</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项目完成率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帮扶对象致富率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帮扶率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驻村工作时间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帮扶困难户时长</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落实国家政策</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推动行业发展</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提升治理水平</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服务民生大众情况</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巩固脱贫攻坚成果</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持续推动乡村经济振兴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帮扶对象满意度指标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群众满意度调查</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各级机关满意度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驻村队员工作经费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8.42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8.42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驻村宣传费用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走访慰问</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该项目的实施，对巩固脱贫攻坚成果，持续推动乡村经济发展具有积极作用。经自评，该项目自评得100分。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51080022T000004937204-广元微户政运维服务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代收共建各分县局公安机关治安微户政运维服务费</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代收共建各分县局公安机关治安微户政运维服务费。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按照采购管理办法，据实向供应商支付运维费。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22.20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22.20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r>
              <w:rPr>
                <w:rFonts w:hint="eastAsia" w:ascii="宋体" w:hAnsi="宋体" w:cs="宋体"/>
                <w:i/>
                <w:color w:val="000000"/>
                <w:kern w:val="0"/>
                <w:sz w:val="18"/>
                <w:szCs w:val="18"/>
              </w:rPr>
              <w:t>代管资金项目，按照县区上缴宽实际情况实际实施。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22.20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22.20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采购次数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场</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合格率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服务时长</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推动建设信息化</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各县区机关满意度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支付成本</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22.2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年度内未开展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right"/>
              <w:rPr>
                <w:rFonts w:hint="eastAsia" w:ascii="宋体" w:hAnsi="宋体" w:cs="宋体"/>
                <w:color w:val="000000"/>
                <w:kern w:val="0"/>
                <w:sz w:val="18"/>
                <w:szCs w:val="18"/>
              </w:rPr>
            </w:pPr>
            <w:r>
              <w:rPr>
                <w:rFonts w:hint="eastAsia" w:ascii="宋体" w:hAnsi="宋体" w:cs="宋体"/>
                <w:color w:val="000000"/>
                <w:kern w:val="0"/>
                <w:sz w:val="18"/>
                <w:szCs w:val="18"/>
              </w:rPr>
              <w:t>70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本项目属于代管资金项目，项目的实施切实推动公安户政管理系统的信息化，提升办事效率，进而提升人民群众的满意度。经自评，该项目自评得70分。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项目年度内未实施。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进一步增强预算编制的准确性，对代管资金项目年度内确需开展的申报预算。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项目负责人：黄平</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51080022T000004937219-犬粮购置款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代收代支出全市公安机关代养的警犬犬粮、训练等支出</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代收代支出全市公安机关代养的警犬犬粮、训练等支出，全年采购一次，保障警犬20条。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项目资金用于保障警犬训练基地警犬口粮，市县共建项目，据实报销。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0.81</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r>
              <w:rPr>
                <w:rFonts w:hint="eastAsia" w:ascii="宋体" w:hAnsi="宋体" w:cs="宋体"/>
                <w:i/>
                <w:color w:val="000000"/>
                <w:kern w:val="0"/>
                <w:sz w:val="18"/>
                <w:szCs w:val="18"/>
              </w:rPr>
              <w:t>该项目属于市县共建代管资金项目，申报预算金额为县区上缴款，</w:t>
            </w:r>
            <w:r>
              <w:rPr>
                <w:rFonts w:hint="default" w:ascii="Courier New" w:hAnsi="Courier New" w:cs="Courier New"/>
                <w:i/>
                <w:color w:val="000000"/>
                <w:kern w:val="0"/>
                <w:sz w:val="18"/>
                <w:szCs w:val="18"/>
              </w:rPr>
              <w:t>2024</w:t>
            </w:r>
            <w:r>
              <w:rPr>
                <w:rFonts w:hint="eastAsia" w:ascii="宋体" w:hAnsi="宋体" w:cs="宋体"/>
                <w:i/>
                <w:color w:val="000000"/>
                <w:kern w:val="0"/>
                <w:sz w:val="18"/>
                <w:szCs w:val="18"/>
              </w:rPr>
              <w:t>年采购犬粮由于县区上缴不及时，且急需支付犬粮，故市局承担了其余款项。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0.81</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采购次数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保障警犬</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保障时效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月</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保障警犬</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服务案件侦破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服务安保维稳</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警犬基地满意度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采购金额</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0.81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项目资金属于县区上缴款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right"/>
              <w:rPr>
                <w:rFonts w:hint="eastAsia" w:ascii="宋体" w:hAnsi="宋体" w:cs="宋体"/>
                <w:color w:val="000000"/>
                <w:kern w:val="0"/>
                <w:sz w:val="18"/>
                <w:szCs w:val="18"/>
              </w:rPr>
            </w:pPr>
            <w:r>
              <w:rPr>
                <w:rFonts w:hint="eastAsia" w:ascii="宋体" w:hAnsi="宋体" w:cs="宋体"/>
                <w:color w:val="000000"/>
                <w:kern w:val="0"/>
                <w:sz w:val="18"/>
                <w:szCs w:val="18"/>
              </w:rPr>
              <w:t>78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本项目的实施，保障了警犬的日常训练和口粮需要，对警犬开展业务相关工作做好了日常基础。经自评，该项目自评得78分。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预算编制不准确，资金执行率低。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针对本年要开展的项目，及时统筹谋划，切实加快资金的上缴和支付工作，以杜绝预算和执行相差甚远的情况。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项目负责人：蒲霄</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51080022T000005196200-市强制隔离戒毒所经费（单列）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保障戒毒所正常运转，实施规范化管理。开展戒毒人员脱毒治疗、康复训练、劳动技能培训和终合性诊断评估，实现戒毒人员生理脱毒，身心康复，行为表现和社会适应能力全面合格，更好回归社会。</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项目完成良好，实现监所规范化管理，确保了监所安全，较好的服务了社会大局稳定。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保障监所正常运转所需的在押人员衣被费、伙食费、公杂费、水电气费、管理教费、维修维护费等，实行逐月报账制。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83.70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83.70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83.70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83.70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83.70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83.70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开展戒毒人员脱毒治疗人数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规范戒毒（拘留）人数着装人数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保障戒毒（拘留）人员伙食人数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240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戒毒（拘留）人员伙食标准</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280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元/人*月</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280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监所安全责任事故率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戒毒人员药物脱毒治疗效果</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51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收戒（拘）量完成时间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365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戒毒人员生理脱毒时间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90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戒毒人员过渡期管理时间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吸毒人员戒毒消费降低</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禁毒缉毒成本进一步降低</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社会投资环境进一步优化</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社会治安好转进一步提高</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出所戒员社会就业率进一步提高</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社会面吸毒人员减少数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240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吸毒人员数量持续减少</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社会环境持续好转</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涉毒犯罪持续减少</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戒（拘）人员衣被费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3.56</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3.56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戒（拘）人员伙房劳务费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25.2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25.2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戒（拘）人员伙食费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戒（拘）人员公杂费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8.4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管理、教育相关费用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6.89</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6.89</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戒毒人员脱毒药品费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水电气相关费用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维修维护相关费用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3.65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2024年较好的完成了该项目，年内监所安全稳定，管理规范，无社会负面舆情炒作，无任何安全事故，较好的服务了社会大局稳定。经自评，该项目自评得100分。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下一步，将结合社会经济情况、社会治安情况、吸毒人员断崖下降的实际情况，优化调整年度预算，进一步节约资金，力争有限的资金发挥最大作用。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项目负责人：黄华群</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51080022T000005196223-市看守所经费（单列）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通过项目的实施，完成了在押人员一日三餐供应，监所环境整治，保障刑事诉讼活动顺利进行，保障在押人员合法权益。</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通过该项目的实施，完成了在押人员一日三餐供应，监所环境整治，保障刑事诉讼活动顺利进行，保障在押人员合法权益。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通过项目的实施，完成了在押人员一日三餐供应，监所环境整治，保障刑事诉讼活动顺利进行，保障在押人员合法权益。按月据实报销。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24.55</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295.55</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287.70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97.35%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24.55</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295.55</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287.70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97.35%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协助破案数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件</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入所教育人次</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1120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收押犯罪嫌疑人数量</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550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562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在押人员教育转化率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85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在押人员食材合格率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在押人员档案管理率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目标工作保障时限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365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新入所人员谈话</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小时</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疫情防控时间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365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节约设施设备运维费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减少在押人员衣被支出</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减轻贫困在押人员经济支出</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保障刑事诉讼活动、维护社会公平正义</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树文明监管形象</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看守所无重大安全事故率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生态效益指标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排污处理率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监所环境卫生整治率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在押人员用品循环率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在押人员家属满意度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群众满意度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水电气费用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在押人员公杂费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在押人员伙食费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184.8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184.8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right"/>
              <w:rPr>
                <w:rFonts w:hint="eastAsia" w:ascii="宋体" w:hAnsi="宋体" w:cs="宋体"/>
                <w:color w:val="000000"/>
                <w:kern w:val="0"/>
                <w:sz w:val="18"/>
                <w:szCs w:val="18"/>
              </w:rPr>
            </w:pPr>
            <w:r>
              <w:rPr>
                <w:rFonts w:hint="eastAsia" w:ascii="宋体" w:hAnsi="宋体" w:cs="宋体"/>
                <w:color w:val="000000"/>
                <w:kern w:val="0"/>
                <w:sz w:val="18"/>
                <w:szCs w:val="18"/>
              </w:rPr>
              <w:t>99</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通过项目的实施，完成了在押人员一日三餐供应，监所环境整治，保障刑事诉讼活动顺利进行，保障在押人员合法权益。经自评，该项目自评得99分。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项目负责人：张宝玉</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51080022T000005197560-公安通讯链路租赁费（单列）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乙方依照甲方视频专网建设规模，投资光纤电路及路由、交换等设备，达到方案要求，满足甲方业务需要，整体租赁给甲方使用，租赁费用已包括在甲方支付的通信费用中。该项目保障了我市公安通信网络的正常运行。项目内容还有应急指挥平台改造、城市电子监控标清点位改造，交通违法抓拍系统改造、动力系统改造等。本项目提高了城市综合防控能力，提高了城市智能化交通水平，提高了公安科技信息化水平，项目已经建设完成投入使用。</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该项目已投入正常运行，保障了我市公安信息网、互联网、公安视频专网等网络及办公固定电话的维修及维护管理。本项目提高了公安科技信息化水平，提高了城市治安综合防控能力，提高了城市智能交通管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包括市公安局固定语音通话，公安信息网，互联网，公安视频专网以及应急指挥平台等，按照政府采购合同按月据实报销。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482.95</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482.95</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468.80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97.07%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482.95</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482.95</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468.80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97.07%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其他通信服务内容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公安的三网通信链路</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468.9</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万元/每项目</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468.9</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三网通信畅通运行合格率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应急联动指挥平台运行合格率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其他通信服务运行合格率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网络安全保障时效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小时/天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110指挥平台语音通信时间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小时/天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服务响应时间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小时</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降低公安业务侦查办案成本</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节约自行运维成本</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提高公安科技信息化水平</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保障治安防控一体化</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保障智能交通管理</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巡逻防控网格化</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交通管理集约化</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服务治安管控长期化</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社会公众满意度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企事业单位满意度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三网租纤费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应急联动租赁费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358.7</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358.7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水污染链路租赁费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11.7</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right"/>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本项目在规定时间内完成，均达到相应的绩效指标，成功明显，为后续工作奠定了良好基础。经自评，该项目自评得100分。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本项目中端设备开始老化，面临更新换代的问题，保障经费紧张。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及时规划下一周期项目启动工作，加强项目日常运维考核，督促成交供应商按合同高质量履行运维服务，建好详细资产管理台账。同时，建议市财政在项目原有经费保障的基础上，根据公安工作的实际，适度提高项目经费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项目负责人：鲁娟</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51080022T000005528625-警务辅助人员经费（含留置看护勤务辅警专项经费100万）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保障177名辅警人员必需经费，通过辅助开展110接处警、街面巡逻防控、窗口服务、案件侦办、卡点查缉、监管场所值守等工作，更好地维护广元全市的社会治安稳定。</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项目资金的实施，保障了警务辅助人员的必要开支，切实对广元公安接处警、查获犯罪嫌疑人、巡逻等工作的开展起到了举足轻重的作用。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项目资金全部用于警务辅助人员待遇保障和日常开支，专款专用。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841.50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841.50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841.50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841.50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841.50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841.50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接处警次数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5102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查获违法犯罪嫌疑人数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218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巡逻次数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30111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保障人数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177</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177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破获案件数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案件数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217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待遇保障率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发案下降率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接处警及时率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非正常死亡率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工作时间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小时/天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保障频率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月</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保障时间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优化营商环境</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监所安全有序</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社会治安稳定</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巩固“无毒害市”</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生态效益指标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林业资源有效保护</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保护野生动物</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减少水资源污染</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维护社会稳定</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打击违法犯罪</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激励机制</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职业保障</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群众满意度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辅警满意度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社会综合评价</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工资</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451.92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451.92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五险</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347.1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347.1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住房公积金</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42.48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42.48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项目的实施，保障了警务辅助人员的工作开支需要，间接提升了公安工作对广元社会治安等方面的建设参与度。经自评，该项目自评得100分。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项目负责人：姚中华</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51080022T000006864514-刑事诉讼大宗涉案财物保管中心运行经费（单列）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建立市区两级政法机关统一的刑事诉讼大宗涉案财物集中保管中心，保证市区两级政法机关刑事诉讼活动，保证涉案财物绝对安全，积极服务司法活动，保障当事人合法权益。</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建立市区两级政法机关统一的刑事诉讼大宗涉案财物保管中心，保证市区两级政法机关刑事诉讼的正常进行，涉案财物绝对安全，不发生涉案财物丢失，圆满完成了既定目标任务。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按照政府采购招标合同的规定，与成都市川盾保安服务有限公司签订合同，具体负责涉案财物的保管。经费按月据实报销，专款专用。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374.00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374.00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301.61</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80.65%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r>
              <w:rPr>
                <w:rFonts w:hint="eastAsia" w:ascii="宋体" w:hAnsi="宋体" w:cs="宋体"/>
                <w:i/>
                <w:color w:val="000000"/>
                <w:kern w:val="0"/>
                <w:sz w:val="18"/>
                <w:szCs w:val="18"/>
              </w:rPr>
              <w:t>按照合同约定支付，剩余资金结转至</w:t>
            </w:r>
            <w:r>
              <w:rPr>
                <w:rFonts w:hint="default" w:ascii="Courier New" w:hAnsi="Courier New" w:cs="Courier New"/>
                <w:i/>
                <w:color w:val="000000"/>
                <w:kern w:val="0"/>
                <w:sz w:val="18"/>
                <w:szCs w:val="18"/>
              </w:rPr>
              <w:t>2025</w:t>
            </w:r>
            <w:r>
              <w:rPr>
                <w:rFonts w:hint="eastAsia" w:ascii="宋体" w:hAnsi="宋体" w:cs="宋体"/>
                <w:i/>
                <w:color w:val="000000"/>
                <w:kern w:val="0"/>
                <w:sz w:val="18"/>
                <w:szCs w:val="18"/>
              </w:rPr>
              <w:t>年继续使用。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374.00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374.00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301.61</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80.65%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结合县区涉案涉案财物数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件</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接收市级政法单位涉案财物数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件</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接收监察委涉案财物数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件</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涉案财物接收率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涉案财物保管完好率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涉案财物流转率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移送涉案财物时间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小时</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接收涉案财物时间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减少办案财物保管成本</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减少责任单位流成本</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保证刑事诉讼顺利进行</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减少当事人的投诉</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保护当事人合法权益</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提高政法机关公信力</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当事人满意度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社会综合评价满意度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政法机关满意度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场地租赁费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安保服务费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146.2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73.81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据实报销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right"/>
              <w:rPr>
                <w:rFonts w:hint="eastAsia" w:ascii="宋体" w:hAnsi="宋体" w:cs="宋体"/>
                <w:color w:val="000000"/>
                <w:kern w:val="0"/>
                <w:sz w:val="18"/>
                <w:szCs w:val="18"/>
              </w:rPr>
            </w:pPr>
            <w:r>
              <w:rPr>
                <w:rFonts w:hint="eastAsia" w:ascii="宋体" w:hAnsi="宋体" w:cs="宋体"/>
                <w:color w:val="000000"/>
                <w:kern w:val="0"/>
                <w:sz w:val="18"/>
                <w:szCs w:val="18"/>
              </w:rPr>
              <w:t>93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项目总体运行良好，解决了广大办案单位扣押涉案财物无处存放的难题，保证了刑事诉讼的正常运行，保障了当事人的权益。经自评，该项目自评得93分。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项目负责人：赵晓伟</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按照年度既定目标任务，及时足额发放。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按照相关文件，保障事业人员的定额公用经费。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19.50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19.50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19.50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19.50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19.50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19.50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科目调整次数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运转保障率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按照实有在职人数考核，及时足额发放单位年度考核奖。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按照人事核定人数，根据部门考核情况，层级化发放，及时足额支付。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407.20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767.85</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767.85</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407.20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767.85</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767.85</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发放（缴纳）覆盖率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项目负责人：</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51080023T000008418543-侦查办案费（含铁路护路和反诈经费）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主要按照《公安机关财务管理办法》中办案费的相关范围执行，含纪委、督察、审计、护路办等部门的执法办案，包括办案过程中发生的会议、差旅、材料、劳务、房屋及设备租赁等支出。</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按照年初既定目标任务，使用项目经费完成了安保维稳3000人次，执勤任务1500人次，接处警</w:t>
            </w:r>
            <w:r>
              <w:rPr>
                <w:rFonts w:hint="default" w:ascii="Courier New" w:hAnsi="Courier New" w:cs="Courier New"/>
                <w:color w:val="000000"/>
                <w:kern w:val="0"/>
                <w:sz w:val="18"/>
                <w:szCs w:val="18"/>
              </w:rPr>
              <w:t>4000</w:t>
            </w:r>
            <w:r>
              <w:rPr>
                <w:rFonts w:hint="eastAsia" w:ascii="宋体" w:hAnsi="宋体" w:cs="宋体"/>
                <w:color w:val="000000"/>
                <w:kern w:val="0"/>
                <w:sz w:val="18"/>
                <w:szCs w:val="18"/>
              </w:rPr>
              <w:t>次等任务，对降低犯罪率，维护社会治安稳定起到了举足轻重的作用。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由市公安局警务保障处进行综合管理，设立专职会计、出纳等岗位，各部门相关费用支出由其财务人员统一进行报销，做到专人专司财务管理职责，对项目资金严格执行财务管理制度，及时进行财务处理和核算。项目资金使用严格按照财务管理制度要求，实行公务卡结算，不能使用公务卡结算的进行转账，对每一笔资金的使用，严格落实附件、清单、申领、金额审批等要求，每一笔支出都合法合规，每一笔开支都严格按照预算批复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70.63</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70.63</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70.63</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70.63</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70.63</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70.63</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完成接处警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起</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完成维稳人次</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完成安保执勤任务</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接处警率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经费保障率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案件办结率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资金执行</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降低犯罪率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提高犯罪成本</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社会和谐稳定</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对维护社会治安的辅助作用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生态效益指标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维护生态平衡</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持续发展</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社会和谐稳定</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政治大局平稳</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民警满意度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办案差旅费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专用材料费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20.63</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20.63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劳务费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项目实施确保了我市安保执勤任务的圆满完成，全年实体性犯罪进一步减少，全年无发生重大刑事治安案件，有效的服务了公安实战需求，入选“全国最安全城市”。经自评，该项目自评得分100分。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51080023T000008466787-民警法定节假日之外加班补贴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根据《人力资源社会保障部 财政部关于执行人民警察法定工作日之外加班补贴有关问题的通知》人社部规{2017}19号文件通知，人民警察法定工作日之外加班的，应当给予补助。各级人力资源社会保障、财政部门按照月人均710元和本级各相关单位的国家政法专项编制内人民警察实有人数预算。</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根据《人力资源社会保障部</w:t>
            </w:r>
            <w:r>
              <w:rPr>
                <w:rFonts w:hint="default" w:ascii="Courier New" w:hAnsi="Courier New" w:cs="Courier New"/>
                <w:color w:val="000000"/>
                <w:kern w:val="0"/>
                <w:sz w:val="18"/>
                <w:szCs w:val="18"/>
              </w:rPr>
              <w:t xml:space="preserve"> </w:t>
            </w:r>
            <w:r>
              <w:rPr>
                <w:rFonts w:hint="eastAsia" w:ascii="宋体" w:hAnsi="宋体" w:cs="宋体"/>
                <w:color w:val="000000"/>
                <w:kern w:val="0"/>
                <w:sz w:val="18"/>
                <w:szCs w:val="18"/>
              </w:rPr>
              <w:t>财政部关于执行人民警察法定工作日之外加班补贴有关问题的通知》人社部规</w:t>
            </w:r>
            <w:r>
              <w:rPr>
                <w:rFonts w:hint="default" w:ascii="Courier New" w:hAnsi="Courier New" w:cs="Courier New"/>
                <w:color w:val="000000"/>
                <w:kern w:val="0"/>
                <w:sz w:val="18"/>
                <w:szCs w:val="18"/>
              </w:rPr>
              <w:t>{2017}19</w:t>
            </w:r>
            <w:r>
              <w:rPr>
                <w:rFonts w:hint="eastAsia" w:ascii="宋体" w:hAnsi="宋体" w:cs="宋体"/>
                <w:color w:val="000000"/>
                <w:kern w:val="0"/>
                <w:sz w:val="18"/>
                <w:szCs w:val="18"/>
              </w:rPr>
              <w:t>号文件通知，完成对市公安局人民警察法定节假日之外的加班补贴的发放。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项目资金按照文件要求，由人事处按月据实考核，据实公示，警务保障处据实发放。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395.33</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395.33</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395.33</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395.33</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395.33</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395.33</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民警人数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464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464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人均加班天数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考核率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及时发放率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考核时长</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发放时长</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完成各项安保执勤任务</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推动社会治安持续向稳</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护航广元经济发展</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增强执行力</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增强职业荣誉感</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民警满意度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加班补助标准</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发放加班费总额</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395.33</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395.33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项目的实施进一步提升了人民警察的职业荣誉感和认同感。经自评，该项目自评得100分。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项目负责人：姚中华</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51080023T000009040625-春节慰问活动资金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按照广委办函【2024】1号文件活动方案，对市公安局一线工作人员开展春节集中慰问。</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按照文件方案，完成发放。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按照广委办函【2024】1号文件活动方案，据实发放。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慰问一线部门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慰问一线工作人员</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慰问率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慰问及时性</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及时</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及时</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提升政府工作执行力</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营造爱岗敬业的社会风气</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提升一线工作人员认同和归属感</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提升一线工作人员工作积极性</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一线工作人员满意度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一线部门满意度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慰问资金</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该项目的实施提升了一线工作人员认同和归属感，提升了一线工作人员工作积极性。经自评，该项目自评得100分。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51080023T000009642267-2023年铁路护路经费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用于市本级铁路护路联防队员意外伤害保险、公用经费、铁路护路联防管理系统、重点整治、信息化建设、铁路沿线治安专项整治工作、绩效考核经费等相关支出，加强隐患排查化解、铁路安全“五进”宣传工作，确保辖区内不发生重特大安全事故。</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按照既定目标任务，使用市财政局资金完成了成都大运会安保装备紧急采购，大运会安保工作圆满完成，对维护大运会期间社会治安工作起到了举足轻重的作用。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由市公安局警务保障处进行综合管理，设立专职采购专员负责，对采购资金严格执行资金管理制度，及时进行采购资金的处理和核算，每一笔采购资金的支出都合法合规，每一笔开支都严格按照预算批复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27.30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27.30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27.30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r>
              <w:rPr>
                <w:rFonts w:hint="eastAsia" w:ascii="宋体" w:hAnsi="宋体" w:cs="宋体"/>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27.30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27.30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27.30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出动护路人次</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460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460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隐患排查</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护路里程</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公里</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宣传次数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37</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护路安全率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99</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99</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安全事故发生率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铁路沿线治安防控</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分钟</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处置铁路沿线隐患事故</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分钟</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铁路沿线信息收集</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分钟</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抢劫铁路物资事件</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铁路设施被盗</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影响行车安全事故</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路外伤亡事故</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危机行车安全事件</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可持续发展指标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铁路安全畅通</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沿线治安环境稳定</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乘客满意度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护路队员满意度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沿线居民满意度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车辆燃油费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0.25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0.25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办公差旅费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0.68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0.68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专项行动经费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26.37</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26.37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该项目的实施，切实维护了铁路及沿线的安全，保障了铁路广元段的畅通。经自评，该项目自评得100分。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项目负责人：李海滨</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51080023T000009716216-大运会安保专项资金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成都大运会安保装备紧急采购，确保我市大运会安保工作有序进行。</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按照既定目标任务，使用市财政局资金完成了成都大运会安保装备紧急采购，大运会安保工作圆满完成，对维护大运会期间社会治安工作起到了举足轻重的作用。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由市公安局警务保障处进行综合管理，设立专职采购专员负责，对采购资金严格执行资金管理制度，及时进行采购资金的处理和核算，每一笔采购资金的支出都合法合规，每一笔开支都严格按照预算批复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23.49</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23.49</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r>
              <w:rPr>
                <w:rFonts w:hint="eastAsia" w:ascii="宋体" w:hAnsi="宋体" w:cs="宋体"/>
                <w:i/>
                <w:color w:val="000000"/>
                <w:kern w:val="0"/>
                <w:sz w:val="18"/>
                <w:szCs w:val="18"/>
              </w:rPr>
              <w:t>该项目已实施完毕，项目资金属于采购结余资金，建议财政收回。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23.49</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23.49</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专业警用装备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77</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台/套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特种专业技术用车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个（台、套、件、辆）</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维修次数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次/年</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专业警用装备使用年限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车辆使用年限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使用特种专业技术用车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次/年</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使用装备次数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次/年</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完成交货时间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交通堵塞降低</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次/年</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交通事故发生降低</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次/年</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生态效益指标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无人机加强环境监测，减少环境破坏犯罪</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使用民警满意度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群众满意度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车辆购置税</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专业装备购买成本</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23.49106</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23.49106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车辆购买成本</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right"/>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该项目已实施完毕，达到了预期的效果，资金属于采购结余资金，建议财政收回。经自评，该项目自评得90分。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项目负责人：张超</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五险两金及时、足额缴纳，完成了既定年度目标任务。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按照组织部、人社局及市公安局人事处等文件，准确核算，足额缴纳。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2,402.04</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2,588.77</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2,588.77</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2,402.04</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2,588.77</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2,588.77</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发放（缴纳）覆盖率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按照年度既定目标任务，及时足额发放。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按照人事文件，及时足额发放事业人员工资。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107.77</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107.77</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107.77</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107.77</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107.77</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107.77</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发放（缴纳）覆盖率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按照实有在职事业人数考核，及时足额发放事业人员基础绩效奖。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按照人事核定人数，根据考核情况，及时足额支付。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40.79</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40.79</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40.79</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40.79</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40.79</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40.79</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发放（缴纳）覆盖率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按照实有在职人数考核，及时足额发放公务员基础绩效奖。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按照人事核定人数，根据部门考核情况，层级化发放，及时足额支付。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1,757.67</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1,757.67</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1,757.67</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1,757.67</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1,757.67</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1,757.67</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发放（缴纳）覆盖率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按照年初预算安排，及时足额发放，保障了退休人员的权益。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按照文件要求，对应考核，及时足额发放退休“中人”一次性退休补贴。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549.36</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549.36</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549.36</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549.36</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549.36</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549.36</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发放（缴纳）覆盖率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51080024R000010825886-遗属生活补助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按照年初既定任务，及时足额发放遗属生活费。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按照相关文件要求，认真核实，专项支出。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15.36</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15.36</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15.36</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15.36</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15.36</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15.36</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发放（缴纳）覆盖率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按照工资文件，及时足额发放。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按照人事变动文件及职级职务晋升等文件，严格考核，及时足额发放。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5,230.01</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5,230.01</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5,230.01</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5,230.01</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5,230.01</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5,230.01</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发放（缴纳）覆盖率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足额发放或社保及时、足额缴纳，完成了既定年度目标任务。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按照组织部、人社局及市公安局人事处等文件，严格核查，足额缴纳。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14.14</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35.70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35.70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14.14</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35.70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35.70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发放（缴纳）覆盖率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51080024T000011038981-市看守所经费（含看守所食堂劳务食堂采购）（单列）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通过该项目的实施，完成了在押人员一日三餐供应，监所环境整治，保障刑事诉讼活动顺利进行，保障在押人员合法权益。</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通过该项目的实施，完成了在押人员一日三餐供应，监所环境整治，保障刑事诉讼活动顺利进行，保障在押人员合法权益。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通过项目的实施，完成了在押人员一日三餐供应，监所环境整治，保障刑事诉讼活动顺利进行，保障在押人员合法权益。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347.60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217.60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217.55</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99.98%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347.60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217.60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217.55</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99.98%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入所教育人数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1101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收押犯罪嫌疑人押量</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550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562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协助破案数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件</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在押人员教育转化率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在押人员档案管理率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在押人员食材合格率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过渡监室在押人员关押期限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目标工作保障时限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新入所人员谈话</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小时</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减少在押人员衣被支出</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节约设施设备运维费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减轻贫困在押人员经济支出</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保障刑事诉讼活动、维护社会公平正义</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看守所无重大安全事故</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树文明监管形象</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生态效益指标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监所环境卫生整治率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在押人员物品循环利用率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排污处理率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在押人员家属满意度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在押人员公杂费及食堂餐饮劳务费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26.05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水电气费用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52.95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52.95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在押人员伙食费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138.6</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138.6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该项目的实施，保障了在押人员的正常权益保障，保障了在押人员的一日三餐，项目效果明显。经自评，该项目自评得100分。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项目负责人：张宝玉</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51080024T000011820414-网络合成作战战训基地建设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建立“网安牵头搭建中心、警种资源集中融合、双重身份双重管理、专人专班精准攻坚、情报技术全面赋能”的网络合成作战战训基地，推进全市公安机关网络犯罪侦查打击的力度融合、技术融合、知识融合，构建网安主导、警种融合的网上网下一体合成作战新机制，为加快建设川陕甘结合部现代化中心城市提供有力的网络安全支撑保障。</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default" w:ascii="Courier New" w:hAnsi="Courier New" w:cs="Courier New"/>
                <w:color w:val="000000"/>
                <w:kern w:val="0"/>
                <w:sz w:val="18"/>
                <w:szCs w:val="18"/>
              </w:rPr>
              <w:t xml:space="preserve"> </w:t>
            </w:r>
            <w:r>
              <w:rPr>
                <w:rFonts w:hint="eastAsia" w:ascii="宋体" w:hAnsi="宋体" w:cs="Courier New"/>
                <w:color w:val="000000"/>
                <w:kern w:val="0"/>
                <w:sz w:val="18"/>
                <w:szCs w:val="18"/>
              </w:rPr>
              <w:t>建立</w:t>
            </w:r>
            <w:r>
              <w:rPr>
                <w:rFonts w:hint="default" w:ascii="Courier New" w:hAnsi="Courier New" w:cs="Courier New"/>
                <w:color w:val="000000"/>
                <w:kern w:val="0"/>
                <w:sz w:val="18"/>
                <w:szCs w:val="18"/>
              </w:rPr>
              <w:t>“</w:t>
            </w:r>
            <w:r>
              <w:rPr>
                <w:rFonts w:hint="eastAsia" w:ascii="宋体" w:hAnsi="宋体" w:cs="Courier New"/>
                <w:color w:val="000000"/>
                <w:kern w:val="0"/>
                <w:sz w:val="18"/>
                <w:szCs w:val="18"/>
              </w:rPr>
              <w:t>网安牵头搭建中心、警种资源集中融合、双重身份双重管理、专人专班精准攻坚、情报技术全面赋能</w:t>
            </w:r>
            <w:r>
              <w:rPr>
                <w:rFonts w:hint="default" w:ascii="Courier New" w:hAnsi="Courier New" w:cs="Courier New"/>
                <w:color w:val="000000"/>
                <w:kern w:val="0"/>
                <w:sz w:val="18"/>
                <w:szCs w:val="18"/>
              </w:rPr>
              <w:t>”</w:t>
            </w:r>
            <w:r>
              <w:rPr>
                <w:rFonts w:hint="eastAsia" w:ascii="宋体" w:hAnsi="宋体" w:cs="Courier New"/>
                <w:color w:val="000000"/>
                <w:kern w:val="0"/>
                <w:sz w:val="18"/>
                <w:szCs w:val="18"/>
              </w:rPr>
              <w:t>的网络合成作战战训基地，推进全市公安机关网络犯罪侦查打击的力度融合、技术融合、知识融合，构建网安主导、警种融合的网上网下一体合成作战新机制，为加快建设川陕甘结合部现代化中心城市提供有力的网络安全支撑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该项目按照合同约定专款专用，达到了既定的目标任务。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基地建设场地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平方米</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作战工作席位</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合成案件数量（月）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件</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预警率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处置率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破案率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基地建成时限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月</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同步上案时间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分钟</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线索预警时间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分钟</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整合技术平台，减少财政支出</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减少人民群众财产损失</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净化网络环境</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打击涉网违法犯罪</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受害人满意度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人民群众满意度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使用部门满意度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工位设施购置</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其他部分改造</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场地基础改造</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18.9</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18.9</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该项目的实施，进一步整合了网络技术平台，减少了财政支出，减少了人民群众的财产损失，同时进一步净化了网络环境，打击了涉网违法犯罪活动的发生。经自评，该项目自评得100分。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项目负责人：鲁娟</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51080024T000011898483-武警专修室和公务仓经费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深入贯彻落实武警部队基础训练现场会精神，加快推进支队基础训练转型升级，全面提升军事训练实战化水平，全面提升中队练兵备战水平和打赢能力。</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深入贯彻落实武警部队基础训练现场会精神，加快推进支队基础训练转型升级，全面提升军事训练实战化水平，全面提升中队练兵备战水平和打赢能力。按照项目实际采购了资料柜、电子白板、指挥旗等武警需要的设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项目资金全部保障于武警广元支队的实际需要，按照合同约定支付价款，专款专用。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7.71</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96.33%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7.71</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96.33%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资料柜</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电子白板</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指挥旗</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射击预习靶</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张</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aed训练机</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自救互救器材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作业工具包</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管理制度牌及安装费用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侦毒包</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压弹训练器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发烟罐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发烟装置</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集装箱</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卷图机</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瞄准检查镜</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模拟人</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器材架</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信号灯</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购置质量合格率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项目完成时间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月</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更好完成后期中队官兵执勤、处突等任务</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可持续发展指标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满足官兵后期训练场地要求</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中队官兵队项目的满意度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购置总成本</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7.71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19</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right"/>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该项目的实施更好的保障了武警支队更好的完成执勤、处突和后期训练的实际需要。经自评，该项目自评得98分。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项目负责人：张宝玉</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51080024T000011935899-人民警察伤亡特殊补助金经费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根据《关于全省人民警察伤亡特殊补助金有关问题的通知》（川财行【2020】151号）文件规定，及时足额对符合发放条件的人民警察发放伤亡特殊补助金。</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按照文件规定和出具的相关证明，据实发放。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根据《关于全省人民警察伤亡特殊补助金有关问题的通知》（川财行【2020】151号）文件规定，全部按照相应的标准据实测算和发放。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18.40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18.40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18.40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18.40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核发人数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发放人次</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发放保障率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发放及时性</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营造爱警暖警社会氛围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提升警察职业认同</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从优待警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民警家属满意度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民警满意度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病故特殊补助金</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因公伤残特殊补助金</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项目的实施，体现了对人民警察的关心，进一步营造出全社会爱警暖警的氛围，提升了警察的职业认同感，民警家属满意度进一步提高。经自评，该项目自评得100分。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51080024T000011947230-省级铁路护路联防专项资金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用于市本级铁路护路联防队员意外伤害保险、公用经费、铁路护路联防管理系统、重点整治、信息化建设、铁路沿线治安专项整治工作、绩效考核经费等相关支出，加强隐患排查化解、铁路护路”五进“宣传等工作，确保辖区内不发生重特大安全事故。</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用于市本级铁路护路联防队员意外伤害保险、公用经费、铁路护路联防管理系统、重点整治、信息化建设、铁路沿线治安专项整治工作，全年完成铁路管辖</w:t>
            </w:r>
            <w:r>
              <w:rPr>
                <w:rFonts w:hint="default" w:ascii="Courier New" w:hAnsi="Courier New" w:cs="Courier New"/>
                <w:color w:val="000000"/>
                <w:kern w:val="0"/>
                <w:sz w:val="18"/>
                <w:szCs w:val="18"/>
              </w:rPr>
              <w:t>608</w:t>
            </w:r>
            <w:r>
              <w:rPr>
                <w:rFonts w:hint="eastAsia" w:ascii="宋体" w:hAnsi="宋体" w:cs="宋体"/>
                <w:color w:val="000000"/>
                <w:kern w:val="0"/>
                <w:sz w:val="18"/>
                <w:szCs w:val="18"/>
              </w:rPr>
              <w:t>公里，高铁</w:t>
            </w:r>
            <w:r>
              <w:rPr>
                <w:rFonts w:hint="default" w:ascii="Courier New" w:hAnsi="Courier New" w:cs="Courier New"/>
                <w:color w:val="000000"/>
                <w:kern w:val="0"/>
                <w:sz w:val="18"/>
                <w:szCs w:val="18"/>
              </w:rPr>
              <w:t>258</w:t>
            </w:r>
            <w:r>
              <w:rPr>
                <w:rFonts w:hint="eastAsia" w:ascii="宋体" w:hAnsi="宋体" w:cs="宋体"/>
                <w:color w:val="000000"/>
                <w:kern w:val="0"/>
                <w:sz w:val="18"/>
                <w:szCs w:val="18"/>
              </w:rPr>
              <w:t>公里，开展专项宣传</w:t>
            </w:r>
            <w:r>
              <w:rPr>
                <w:rFonts w:hint="default" w:ascii="Courier New" w:hAnsi="Courier New" w:cs="Courier New"/>
                <w:color w:val="000000"/>
                <w:kern w:val="0"/>
                <w:sz w:val="18"/>
                <w:szCs w:val="18"/>
              </w:rPr>
              <w:t>4</w:t>
            </w:r>
            <w:r>
              <w:rPr>
                <w:rFonts w:hint="eastAsia" w:ascii="宋体" w:hAnsi="宋体" w:cs="宋体"/>
                <w:color w:val="000000"/>
                <w:kern w:val="0"/>
                <w:sz w:val="18"/>
                <w:szCs w:val="18"/>
              </w:rPr>
              <w:t>次，达到了年初设定的目标。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项目资金全部用于铁路护路日常工作的开展和铁路护路队员的相关保障，据实报销，专款专用。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68.00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61.00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89.71%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项目资金结转至2025年继续使用。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68.00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61.00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89.71%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铁路线路管辖责任里程数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公里</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608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专项整治</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高铁里程数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258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公里</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258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专项宣传</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设施设备合格率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专项整治覆盖</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宣传覆盖涉铁县（市、区））</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处置铁路沿线隐患事故</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分钟</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年度铁路护路联防任务完成率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铁路沿线信息收集</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分钟</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抢劫铁路物资事件</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铁路设施被盗</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危机行车安全事件</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涉路矛盾纠纷排查调处</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保障铁路设施设备和运输安全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可持续发展指标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沿线治安环境稳定</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铁路安全畅通</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护路队员满意度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爱路护路校园宣传满意度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97</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沿线居民满意度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车辆燃油费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办公差旅费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13</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专项行动经费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right"/>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该项目的实施进一步保障了铁路设施设备和运输的安全，铁路沿线治安环境更加稳定，铁路更加畅通无阻。经自评，该项目自评得98分。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资金执行率较低。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进一步加强资金的统筹和执行，提高执行率。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项目负责人：李海滨</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按照年初预算编制，合理使用，保障了单位的日常运转。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按照文件要求，认真核实，专款专用，主要用于福利、工会、公车补贴、党建、退休活动等。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126.97</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126.97</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126.97</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126.97</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126.97</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126.97</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科目调整次数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运转保障率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按照年度既定目标任务，及时足额发放。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按照相关文件，保障行政人员的定额公用经费。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744.00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744.00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740.01</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99.46%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744.00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744.00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740.01</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99.46%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科目调整次数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运转保障率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按照年初预算编制，合理使用，保障了单位的日常运转。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按照文件要求，认真核实，专款专用，主要用于公车补贴、党建、退休活动等。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583.33</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583.33</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583.33</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583.33</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583.33</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583.33</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科目调整次数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运转保障率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项目负责人：王宇林</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51080025T000012180060-市监管中心医疗服务及药品费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本项目的是将监所（市看守所、市拘留所、市戒毒所）医疗卫生工作的责任主体转交给社会医院负责，实现公安监管医疗卫生专业化社会化，极大提升监所医疗基础保障水平，确保监所医疗工作安全高效运行，保障在押（拘戒）人员的生命健康合法权益，最大化减少在押（拘戒）人员出所就医脱逃风险，维护监所平安稳定。本项目的正常运行，有利于监所医疗卫生的正常运行和发挥最大效益，对被监管人员合法权益、监所平安稳定以及刑事诉讼活动和行政执法活动顺利进行具有重要保障作用，具有明显的经济、社会、执法可持续性效益等必要性。</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切实履行监所医疗职责，提升监所医疗救治能力水平，确保日常监所医疗工作高效运行，保障在押、拘戒人员的生命健康合法权。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项目资金用于两所的在押人员的医疗和服务费用，切实履行监所医疗职责，提升监所医疗救治能力水平，确保日常监所医疗工作高效运行，保障在押、拘戒人员的生命健康合法权益。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71.95</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71.95</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71.95</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71.95</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发药数量（2023年12月-2024年12月））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万尾（粒）</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就诊人次（2023年12月-2024年12月））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住院人次（2023年12月-2024年12月））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派遣医护人员（2023年12月-2024年12月））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开展健康宣传（2023年12月-2024年12月））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13</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治愈率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给药率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就医率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重大疾病转院时限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分钟</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就医时限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分钟</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给药时限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分钟</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保护被监管人员合法权益</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就医绿色通道</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监所医疗专业化常态化</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被监管人员及其家属满意度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管教民警满意度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急诊费用（2023年12月-2024年12月）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0.7</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人工费（2024年1月-2024年12月）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130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130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药品费（2023年12月-2024年12年）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耗材费（2023年12月-2024年12月）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医疗设备租赁费（2024年1月-2024年12月））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门诊检查费（2023年12月-2023年12月））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34.2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34.2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住院费（2023年12月-2024年12月））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项目的实施，保障了被监管人员的合法权益，被监管人员及其家属满意度进一步提高。经自评，该项目自评得100分。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项目负责人：张彦</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51080025T000012253403-广元市公安局警犬及市消防救援支队搜救犬基地项目土地征收补偿金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广元市公安局警犬及市消防救援支队搜救犬基地项目土地征收，主要用于土地补偿、青苗补偿、地上附着物补偿等。力争尽快与村组社区完成土地征收工作，保障项目年底开工建设的。</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警犬及市消防救援支队搜救犬基地项目土地征收，主要用于土地补偿、青苗补偿、地上附着物补偿等。力争尽快与村组社区完成土地征收工作，保障项目年底开工建设的。资金全部用于土地补偿、坟墓搬迁和青苗赔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按照测算的土地、坟墓和青苗面积，按照文件的补偿标准，专款专用，全部予以补偿。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570.00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570.00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570.00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570.00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土地补偿</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56.65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56.65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坟墓搬迁</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青苗指标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23.67</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23.67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及时补偿率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发放覆盖率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补偿时限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提升居民对政府可信度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生态效益指标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加固边坡支护防洪</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可持续发展指标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保障辖区社会稳定率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周边群众满意度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补偿对象满意度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青苗补偿费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12.12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12.12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土地补偿费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351.27</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351.27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地上附着物补偿费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206.61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206.61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该项目的实施，提升了被征地居民对政府工作的可信度，周边群众和补偿对象的满意度均达到98%。经自评，该项目自评得100分。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项目负责人：蒲霄</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51080025T000012312184-110智慧接处警系统建设（情指行实战平台一期）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按照情指行一体化建设需求，建设110接处警系统，以智慧接处警为主，建设全警情汇聚，完善接处警流程，智能化提升警务工作质效；完成情指行一体化平台配套设施的改造升级。</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按照情指行一体化建设需求，建设110接处警系统，以智慧接处警为主，建设全警情汇聚，完善接处警流程，智能化提升警务工作质效；完成情指行一体化平台配套设施的改造升级。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该项目按照实际的需求，逐步实施。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49.75</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24.88%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r>
              <w:rPr>
                <w:rFonts w:hint="eastAsia" w:ascii="宋体" w:hAnsi="宋体" w:cs="宋体"/>
                <w:i/>
                <w:color w:val="000000"/>
                <w:kern w:val="0"/>
                <w:sz w:val="18"/>
                <w:szCs w:val="18"/>
              </w:rPr>
              <w:t>项目资金属于县区上缴款，按照建设的实际需求支付，剩余资金结转至</w:t>
            </w:r>
            <w:r>
              <w:rPr>
                <w:rFonts w:hint="default" w:ascii="Courier New" w:hAnsi="Courier New" w:cs="Courier New"/>
                <w:i/>
                <w:color w:val="000000"/>
                <w:kern w:val="0"/>
                <w:sz w:val="18"/>
                <w:szCs w:val="18"/>
              </w:rPr>
              <w:t>2025</w:t>
            </w:r>
            <w:r>
              <w:rPr>
                <w:rFonts w:hint="eastAsia" w:ascii="宋体" w:hAnsi="宋体" w:cs="宋体"/>
                <w:i/>
                <w:color w:val="000000"/>
                <w:kern w:val="0"/>
                <w:sz w:val="18"/>
                <w:szCs w:val="18"/>
              </w:rPr>
              <w:t>年继续使用。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49.75</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24.88%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整合县区110平台数量</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备份系统数量</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套</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非警务警情分流率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110警情接听率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网络安全保障时效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小时/天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110电话通信时间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小时/天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提高公安服务群众能力</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提高公安科技信息化水平</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平台功能集约化</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警情处置智能化</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服务治安管控长期化</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报警群众满意度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接警民警满意度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接处警系统建设费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49.75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据实支付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right"/>
              <w:rPr>
                <w:rFonts w:hint="eastAsia" w:ascii="宋体" w:hAnsi="宋体" w:cs="宋体"/>
                <w:color w:val="000000"/>
                <w:kern w:val="0"/>
                <w:sz w:val="18"/>
                <w:szCs w:val="18"/>
              </w:rPr>
            </w:pPr>
            <w:r>
              <w:rPr>
                <w:rFonts w:hint="eastAsia" w:ascii="宋体" w:hAnsi="宋体" w:cs="宋体"/>
                <w:color w:val="000000"/>
                <w:kern w:val="0"/>
                <w:sz w:val="18"/>
                <w:szCs w:val="18"/>
              </w:rPr>
              <w:t>80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该项目资金属于代管资金项目，项目的实施有助于提高公安服务群众的能力和公安科技信息化水平。经自评，该项目自评得80分。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项目负责人：谭光华</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51080025T000012878044-2024年广元女儿节暨欢乐文化周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广元市公安局圆满完成2024年广元女儿节暨欢乐文化周安保工作，投入大量人力、物力，确保了各项活动绝对安全。</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项目属于年底追加项目，项目资金结转至</w:t>
            </w:r>
            <w:r>
              <w:rPr>
                <w:rFonts w:hint="default" w:ascii="Courier New" w:hAnsi="Courier New" w:cs="Courier New"/>
                <w:color w:val="000000"/>
                <w:kern w:val="0"/>
                <w:sz w:val="18"/>
                <w:szCs w:val="18"/>
              </w:rPr>
              <w:t>2025</w:t>
            </w:r>
            <w:r>
              <w:rPr>
                <w:rFonts w:hint="eastAsia" w:ascii="宋体" w:hAnsi="宋体" w:cs="宋体"/>
                <w:color w:val="000000"/>
                <w:kern w:val="0"/>
                <w:sz w:val="18"/>
                <w:szCs w:val="18"/>
              </w:rPr>
              <w:t>年使用。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按照实际需求，据实报销。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项目资金结转至2025年继续使用。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活动安保</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资料印制</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份</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圆满完成女儿节系列活动安保工作</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是</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完成时间</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月</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确保了女儿节系列活动安全举办</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提升广元城市安全满意度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好</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广元女儿节系列活动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14</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2025年使用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资料费用</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2025年使用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right"/>
              <w:rPr>
                <w:rFonts w:hint="eastAsia" w:ascii="宋体" w:hAnsi="宋体" w:cs="宋体"/>
                <w:color w:val="000000"/>
                <w:kern w:val="0"/>
                <w:sz w:val="18"/>
                <w:szCs w:val="18"/>
              </w:rPr>
            </w:pPr>
            <w:r>
              <w:rPr>
                <w:rFonts w:hint="eastAsia" w:ascii="宋体" w:hAnsi="宋体" w:cs="宋体"/>
                <w:color w:val="000000"/>
                <w:kern w:val="0"/>
                <w:sz w:val="18"/>
                <w:szCs w:val="18"/>
              </w:rPr>
              <w:t>62</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项目的实施有助于保障广元女儿节系列活动的安全举办，提升广元城市安全稳定。经自评，该项目自评得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资金执行率较低。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提前谋划资金的使用方面，切实提高资金的执行率，保证财政资金的使用效益。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项目负责人：王文奇</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51080025T000013030942-烟花爆竹管控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开展烟花爆竹管控，对市主城区开展烟花爆竹禁燃禁放管控，加强大气污染防治工作。</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项目资金属于2024年年底追加资金项目，主要用于对全市烟花爆竹开展管控，资金结转至2025年继续使用。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主要用于对烟花爆竹的管控，专款专用。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r>
              <w:rPr>
                <w:rFonts w:hint="eastAsia" w:ascii="宋体" w:hAnsi="宋体" w:cs="宋体"/>
                <w:i/>
                <w:color w:val="000000"/>
                <w:kern w:val="0"/>
                <w:sz w:val="18"/>
                <w:szCs w:val="18"/>
              </w:rPr>
              <w:t>结转至</w:t>
            </w:r>
            <w:r>
              <w:rPr>
                <w:rFonts w:hint="default" w:ascii="Courier New" w:hAnsi="Courier New" w:cs="Courier New"/>
                <w:i/>
                <w:color w:val="000000"/>
                <w:kern w:val="0"/>
                <w:sz w:val="18"/>
                <w:szCs w:val="18"/>
              </w:rPr>
              <w:t>2025</w:t>
            </w:r>
            <w:r>
              <w:rPr>
                <w:rFonts w:hint="eastAsia" w:ascii="宋体" w:hAnsi="宋体" w:cs="宋体"/>
                <w:i/>
                <w:color w:val="000000"/>
                <w:kern w:val="0"/>
                <w:sz w:val="18"/>
                <w:szCs w:val="18"/>
              </w:rPr>
              <w:t>年继续使用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开展烟花爆竹禁燃禁放巡逻管控</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违法违规烟花爆竹销毁</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管控覆盖率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完成时限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月</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减少环境污染，提升空气质量</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生态效益指标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助力提升空气质量优良率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人民群众满意率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项目经费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2025年使用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right"/>
              <w:rPr>
                <w:rFonts w:hint="eastAsia" w:ascii="宋体" w:hAnsi="宋体" w:cs="宋体"/>
                <w:color w:val="000000"/>
                <w:kern w:val="0"/>
                <w:sz w:val="18"/>
                <w:szCs w:val="18"/>
              </w:rPr>
            </w:pPr>
            <w:r>
              <w:rPr>
                <w:rFonts w:hint="eastAsia" w:ascii="宋体" w:hAnsi="宋体" w:cs="宋体"/>
                <w:color w:val="000000"/>
                <w:kern w:val="0"/>
                <w:sz w:val="18"/>
                <w:szCs w:val="18"/>
              </w:rPr>
              <w:t>70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该项目的实施，有助于对全市烟花爆竹等进一步管控的力度，有助于减少空气污染，提升空气质量。经自评，该项目自评得70分。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项目负责人：王文奇</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51080025T000013229132-“智慧广元”公共安全综合平台（一期）项目合同款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本项目资金按照市政府专题研究，及时向长虹电子系统有限公司支付“智慧广元”公共安全综合平台（一期）项目建设合同款，通过该项目的实施，提升了政府公信力，优化了营商环境。</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项目资金全部用于向长虹电子系统有限公司支付“智慧广元”公共安全综合平台（一期）项目建设合同款，已完成目标任务。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按照项目合同据实支付。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1,275.00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1,275.00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1,275.00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1,275.00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涉及支付数量</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个</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资金支付率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资金到位率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支付时效</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月</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优化营商环境</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提升政府公信力</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企业满意度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项目建设款</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1275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1275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该项目的实施有助于优化营商环境，提升政府公信力。经自评，该项目自评得100分。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项目负责人：张晓鸣</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p>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40"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1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2"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48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261"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c>
          <w:tcPr>
            <w:tcW w:w="725" w:type="pct"/>
            <w:tcBorders>
              <w:top w:val="nil"/>
              <w:left w:val="nil"/>
              <w:bottom w:val="nil"/>
              <w:right w:val="nil"/>
              <w:tl2br w:val="nil"/>
              <w:tr2bl w:val="nil"/>
            </w:tcBorders>
            <w:noWrap w:val="0"/>
            <w:vAlign w:val="center"/>
          </w:tcPr>
          <w:p>
            <w:pPr>
              <w:widowControl/>
              <w:suppressAutoHyphens w:val="0"/>
              <w:spacing w:beforeLines="0" w:afterLines="0"/>
              <w:jc w:val="left"/>
              <w:rPr>
                <w:rFonts w:hint="eastAsia"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黑体" w:hAnsi="黑体" w:eastAsia="黑体" w:cs="宋体"/>
                <w:b/>
                <w:color w:val="000000"/>
                <w:kern w:val="0"/>
                <w:sz w:val="30"/>
                <w:szCs w:val="30"/>
              </w:rPr>
            </w:pPr>
            <w:r>
              <w:rPr>
                <w:rFonts w:hint="eastAsia" w:ascii="黑体" w:hAnsi="黑体" w:eastAsia="黑体" w:cs="宋体"/>
                <w:b/>
                <w:color w:val="000000"/>
                <w:kern w:val="0"/>
                <w:sz w:val="30"/>
                <w:szCs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51080025T000013302048-重大公共卫生服务中央补助资金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503" w:type="pct"/>
            <w:tcBorders>
              <w:top w:val="nil"/>
              <w:left w:val="nil"/>
              <w:bottom w:val="nil"/>
              <w:right w:val="nil"/>
              <w:tl2br w:val="nil"/>
              <w:tr2bl w:val="nil"/>
            </w:tcBorders>
            <w:noWrap w:val="0"/>
            <w:vAlign w:val="center"/>
          </w:tcPr>
          <w:p>
            <w:pPr>
              <w:widowControl/>
              <w:suppressAutoHyphens w:val="0"/>
              <w:spacing w:beforeLines="0" w:afterLines="0"/>
              <w:jc w:val="left"/>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项目基本情况</w:t>
            </w: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项目年度目标</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default" w:ascii="Courier New" w:hAnsi="Courier New" w:cs="Courier New"/>
                <w:color w:val="000000"/>
                <w:kern w:val="0"/>
                <w:sz w:val="18"/>
                <w:szCs w:val="18"/>
              </w:rPr>
            </w:pPr>
            <w:r>
              <w:rPr>
                <w:rFonts w:hint="eastAsia" w:ascii="Courier New" w:hAnsi="Courier New" w:cs="Courier New"/>
                <w:color w:val="000000"/>
                <w:kern w:val="0"/>
                <w:sz w:val="18"/>
                <w:szCs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2199" w:type="pct"/>
            <w:gridSpan w:val="5"/>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主要用于阻断艾滋病传播、打击涉艾违法犯罪、防艾宣传、信息化应用等支出，确保重大传染病防治工作走深走实。</w:t>
            </w:r>
          </w:p>
        </w:tc>
        <w:tc>
          <w:tcPr>
            <w:tcW w:w="1751" w:type="pct"/>
            <w:gridSpan w:val="4"/>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2024年追加项目，主要用于阻断艾滋病传播、打击涉艾违法犯罪、防艾宣传、信息化应用等支出，确保重大传染病防治工作走深走实。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950" w:type="pct"/>
            <w:gridSpan w:val="9"/>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专款专用，据实支付。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调整后预算数</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预算执行数</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总额</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11.20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r>
              <w:rPr>
                <w:rFonts w:hint="eastAsia" w:ascii="Courier New" w:hAnsi="Courier New" w:cs="Courier New"/>
                <w:i/>
                <w:color w:val="000000"/>
                <w:kern w:val="0"/>
                <w:sz w:val="18"/>
                <w:szCs w:val="18"/>
              </w:rPr>
              <w:t>结转至2025年继续使用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其中：财政资金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11.20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单位资金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119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725"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default" w:ascii="Courier New" w:hAnsi="Courier New" w:cs="Courier New"/>
                <w:i/>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绩效指标（90分）</w:t>
            </w:r>
          </w:p>
        </w:tc>
        <w:tc>
          <w:tcPr>
            <w:tcW w:w="740"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指标性质</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度量单位</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权重</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防艾宣传次数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2025年使用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出动警力数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2025年使用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年度涉艾检测数</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2000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次</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2025年使用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涉艾案件查处率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涉艾信息采集率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入所人员检测率</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协同溯源时限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月</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线索反馈时限</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天</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减少性病传播</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提升全民防艾意识</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定性</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级</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优</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患艾人员满意度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人民群众满意度</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502"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办案车辆运行费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2025年使用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办案差旅费</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2025年使用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1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740"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vMerge w:val="continue"/>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防艾宣传</w:t>
            </w:r>
          </w:p>
        </w:tc>
        <w:tc>
          <w:tcPr>
            <w:tcW w:w="21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02"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48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503"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2025年使用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right"/>
              <w:rPr>
                <w:rFonts w:hint="eastAsia" w:ascii="宋体" w:hAnsi="宋体" w:cs="宋体"/>
                <w:color w:val="000000"/>
                <w:kern w:val="0"/>
                <w:sz w:val="18"/>
                <w:szCs w:val="18"/>
              </w:rPr>
            </w:pPr>
            <w:r>
              <w:rPr>
                <w:rFonts w:hint="eastAsia" w:ascii="宋体" w:hAnsi="宋体" w:cs="宋体"/>
                <w:color w:val="000000"/>
                <w:kern w:val="0"/>
                <w:sz w:val="18"/>
                <w:szCs w:val="18"/>
              </w:rPr>
              <w:t>55</w:t>
            </w:r>
          </w:p>
        </w:tc>
        <w:tc>
          <w:tcPr>
            <w:tcW w:w="725" w:type="pct"/>
            <w:tcBorders>
              <w:top w:val="nil"/>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评价结论</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该项目的实施，有助于全民防艾意识的提升，对预防性传播疾病具有重要作用。经自评，该项目自评得55分。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存在问题</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10" w:type="pct"/>
            <w:tcBorders>
              <w:top w:val="nil"/>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center"/>
              <w:rPr>
                <w:rFonts w:hint="eastAsia" w:ascii="宋体" w:hAnsi="宋体" w:cs="宋体"/>
                <w:color w:val="000000"/>
                <w:kern w:val="0"/>
                <w:sz w:val="18"/>
                <w:szCs w:val="18"/>
              </w:rPr>
            </w:pPr>
            <w:r>
              <w:rPr>
                <w:rFonts w:hint="eastAsia" w:ascii="宋体" w:hAnsi="宋体" w:cs="宋体"/>
                <w:color w:val="000000"/>
                <w:kern w:val="0"/>
                <w:sz w:val="18"/>
                <w:szCs w:val="18"/>
              </w:rPr>
              <w:t>改进措施</w:t>
            </w:r>
          </w:p>
        </w:tc>
        <w:tc>
          <w:tcPr>
            <w:tcW w:w="4690"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微软雅黑" w:hAnsi="微软雅黑" w:eastAsia="微软雅黑" w:cs="宋体"/>
                <w:i/>
                <w:color w:val="000000"/>
                <w:kern w:val="0"/>
                <w:sz w:val="16"/>
                <w:szCs w:val="16"/>
              </w:rPr>
            </w:pPr>
            <w:r>
              <w:rPr>
                <w:rFonts w:hint="eastAsia" w:ascii="微软雅黑" w:hAnsi="微软雅黑" w:eastAsia="微软雅黑" w:cs="宋体"/>
                <w:i/>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6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项目负责人：黄平</w:t>
            </w:r>
          </w:p>
        </w:tc>
        <w:tc>
          <w:tcPr>
            <w:tcW w:w="2734" w:type="pct"/>
            <w:gridSpan w:val="6"/>
            <w:tcBorders>
              <w:top w:val="single" w:color="000000" w:sz="4" w:space="0"/>
              <w:left w:val="nil"/>
              <w:bottom w:val="single" w:color="000000" w:sz="4" w:space="0"/>
              <w:right w:val="single" w:color="000000" w:sz="4" w:space="0"/>
              <w:tl2br w:val="nil"/>
              <w:tr2bl w:val="nil"/>
            </w:tcBorders>
            <w:noWrap w:val="0"/>
            <w:vAlign w:val="center"/>
          </w:tcPr>
          <w:p>
            <w:pPr>
              <w:widowControl/>
              <w:suppressAutoHyphens w:val="0"/>
              <w:spacing w:beforeLines="0" w:afterLines="0"/>
              <w:jc w:val="left"/>
              <w:rPr>
                <w:rFonts w:hint="eastAsia" w:ascii="宋体" w:hAnsi="宋体" w:cs="宋体"/>
                <w:color w:val="000000"/>
                <w:kern w:val="0"/>
                <w:sz w:val="18"/>
                <w:szCs w:val="18"/>
              </w:rPr>
            </w:pPr>
            <w:r>
              <w:rPr>
                <w:rFonts w:hint="eastAsia" w:ascii="宋体" w:hAnsi="宋体" w:cs="宋体"/>
                <w:color w:val="000000"/>
                <w:kern w:val="0"/>
                <w:sz w:val="18"/>
                <w:szCs w:val="18"/>
              </w:rPr>
              <w:t>财务负责人：李燕成</w:t>
            </w:r>
          </w:p>
        </w:tc>
      </w:tr>
    </w:tbl>
    <w:p>
      <w:pPr>
        <w:rPr>
          <w:rFonts w:hint="eastAsia"/>
        </w:rPr>
      </w:pPr>
    </w:p>
    <w:p/>
    <w:tbl>
      <w:tblPr>
        <w:tblStyle w:val="10"/>
        <w:tblW w:w="9923" w:type="dxa"/>
        <w:tblInd w:w="-459" w:type="dxa"/>
        <w:tblLayout w:type="autofit"/>
        <w:tblCellMar>
          <w:top w:w="0" w:type="dxa"/>
          <w:left w:w="108" w:type="dxa"/>
          <w:bottom w:w="0" w:type="dxa"/>
          <w:right w:w="108" w:type="dxa"/>
        </w:tblCellMar>
      </w:tblPr>
      <w:tblGrid>
        <w:gridCol w:w="757"/>
        <w:gridCol w:w="757"/>
        <w:gridCol w:w="757"/>
        <w:gridCol w:w="757"/>
        <w:gridCol w:w="757"/>
        <w:gridCol w:w="757"/>
        <w:gridCol w:w="757"/>
        <w:gridCol w:w="757"/>
        <w:gridCol w:w="757"/>
        <w:gridCol w:w="757"/>
        <w:gridCol w:w="2353"/>
      </w:tblGrid>
      <w:tr>
        <w:tblPrEx>
          <w:tblCellMar>
            <w:top w:w="0" w:type="dxa"/>
            <w:left w:w="108" w:type="dxa"/>
            <w:bottom w:w="0" w:type="dxa"/>
            <w:right w:w="108" w:type="dxa"/>
          </w:tblCellMar>
        </w:tblPrEx>
        <w:trPr>
          <w:trHeight w:val="285" w:hRule="atLeast"/>
        </w:trPr>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35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0" w:type="auto"/>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35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bl>
    <w:p>
      <w:pPr>
        <w:spacing w:line="600" w:lineRule="exact"/>
        <w:jc w:val="both"/>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sectPr>
          <w:pgSz w:w="11906" w:h="16838"/>
          <w:pgMar w:top="1440" w:right="1800" w:bottom="1440" w:left="1800" w:header="720" w:footer="720" w:gutter="0"/>
          <w:pgNumType w:fmt="decimal"/>
          <w:cols w:space="720" w:num="1"/>
          <w:docGrid w:type="lines" w:linePitch="312" w:charSpace="0"/>
        </w:sectPr>
      </w:pPr>
      <w:bookmarkStart w:id="35" w:name="_Toc26963"/>
    </w:p>
    <w:p>
      <w:pPr>
        <w:spacing w:line="600" w:lineRule="exact"/>
        <w:jc w:val="center"/>
        <w:outlineLvl w:val="0"/>
        <w:rPr>
          <w:rFonts w:ascii="黑体" w:hAnsi="黑体" w:eastAsia="黑体"/>
          <w:bCs/>
          <w:kern w:val="44"/>
          <w:sz w:val="44"/>
          <w:szCs w:val="44"/>
        </w:rPr>
      </w:pPr>
      <w:r>
        <w:rPr>
          <w:rFonts w:hint="eastAsia" w:ascii="黑体" w:hAnsi="黑体" w:eastAsia="黑体"/>
          <w:sz w:val="44"/>
          <w:szCs w:val="44"/>
        </w:rPr>
        <w:t>第</w:t>
      </w:r>
      <w:r>
        <w:rPr>
          <w:rStyle w:val="13"/>
          <w:rFonts w:hint="eastAsia" w:ascii="黑体" w:hAnsi="黑体" w:eastAsia="黑体"/>
        </w:rPr>
        <w:t>五部分 附表</w:t>
      </w:r>
      <w:bookmarkEnd w:id="35"/>
    </w:p>
    <w:p>
      <w:pPr>
        <w:pStyle w:val="4"/>
        <w:rPr>
          <w:rFonts w:ascii="仿宋" w:hAnsi="仿宋" w:eastAsia="仿宋"/>
        </w:rPr>
      </w:pPr>
      <w:bookmarkStart w:id="36" w:name="_Toc22344"/>
      <w:r>
        <w:rPr>
          <w:rFonts w:hint="eastAsia" w:ascii="仿宋" w:hAnsi="仿宋" w:eastAsia="仿宋"/>
          <w:b w:val="0"/>
        </w:rPr>
        <w:t>一、收</w:t>
      </w:r>
      <w:r>
        <w:rPr>
          <w:rStyle w:val="14"/>
          <w:rFonts w:hint="eastAsia" w:ascii="仿宋" w:hAnsi="仿宋" w:eastAsia="仿宋"/>
          <w:b w:val="0"/>
          <w:bCs w:val="0"/>
        </w:rPr>
        <w:t>入支出决算总表</w:t>
      </w:r>
      <w:bookmarkEnd w:id="36"/>
    </w:p>
    <w:p>
      <w:pPr>
        <w:pStyle w:val="4"/>
        <w:rPr>
          <w:rFonts w:ascii="仿宋" w:hAnsi="仿宋" w:eastAsia="仿宋"/>
        </w:rPr>
      </w:pPr>
      <w:bookmarkStart w:id="37" w:name="_Toc942"/>
      <w:r>
        <w:rPr>
          <w:rFonts w:hint="eastAsia" w:ascii="仿宋" w:hAnsi="仿宋" w:eastAsia="仿宋"/>
          <w:b w:val="0"/>
        </w:rPr>
        <w:t>二、收</w:t>
      </w:r>
      <w:r>
        <w:rPr>
          <w:rStyle w:val="14"/>
          <w:rFonts w:hint="eastAsia" w:ascii="仿宋" w:hAnsi="仿宋" w:eastAsia="仿宋"/>
          <w:b w:val="0"/>
          <w:bCs w:val="0"/>
        </w:rPr>
        <w:t>入决算表</w:t>
      </w:r>
      <w:bookmarkEnd w:id="37"/>
    </w:p>
    <w:p>
      <w:pPr>
        <w:pStyle w:val="4"/>
        <w:rPr>
          <w:rFonts w:ascii="仿宋" w:hAnsi="仿宋" w:eastAsia="仿宋"/>
        </w:rPr>
      </w:pPr>
      <w:bookmarkStart w:id="38" w:name="_Toc29918"/>
      <w:r>
        <w:rPr>
          <w:rStyle w:val="14"/>
          <w:rFonts w:hint="eastAsia" w:ascii="仿宋" w:hAnsi="仿宋" w:eastAsia="仿宋"/>
          <w:b w:val="0"/>
          <w:bCs w:val="0"/>
        </w:rPr>
        <w:t>三、</w:t>
      </w:r>
      <w:r>
        <w:rPr>
          <w:rFonts w:hint="eastAsia" w:ascii="仿宋" w:hAnsi="仿宋" w:eastAsia="仿宋"/>
          <w:b w:val="0"/>
        </w:rPr>
        <w:t>支</w:t>
      </w:r>
      <w:r>
        <w:rPr>
          <w:rStyle w:val="14"/>
          <w:rFonts w:hint="eastAsia" w:ascii="仿宋" w:hAnsi="仿宋" w:eastAsia="仿宋"/>
          <w:b w:val="0"/>
          <w:bCs w:val="0"/>
        </w:rPr>
        <w:t>出决算表</w:t>
      </w:r>
      <w:bookmarkEnd w:id="38"/>
    </w:p>
    <w:p>
      <w:pPr>
        <w:pStyle w:val="4"/>
        <w:rPr>
          <w:rFonts w:ascii="仿宋" w:hAnsi="仿宋" w:eastAsia="仿宋"/>
          <w:b w:val="0"/>
        </w:rPr>
      </w:pPr>
      <w:bookmarkStart w:id="39" w:name="_Toc29335"/>
      <w:r>
        <w:rPr>
          <w:rStyle w:val="14"/>
          <w:rFonts w:hint="eastAsia" w:ascii="仿宋" w:hAnsi="仿宋" w:eastAsia="仿宋"/>
          <w:b w:val="0"/>
          <w:bCs w:val="0"/>
        </w:rPr>
        <w:t>四、</w:t>
      </w:r>
      <w:r>
        <w:rPr>
          <w:rFonts w:hint="eastAsia" w:ascii="仿宋" w:hAnsi="仿宋" w:eastAsia="仿宋"/>
          <w:b w:val="0"/>
        </w:rPr>
        <w:t>财</w:t>
      </w:r>
      <w:r>
        <w:rPr>
          <w:rStyle w:val="14"/>
          <w:rFonts w:hint="eastAsia" w:ascii="仿宋" w:hAnsi="仿宋" w:eastAsia="仿宋"/>
          <w:b w:val="0"/>
          <w:bCs w:val="0"/>
        </w:rPr>
        <w:t>政拨款收入支出决算总表</w:t>
      </w:r>
      <w:bookmarkEnd w:id="39"/>
    </w:p>
    <w:p>
      <w:pPr>
        <w:pStyle w:val="4"/>
        <w:rPr>
          <w:rStyle w:val="14"/>
          <w:rFonts w:ascii="仿宋" w:hAnsi="仿宋" w:eastAsia="仿宋"/>
          <w:b w:val="0"/>
          <w:bCs w:val="0"/>
        </w:rPr>
      </w:pPr>
      <w:bookmarkStart w:id="40" w:name="_Toc10305"/>
      <w:r>
        <w:rPr>
          <w:rStyle w:val="14"/>
          <w:rFonts w:hint="eastAsia" w:ascii="仿宋" w:hAnsi="仿宋" w:eastAsia="仿宋"/>
          <w:b w:val="0"/>
          <w:bCs w:val="0"/>
        </w:rPr>
        <w:t>五、</w:t>
      </w:r>
      <w:r>
        <w:rPr>
          <w:rFonts w:hint="eastAsia" w:ascii="仿宋" w:hAnsi="仿宋" w:eastAsia="仿宋"/>
          <w:b w:val="0"/>
        </w:rPr>
        <w:t>财</w:t>
      </w:r>
      <w:r>
        <w:rPr>
          <w:rStyle w:val="14"/>
          <w:rFonts w:hint="eastAsia" w:ascii="仿宋" w:hAnsi="仿宋" w:eastAsia="仿宋"/>
          <w:b w:val="0"/>
          <w:bCs w:val="0"/>
        </w:rPr>
        <w:t>政拨款支出决算明细表</w:t>
      </w:r>
      <w:bookmarkEnd w:id="40"/>
    </w:p>
    <w:p>
      <w:pPr>
        <w:pStyle w:val="4"/>
        <w:rPr>
          <w:rFonts w:ascii="仿宋" w:hAnsi="仿宋" w:eastAsia="仿宋"/>
        </w:rPr>
      </w:pPr>
      <w:bookmarkStart w:id="41" w:name="_Toc21170"/>
      <w:r>
        <w:rPr>
          <w:rStyle w:val="14"/>
          <w:rFonts w:hint="eastAsia" w:ascii="仿宋" w:hAnsi="仿宋" w:eastAsia="仿宋"/>
          <w:b w:val="0"/>
          <w:bCs w:val="0"/>
        </w:rPr>
        <w:t>六、</w:t>
      </w:r>
      <w:r>
        <w:rPr>
          <w:rFonts w:hint="eastAsia" w:ascii="仿宋" w:hAnsi="仿宋" w:eastAsia="仿宋"/>
          <w:b w:val="0"/>
        </w:rPr>
        <w:t>一</w:t>
      </w:r>
      <w:r>
        <w:rPr>
          <w:rStyle w:val="14"/>
          <w:rFonts w:hint="eastAsia" w:ascii="仿宋" w:hAnsi="仿宋" w:eastAsia="仿宋"/>
          <w:b w:val="0"/>
          <w:bCs w:val="0"/>
        </w:rPr>
        <w:t>般公共预算财政拨款支出决算表</w:t>
      </w:r>
      <w:bookmarkEnd w:id="41"/>
    </w:p>
    <w:p>
      <w:pPr>
        <w:pStyle w:val="4"/>
        <w:rPr>
          <w:rFonts w:ascii="仿宋" w:hAnsi="仿宋" w:eastAsia="仿宋"/>
        </w:rPr>
      </w:pPr>
      <w:bookmarkStart w:id="42" w:name="_Toc10560"/>
      <w:r>
        <w:rPr>
          <w:rStyle w:val="14"/>
          <w:rFonts w:hint="eastAsia" w:ascii="仿宋" w:hAnsi="仿宋" w:eastAsia="仿宋"/>
          <w:b w:val="0"/>
          <w:bCs w:val="0"/>
        </w:rPr>
        <w:t>七、</w:t>
      </w:r>
      <w:r>
        <w:rPr>
          <w:rFonts w:hint="eastAsia" w:ascii="仿宋" w:hAnsi="仿宋" w:eastAsia="仿宋"/>
          <w:b w:val="0"/>
        </w:rPr>
        <w:t>一</w:t>
      </w:r>
      <w:r>
        <w:rPr>
          <w:rStyle w:val="14"/>
          <w:rFonts w:hint="eastAsia" w:ascii="仿宋" w:hAnsi="仿宋" w:eastAsia="仿宋"/>
          <w:b w:val="0"/>
          <w:bCs w:val="0"/>
        </w:rPr>
        <w:t>般公共预算财政拨款支出决算明细表</w:t>
      </w:r>
      <w:bookmarkEnd w:id="42"/>
    </w:p>
    <w:p>
      <w:pPr>
        <w:pStyle w:val="4"/>
        <w:rPr>
          <w:rFonts w:ascii="仿宋" w:hAnsi="仿宋" w:eastAsia="仿宋"/>
        </w:rPr>
      </w:pPr>
      <w:bookmarkStart w:id="43" w:name="_Toc15208"/>
      <w:r>
        <w:rPr>
          <w:rStyle w:val="14"/>
          <w:rFonts w:hint="eastAsia" w:ascii="仿宋" w:hAnsi="仿宋" w:eastAsia="仿宋"/>
          <w:b w:val="0"/>
          <w:bCs w:val="0"/>
        </w:rPr>
        <w:t>八、</w:t>
      </w:r>
      <w:r>
        <w:rPr>
          <w:rFonts w:hint="eastAsia" w:ascii="仿宋" w:hAnsi="仿宋" w:eastAsia="仿宋"/>
          <w:b w:val="0"/>
        </w:rPr>
        <w:t>一</w:t>
      </w:r>
      <w:r>
        <w:rPr>
          <w:rStyle w:val="14"/>
          <w:rFonts w:hint="eastAsia" w:ascii="仿宋" w:hAnsi="仿宋" w:eastAsia="仿宋"/>
          <w:b w:val="0"/>
          <w:bCs w:val="0"/>
        </w:rPr>
        <w:t>般公共预算财政拨款基本支出决算表</w:t>
      </w:r>
      <w:bookmarkEnd w:id="43"/>
    </w:p>
    <w:p>
      <w:pPr>
        <w:pStyle w:val="4"/>
        <w:rPr>
          <w:rFonts w:ascii="仿宋" w:hAnsi="仿宋" w:eastAsia="仿宋"/>
        </w:rPr>
      </w:pPr>
      <w:bookmarkStart w:id="44" w:name="_Toc15655"/>
      <w:r>
        <w:rPr>
          <w:rStyle w:val="14"/>
          <w:rFonts w:hint="eastAsia" w:ascii="仿宋" w:hAnsi="仿宋" w:eastAsia="仿宋"/>
          <w:b w:val="0"/>
          <w:bCs w:val="0"/>
        </w:rPr>
        <w:t>九、</w:t>
      </w:r>
      <w:r>
        <w:rPr>
          <w:rFonts w:hint="eastAsia" w:ascii="仿宋" w:hAnsi="仿宋" w:eastAsia="仿宋"/>
          <w:b w:val="0"/>
        </w:rPr>
        <w:t>一</w:t>
      </w:r>
      <w:r>
        <w:rPr>
          <w:rStyle w:val="14"/>
          <w:rFonts w:hint="eastAsia" w:ascii="仿宋" w:hAnsi="仿宋" w:eastAsia="仿宋"/>
          <w:b w:val="0"/>
          <w:bCs w:val="0"/>
        </w:rPr>
        <w:t>般公共预算财政拨款项目支出决算表</w:t>
      </w:r>
      <w:bookmarkEnd w:id="44"/>
    </w:p>
    <w:p>
      <w:pPr>
        <w:pStyle w:val="4"/>
        <w:rPr>
          <w:rFonts w:ascii="仿宋" w:hAnsi="仿宋" w:eastAsia="仿宋"/>
        </w:rPr>
      </w:pPr>
      <w:bookmarkStart w:id="45" w:name="_Toc25138"/>
      <w:r>
        <w:rPr>
          <w:rStyle w:val="14"/>
          <w:rFonts w:hint="eastAsia" w:ascii="仿宋" w:hAnsi="仿宋" w:eastAsia="仿宋"/>
          <w:b w:val="0"/>
          <w:bCs w:val="0"/>
        </w:rPr>
        <w:t>十、</w:t>
      </w:r>
      <w:r>
        <w:rPr>
          <w:rFonts w:hint="eastAsia" w:ascii="仿宋" w:hAnsi="仿宋" w:eastAsia="仿宋"/>
          <w:b w:val="0"/>
        </w:rPr>
        <w:t>政</w:t>
      </w:r>
      <w:r>
        <w:rPr>
          <w:rStyle w:val="14"/>
          <w:rFonts w:hint="eastAsia" w:ascii="仿宋" w:hAnsi="仿宋" w:eastAsia="仿宋"/>
          <w:b w:val="0"/>
          <w:bCs w:val="0"/>
        </w:rPr>
        <w:t>府性基金预算财政拨款收入支出决算表</w:t>
      </w:r>
      <w:bookmarkEnd w:id="45"/>
    </w:p>
    <w:p>
      <w:pPr>
        <w:pStyle w:val="4"/>
        <w:rPr>
          <w:rFonts w:ascii="仿宋" w:hAnsi="仿宋" w:eastAsia="仿宋"/>
        </w:rPr>
      </w:pPr>
      <w:bookmarkStart w:id="46" w:name="_Toc15209"/>
      <w:r>
        <w:rPr>
          <w:rStyle w:val="14"/>
          <w:rFonts w:hint="eastAsia" w:ascii="仿宋" w:hAnsi="仿宋" w:eastAsia="仿宋"/>
          <w:b w:val="0"/>
          <w:bCs w:val="0"/>
        </w:rPr>
        <w:t>十一、</w:t>
      </w:r>
      <w:r>
        <w:rPr>
          <w:rFonts w:hint="eastAsia" w:ascii="仿宋" w:hAnsi="仿宋" w:eastAsia="仿宋"/>
          <w:b w:val="0"/>
        </w:rPr>
        <w:t>国</w:t>
      </w:r>
      <w:r>
        <w:rPr>
          <w:rStyle w:val="14"/>
          <w:rFonts w:hint="eastAsia" w:ascii="仿宋" w:hAnsi="仿宋" w:eastAsia="仿宋"/>
          <w:b w:val="0"/>
          <w:bCs w:val="0"/>
        </w:rPr>
        <w:t>有资本经营预算财政拨款收入支出决算表</w:t>
      </w:r>
      <w:bookmarkEnd w:id="46"/>
    </w:p>
    <w:p>
      <w:pPr>
        <w:pStyle w:val="4"/>
        <w:rPr>
          <w:rFonts w:ascii="仿宋" w:hAnsi="仿宋" w:eastAsia="仿宋"/>
        </w:rPr>
      </w:pPr>
      <w:bookmarkStart w:id="47" w:name="_Toc16686"/>
      <w:r>
        <w:rPr>
          <w:rStyle w:val="14"/>
          <w:rFonts w:hint="eastAsia" w:ascii="仿宋" w:hAnsi="仿宋" w:eastAsia="仿宋"/>
          <w:b w:val="0"/>
          <w:bCs w:val="0"/>
        </w:rPr>
        <w:t>十二、国有资本经营预算财政拨款支出决算表</w:t>
      </w:r>
      <w:bookmarkEnd w:id="47"/>
    </w:p>
    <w:p>
      <w:pPr>
        <w:pStyle w:val="4"/>
        <w:rPr>
          <w:rFonts w:eastAsia="仿宋"/>
        </w:rPr>
      </w:pPr>
      <w:bookmarkStart w:id="48" w:name="_Toc31830"/>
      <w:r>
        <w:rPr>
          <w:rStyle w:val="14"/>
          <w:rFonts w:hint="eastAsia" w:ascii="仿宋" w:hAnsi="仿宋" w:eastAsia="仿宋"/>
          <w:b w:val="0"/>
          <w:bCs w:val="0"/>
        </w:rPr>
        <w:t>十三、财政拨款“三公”经费支出决算表</w:t>
      </w:r>
      <w:bookmarkEnd w:id="48"/>
    </w:p>
    <w:p/>
    <w:p/>
    <w:sectPr>
      <w:pgSz w:w="11906" w:h="16838"/>
      <w:pgMar w:top="1440" w:right="1800" w:bottom="1440" w:left="1800" w:header="720" w:footer="72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6752"/>
      <w:showingPlcHdr/>
    </w:sdtPr>
    <w:sdtContent>
      <w:p>
        <w:pPr>
          <w:pStyle w:val="6"/>
          <w:jc w:val="center"/>
        </w:pPr>
        <w:r>
          <w:rPr>
            <w:rFonts w:hint="eastAsia"/>
            <w:lang w:eastAsia="zh-CN"/>
          </w:rPr>
          <w:t xml:space="preserve">     </w:t>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236B4F"/>
    <w:multiLevelType w:val="singleLevel"/>
    <w:tmpl w:val="98236B4F"/>
    <w:lvl w:ilvl="0" w:tentative="0">
      <w:start w:val="1"/>
      <w:numFmt w:val="decimal"/>
      <w:suff w:val="nothing"/>
      <w:lvlText w:val="%1．"/>
      <w:lvlJc w:val="left"/>
      <w:pPr>
        <w:ind w:left="0" w:firstLine="39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true"/>
  <w:bordersDoNotSurroundFooter w:val="true"/>
  <w:hideSpelling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20956"/>
    <w:rsid w:val="00050280"/>
    <w:rsid w:val="000E335C"/>
    <w:rsid w:val="000F04A7"/>
    <w:rsid w:val="000F2A22"/>
    <w:rsid w:val="00111940"/>
    <w:rsid w:val="00164280"/>
    <w:rsid w:val="001E77CA"/>
    <w:rsid w:val="00221E89"/>
    <w:rsid w:val="00280FB9"/>
    <w:rsid w:val="002E65DA"/>
    <w:rsid w:val="0045202A"/>
    <w:rsid w:val="0049491D"/>
    <w:rsid w:val="004A4302"/>
    <w:rsid w:val="00583262"/>
    <w:rsid w:val="006F2F0D"/>
    <w:rsid w:val="00707A23"/>
    <w:rsid w:val="00804573"/>
    <w:rsid w:val="00875AE1"/>
    <w:rsid w:val="008A0297"/>
    <w:rsid w:val="008D2598"/>
    <w:rsid w:val="009B34DD"/>
    <w:rsid w:val="00A57F84"/>
    <w:rsid w:val="00A67018"/>
    <w:rsid w:val="00BA7410"/>
    <w:rsid w:val="00BE4202"/>
    <w:rsid w:val="00C95737"/>
    <w:rsid w:val="00D7766F"/>
    <w:rsid w:val="00E70677"/>
    <w:rsid w:val="00F43A62"/>
    <w:rsid w:val="00F74F47"/>
    <w:rsid w:val="00FA610D"/>
    <w:rsid w:val="00FF0896"/>
    <w:rsid w:val="05C45618"/>
    <w:rsid w:val="08935065"/>
    <w:rsid w:val="08A50B4C"/>
    <w:rsid w:val="0E353755"/>
    <w:rsid w:val="1E0C774B"/>
    <w:rsid w:val="20CF1EC4"/>
    <w:rsid w:val="251E2DFC"/>
    <w:rsid w:val="27BA21F2"/>
    <w:rsid w:val="2AE451BA"/>
    <w:rsid w:val="2D223298"/>
    <w:rsid w:val="2FE51D46"/>
    <w:rsid w:val="37042A1B"/>
    <w:rsid w:val="381F0910"/>
    <w:rsid w:val="3B4F4876"/>
    <w:rsid w:val="3F1869BB"/>
    <w:rsid w:val="3F255D10"/>
    <w:rsid w:val="3FF9FD28"/>
    <w:rsid w:val="40F62AD5"/>
    <w:rsid w:val="4A405516"/>
    <w:rsid w:val="4AB87404"/>
    <w:rsid w:val="4D5179DC"/>
    <w:rsid w:val="4E871913"/>
    <w:rsid w:val="547E6196"/>
    <w:rsid w:val="5E253083"/>
    <w:rsid w:val="60B40345"/>
    <w:rsid w:val="6A2E014A"/>
    <w:rsid w:val="6B6E50F7"/>
    <w:rsid w:val="6B8F212F"/>
    <w:rsid w:val="6F036DFE"/>
    <w:rsid w:val="70143C2D"/>
    <w:rsid w:val="70AA42E7"/>
    <w:rsid w:val="71BB60CD"/>
    <w:rsid w:val="783833C6"/>
    <w:rsid w:val="797F78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99"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3">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4"/>
    <w:qFormat/>
    <w:uiPriority w:val="9"/>
    <w:pPr>
      <w:keepNext/>
      <w:keepLines/>
      <w:spacing w:before="260" w:after="260" w:line="416" w:lineRule="auto"/>
      <w:outlineLvl w:val="1"/>
    </w:pPr>
    <w:rPr>
      <w:rFonts w:ascii="Cambria" w:hAnsi="Cambria"/>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qFormat/>
    <w:uiPriority w:val="99"/>
    <w:pPr>
      <w:spacing w:after="140" w:line="276" w:lineRule="auto"/>
    </w:pPr>
  </w:style>
  <w:style w:type="paragraph" w:styleId="5">
    <w:name w:val="Balloon Text"/>
    <w:basedOn w:val="1"/>
    <w:link w:val="20"/>
    <w:qFormat/>
    <w:uiPriority w:val="0"/>
    <w:rPr>
      <w:sz w:val="18"/>
      <w:szCs w:val="18"/>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9">
    <w:name w:val="toc 2"/>
    <w:basedOn w:val="1"/>
    <w:next w:val="1"/>
    <w:qFormat/>
    <w:uiPriority w:val="0"/>
    <w:pPr>
      <w:ind w:left="420" w:leftChars="200"/>
    </w:pPr>
  </w:style>
  <w:style w:type="character" w:styleId="12">
    <w:name w:val="Strong"/>
    <w:basedOn w:val="11"/>
    <w:qFormat/>
    <w:uiPriority w:val="99"/>
    <w:rPr>
      <w:b/>
    </w:rPr>
  </w:style>
  <w:style w:type="character" w:customStyle="1" w:styleId="13">
    <w:name w:val="标题 1 Char"/>
    <w:basedOn w:val="11"/>
    <w:link w:val="3"/>
    <w:qFormat/>
    <w:uiPriority w:val="9"/>
    <w:rPr>
      <w:b/>
      <w:bCs/>
      <w:kern w:val="44"/>
      <w:sz w:val="44"/>
      <w:szCs w:val="44"/>
    </w:rPr>
  </w:style>
  <w:style w:type="character" w:customStyle="1" w:styleId="14">
    <w:name w:val="标题 2 Char"/>
    <w:basedOn w:val="11"/>
    <w:link w:val="4"/>
    <w:qFormat/>
    <w:uiPriority w:val="9"/>
    <w:rPr>
      <w:rFonts w:ascii="Cambria" w:hAnsi="Cambria"/>
      <w:b/>
      <w:bCs/>
      <w:sz w:val="32"/>
      <w:szCs w:val="32"/>
    </w:rPr>
  </w:style>
  <w:style w:type="character" w:customStyle="1" w:styleId="15">
    <w:name w:val="正文文本 Char"/>
    <w:basedOn w:val="11"/>
    <w:link w:val="2"/>
    <w:qFormat/>
    <w:uiPriority w:val="99"/>
    <w:rPr>
      <w:rFonts w:ascii="Calibri" w:hAnsi="Calibri" w:eastAsia="宋体" w:cs="Times New Roman"/>
      <w:kern w:val="2"/>
      <w:sz w:val="21"/>
      <w:szCs w:val="24"/>
    </w:rPr>
  </w:style>
  <w:style w:type="paragraph" w:customStyle="1" w:styleId="16">
    <w:name w:val="WPSOffice手动目录 1"/>
    <w:qFormat/>
    <w:uiPriority w:val="0"/>
    <w:rPr>
      <w:rFonts w:ascii="Times New Roman" w:hAnsi="Times New Roman" w:eastAsia="宋体" w:cs="Times New Roman"/>
      <w:lang w:val="en-US" w:eastAsia="zh-CN" w:bidi="ar-SA"/>
    </w:rPr>
  </w:style>
  <w:style w:type="paragraph" w:customStyle="1" w:styleId="17">
    <w:name w:val="WPSOffice手动目录 2"/>
    <w:qFormat/>
    <w:uiPriority w:val="0"/>
    <w:pPr>
      <w:ind w:left="200" w:leftChars="200"/>
    </w:pPr>
    <w:rPr>
      <w:rFonts w:ascii="Times New Roman" w:hAnsi="Times New Roman" w:eastAsia="宋体" w:cs="Times New Roman"/>
      <w:lang w:val="en-US" w:eastAsia="zh-CN" w:bidi="ar-SA"/>
    </w:rPr>
  </w:style>
  <w:style w:type="paragraph" w:styleId="18">
    <w:name w:val="List Paragraph"/>
    <w:basedOn w:val="1"/>
    <w:qFormat/>
    <w:uiPriority w:val="34"/>
    <w:pPr>
      <w:ind w:firstLine="420" w:firstLineChars="200"/>
    </w:pPr>
  </w:style>
  <w:style w:type="paragraph" w:customStyle="1" w:styleId="1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0">
    <w:name w:val="批注框文本 Char"/>
    <w:basedOn w:val="11"/>
    <w:link w:val="5"/>
    <w:qFormat/>
    <w:uiPriority w:val="0"/>
    <w:rPr>
      <w:rFonts w:ascii="Calibri" w:hAnsi="Calibri" w:eastAsia="宋体" w:cs="Times New Roman"/>
      <w:kern w:val="2"/>
      <w:sz w:val="18"/>
      <w:szCs w:val="18"/>
    </w:rPr>
  </w:style>
  <w:style w:type="character" w:customStyle="1" w:styleId="21">
    <w:name w:val="页眉 Char"/>
    <w:basedOn w:val="11"/>
    <w:link w:val="7"/>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28640766058089"/>
          <c:y val="0.0608694343314614"/>
          <c:w val="0.597087378640777"/>
          <c:h val="0.78695652173913"/>
        </c:manualLayout>
      </c:layout>
      <c:barChart>
        <c:barDir val="col"/>
        <c:grouping val="clustered"/>
        <c:varyColors val="false"/>
        <c:ser>
          <c:idx val="0"/>
          <c:order val="0"/>
          <c:tx>
            <c:strRef>
              <c:f>Sheet1!$A$2</c:f>
              <c:strCache>
                <c:ptCount val="1"/>
                <c:pt idx="0">
                  <c:v>收、支总计</c:v>
                </c:pt>
              </c:strCache>
            </c:strRef>
          </c:tx>
          <c:invertIfNegative val="false"/>
          <c:dLbls>
            <c:dLbl>
              <c:idx val="0"/>
              <c:layout>
                <c:manualLayout>
                  <c:x val="0.0040074900358667"/>
                  <c:y val="-0.125736026802167"/>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8075738053585"/>
                  <c:y val="-0.0753453445715265"/>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Sheet1!$B$1:$E$1</c:f>
              <c:strCache>
                <c:ptCount val="4"/>
                <c:pt idx="0">
                  <c:v>2023年</c:v>
                </c:pt>
                <c:pt idx="1">
                  <c:v>2024年</c:v>
                </c:pt>
              </c:strCache>
            </c:strRef>
          </c:cat>
          <c:val>
            <c:numRef>
              <c:f>Sheet1!$B$2:$E$2</c:f>
              <c:numCache>
                <c:formatCode>General</c:formatCode>
                <c:ptCount val="4"/>
                <c:pt idx="0">
                  <c:v>18655.9</c:v>
                </c:pt>
                <c:pt idx="1">
                  <c:v>20216.5</c:v>
                </c:pt>
              </c:numCache>
            </c:numRef>
          </c:val>
        </c:ser>
        <c:dLbls>
          <c:showLegendKey val="false"/>
          <c:showVal val="true"/>
          <c:showCatName val="false"/>
          <c:showSerName val="false"/>
          <c:showPercent val="false"/>
          <c:showBubbleSize val="false"/>
        </c:dLbls>
        <c:gapWidth val="150"/>
        <c:axId val="132869504"/>
        <c:axId val="116453376"/>
      </c:barChart>
      <c:catAx>
        <c:axId val="132869504"/>
        <c:scaling>
          <c:orientation val="minMax"/>
        </c:scaling>
        <c:delete val="false"/>
        <c:axPos val="b"/>
        <c:numFmt formatCode="General" sourceLinked="true"/>
        <c:majorTickMark val="in"/>
        <c:minorTickMark val="none"/>
        <c:tickLblPos val="low"/>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16453376"/>
        <c:crosses val="autoZero"/>
        <c:auto val="true"/>
        <c:lblAlgn val="ctr"/>
        <c:lblOffset val="100"/>
        <c:tickLblSkip val="1"/>
        <c:noMultiLvlLbl val="false"/>
      </c:catAx>
      <c:valAx>
        <c:axId val="116453376"/>
        <c:scaling>
          <c:orientation val="minMax"/>
        </c:scaling>
        <c:delete val="false"/>
        <c:axPos val="l"/>
        <c:majorGridlines/>
        <c:numFmt formatCode="General" sourceLinked="true"/>
        <c:majorTickMark val="in"/>
        <c:minorTickMark val="none"/>
        <c:tickLblPos val="nextTo"/>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32869504"/>
        <c:crosses val="autoZero"/>
        <c:crossBetween val="between"/>
      </c:valAx>
      <c:spPr>
        <a:solidFill>
          <a:schemeClr val="bg1"/>
        </a:solidFill>
        <a:ln>
          <a:noFill/>
        </a:ln>
        <a:effectLst/>
      </c:spPr>
    </c:plotArea>
    <c:legend>
      <c:legendPos val="r"/>
      <c:layout>
        <c:manualLayout>
          <c:xMode val="edge"/>
          <c:yMode val="edge"/>
          <c:x val="0.752427184466019"/>
          <c:y val="0.456521739130435"/>
          <c:w val="0.237864077669903"/>
          <c:h val="0.0913043478260872"/>
        </c:manualLayout>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本年收入</c:v>
                </c:pt>
              </c:strCache>
            </c:strRef>
          </c:tx>
          <c:explosion val="0"/>
          <c:dPt>
            <c:idx val="0"/>
            <c:bubble3D val="false"/>
          </c:dPt>
          <c:dPt>
            <c:idx val="1"/>
            <c:bubble3D val="false"/>
          </c:dPt>
          <c:dPt>
            <c:idx val="2"/>
            <c:bubble3D val="false"/>
          </c:dPt>
          <c:dLbls>
            <c:dLbl>
              <c:idx val="0"/>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2"/>
              <c:layout>
                <c:manualLayout>
                  <c:x val="0.068610870426653"/>
                  <c:y val="0.0138849207316578"/>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Sheet1!$A$2:$A$4</c:f>
              <c:strCache>
                <c:ptCount val="3"/>
                <c:pt idx="0">
                  <c:v>一般公共预算财政拨款收入</c:v>
                </c:pt>
                <c:pt idx="1">
                  <c:v>政府性基金预算财政拨款收入</c:v>
                </c:pt>
                <c:pt idx="2">
                  <c:v>其他收入</c:v>
                </c:pt>
              </c:strCache>
            </c:strRef>
          </c:cat>
          <c:val>
            <c:numRef>
              <c:f>Sheet1!$B$2:$B$4</c:f>
              <c:numCache>
                <c:formatCode>0.00%</c:formatCode>
                <c:ptCount val="3"/>
                <c:pt idx="0">
                  <c:v>0.8984</c:v>
                </c:pt>
                <c:pt idx="1">
                  <c:v>0.0921</c:v>
                </c:pt>
                <c:pt idx="2">
                  <c:v>0.0095</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本年支出</c:v>
                </c:pt>
              </c:strCache>
            </c:strRef>
          </c:tx>
          <c:explosion val="0"/>
          <c:dPt>
            <c:idx val="0"/>
            <c:bubble3D val="false"/>
          </c:dPt>
          <c:dPt>
            <c:idx val="1"/>
            <c:bubble3D val="false"/>
          </c:dPt>
          <c:dLbls>
            <c:dLbl>
              <c:idx val="0"/>
              <c:layout/>
              <c:tx>
                <c:rich>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r>
                      <a:t>6</a:t>
                    </a:r>
                    <a:r>
                      <a:rPr lang="en-US" altLang="zh-CN"/>
                      <a:t>4.29</a:t>
                    </a:r>
                    <a:r>
                      <a:t>%</a:t>
                    </a:r>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r>
                      <a:t>3</a:t>
                    </a:r>
                    <a:r>
                      <a:rPr lang="en-US" altLang="zh-CN"/>
                      <a:t>5.71</a:t>
                    </a:r>
                    <a:r>
                      <a:t>%</a:t>
                    </a:r>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Sheet1!$A$2:$A$3</c:f>
              <c:strCache>
                <c:ptCount val="2"/>
                <c:pt idx="0">
                  <c:v>基本支出</c:v>
                </c:pt>
                <c:pt idx="1">
                  <c:v>项目支出</c:v>
                </c:pt>
              </c:strCache>
            </c:strRef>
          </c:cat>
          <c:val>
            <c:numRef>
              <c:f>Sheet1!$B$2:$B$3</c:f>
              <c:numCache>
                <c:formatCode>0.00%</c:formatCode>
                <c:ptCount val="2"/>
                <c:pt idx="0">
                  <c:v>0.6429</c:v>
                </c:pt>
                <c:pt idx="1">
                  <c:v>0.3571</c:v>
                </c:pt>
              </c:numCache>
            </c:numRef>
          </c:val>
        </c:ser>
        <c:dLbls>
          <c:showLegendKey val="false"/>
          <c:showVal val="tru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收、支总计</c:v>
                </c:pt>
              </c:strCache>
            </c:strRef>
          </c:tx>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Sheet1!$A$2:$A$3</c:f>
              <c:strCache>
                <c:ptCount val="2"/>
                <c:pt idx="0">
                  <c:v>2023年</c:v>
                </c:pt>
                <c:pt idx="1">
                  <c:v>2024年</c:v>
                </c:pt>
              </c:strCache>
            </c:strRef>
          </c:cat>
          <c:val>
            <c:numRef>
              <c:f>Sheet1!$B$2:$B$3</c:f>
              <c:numCache>
                <c:formatCode>General</c:formatCode>
                <c:ptCount val="2"/>
                <c:pt idx="0">
                  <c:v>18615.07</c:v>
                </c:pt>
                <c:pt idx="1">
                  <c:v>19995.11</c:v>
                </c:pt>
              </c:numCache>
            </c:numRef>
          </c:val>
        </c:ser>
        <c:dLbls>
          <c:showLegendKey val="false"/>
          <c:showVal val="true"/>
          <c:showCatName val="false"/>
          <c:showSerName val="false"/>
          <c:showPercent val="false"/>
          <c:showBubbleSize val="false"/>
        </c:dLbls>
        <c:gapWidth val="150"/>
        <c:axId val="41353216"/>
        <c:axId val="41354752"/>
      </c:barChart>
      <c:catAx>
        <c:axId val="41353216"/>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41354752"/>
        <c:crosses val="autoZero"/>
        <c:auto val="true"/>
        <c:lblAlgn val="ctr"/>
        <c:lblOffset val="100"/>
        <c:noMultiLvlLbl val="false"/>
      </c:catAx>
      <c:valAx>
        <c:axId val="41354752"/>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41353216"/>
        <c:crosses val="autoZero"/>
        <c:crossBetween val="between"/>
      </c:valAx>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一般公共预算财政拨款支出</c:v>
                </c:pt>
              </c:strCache>
            </c:strRef>
          </c:tx>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Sheet1!$A$2:$A$3</c:f>
              <c:strCache>
                <c:ptCount val="2"/>
                <c:pt idx="0">
                  <c:v>2023年</c:v>
                </c:pt>
                <c:pt idx="1">
                  <c:v>2024年</c:v>
                </c:pt>
              </c:strCache>
            </c:strRef>
          </c:cat>
          <c:val>
            <c:numRef>
              <c:f>Sheet1!$B$2:$B$3</c:f>
              <c:numCache>
                <c:formatCode>General</c:formatCode>
                <c:ptCount val="2"/>
                <c:pt idx="0">
                  <c:v>18139.43</c:v>
                </c:pt>
                <c:pt idx="1">
                  <c:v>17828.91</c:v>
                </c:pt>
              </c:numCache>
            </c:numRef>
          </c:val>
        </c:ser>
        <c:dLbls>
          <c:showLegendKey val="false"/>
          <c:showVal val="true"/>
          <c:showCatName val="false"/>
          <c:showSerName val="false"/>
          <c:showPercent val="false"/>
          <c:showBubbleSize val="false"/>
        </c:dLbls>
        <c:gapWidth val="150"/>
        <c:axId val="41374848"/>
        <c:axId val="41376384"/>
      </c:barChart>
      <c:catAx>
        <c:axId val="41374848"/>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41376384"/>
        <c:crosses val="autoZero"/>
        <c:auto val="true"/>
        <c:lblAlgn val="ctr"/>
        <c:lblOffset val="100"/>
        <c:noMultiLvlLbl val="false"/>
      </c:catAx>
      <c:valAx>
        <c:axId val="41376384"/>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41374848"/>
        <c:crosses val="autoZero"/>
        <c:crossBetween val="between"/>
      </c:valAx>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一般公共预算财政拨款支出</c:v>
                </c:pt>
              </c:strCache>
            </c:strRef>
          </c:tx>
          <c:explosion val="0"/>
          <c:dPt>
            <c:idx val="0"/>
            <c:bubble3D val="false"/>
          </c:dPt>
          <c:dPt>
            <c:idx val="1"/>
            <c:bubble3D val="false"/>
          </c:dPt>
          <c:dPt>
            <c:idx val="2"/>
            <c:bubble3D val="false"/>
          </c:dPt>
          <c:dPt>
            <c:idx val="3"/>
            <c:bubble3D val="false"/>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Sheet1!$A$2:$A$5</c:f>
              <c:strCache>
                <c:ptCount val="4"/>
                <c:pt idx="0">
                  <c:v>公共安全（类）支出</c:v>
                </c:pt>
                <c:pt idx="1">
                  <c:v>社会保障和就业（类）支出</c:v>
                </c:pt>
                <c:pt idx="2">
                  <c:v>卫生健康（类）支出</c:v>
                </c:pt>
                <c:pt idx="3">
                  <c:v>住房保障（类）支出</c:v>
                </c:pt>
              </c:strCache>
            </c:strRef>
          </c:cat>
          <c:val>
            <c:numRef>
              <c:f>Sheet1!$B$2:$B$5</c:f>
              <c:numCache>
                <c:formatCode>0.00%</c:formatCode>
                <c:ptCount val="4"/>
                <c:pt idx="0">
                  <c:v>0.8626</c:v>
                </c:pt>
                <c:pt idx="1">
                  <c:v>0.0682</c:v>
                </c:pt>
                <c:pt idx="2">
                  <c:v>0.0165</c:v>
                </c:pt>
                <c:pt idx="3">
                  <c:v>0.0527</c:v>
                </c:pt>
              </c:numCache>
            </c:numRef>
          </c:val>
        </c:ser>
        <c:dLbls>
          <c:showLegendKey val="false"/>
          <c:showVal val="tru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explosion val="0"/>
          <c:dPt>
            <c:idx val="0"/>
            <c:bubble3D val="false"/>
          </c:dPt>
          <c:dPt>
            <c:idx val="1"/>
            <c:bubble3D val="false"/>
          </c:dPt>
          <c:dPt>
            <c:idx val="2"/>
            <c:bubble3D val="false"/>
          </c:dPt>
          <c:dLbls>
            <c:dLbl>
              <c:idx val="0"/>
              <c:layout>
                <c:manualLayout>
                  <c:x val="0.0351359703923356"/>
                  <c:y val="0.0048375222447039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60697987035271"/>
                  <c:y val="0.0047835661409196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formatCode="0.00%">
                  <c:v>0.9956</c:v>
                </c:pt>
                <c:pt idx="2" c:formatCode="0.00%">
                  <c:v>0.0044</c:v>
                </c:pt>
              </c:numCache>
            </c:numRef>
          </c:val>
        </c:ser>
        <c:dLbls>
          <c:showLegendKey val="false"/>
          <c:showVal val="tru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86</Pages>
  <Words>6196</Words>
  <Characters>6910</Characters>
  <Lines>218</Lines>
  <Paragraphs>148</Paragraphs>
  <TotalTime>18</TotalTime>
  <ScaleCrop>false</ScaleCrop>
  <LinksUpToDate>false</LinksUpToDate>
  <CharactersWithSpaces>7032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2025-09-02T18:40:00Z</dcterms:created>
  <dc:creator>想吃天鹅肉的癞疙包</dc:creator>
  <cp:lastModifiedBy> </cp:lastModifiedBy>
  <dcterms:modified xsi:type="dcterms:W3CDTF">2025-10-13T17:18:50Z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C5EC20FF0FB7418BBFB05D9C7895FBFB_11</vt:lpwstr>
  </property>
  <property fmtid="{D5CDD505-2E9C-101B-9397-08002B2CF9AE}" pid="4" name="KSOTemplateDocerSaveRecord">
    <vt:lpwstr>eyJoZGlkIjoiYTc2ZGZiNzZiNDVlOGViOWVmM2JhOTY0NGJkNjUyYzgiLCJ1c2VySWQiOiIyMjA2OTAwNTAifQ==</vt:lpwstr>
  </property>
</Properties>
</file>