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ascii="方正小标宋简体" w:hAnsi="宋体" w:eastAsia="方正小标宋简体"/>
          <w:color w:val="auto"/>
          <w:sz w:val="72"/>
          <w:szCs w:val="72"/>
          <w:highlight w:val="none"/>
        </w:rPr>
      </w:pPr>
      <w:bookmarkStart w:id="0" w:name="_Toc15396475"/>
      <w:bookmarkStart w:id="1" w:name="_Toc15377193"/>
      <w:bookmarkStart w:id="2" w:name="_Toc15306267"/>
      <w:bookmarkStart w:id="3" w:name="_Toc15396597"/>
      <w:bookmarkStart w:id="4" w:name="_Toc15377425"/>
      <w:bookmarkStart w:id="5" w:name="_Toc15378441"/>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bookmarkEnd w:id="0"/>
    <w:bookmarkEnd w:id="1"/>
    <w:bookmarkEnd w:id="2"/>
    <w:bookmarkEnd w:id="3"/>
    <w:bookmarkEnd w:id="4"/>
    <w:bookmarkEnd w:id="5"/>
    <w:p>
      <w:pPr>
        <w:pStyle w:val="2"/>
        <w:suppressAutoHyphens/>
        <w:bidi w:val="0"/>
        <w:spacing w:before="0" w:beforeLines="-2147483648" w:after="140" w:line="276" w:lineRule="auto"/>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2024年度广元市</w:t>
      </w:r>
    </w:p>
    <w:p>
      <w:pPr>
        <w:pStyle w:val="2"/>
        <w:suppressAutoHyphens/>
        <w:bidi w:val="0"/>
        <w:spacing w:before="0" w:beforeLines="-2147483648" w:after="140" w:line="276" w:lineRule="auto"/>
        <w:jc w:val="center"/>
        <w:outlineLvl w:val="0"/>
        <w:rPr>
          <w:rFonts w:hint="eastAsia" w:ascii="方正小标宋简体" w:hAnsi="宋体" w:eastAsia="方正小标宋简体" w:cs="Times New Roman"/>
          <w:color w:val="auto"/>
          <w:kern w:val="2"/>
          <w:sz w:val="44"/>
          <w:szCs w:val="44"/>
          <w:highlight w:val="none"/>
          <w:lang w:val="en-US" w:eastAsia="zh-CN" w:bidi="ar-SA"/>
        </w:rPr>
      </w:pPr>
      <w:bookmarkStart w:id="6" w:name="_Toc13633"/>
      <w:r>
        <w:rPr>
          <w:rFonts w:hint="eastAsia" w:ascii="方正小标宋简体" w:hAnsi="宋体" w:eastAsia="方正小标宋简体" w:cs="Times New Roman"/>
          <w:color w:val="auto"/>
          <w:kern w:val="2"/>
          <w:sz w:val="44"/>
          <w:szCs w:val="44"/>
          <w:highlight w:val="none"/>
          <w:lang w:val="en-US" w:eastAsia="zh-CN" w:bidi="ar-SA"/>
        </w:rPr>
        <w:t>中国农工民主党广元市委员会单位决算</w:t>
      </w:r>
      <w:bookmarkEnd w:id="6"/>
    </w:p>
    <w:p>
      <w:pPr>
        <w:widowControl/>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2"/>
        <w:rPr>
          <w:color w:val="auto"/>
          <w:highlight w:val="none"/>
        </w:rPr>
      </w:pPr>
      <w:r>
        <w:rPr>
          <w:rFonts w:hint="eastAsia"/>
          <w:color w:val="auto"/>
          <w:highlight w:val="none"/>
        </w:rPr>
        <w:t>公开时间：20</w:t>
      </w:r>
      <w:r>
        <w:rPr>
          <w:rFonts w:hint="eastAsia"/>
          <w:color w:val="auto"/>
          <w:highlight w:val="none"/>
          <w:lang w:val="en-US" w:eastAsia="zh-CN"/>
        </w:rPr>
        <w:t>25</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14</w:t>
      </w:r>
      <w:r>
        <w:rPr>
          <w:rFonts w:hint="eastAsia"/>
          <w:color w:val="auto"/>
          <w:highlight w:val="none"/>
        </w:rPr>
        <w:t>日</w:t>
      </w:r>
    </w:p>
    <w:sdt>
      <w:sdtPr>
        <w:rPr>
          <w:rFonts w:ascii="宋体" w:hAnsi="宋体" w:eastAsia="宋体" w:cs="Times New Roman"/>
          <w:kern w:val="2"/>
          <w:sz w:val="21"/>
          <w:szCs w:val="24"/>
          <w:lang w:val="en-US" w:eastAsia="zh-CN" w:bidi="ar-SA"/>
        </w:rPr>
        <w:id w:val="147458065"/>
        <w15:color w:val="DBDBDB"/>
        <w:docPartObj>
          <w:docPartGallery w:val="Table of Contents"/>
          <w:docPartUnique/>
        </w:docPartObj>
      </w:sdtPr>
      <w:sdtEndPr>
        <w:rPr>
          <w:rFonts w:hint="eastAsia" w:asciiTheme="minorEastAsia" w:hAnsiTheme="minorEastAsia" w:eastAsiaTheme="minorEastAsia" w:cstheme="minorEastAsia"/>
          <w:b/>
          <w:color w:val="auto"/>
          <w:kern w:val="2"/>
          <w:sz w:val="21"/>
          <w:szCs w:val="24"/>
          <w:highlight w:val="none"/>
          <w:lang w:val="en-US" w:eastAsia="zh-CN" w:bidi="ar-SA"/>
        </w:rPr>
      </w:sdtEndPr>
      <w:sdtContent>
        <w:p>
          <w:pPr>
            <w:spacing w:before="0" w:beforeLines="0" w:after="0" w:afterLines="0" w:line="240" w:lineRule="auto"/>
            <w:ind w:left="0" w:leftChars="0" w:right="0" w:rightChars="0" w:firstLine="0" w:firstLineChars="0"/>
            <w:jc w:val="center"/>
          </w:pPr>
        </w:p>
        <w:p>
          <w:pPr>
            <w:pStyle w:val="39"/>
            <w:tabs>
              <w:tab w:val="right" w:leader="dot" w:pos="8306"/>
            </w:tabs>
            <w:rPr>
              <w:b/>
            </w:rPr>
          </w:pPr>
          <w:r>
            <w:rPr>
              <w:rFonts w:hint="eastAsia" w:asciiTheme="minorEastAsia" w:hAnsiTheme="minorEastAsia" w:eastAsiaTheme="minorEastAsia" w:cstheme="minorEastAsia"/>
              <w:color w:val="auto"/>
              <w:sz w:val="24"/>
              <w:highlight w:val="none"/>
              <w:lang w:val="en-US" w:eastAsia="zh-CN"/>
            </w:rPr>
            <w:fldChar w:fldCharType="begin"/>
          </w:r>
          <w:r>
            <w:rPr>
              <w:rFonts w:hint="eastAsia" w:asciiTheme="minorEastAsia" w:hAnsiTheme="minorEastAsia" w:eastAsiaTheme="minorEastAsia" w:cstheme="minorEastAsia"/>
              <w:color w:val="auto"/>
              <w:sz w:val="24"/>
              <w:highlight w:val="none"/>
              <w:lang w:val="en-US" w:eastAsia="zh-CN"/>
            </w:rPr>
            <w:instrText xml:space="preserve">TOC \o "1-2" \h \u </w:instrText>
          </w:r>
          <w:r>
            <w:rPr>
              <w:rFonts w:hint="eastAsia" w:asciiTheme="minorEastAsia" w:hAnsiTheme="minorEastAsia" w:eastAsiaTheme="minorEastAsia" w:cstheme="minorEastAsia"/>
              <w:color w:val="auto"/>
              <w:sz w:val="24"/>
              <w:highlight w:val="none"/>
              <w:lang w:val="en-US" w:eastAsia="zh-CN"/>
            </w:rPr>
            <w:fldChar w:fldCharType="separate"/>
          </w:r>
          <w:r>
            <w:rPr>
              <w:rFonts w:hint="eastAsia" w:asciiTheme="minorEastAsia" w:hAnsiTheme="minorEastAsia" w:eastAsiaTheme="minorEastAsia" w:cstheme="minorEastAsia"/>
              <w:b/>
              <w:color w:val="auto"/>
              <w:highlight w:val="none"/>
              <w:lang w:val="en-US" w:eastAsia="zh-CN"/>
            </w:rPr>
            <w:fldChar w:fldCharType="begin"/>
          </w:r>
          <w:r>
            <w:rPr>
              <w:rFonts w:hint="eastAsia" w:asciiTheme="minorEastAsia" w:hAnsiTheme="minorEastAsia" w:eastAsiaTheme="minorEastAsia" w:cstheme="minorEastAsia"/>
              <w:b/>
              <w:highlight w:val="none"/>
              <w:lang w:val="en-US" w:eastAsia="zh-CN"/>
            </w:rPr>
            <w:instrText xml:space="preserve"> HYPERLINK \l _Toc18980 </w:instrText>
          </w:r>
          <w:r>
            <w:rPr>
              <w:rFonts w:hint="eastAsia" w:asciiTheme="minorEastAsia" w:hAnsiTheme="minorEastAsia" w:eastAsiaTheme="minorEastAsia" w:cstheme="minorEastAsia"/>
              <w:b/>
              <w:highlight w:val="none"/>
              <w:lang w:val="en-US" w:eastAsia="zh-CN"/>
            </w:rPr>
            <w:fldChar w:fldCharType="separate"/>
          </w:r>
          <w:r>
            <w:rPr>
              <w:rFonts w:hint="eastAsia" w:ascii="黑体" w:hAnsi="黑体" w:eastAsia="黑体"/>
              <w:b/>
              <w:bCs/>
              <w:highlight w:val="none"/>
            </w:rPr>
            <w:t xml:space="preserve">第一部分 </w:t>
          </w:r>
          <w:r>
            <w:rPr>
              <w:rFonts w:hint="eastAsia" w:ascii="黑体" w:hAnsi="黑体" w:eastAsia="黑体"/>
              <w:b/>
              <w:bCs/>
              <w:highlight w:val="none"/>
              <w:lang w:eastAsia="zh-CN"/>
            </w:rPr>
            <w:t>单位</w:t>
          </w:r>
          <w:r>
            <w:rPr>
              <w:rFonts w:hint="eastAsia" w:ascii="黑体" w:hAnsi="黑体" w:eastAsia="黑体"/>
              <w:b/>
              <w:bCs/>
              <w:highlight w:val="none"/>
            </w:rPr>
            <w:t>概况</w:t>
          </w:r>
          <w:r>
            <w:rPr>
              <w:b/>
            </w:rPr>
            <w:tab/>
          </w:r>
          <w:r>
            <w:rPr>
              <w:b/>
            </w:rPr>
            <w:fldChar w:fldCharType="begin"/>
          </w:r>
          <w:r>
            <w:rPr>
              <w:b/>
            </w:rPr>
            <w:instrText xml:space="preserve"> PAGEREF _Toc18980 \h </w:instrText>
          </w:r>
          <w:r>
            <w:rPr>
              <w:b/>
            </w:rPr>
            <w:fldChar w:fldCharType="separate"/>
          </w:r>
          <w:r>
            <w:rPr>
              <w:b/>
            </w:rPr>
            <w:t>1</w:t>
          </w:r>
          <w:r>
            <w:rPr>
              <w:b/>
            </w:rPr>
            <w:fldChar w:fldCharType="end"/>
          </w:r>
          <w:r>
            <w:rPr>
              <w:rFonts w:hint="eastAsia" w:asciiTheme="minorEastAsia" w:hAnsiTheme="minorEastAsia" w:eastAsiaTheme="minorEastAsia" w:cstheme="minorEastAsia"/>
              <w:b/>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_Toc777 </w:instrText>
          </w:r>
          <w:r>
            <w:rPr>
              <w:rFonts w:hint="eastAsia" w:asciiTheme="minorEastAsia" w:hAnsiTheme="minorEastAsia" w:eastAsiaTheme="minorEastAsia" w:cstheme="minorEastAsia"/>
              <w:highlight w:val="none"/>
              <w:lang w:val="en-US" w:eastAsia="zh-CN"/>
            </w:rPr>
            <w:fldChar w:fldCharType="separate"/>
          </w:r>
          <w:r>
            <w:rPr>
              <w:rFonts w:hint="eastAsia" w:ascii="黑体" w:hAnsi="黑体" w:eastAsia="黑体" w:cs="Times New Roman"/>
              <w:bCs w:val="0"/>
              <w:kern w:val="2"/>
              <w:szCs w:val="32"/>
              <w:lang w:val="en-US" w:eastAsia="zh-CN" w:bidi="ar-SA"/>
            </w:rPr>
            <w:t xml:space="preserve">一、 </w:t>
          </w:r>
          <w:r>
            <w:rPr>
              <w:rFonts w:hint="eastAsia" w:ascii="黑体" w:hAnsi="黑体" w:eastAsia="黑体" w:cs="Times New Roman"/>
              <w:bCs w:val="0"/>
              <w:kern w:val="2"/>
              <w:szCs w:val="32"/>
              <w:highlight w:val="none"/>
              <w:lang w:val="en-US" w:eastAsia="zh-CN" w:bidi="ar-SA"/>
            </w:rPr>
            <w:t>主要职责</w:t>
          </w:r>
          <w:r>
            <w:tab/>
          </w:r>
          <w:r>
            <w:fldChar w:fldCharType="begin"/>
          </w:r>
          <w:r>
            <w:instrText xml:space="preserve"> PAGEREF _Toc777 \h </w:instrText>
          </w:r>
          <w:r>
            <w:fldChar w:fldCharType="separate"/>
          </w:r>
          <w:r>
            <w:t>1</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_Toc23391 </w:instrText>
          </w:r>
          <w:r>
            <w:rPr>
              <w:rFonts w:hint="eastAsia" w:asciiTheme="minorEastAsia" w:hAnsiTheme="minorEastAsia" w:eastAsiaTheme="minorEastAsia" w:cstheme="minorEastAsia"/>
              <w:highlight w:val="none"/>
              <w:lang w:val="en-US" w:eastAsia="zh-CN"/>
            </w:rPr>
            <w:fldChar w:fldCharType="separate"/>
          </w:r>
          <w:r>
            <w:rPr>
              <w:rFonts w:hint="eastAsia" w:ascii="黑体" w:hAnsi="黑体" w:eastAsia="黑体"/>
              <w:bCs/>
              <w:highlight w:val="none"/>
              <w:lang w:val="en-US" w:eastAsia="zh-CN" w:bidi="ar-SA"/>
            </w:rPr>
            <w:t>二、机构设置</w:t>
          </w:r>
          <w:r>
            <w:tab/>
          </w:r>
          <w:r>
            <w:fldChar w:fldCharType="begin"/>
          </w:r>
          <w:r>
            <w:instrText xml:space="preserve"> PAGEREF _Toc23391 \h </w:instrText>
          </w:r>
          <w:r>
            <w:fldChar w:fldCharType="separate"/>
          </w:r>
          <w:r>
            <w:t>2</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39"/>
            <w:tabs>
              <w:tab w:val="right" w:leader="dot" w:pos="8306"/>
            </w:tabs>
            <w:rPr>
              <w:b/>
            </w:rPr>
          </w:pPr>
          <w:r>
            <w:rPr>
              <w:rFonts w:hint="eastAsia" w:asciiTheme="minorEastAsia" w:hAnsiTheme="minorEastAsia" w:eastAsiaTheme="minorEastAsia" w:cstheme="minorEastAsia"/>
              <w:b/>
              <w:color w:val="auto"/>
              <w:highlight w:val="none"/>
              <w:lang w:val="en-US" w:eastAsia="zh-CN"/>
            </w:rPr>
            <w:fldChar w:fldCharType="begin"/>
          </w:r>
          <w:r>
            <w:rPr>
              <w:rFonts w:hint="eastAsia" w:asciiTheme="minorEastAsia" w:hAnsiTheme="minorEastAsia" w:eastAsiaTheme="minorEastAsia" w:cstheme="minorEastAsia"/>
              <w:b/>
              <w:highlight w:val="none"/>
              <w:lang w:val="en-US" w:eastAsia="zh-CN"/>
            </w:rPr>
            <w:instrText xml:space="preserve"> HYPERLINK \l _Toc19520 </w:instrText>
          </w:r>
          <w:r>
            <w:rPr>
              <w:rFonts w:hint="eastAsia" w:asciiTheme="minorEastAsia" w:hAnsiTheme="minorEastAsia" w:eastAsiaTheme="minorEastAsia" w:cstheme="minorEastAsia"/>
              <w:b/>
              <w:highlight w:val="none"/>
              <w:lang w:val="en-US" w:eastAsia="zh-CN"/>
            </w:rPr>
            <w:fldChar w:fldCharType="separate"/>
          </w:r>
          <w:r>
            <w:rPr>
              <w:rFonts w:hint="eastAsia" w:ascii="黑体" w:hAnsi="黑体" w:eastAsia="黑体"/>
              <w:b/>
              <w:bCs/>
              <w:highlight w:val="none"/>
            </w:rPr>
            <w:t xml:space="preserve">第二部分 </w:t>
          </w:r>
          <w:r>
            <w:rPr>
              <w:rFonts w:hint="eastAsia" w:ascii="黑体" w:hAnsi="黑体" w:eastAsia="黑体"/>
              <w:b/>
              <w:bCs/>
              <w:highlight w:val="none"/>
              <w:lang w:val="en-US" w:eastAsia="zh-CN"/>
            </w:rPr>
            <w:t>2024年度</w:t>
          </w:r>
          <w:r>
            <w:rPr>
              <w:rFonts w:hint="eastAsia" w:ascii="黑体" w:hAnsi="黑体" w:eastAsia="黑体"/>
              <w:b/>
              <w:bCs/>
              <w:highlight w:val="none"/>
            </w:rPr>
            <w:t>部门决算情况说明</w:t>
          </w:r>
          <w:r>
            <w:rPr>
              <w:b/>
            </w:rPr>
            <w:tab/>
          </w:r>
          <w:r>
            <w:rPr>
              <w:b/>
            </w:rPr>
            <w:fldChar w:fldCharType="begin"/>
          </w:r>
          <w:r>
            <w:rPr>
              <w:b/>
            </w:rPr>
            <w:instrText xml:space="preserve"> PAGEREF _Toc19520 \h </w:instrText>
          </w:r>
          <w:r>
            <w:rPr>
              <w:b/>
            </w:rPr>
            <w:fldChar w:fldCharType="separate"/>
          </w:r>
          <w:r>
            <w:rPr>
              <w:b/>
            </w:rPr>
            <w:t>2</w:t>
          </w:r>
          <w:r>
            <w:rPr>
              <w:b/>
            </w:rPr>
            <w:fldChar w:fldCharType="end"/>
          </w:r>
          <w:r>
            <w:rPr>
              <w:rFonts w:hint="eastAsia" w:asciiTheme="minorEastAsia" w:hAnsiTheme="minorEastAsia" w:eastAsiaTheme="minorEastAsia" w:cstheme="minorEastAsia"/>
              <w:b/>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_Toc17184 </w:instrText>
          </w:r>
          <w:r>
            <w:rPr>
              <w:rFonts w:hint="eastAsia" w:asciiTheme="minorEastAsia" w:hAnsiTheme="minorEastAsia" w:eastAsiaTheme="minorEastAsia" w:cstheme="minorEastAsia"/>
              <w:highlight w:val="none"/>
              <w:lang w:val="en-US" w:eastAsia="zh-CN"/>
            </w:rP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_Toc17184 \h </w:instrText>
          </w:r>
          <w:r>
            <w:fldChar w:fldCharType="separate"/>
          </w:r>
          <w:r>
            <w:t>2</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_Toc7270 </w:instrText>
          </w:r>
          <w:r>
            <w:rPr>
              <w:rFonts w:hint="eastAsia" w:asciiTheme="minorEastAsia" w:hAnsiTheme="minorEastAsia" w:eastAsiaTheme="minorEastAsia" w:cstheme="minorEastAsia"/>
              <w:highlight w:val="none"/>
              <w:lang w:val="en-US" w:eastAsia="zh-CN"/>
            </w:rP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_Toc7270 \h </w:instrText>
          </w:r>
          <w:r>
            <w:fldChar w:fldCharType="separate"/>
          </w:r>
          <w:r>
            <w:t>3</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_Toc3820 </w:instrText>
          </w:r>
          <w:r>
            <w:rPr>
              <w:rFonts w:hint="eastAsia" w:asciiTheme="minorEastAsia" w:hAnsiTheme="minorEastAsia" w:eastAsiaTheme="minorEastAsia" w:cstheme="minorEastAsia"/>
              <w:highlight w:val="none"/>
              <w:lang w:val="en-US" w:eastAsia="zh-CN"/>
            </w:rP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_Toc3820 \h </w:instrText>
          </w:r>
          <w:r>
            <w:fldChar w:fldCharType="separate"/>
          </w:r>
          <w:r>
            <w:t>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_Toc3845 </w:instrText>
          </w:r>
          <w:r>
            <w:rPr>
              <w:rFonts w:hint="eastAsia" w:asciiTheme="minorEastAsia" w:hAnsiTheme="minorEastAsia" w:eastAsiaTheme="minorEastAsia" w:cstheme="minorEastAsia"/>
              <w:highlight w:val="none"/>
              <w:lang w:val="en-US" w:eastAsia="zh-CN"/>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_Toc3845 \h </w:instrText>
          </w:r>
          <w:r>
            <w:fldChar w:fldCharType="separate"/>
          </w:r>
          <w:r>
            <w:t>4</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_Toc26045 </w:instrText>
          </w:r>
          <w:r>
            <w:rPr>
              <w:rFonts w:hint="eastAsia" w:asciiTheme="minorEastAsia" w:hAnsiTheme="minorEastAsia" w:eastAsiaTheme="minorEastAsia" w:cstheme="minorEastAsia"/>
              <w:highlight w:val="none"/>
              <w:lang w:val="en-US" w:eastAsia="zh-CN"/>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_Toc26045 \h </w:instrText>
          </w:r>
          <w:r>
            <w:fldChar w:fldCharType="separate"/>
          </w:r>
          <w:r>
            <w:t>5</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_Toc18890 </w:instrText>
          </w:r>
          <w:r>
            <w:rPr>
              <w:rFonts w:hint="eastAsia" w:asciiTheme="minorEastAsia" w:hAnsiTheme="minorEastAsia" w:eastAsiaTheme="minorEastAsia" w:cstheme="minorEastAsia"/>
              <w:highlight w:val="none"/>
              <w:lang w:val="en-US" w:eastAsia="zh-CN"/>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_Toc18890 \h </w:instrText>
          </w:r>
          <w:r>
            <w:fldChar w:fldCharType="separate"/>
          </w:r>
          <w:r>
            <w:t>7</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_Toc28451 </w:instrText>
          </w:r>
          <w:r>
            <w:rPr>
              <w:rFonts w:hint="eastAsia" w:asciiTheme="minorEastAsia" w:hAnsiTheme="minorEastAsia" w:eastAsiaTheme="minorEastAsia" w:cstheme="minorEastAsia"/>
              <w:highlight w:val="none"/>
              <w:lang w:val="en-US" w:eastAsia="zh-CN"/>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_Toc28451 \h </w:instrText>
          </w:r>
          <w:r>
            <w:fldChar w:fldCharType="separate"/>
          </w:r>
          <w:r>
            <w:t>7</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_Toc20909 </w:instrText>
          </w:r>
          <w:r>
            <w:rPr>
              <w:rFonts w:hint="eastAsia" w:asciiTheme="minorEastAsia" w:hAnsiTheme="minorEastAsia" w:eastAsiaTheme="minorEastAsia" w:cstheme="minorEastAsia"/>
              <w:highlight w:val="none"/>
              <w:lang w:val="en-US" w:eastAsia="zh-CN"/>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_Toc20909 \h </w:instrText>
          </w:r>
          <w:r>
            <w:fldChar w:fldCharType="separate"/>
          </w:r>
          <w:r>
            <w:t>8</w:t>
          </w:r>
          <w:r>
            <w:fldChar w:fldCharType="end"/>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_Toc17986 </w:instrText>
          </w:r>
          <w:r>
            <w:rPr>
              <w:rFonts w:hint="eastAsia" w:asciiTheme="minorEastAsia" w:hAnsiTheme="minorEastAsia" w:eastAsiaTheme="minorEastAsia" w:cstheme="minorEastAsia"/>
              <w:highlight w:val="none"/>
              <w:lang w:val="en-US" w:eastAsia="zh-CN"/>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rPr>
              <w:rFonts w:hint="eastAsia"/>
              <w:lang w:val="en-US" w:eastAsia="zh-CN"/>
            </w:rPr>
            <w:t>8</w:t>
          </w:r>
          <w:r>
            <w:rPr>
              <w:rFonts w:hint="eastAsia" w:asciiTheme="minorEastAsia" w:hAnsiTheme="minorEastAsia" w:eastAsiaTheme="minorEastAsia" w:cstheme="minorEastAsia"/>
              <w:color w:val="auto"/>
              <w:highlight w:val="none"/>
              <w:lang w:val="en-US" w:eastAsia="zh-CN"/>
            </w:rPr>
            <w:fldChar w:fldCharType="end"/>
          </w:r>
        </w:p>
        <w:p>
          <w:pPr>
            <w:pStyle w:val="40"/>
            <w:tabs>
              <w:tab w:val="right" w:leader="dot" w:pos="8306"/>
            </w:tabs>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_Toc6168 </w:instrText>
          </w:r>
          <w:r>
            <w:rPr>
              <w:rFonts w:hint="eastAsia" w:asciiTheme="minorEastAsia" w:hAnsiTheme="minorEastAsia" w:eastAsiaTheme="minorEastAsia" w:cstheme="minorEastAsia"/>
              <w:highlight w:val="none"/>
              <w:lang w:val="en-US" w:eastAsia="zh-CN"/>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rPr>
              <w:rFonts w:hint="eastAsia"/>
              <w:lang w:val="en-US" w:eastAsia="zh-CN"/>
            </w:rPr>
            <w:t>8</w:t>
          </w:r>
          <w:r>
            <w:rPr>
              <w:rFonts w:hint="eastAsia" w:asciiTheme="minorEastAsia" w:hAnsiTheme="minorEastAsia" w:eastAsiaTheme="minorEastAsia" w:cstheme="minorEastAsia"/>
              <w:color w:val="auto"/>
              <w:highlight w:val="none"/>
              <w:lang w:val="en-US" w:eastAsia="zh-CN"/>
            </w:rPr>
            <w:fldChar w:fldCharType="end"/>
          </w:r>
        </w:p>
        <w:p>
          <w:pPr>
            <w:pStyle w:val="39"/>
            <w:tabs>
              <w:tab w:val="right" w:leader="dot" w:pos="8306"/>
            </w:tabs>
            <w:rPr>
              <w:b/>
            </w:rPr>
          </w:pPr>
          <w:r>
            <w:rPr>
              <w:rFonts w:hint="eastAsia" w:asciiTheme="minorEastAsia" w:hAnsiTheme="minorEastAsia" w:eastAsiaTheme="minorEastAsia" w:cstheme="minorEastAsia"/>
              <w:b/>
              <w:color w:val="auto"/>
              <w:highlight w:val="none"/>
              <w:lang w:val="en-US" w:eastAsia="zh-CN"/>
            </w:rPr>
            <w:fldChar w:fldCharType="begin"/>
          </w:r>
          <w:r>
            <w:rPr>
              <w:rFonts w:hint="eastAsia" w:asciiTheme="minorEastAsia" w:hAnsiTheme="minorEastAsia" w:eastAsiaTheme="minorEastAsia" w:cstheme="minorEastAsia"/>
              <w:b/>
              <w:highlight w:val="none"/>
              <w:lang w:val="en-US" w:eastAsia="zh-CN"/>
            </w:rPr>
            <w:instrText xml:space="preserve"> HYPERLINK \l _Toc18244 </w:instrText>
          </w:r>
          <w:r>
            <w:rPr>
              <w:rFonts w:hint="eastAsia" w:asciiTheme="minorEastAsia" w:hAnsiTheme="minorEastAsia" w:eastAsiaTheme="minorEastAsia" w:cstheme="minorEastAsia"/>
              <w:b/>
              <w:highlight w:val="none"/>
              <w:lang w:val="en-US" w:eastAsia="zh-CN"/>
            </w:rPr>
            <w:fldChar w:fldCharType="separate"/>
          </w:r>
          <w:r>
            <w:rPr>
              <w:rFonts w:hint="eastAsia" w:ascii="黑体" w:hAnsi="黑体" w:eastAsia="黑体"/>
              <w:b/>
            </w:rPr>
            <w:t xml:space="preserve">第三部分 </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_Toc18244 \h </w:instrText>
          </w:r>
          <w:r>
            <w:rPr>
              <w:b/>
            </w:rPr>
            <w:fldChar w:fldCharType="separate"/>
          </w:r>
          <w:r>
            <w:rPr>
              <w:b/>
            </w:rPr>
            <w:t>10</w:t>
          </w:r>
          <w:r>
            <w:rPr>
              <w:b/>
            </w:rPr>
            <w:fldChar w:fldCharType="end"/>
          </w:r>
          <w:r>
            <w:rPr>
              <w:rFonts w:hint="eastAsia" w:asciiTheme="minorEastAsia" w:hAnsiTheme="minorEastAsia" w:eastAsiaTheme="minorEastAsia" w:cstheme="minorEastAsia"/>
              <w:b/>
              <w:color w:val="auto"/>
              <w:highlight w:val="none"/>
              <w:lang w:val="en-US" w:eastAsia="zh-CN"/>
            </w:rPr>
            <w:fldChar w:fldCharType="end"/>
          </w:r>
        </w:p>
        <w:p>
          <w:pPr>
            <w:pStyle w:val="39"/>
            <w:tabs>
              <w:tab w:val="right" w:leader="dot" w:pos="8306"/>
            </w:tabs>
            <w:rPr>
              <w:rFonts w:hint="default"/>
              <w:b/>
              <w:lang w:val="en-US"/>
            </w:rPr>
          </w:pPr>
          <w:r>
            <w:rPr>
              <w:rFonts w:hint="eastAsia" w:asciiTheme="minorEastAsia" w:hAnsiTheme="minorEastAsia" w:eastAsiaTheme="minorEastAsia" w:cstheme="minorEastAsia"/>
              <w:b/>
              <w:color w:val="auto"/>
              <w:highlight w:val="none"/>
              <w:lang w:val="en-US" w:eastAsia="zh-CN"/>
            </w:rPr>
            <w:fldChar w:fldCharType="begin"/>
          </w:r>
          <w:r>
            <w:rPr>
              <w:rFonts w:hint="eastAsia" w:asciiTheme="minorEastAsia" w:hAnsiTheme="minorEastAsia" w:eastAsiaTheme="minorEastAsia" w:cstheme="minorEastAsia"/>
              <w:b/>
              <w:highlight w:val="none"/>
              <w:lang w:val="en-US" w:eastAsia="zh-CN"/>
            </w:rPr>
            <w:instrText xml:space="preserve"> HYPERLINK \l _Toc6901 </w:instrText>
          </w:r>
          <w:r>
            <w:rPr>
              <w:rFonts w:hint="eastAsia" w:asciiTheme="minorEastAsia" w:hAnsiTheme="minorEastAsia" w:eastAsiaTheme="minorEastAsia" w:cstheme="minorEastAsia"/>
              <w:b/>
              <w:highlight w:val="none"/>
              <w:lang w:val="en-US" w:eastAsia="zh-CN"/>
            </w:rPr>
            <w:fldChar w:fldCharType="separate"/>
          </w:r>
          <w:r>
            <w:rPr>
              <w:rFonts w:hint="eastAsia" w:ascii="黑体" w:hAnsi="黑体" w:eastAsia="黑体"/>
              <w:b/>
              <w:szCs w:val="44"/>
              <w:highlight w:val="none"/>
            </w:rPr>
            <w:t>第</w:t>
          </w:r>
          <w:r>
            <w:rPr>
              <w:rFonts w:hint="eastAsia" w:ascii="黑体" w:hAnsi="黑体" w:eastAsia="黑体"/>
              <w:b/>
              <w:highlight w:val="none"/>
            </w:rPr>
            <w:t>四部分 附件</w:t>
          </w:r>
          <w:r>
            <w:rPr>
              <w:b/>
            </w:rPr>
            <w:tab/>
          </w:r>
          <w:r>
            <w:rPr>
              <w:rFonts w:hint="eastAsia"/>
              <w:b/>
              <w:lang w:val="en-US" w:eastAsia="zh-CN"/>
            </w:rPr>
            <w:t>1</w:t>
          </w:r>
          <w:r>
            <w:rPr>
              <w:rFonts w:hint="eastAsia" w:asciiTheme="minorEastAsia" w:hAnsiTheme="minorEastAsia" w:eastAsiaTheme="minorEastAsia" w:cstheme="minorEastAsia"/>
              <w:b/>
              <w:color w:val="auto"/>
              <w:highlight w:val="none"/>
              <w:lang w:val="en-US" w:eastAsia="zh-CN"/>
            </w:rPr>
            <w:fldChar w:fldCharType="end"/>
          </w:r>
          <w:r>
            <w:rPr>
              <w:rFonts w:hint="eastAsia" w:asciiTheme="minorEastAsia" w:hAnsiTheme="minorEastAsia" w:eastAsiaTheme="minorEastAsia" w:cstheme="minorEastAsia"/>
              <w:b/>
              <w:color w:val="auto"/>
              <w:highlight w:val="none"/>
              <w:lang w:val="en-US" w:eastAsia="zh-CN"/>
            </w:rPr>
            <w:t>2</w:t>
          </w:r>
        </w:p>
        <w:p>
          <w:pPr>
            <w:pStyle w:val="39"/>
            <w:tabs>
              <w:tab w:val="right" w:leader="dot" w:pos="8306"/>
            </w:tabs>
            <w:rPr>
              <w:rFonts w:hint="default"/>
              <w:b/>
              <w:lang w:val="en-US"/>
            </w:rPr>
          </w:pPr>
          <w:r>
            <w:rPr>
              <w:rFonts w:hint="eastAsia" w:asciiTheme="minorEastAsia" w:hAnsiTheme="minorEastAsia" w:eastAsiaTheme="minorEastAsia" w:cstheme="minorEastAsia"/>
              <w:b/>
              <w:color w:val="auto"/>
              <w:highlight w:val="none"/>
              <w:lang w:val="en-US" w:eastAsia="zh-CN"/>
            </w:rPr>
            <w:fldChar w:fldCharType="begin"/>
          </w:r>
          <w:r>
            <w:rPr>
              <w:rFonts w:hint="eastAsia" w:asciiTheme="minorEastAsia" w:hAnsiTheme="minorEastAsia" w:eastAsiaTheme="minorEastAsia" w:cstheme="minorEastAsia"/>
              <w:b/>
              <w:highlight w:val="none"/>
              <w:lang w:val="en-US" w:eastAsia="zh-CN"/>
            </w:rPr>
            <w:instrText xml:space="preserve"> HYPERLINK \l _Toc4727 </w:instrText>
          </w:r>
          <w:r>
            <w:rPr>
              <w:rFonts w:hint="eastAsia" w:asciiTheme="minorEastAsia" w:hAnsiTheme="minorEastAsia" w:eastAsiaTheme="minorEastAsia" w:cstheme="minorEastAsia"/>
              <w:b/>
              <w:highlight w:val="none"/>
              <w:lang w:val="en-US" w:eastAsia="zh-CN"/>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rPr>
            <w:tab/>
          </w:r>
          <w:r>
            <w:rPr>
              <w:rFonts w:hint="eastAsia"/>
              <w:b/>
              <w:lang w:val="en-US" w:eastAsia="zh-CN"/>
            </w:rPr>
            <w:t>2</w:t>
          </w:r>
          <w:r>
            <w:rPr>
              <w:rFonts w:hint="eastAsia" w:asciiTheme="minorEastAsia" w:hAnsiTheme="minorEastAsia" w:eastAsiaTheme="minorEastAsia" w:cstheme="minorEastAsia"/>
              <w:b/>
              <w:color w:val="auto"/>
              <w:highlight w:val="none"/>
              <w:lang w:val="en-US" w:eastAsia="zh-CN"/>
            </w:rPr>
            <w:fldChar w:fldCharType="end"/>
          </w:r>
          <w:r>
            <w:rPr>
              <w:rFonts w:hint="eastAsia" w:asciiTheme="minorEastAsia" w:hAnsiTheme="minorEastAsia" w:eastAsiaTheme="minorEastAsia" w:cstheme="minorEastAsia"/>
              <w:b/>
              <w:color w:val="auto"/>
              <w:highlight w:val="none"/>
              <w:lang w:val="en-US" w:eastAsia="zh-CN"/>
            </w:rPr>
            <w:t>4</w:t>
          </w:r>
        </w:p>
        <w:p>
          <w:pPr>
            <w:pStyle w:val="40"/>
            <w:tabs>
              <w:tab w:val="right" w:leader="dot" w:pos="8306"/>
            </w:tabs>
            <w:rPr>
              <w:rFonts w:hint="default"/>
              <w:lang w:val="en-US"/>
            </w:rPr>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_Toc5714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rPr>
              <w:rFonts w:hint="eastAsia"/>
              <w:lang w:val="en-US" w:eastAsia="zh-CN"/>
            </w:rPr>
            <w:t>2</w:t>
          </w:r>
          <w:r>
            <w:rPr>
              <w:rFonts w:hint="eastAsia" w:asciiTheme="minorEastAsia" w:hAnsiTheme="minorEastAsia" w:eastAsiaTheme="minorEastAsia" w:cstheme="minorEastAsia"/>
              <w:color w:val="auto"/>
              <w:highlight w:val="none"/>
              <w:lang w:val="en-US" w:eastAsia="zh-CN"/>
            </w:rPr>
            <w:fldChar w:fldCharType="end"/>
          </w:r>
          <w:r>
            <w:rPr>
              <w:rFonts w:hint="eastAsia" w:asciiTheme="minorEastAsia" w:hAnsiTheme="minorEastAsia" w:eastAsiaTheme="minorEastAsia" w:cstheme="minorEastAsia"/>
              <w:color w:val="auto"/>
              <w:highlight w:val="none"/>
              <w:lang w:val="en-US" w:eastAsia="zh-CN"/>
            </w:rPr>
            <w:t>4</w:t>
          </w:r>
        </w:p>
        <w:p>
          <w:pPr>
            <w:pStyle w:val="40"/>
            <w:tabs>
              <w:tab w:val="right" w:leader="dot" w:pos="8306"/>
            </w:tabs>
            <w:rPr>
              <w:rFonts w:hint="default"/>
              <w:lang w:val="en-US"/>
            </w:rPr>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_Toc6383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rPr>
              <w:rFonts w:hint="eastAsia"/>
              <w:lang w:val="en-US" w:eastAsia="zh-CN"/>
            </w:rPr>
            <w:t>2</w:t>
          </w:r>
          <w:r>
            <w:rPr>
              <w:rFonts w:hint="eastAsia" w:asciiTheme="minorEastAsia" w:hAnsiTheme="minorEastAsia" w:eastAsiaTheme="minorEastAsia" w:cstheme="minorEastAsia"/>
              <w:color w:val="auto"/>
              <w:highlight w:val="none"/>
              <w:lang w:val="en-US" w:eastAsia="zh-CN"/>
            </w:rPr>
            <w:fldChar w:fldCharType="end"/>
          </w:r>
          <w:r>
            <w:rPr>
              <w:rFonts w:hint="eastAsia" w:asciiTheme="minorEastAsia" w:hAnsiTheme="minorEastAsia" w:eastAsiaTheme="minorEastAsia" w:cstheme="minorEastAsia"/>
              <w:color w:val="auto"/>
              <w:highlight w:val="none"/>
              <w:lang w:val="en-US" w:eastAsia="zh-CN"/>
            </w:rPr>
            <w:t>4</w:t>
          </w:r>
        </w:p>
        <w:p>
          <w:pPr>
            <w:pStyle w:val="40"/>
            <w:tabs>
              <w:tab w:val="right" w:leader="dot" w:pos="8306"/>
            </w:tabs>
            <w:rPr>
              <w:rFonts w:hint="default"/>
              <w:lang w:val="en-US"/>
            </w:rPr>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_Toc14524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rPr>
              <w:rFonts w:hint="eastAsia"/>
              <w:lang w:val="en-US" w:eastAsia="zh-CN"/>
            </w:rPr>
            <w:t>2</w:t>
          </w:r>
          <w:r>
            <w:rPr>
              <w:rFonts w:hint="eastAsia" w:asciiTheme="minorEastAsia" w:hAnsiTheme="minorEastAsia" w:eastAsiaTheme="minorEastAsia" w:cstheme="minorEastAsia"/>
              <w:color w:val="auto"/>
              <w:highlight w:val="none"/>
              <w:lang w:val="en-US" w:eastAsia="zh-CN"/>
            </w:rPr>
            <w:fldChar w:fldCharType="end"/>
          </w:r>
          <w:r>
            <w:rPr>
              <w:rFonts w:hint="eastAsia" w:asciiTheme="minorEastAsia" w:hAnsiTheme="minorEastAsia" w:eastAsiaTheme="minorEastAsia" w:cstheme="minorEastAsia"/>
              <w:color w:val="auto"/>
              <w:highlight w:val="none"/>
              <w:lang w:val="en-US" w:eastAsia="zh-CN"/>
            </w:rPr>
            <w:t>4</w:t>
          </w:r>
        </w:p>
        <w:p>
          <w:pPr>
            <w:pStyle w:val="40"/>
            <w:tabs>
              <w:tab w:val="right" w:leader="dot" w:pos="8306"/>
            </w:tabs>
            <w:rPr>
              <w:rFonts w:hint="default"/>
              <w:lang w:val="en-US"/>
            </w:rPr>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_Toc11227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rPr>
              <w:rFonts w:hint="eastAsia"/>
              <w:lang w:val="en-US" w:eastAsia="zh-CN"/>
            </w:rPr>
            <w:t>2</w:t>
          </w:r>
          <w:r>
            <w:rPr>
              <w:rFonts w:hint="eastAsia" w:asciiTheme="minorEastAsia" w:hAnsiTheme="minorEastAsia" w:eastAsiaTheme="minorEastAsia" w:cstheme="minorEastAsia"/>
              <w:color w:val="auto"/>
              <w:highlight w:val="none"/>
              <w:lang w:val="en-US" w:eastAsia="zh-CN"/>
            </w:rPr>
            <w:fldChar w:fldCharType="end"/>
          </w:r>
          <w:r>
            <w:rPr>
              <w:rFonts w:hint="eastAsia" w:asciiTheme="minorEastAsia" w:hAnsiTheme="minorEastAsia" w:eastAsiaTheme="minorEastAsia" w:cstheme="minorEastAsia"/>
              <w:color w:val="auto"/>
              <w:highlight w:val="none"/>
              <w:lang w:val="en-US" w:eastAsia="zh-CN"/>
            </w:rPr>
            <w:t>4</w:t>
          </w:r>
        </w:p>
        <w:p>
          <w:pPr>
            <w:pStyle w:val="40"/>
            <w:tabs>
              <w:tab w:val="right" w:leader="dot" w:pos="8306"/>
            </w:tabs>
            <w:rPr>
              <w:rFonts w:hint="default"/>
              <w:lang w:val="en-US"/>
            </w:rPr>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_Toc16030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rPr>
              <w:rFonts w:hint="eastAsia"/>
              <w:lang w:val="en-US" w:eastAsia="zh-CN"/>
            </w:rPr>
            <w:t>2</w:t>
          </w:r>
          <w:r>
            <w:rPr>
              <w:rFonts w:hint="eastAsia" w:asciiTheme="minorEastAsia" w:hAnsiTheme="minorEastAsia" w:eastAsiaTheme="minorEastAsia" w:cstheme="minorEastAsia"/>
              <w:color w:val="auto"/>
              <w:highlight w:val="none"/>
              <w:lang w:val="en-US" w:eastAsia="zh-CN"/>
            </w:rPr>
            <w:fldChar w:fldCharType="end"/>
          </w:r>
          <w:r>
            <w:rPr>
              <w:rFonts w:hint="eastAsia" w:asciiTheme="minorEastAsia" w:hAnsiTheme="minorEastAsia" w:eastAsiaTheme="minorEastAsia" w:cstheme="minorEastAsia"/>
              <w:color w:val="auto"/>
              <w:highlight w:val="none"/>
              <w:lang w:val="en-US" w:eastAsia="zh-CN"/>
            </w:rPr>
            <w:t>4</w:t>
          </w:r>
        </w:p>
        <w:p>
          <w:pPr>
            <w:pStyle w:val="40"/>
            <w:tabs>
              <w:tab w:val="right" w:leader="dot" w:pos="8306"/>
            </w:tabs>
            <w:rPr>
              <w:rFonts w:hint="default"/>
              <w:lang w:val="en-US"/>
            </w:rPr>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_Toc22244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rPr>
              <w:rFonts w:hint="eastAsia"/>
              <w:lang w:val="en-US" w:eastAsia="zh-CN"/>
            </w:rPr>
            <w:t>2</w:t>
          </w:r>
          <w:r>
            <w:rPr>
              <w:rFonts w:hint="eastAsia" w:asciiTheme="minorEastAsia" w:hAnsiTheme="minorEastAsia" w:eastAsiaTheme="minorEastAsia" w:cstheme="minorEastAsia"/>
              <w:color w:val="auto"/>
              <w:highlight w:val="none"/>
              <w:lang w:val="en-US" w:eastAsia="zh-CN"/>
            </w:rPr>
            <w:fldChar w:fldCharType="end"/>
          </w:r>
          <w:r>
            <w:rPr>
              <w:rFonts w:hint="eastAsia" w:asciiTheme="minorEastAsia" w:hAnsiTheme="minorEastAsia" w:eastAsiaTheme="minorEastAsia" w:cstheme="minorEastAsia"/>
              <w:color w:val="auto"/>
              <w:highlight w:val="none"/>
              <w:lang w:val="en-US" w:eastAsia="zh-CN"/>
            </w:rPr>
            <w:t>4</w:t>
          </w:r>
        </w:p>
        <w:p>
          <w:pPr>
            <w:pStyle w:val="40"/>
            <w:tabs>
              <w:tab w:val="right" w:leader="dot" w:pos="8306"/>
            </w:tabs>
            <w:rPr>
              <w:rFonts w:hint="default"/>
              <w:lang w:val="en-US"/>
            </w:rPr>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_Toc7574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rPr>
              <w:rFonts w:hint="eastAsia"/>
              <w:lang w:val="en-US" w:eastAsia="zh-CN"/>
            </w:rPr>
            <w:t>2</w:t>
          </w:r>
          <w:r>
            <w:rPr>
              <w:rFonts w:hint="eastAsia" w:asciiTheme="minorEastAsia" w:hAnsiTheme="minorEastAsia" w:eastAsiaTheme="minorEastAsia" w:cstheme="minorEastAsia"/>
              <w:color w:val="auto"/>
              <w:highlight w:val="none"/>
              <w:lang w:val="en-US" w:eastAsia="zh-CN"/>
            </w:rPr>
            <w:fldChar w:fldCharType="end"/>
          </w:r>
          <w:r>
            <w:rPr>
              <w:rFonts w:hint="eastAsia" w:asciiTheme="minorEastAsia" w:hAnsiTheme="minorEastAsia" w:eastAsiaTheme="minorEastAsia" w:cstheme="minorEastAsia"/>
              <w:color w:val="auto"/>
              <w:highlight w:val="none"/>
              <w:lang w:val="en-US" w:eastAsia="zh-CN"/>
            </w:rPr>
            <w:t>4</w:t>
          </w:r>
        </w:p>
        <w:p>
          <w:pPr>
            <w:pStyle w:val="40"/>
            <w:tabs>
              <w:tab w:val="right" w:leader="dot" w:pos="8306"/>
            </w:tabs>
            <w:rPr>
              <w:rFonts w:hint="default"/>
              <w:lang w:val="en-US"/>
            </w:rPr>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_Toc22370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rPr>
              <w:rFonts w:hint="eastAsia"/>
              <w:lang w:val="en-US" w:eastAsia="zh-CN"/>
            </w:rPr>
            <w:t>2</w:t>
          </w:r>
          <w:r>
            <w:rPr>
              <w:rFonts w:hint="eastAsia" w:asciiTheme="minorEastAsia" w:hAnsiTheme="minorEastAsia" w:eastAsiaTheme="minorEastAsia" w:cstheme="minorEastAsia"/>
              <w:color w:val="auto"/>
              <w:highlight w:val="none"/>
              <w:lang w:val="en-US" w:eastAsia="zh-CN"/>
            </w:rPr>
            <w:fldChar w:fldCharType="end"/>
          </w:r>
          <w:r>
            <w:rPr>
              <w:rFonts w:hint="eastAsia" w:asciiTheme="minorEastAsia" w:hAnsiTheme="minorEastAsia" w:eastAsiaTheme="minorEastAsia" w:cstheme="minorEastAsia"/>
              <w:color w:val="auto"/>
              <w:highlight w:val="none"/>
              <w:lang w:val="en-US" w:eastAsia="zh-CN"/>
            </w:rPr>
            <w:t>4</w:t>
          </w:r>
        </w:p>
        <w:p>
          <w:pPr>
            <w:pStyle w:val="40"/>
            <w:tabs>
              <w:tab w:val="right" w:leader="dot" w:pos="8306"/>
            </w:tabs>
            <w:rPr>
              <w:rFonts w:hint="default"/>
              <w:lang w:val="en-US"/>
            </w:rPr>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_Toc2822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rPr>
              <w:rFonts w:hint="eastAsia"/>
              <w:lang w:val="en-US" w:eastAsia="zh-CN"/>
            </w:rPr>
            <w:t>2</w:t>
          </w:r>
          <w:r>
            <w:rPr>
              <w:rFonts w:hint="eastAsia" w:asciiTheme="minorEastAsia" w:hAnsiTheme="minorEastAsia" w:eastAsiaTheme="minorEastAsia" w:cstheme="minorEastAsia"/>
              <w:color w:val="auto"/>
              <w:highlight w:val="none"/>
              <w:lang w:val="en-US" w:eastAsia="zh-CN"/>
            </w:rPr>
            <w:fldChar w:fldCharType="end"/>
          </w:r>
          <w:r>
            <w:rPr>
              <w:rFonts w:hint="eastAsia" w:asciiTheme="minorEastAsia" w:hAnsiTheme="minorEastAsia" w:eastAsiaTheme="minorEastAsia" w:cstheme="minorEastAsia"/>
              <w:color w:val="auto"/>
              <w:highlight w:val="none"/>
              <w:lang w:val="en-US" w:eastAsia="zh-CN"/>
            </w:rPr>
            <w:t>4</w:t>
          </w:r>
        </w:p>
        <w:p>
          <w:pPr>
            <w:pStyle w:val="40"/>
            <w:tabs>
              <w:tab w:val="right" w:leader="dot" w:pos="8306"/>
            </w:tabs>
            <w:rPr>
              <w:rFonts w:hint="default"/>
              <w:lang w:val="en-US"/>
            </w:rPr>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_Toc27892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rPr>
              <w:rFonts w:hint="eastAsia"/>
              <w:lang w:val="en-US" w:eastAsia="zh-CN"/>
            </w:rPr>
            <w:t>2</w:t>
          </w:r>
          <w:r>
            <w:rPr>
              <w:rFonts w:hint="eastAsia" w:asciiTheme="minorEastAsia" w:hAnsiTheme="minorEastAsia" w:eastAsiaTheme="minorEastAsia" w:cstheme="minorEastAsia"/>
              <w:color w:val="auto"/>
              <w:highlight w:val="none"/>
              <w:lang w:val="en-US" w:eastAsia="zh-CN"/>
            </w:rPr>
            <w:fldChar w:fldCharType="end"/>
          </w:r>
          <w:r>
            <w:rPr>
              <w:rFonts w:hint="eastAsia" w:asciiTheme="minorEastAsia" w:hAnsiTheme="minorEastAsia" w:eastAsiaTheme="minorEastAsia" w:cstheme="minorEastAsia"/>
              <w:color w:val="auto"/>
              <w:highlight w:val="none"/>
              <w:lang w:val="en-US" w:eastAsia="zh-CN"/>
            </w:rPr>
            <w:t>4</w:t>
          </w:r>
        </w:p>
        <w:p>
          <w:pPr>
            <w:pStyle w:val="40"/>
            <w:tabs>
              <w:tab w:val="right" w:leader="dot" w:pos="8306"/>
            </w:tabs>
            <w:rPr>
              <w:rFonts w:hint="default"/>
              <w:lang w:val="en-US"/>
            </w:rPr>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_Toc12490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rPr>
              <w:rFonts w:hint="eastAsia"/>
              <w:lang w:val="en-US" w:eastAsia="zh-CN"/>
            </w:rPr>
            <w:t>2</w:t>
          </w:r>
          <w:r>
            <w:rPr>
              <w:rFonts w:hint="eastAsia" w:asciiTheme="minorEastAsia" w:hAnsiTheme="minorEastAsia" w:eastAsiaTheme="minorEastAsia" w:cstheme="minorEastAsia"/>
              <w:color w:val="auto"/>
              <w:highlight w:val="none"/>
              <w:lang w:val="en-US" w:eastAsia="zh-CN"/>
            </w:rPr>
            <w:fldChar w:fldCharType="end"/>
          </w:r>
          <w:r>
            <w:rPr>
              <w:rFonts w:hint="eastAsia" w:asciiTheme="minorEastAsia" w:hAnsiTheme="minorEastAsia" w:eastAsiaTheme="minorEastAsia" w:cstheme="minorEastAsia"/>
              <w:color w:val="auto"/>
              <w:highlight w:val="none"/>
              <w:lang w:val="en-US" w:eastAsia="zh-CN"/>
            </w:rPr>
            <w:t>4</w:t>
          </w:r>
        </w:p>
        <w:p>
          <w:pPr>
            <w:pStyle w:val="40"/>
            <w:tabs>
              <w:tab w:val="right" w:leader="dot" w:pos="8306"/>
            </w:tabs>
            <w:rPr>
              <w:rFonts w:hint="default"/>
              <w:lang w:val="en-US"/>
            </w:rPr>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_Toc18389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rPr>
              <w:rFonts w:hint="eastAsia"/>
              <w:lang w:val="en-US" w:eastAsia="zh-CN"/>
            </w:rPr>
            <w:t>2</w:t>
          </w:r>
          <w:r>
            <w:rPr>
              <w:rFonts w:hint="eastAsia" w:asciiTheme="minorEastAsia" w:hAnsiTheme="minorEastAsia" w:eastAsiaTheme="minorEastAsia" w:cstheme="minorEastAsia"/>
              <w:color w:val="auto"/>
              <w:highlight w:val="none"/>
              <w:lang w:val="en-US" w:eastAsia="zh-CN"/>
            </w:rPr>
            <w:fldChar w:fldCharType="end"/>
          </w:r>
          <w:r>
            <w:rPr>
              <w:rFonts w:hint="eastAsia" w:asciiTheme="minorEastAsia" w:hAnsiTheme="minorEastAsia" w:eastAsiaTheme="minorEastAsia" w:cstheme="minorEastAsia"/>
              <w:color w:val="auto"/>
              <w:highlight w:val="none"/>
              <w:lang w:val="en-US" w:eastAsia="zh-CN"/>
            </w:rPr>
            <w:t>4</w:t>
          </w:r>
        </w:p>
        <w:p>
          <w:pPr>
            <w:pStyle w:val="40"/>
            <w:tabs>
              <w:tab w:val="right" w:leader="dot" w:pos="8306"/>
            </w:tabs>
            <w:rPr>
              <w:rFonts w:hint="default"/>
              <w:lang w:val="en-US"/>
            </w:rPr>
          </w:pPr>
          <w:r>
            <w:rPr>
              <w:rFonts w:hint="eastAsia" w:asciiTheme="minorEastAsia" w:hAnsiTheme="minorEastAsia" w:eastAsiaTheme="minorEastAsia" w:cstheme="minorEastAsia"/>
              <w:color w:val="auto"/>
              <w:highlight w:val="none"/>
              <w:lang w:val="en-US" w:eastAsia="zh-CN"/>
            </w:rPr>
            <w:fldChar w:fldCharType="begin"/>
          </w:r>
          <w:r>
            <w:rPr>
              <w:rFonts w:hint="eastAsia" w:asciiTheme="minorEastAsia" w:hAnsiTheme="minorEastAsia" w:eastAsiaTheme="minorEastAsia" w:cstheme="minorEastAsia"/>
              <w:highlight w:val="none"/>
              <w:lang w:val="en-US" w:eastAsia="zh-CN"/>
            </w:rPr>
            <w:instrText xml:space="preserve"> HYPERLINK \l _Toc15551 </w:instrText>
          </w:r>
          <w:r>
            <w:rPr>
              <w:rFonts w:hint="eastAsia" w:asciiTheme="minorEastAsia" w:hAnsiTheme="minorEastAsia" w:eastAsiaTheme="minorEastAsia" w:cstheme="minorEastAsia"/>
              <w:highlight w:val="none"/>
              <w:lang w:val="en-US" w:eastAsia="zh-CN"/>
            </w:rP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rPr>
              <w:rFonts w:hint="eastAsia"/>
              <w:lang w:val="en-US" w:eastAsia="zh-CN"/>
            </w:rPr>
            <w:t>2</w:t>
          </w:r>
          <w:r>
            <w:rPr>
              <w:rFonts w:hint="eastAsia" w:asciiTheme="minorEastAsia" w:hAnsiTheme="minorEastAsia" w:eastAsiaTheme="minorEastAsia" w:cstheme="minorEastAsia"/>
              <w:color w:val="auto"/>
              <w:highlight w:val="none"/>
              <w:lang w:val="en-US" w:eastAsia="zh-CN"/>
            </w:rPr>
            <w:fldChar w:fldCharType="end"/>
          </w:r>
          <w:r>
            <w:rPr>
              <w:rFonts w:hint="eastAsia" w:asciiTheme="minorEastAsia" w:hAnsiTheme="minorEastAsia" w:eastAsiaTheme="minorEastAsia" w:cstheme="minorEastAsia"/>
              <w:color w:val="auto"/>
              <w:highlight w:val="none"/>
              <w:lang w:val="en-US" w:eastAsia="zh-CN"/>
            </w:rPr>
            <w:t>4</w:t>
          </w:r>
        </w:p>
        <w:p>
          <w:pPr>
            <w:pStyle w:val="13"/>
            <w:adjustRightInd w:val="0"/>
            <w:snapToGrid w:val="0"/>
            <w:spacing w:line="440" w:lineRule="exact"/>
            <w:jc w:val="left"/>
            <w:rPr>
              <w:rFonts w:hint="eastAsia" w:asciiTheme="minorEastAsia" w:hAnsiTheme="minorEastAsia" w:eastAsiaTheme="minorEastAsia" w:cstheme="minorEastAsia"/>
              <w:b/>
              <w:color w:val="auto"/>
              <w:kern w:val="2"/>
              <w:sz w:val="21"/>
              <w:szCs w:val="24"/>
              <w:highlight w:val="none"/>
              <w:lang w:val="en-US" w:eastAsia="zh-CN" w:bidi="ar-SA"/>
            </w:rPr>
          </w:pPr>
          <w:r>
            <w:rPr>
              <w:rFonts w:hint="eastAsia" w:asciiTheme="minorEastAsia" w:hAnsiTheme="minorEastAsia" w:eastAsiaTheme="minorEastAsia" w:cstheme="minorEastAsia"/>
              <w:b/>
              <w:color w:val="auto"/>
              <w:highlight w:val="none"/>
              <w:lang w:val="en-US" w:eastAsia="zh-CN"/>
            </w:rPr>
            <w:fldChar w:fldCharType="end"/>
          </w:r>
        </w:p>
      </w:sdtContent>
    </w:sdt>
    <w:p>
      <w:pPr>
        <w:rPr>
          <w:rFonts w:hint="eastAsia"/>
          <w:lang w:val="en-US" w:eastAsia="zh-CN"/>
        </w:rPr>
      </w:pPr>
    </w:p>
    <w:p>
      <w:pPr>
        <w:pStyle w:val="3"/>
        <w:ind w:right="440"/>
        <w:jc w:val="center"/>
        <w:outlineLvl w:val="9"/>
        <w:rPr>
          <w:rFonts w:hint="eastAsia" w:ascii="黑体" w:hAnsi="黑体" w:eastAsia="黑体"/>
          <w:b w:val="0"/>
          <w:bCs/>
          <w:color w:val="auto"/>
          <w:highlight w:val="none"/>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bookmarkStart w:id="7" w:name="_Toc15396599"/>
      <w:bookmarkStart w:id="8" w:name="_Toc15377196"/>
    </w:p>
    <w:p>
      <w:pPr>
        <w:pStyle w:val="3"/>
        <w:ind w:right="440"/>
        <w:jc w:val="center"/>
        <w:rPr>
          <w:rFonts w:hint="eastAsia" w:ascii="黑体" w:hAnsi="黑体" w:eastAsia="黑体"/>
          <w:b w:val="0"/>
          <w:bCs/>
          <w:color w:val="auto"/>
          <w:highlight w:val="none"/>
        </w:rPr>
      </w:pPr>
      <w:bookmarkStart w:id="9" w:name="_Toc18980"/>
      <w:r>
        <w:rPr>
          <w:rFonts w:hint="eastAsia" w:ascii="黑体" w:hAnsi="黑体" w:eastAsia="黑体"/>
          <w:b w:val="0"/>
          <w:bCs/>
          <w:color w:val="auto"/>
          <w:highlight w:val="none"/>
        </w:rPr>
        <w:t xml:space="preserve">第一部分 </w:t>
      </w:r>
      <w:r>
        <w:rPr>
          <w:rFonts w:hint="eastAsia" w:ascii="黑体" w:hAnsi="黑体" w:eastAsia="黑体"/>
          <w:b w:val="0"/>
          <w:bCs/>
          <w:color w:val="auto"/>
          <w:highlight w:val="none"/>
          <w:lang w:eastAsia="zh-CN"/>
        </w:rPr>
        <w:t>单位</w:t>
      </w:r>
      <w:r>
        <w:rPr>
          <w:rFonts w:hint="eastAsia" w:ascii="黑体" w:hAnsi="黑体" w:eastAsia="黑体"/>
          <w:b w:val="0"/>
          <w:bCs/>
          <w:color w:val="auto"/>
          <w:highlight w:val="none"/>
        </w:rPr>
        <w:t>概况</w:t>
      </w:r>
      <w:bookmarkEnd w:id="7"/>
      <w:bookmarkEnd w:id="8"/>
      <w:bookmarkEnd w:id="9"/>
    </w:p>
    <w:p>
      <w:pPr>
        <w:widowControl/>
        <w:jc w:val="left"/>
        <w:rPr>
          <w:rFonts w:ascii="黑体" w:eastAsia="黑体"/>
          <w:color w:val="FF0000"/>
          <w:sz w:val="32"/>
          <w:szCs w:val="32"/>
          <w:highlight w:val="none"/>
        </w:rPr>
      </w:pPr>
    </w:p>
    <w:p>
      <w:pPr>
        <w:pStyle w:val="4"/>
        <w:numPr>
          <w:ilvl w:val="0"/>
          <w:numId w:val="1"/>
        </w:numPr>
        <w:rPr>
          <w:rFonts w:hint="eastAsia" w:ascii="黑体" w:hAnsi="黑体" w:eastAsia="黑体" w:cs="Times New Roman"/>
          <w:b w:val="0"/>
          <w:bCs w:val="0"/>
          <w:color w:val="auto"/>
          <w:kern w:val="2"/>
          <w:sz w:val="32"/>
          <w:szCs w:val="32"/>
          <w:highlight w:val="none"/>
          <w:lang w:val="en-US" w:eastAsia="zh-CN" w:bidi="ar-SA"/>
        </w:rPr>
      </w:pPr>
      <w:bookmarkStart w:id="10" w:name="_Toc777"/>
      <w:r>
        <w:rPr>
          <w:rFonts w:hint="eastAsia" w:ascii="黑体" w:hAnsi="黑体" w:eastAsia="黑体" w:cs="Times New Roman"/>
          <w:b w:val="0"/>
          <w:bCs w:val="0"/>
          <w:color w:val="auto"/>
          <w:kern w:val="2"/>
          <w:sz w:val="32"/>
          <w:szCs w:val="32"/>
          <w:highlight w:val="none"/>
          <w:lang w:val="en-US" w:eastAsia="zh-CN" w:bidi="ar-SA"/>
        </w:rPr>
        <w:t>主要职责</w:t>
      </w:r>
      <w:bookmarkEnd w:id="10"/>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1</w:t>
      </w:r>
      <w:r>
        <w:rPr>
          <w:rFonts w:hint="default" w:ascii="仿宋_GB2312" w:hAnsi="Times New Roman" w:eastAsia="仿宋_GB2312" w:cs="仿宋_GB2312"/>
          <w:i w:val="0"/>
          <w:caps w:val="0"/>
          <w:color w:val="auto"/>
          <w:spacing w:val="0"/>
          <w:kern w:val="0"/>
          <w:sz w:val="32"/>
          <w:szCs w:val="32"/>
          <w:shd w:val="clear" w:color="auto" w:fill="FFFFFF"/>
          <w:lang w:val="en-US" w:eastAsia="zh-CN" w:bidi="ar"/>
        </w:rPr>
        <w:t>.高举爱国主义和社会主义旗帜，坚持走中国特色社会主义政治发展道路，坚持中国共产党领导的多党合作和政治协商制度，坚持“长期共存、互相监督、肝胆相照、荣辱与共”的方针，认真贯彻落实农工党中央、省委和中共广元市委的方针、政策、指示、决议等。</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2</w:t>
      </w:r>
      <w:r>
        <w:rPr>
          <w:rFonts w:hint="default" w:ascii="仿宋_GB2312" w:hAnsi="Times New Roman" w:eastAsia="仿宋_GB2312" w:cs="仿宋_GB2312"/>
          <w:i w:val="0"/>
          <w:caps w:val="0"/>
          <w:color w:val="auto"/>
          <w:spacing w:val="0"/>
          <w:kern w:val="0"/>
          <w:sz w:val="32"/>
          <w:szCs w:val="32"/>
          <w:shd w:val="clear" w:color="auto" w:fill="FFFFFF"/>
          <w:lang w:val="en-US" w:eastAsia="zh-CN" w:bidi="ar"/>
        </w:rPr>
        <w:t>.加强全市农工党组织的思想建设和组织建设，教育和引导全市农工党员自觉接受中国共产党的领导，树立中国特色社会主义共同理想，践行社会主义核心价值体系，在本职工作中建功立业。按照积极稳妥的原则，做好组织发展工作，保证党员质量。</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3</w:t>
      </w:r>
      <w:r>
        <w:rPr>
          <w:rFonts w:hint="default" w:ascii="仿宋_GB2312" w:hAnsi="Times New Roman" w:eastAsia="仿宋_GB2312" w:cs="仿宋_GB2312"/>
          <w:i w:val="0"/>
          <w:caps w:val="0"/>
          <w:color w:val="auto"/>
          <w:spacing w:val="0"/>
          <w:kern w:val="0"/>
          <w:sz w:val="32"/>
          <w:szCs w:val="32"/>
          <w:shd w:val="clear" w:color="auto" w:fill="FFFFFF"/>
          <w:lang w:val="en-US" w:eastAsia="zh-CN" w:bidi="ar"/>
        </w:rPr>
        <w:t>.着力搞好政治交接，全面加强自身建设，特别是抓好领导班子建设、人才队伍建设和基层组织建设。贯彻民主集中制原则，建立民主、高效的领导体制，分工负责、团结协作，切实履行好参政党的各项职能。</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4</w:t>
      </w:r>
      <w:r>
        <w:rPr>
          <w:rFonts w:hint="default" w:ascii="仿宋_GB2312" w:hAnsi="Times New Roman" w:eastAsia="仿宋_GB2312" w:cs="仿宋_GB2312"/>
          <w:i w:val="0"/>
          <w:caps w:val="0"/>
          <w:color w:val="auto"/>
          <w:spacing w:val="0"/>
          <w:kern w:val="0"/>
          <w:sz w:val="32"/>
          <w:szCs w:val="32"/>
          <w:shd w:val="clear" w:color="auto" w:fill="FFFFFF"/>
          <w:lang w:val="en-US" w:eastAsia="zh-CN" w:bidi="ar"/>
        </w:rPr>
        <w:t>.围绕中共广元市委、市政府中心工作，服务广元改革和发展的大局，以加快经济建设、推动民生改善等作为市委会参政议政的重点，完善机制，加强调查研究，注重发挥界别特色积极建言献策。</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shd w:val="clear" w:color="auto" w:fill="FFFFFF"/>
          <w:lang w:val="en-US" w:eastAsia="zh-CN" w:bidi="ar"/>
        </w:rPr>
        <w:t>5</w:t>
      </w:r>
      <w:r>
        <w:rPr>
          <w:rFonts w:hint="default" w:ascii="仿宋_GB2312" w:hAnsi="Times New Roman" w:eastAsia="仿宋_GB2312" w:cs="仿宋_GB2312"/>
          <w:i w:val="0"/>
          <w:caps w:val="0"/>
          <w:color w:val="auto"/>
          <w:spacing w:val="0"/>
          <w:kern w:val="0"/>
          <w:sz w:val="32"/>
          <w:szCs w:val="32"/>
          <w:shd w:val="clear" w:color="auto" w:fill="FFFFFF"/>
          <w:lang w:val="en-US" w:eastAsia="zh-CN" w:bidi="ar"/>
        </w:rPr>
        <w:t>.充分发挥农工党医卫、人资环界别的人才和智力优势，强化品牌和平台的建设，进一步整合资源，创新服务内容，探索有效路径，建立长效机制，开展及时、长期、有效的社会服务。</w:t>
      </w:r>
    </w:p>
    <w:p>
      <w:pPr>
        <w:pStyle w:val="4"/>
        <w:rPr>
          <w:rStyle w:val="21"/>
          <w:rFonts w:hint="eastAsia" w:ascii="黑体" w:hAnsi="黑体" w:eastAsia="黑体"/>
          <w:b w:val="0"/>
          <w:bCs/>
          <w:color w:val="auto"/>
          <w:highlight w:val="none"/>
          <w:lang w:val="en-US" w:eastAsia="zh-CN" w:bidi="ar-SA"/>
        </w:rPr>
      </w:pPr>
      <w:bookmarkStart w:id="11" w:name="_Toc23391"/>
      <w:bookmarkStart w:id="12" w:name="_Toc15396601"/>
      <w:bookmarkStart w:id="13" w:name="_Toc15377200"/>
      <w:r>
        <w:rPr>
          <w:rStyle w:val="21"/>
          <w:rFonts w:hint="eastAsia" w:ascii="黑体" w:hAnsi="黑体" w:eastAsia="黑体"/>
          <w:b w:val="0"/>
          <w:bCs/>
          <w:color w:val="auto"/>
          <w:highlight w:val="none"/>
          <w:lang w:val="en-US" w:eastAsia="zh-CN" w:bidi="ar-SA"/>
        </w:rPr>
        <w:t>二、机构设置</w:t>
      </w:r>
      <w:bookmarkEnd w:id="11"/>
      <w:bookmarkEnd w:id="12"/>
      <w:bookmarkEnd w:id="13"/>
    </w:p>
    <w:p>
      <w:pPr>
        <w:pStyle w:val="2"/>
        <w:ind w:firstLine="640" w:firstLineChars="200"/>
        <w:rPr>
          <w:rFonts w:hint="eastAsia"/>
          <w:highlight w:val="none"/>
        </w:rPr>
      </w:pPr>
      <w:bookmarkStart w:id="14" w:name="_Toc15396602"/>
      <w:bookmarkStart w:id="15" w:name="_Toc15377204"/>
      <w:r>
        <w:rPr>
          <w:rFonts w:hint="eastAsia" w:cs="仿宋_GB2312"/>
          <w:i w:val="0"/>
          <w:caps w:val="0"/>
          <w:color w:val="auto"/>
          <w:spacing w:val="0"/>
          <w:kern w:val="0"/>
          <w:sz w:val="32"/>
          <w:szCs w:val="32"/>
          <w:highlight w:val="none"/>
          <w:shd w:val="clear" w:color="auto" w:fill="FFFFFF"/>
          <w:lang w:val="en-US" w:eastAsia="zh-CN" w:bidi="ar"/>
        </w:rPr>
        <w:t>我单位为</w:t>
      </w:r>
      <w:r>
        <w:rPr>
          <w:rFonts w:hint="eastAsia" w:ascii="仿宋_GB2312" w:hAnsi="Times New Roman" w:eastAsia="仿宋_GB2312" w:cs="仿宋_GB2312"/>
          <w:i w:val="0"/>
          <w:caps w:val="0"/>
          <w:color w:val="auto"/>
          <w:spacing w:val="0"/>
          <w:kern w:val="0"/>
          <w:sz w:val="32"/>
          <w:szCs w:val="32"/>
          <w:highlight w:val="none"/>
          <w:shd w:val="clear" w:color="auto" w:fill="FFFFFF"/>
          <w:lang w:val="en-US" w:eastAsia="zh-CN" w:bidi="ar"/>
        </w:rPr>
        <w:t>中共广元市委统战部</w:t>
      </w:r>
      <w:r>
        <w:rPr>
          <w:rFonts w:hint="eastAsia" w:cs="仿宋_GB2312"/>
          <w:i w:val="0"/>
          <w:caps w:val="0"/>
          <w:color w:val="auto"/>
          <w:spacing w:val="0"/>
          <w:kern w:val="0"/>
          <w:sz w:val="32"/>
          <w:szCs w:val="32"/>
          <w:highlight w:val="none"/>
          <w:shd w:val="clear" w:color="auto" w:fill="FFFFFF"/>
          <w:lang w:val="en-US" w:eastAsia="zh-CN" w:bidi="ar"/>
        </w:rPr>
        <w:t>下属二级预算单位，本单位无下属机构，设有内设机构1个。</w:t>
      </w:r>
    </w:p>
    <w:p>
      <w:pPr>
        <w:pStyle w:val="3"/>
        <w:ind w:right="440"/>
        <w:jc w:val="both"/>
        <w:rPr>
          <w:rStyle w:val="20"/>
          <w:rFonts w:ascii="黑体" w:hAnsi="黑体" w:eastAsia="黑体"/>
          <w:b w:val="0"/>
          <w:bCs/>
          <w:color w:val="auto"/>
          <w:highlight w:val="none"/>
        </w:rPr>
      </w:pPr>
      <w:bookmarkStart w:id="16" w:name="_Toc19520"/>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2024年度</w:t>
      </w:r>
      <w:r>
        <w:rPr>
          <w:rStyle w:val="20"/>
          <w:rFonts w:hint="eastAsia" w:ascii="黑体" w:hAnsi="黑体" w:eastAsia="黑体"/>
          <w:b w:val="0"/>
          <w:bCs/>
          <w:color w:val="auto"/>
          <w:highlight w:val="none"/>
        </w:rPr>
        <w:t>部门决算情况说明</w:t>
      </w:r>
      <w:bookmarkEnd w:id="14"/>
      <w:bookmarkEnd w:id="15"/>
      <w:bookmarkEnd w:id="16"/>
    </w:p>
    <w:p>
      <w:pPr>
        <w:rPr>
          <w:color w:val="auto"/>
          <w:highlight w:val="none"/>
        </w:rPr>
      </w:pPr>
    </w:p>
    <w:p>
      <w:pPr>
        <w:pStyle w:val="34"/>
        <w:numPr>
          <w:ilvl w:val="0"/>
          <w:numId w:val="2"/>
        </w:numPr>
        <w:spacing w:line="600" w:lineRule="exact"/>
        <w:ind w:firstLineChars="0"/>
        <w:outlineLvl w:val="1"/>
        <w:rPr>
          <w:rStyle w:val="21"/>
          <w:rFonts w:ascii="黑体" w:hAnsi="黑体" w:eastAsia="黑体"/>
          <w:b w:val="0"/>
          <w:color w:val="auto"/>
          <w:highlight w:val="none"/>
        </w:rPr>
      </w:pPr>
      <w:bookmarkStart w:id="17" w:name="_Toc15396603"/>
      <w:bookmarkStart w:id="18" w:name="_Toc15377205"/>
      <w:bookmarkStart w:id="19" w:name="_Toc17184"/>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入支出决算总体情况说明</w:t>
      </w:r>
      <w:bookmarkEnd w:id="17"/>
      <w:bookmarkEnd w:id="18"/>
      <w:bookmarkEnd w:id="19"/>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val="en-US" w:eastAsia="zh-CN"/>
        </w:rPr>
        <w:t>2024年度</w:t>
      </w:r>
      <w:r>
        <w:rPr>
          <w:rFonts w:hint="eastAsia" w:ascii="仿宋" w:hAnsi="仿宋" w:eastAsia="仿宋"/>
          <w:color w:val="auto"/>
          <w:sz w:val="32"/>
          <w:szCs w:val="32"/>
          <w:highlight w:val="none"/>
        </w:rPr>
        <w:t>收、支总计</w:t>
      </w:r>
      <w:r>
        <w:rPr>
          <w:rFonts w:hint="eastAsia" w:ascii="仿宋" w:hAnsi="仿宋" w:eastAsia="仿宋"/>
          <w:color w:val="auto"/>
          <w:sz w:val="32"/>
          <w:szCs w:val="32"/>
          <w:highlight w:val="none"/>
          <w:lang w:val="en-US" w:eastAsia="zh-CN"/>
        </w:rPr>
        <w:t>109.25</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0.12</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0.1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人员工资正常变动。</w:t>
      </w:r>
    </w:p>
    <w:p>
      <w:pPr>
        <w:pStyle w:val="2"/>
        <w:rPr>
          <w:rFonts w:hint="eastAsia" w:ascii="仿宋" w:hAnsi="仿宋" w:eastAsia="仿宋"/>
          <w:color w:val="auto"/>
          <w:sz w:val="32"/>
          <w:szCs w:val="32"/>
          <w:highlight w:val="none"/>
          <w:lang w:eastAsia="zh-CN"/>
        </w:rPr>
      </w:pPr>
      <w:r>
        <w:drawing>
          <wp:inline distT="0" distB="0" distL="114300" distR="114300">
            <wp:extent cx="5166360" cy="3341370"/>
            <wp:effectExtent l="4445" t="4445" r="10795" b="698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1600" w:firstLineChars="500"/>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spacing w:line="600" w:lineRule="exact"/>
        <w:ind w:firstLine="640" w:firstLineChars="200"/>
        <w:jc w:val="left"/>
        <w:rPr>
          <w:rFonts w:ascii="仿宋_GB2312" w:eastAsia="仿宋_GB2312"/>
          <w:color w:val="auto"/>
          <w:sz w:val="32"/>
          <w:szCs w:val="32"/>
          <w:highlight w:val="none"/>
        </w:rPr>
      </w:pPr>
    </w:p>
    <w:p>
      <w:pPr>
        <w:pStyle w:val="34"/>
        <w:numPr>
          <w:ilvl w:val="0"/>
          <w:numId w:val="2"/>
        </w:numPr>
        <w:spacing w:line="600" w:lineRule="exact"/>
        <w:ind w:firstLineChars="0"/>
        <w:outlineLvl w:val="1"/>
        <w:rPr>
          <w:rStyle w:val="21"/>
          <w:rFonts w:ascii="黑体" w:hAnsi="黑体" w:eastAsia="黑体"/>
          <w:b w:val="0"/>
          <w:color w:val="auto"/>
          <w:highlight w:val="none"/>
        </w:rPr>
      </w:pPr>
      <w:bookmarkStart w:id="20" w:name="_Toc15396604"/>
      <w:bookmarkStart w:id="21" w:name="_Toc7270"/>
      <w:bookmarkStart w:id="22" w:name="_Toc15377206"/>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入决算情况说明</w:t>
      </w:r>
      <w:bookmarkEnd w:id="20"/>
      <w:bookmarkEnd w:id="21"/>
      <w:bookmarkEnd w:id="22"/>
    </w:p>
    <w:p>
      <w:pPr>
        <w:spacing w:line="600" w:lineRule="exact"/>
        <w:ind w:firstLine="640" w:firstLineChars="200"/>
        <w:outlineLvl w:val="1"/>
        <w:rPr>
          <w:rFonts w:ascii="仿宋" w:hAnsi="仿宋" w:eastAsia="仿宋"/>
          <w:color w:val="auto"/>
          <w:sz w:val="32"/>
          <w:szCs w:val="32"/>
          <w:highlight w:val="none"/>
        </w:rPr>
      </w:pPr>
      <w:bookmarkStart w:id="23" w:name="_Toc18326"/>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w:t>
      </w:r>
      <w:r>
        <w:rPr>
          <w:rFonts w:hint="eastAsia" w:ascii="仿宋" w:hAnsi="仿宋" w:eastAsia="仿宋"/>
          <w:color w:val="auto"/>
          <w:sz w:val="32"/>
          <w:szCs w:val="32"/>
          <w:highlight w:val="none"/>
          <w:lang w:val="en-US" w:eastAsia="zh-CN"/>
        </w:rPr>
        <w:t>109.25</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109.25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23"/>
    </w:p>
    <w:p>
      <w:pPr>
        <w:pStyle w:val="2"/>
        <w:rPr>
          <w:rFonts w:hint="eastAsia" w:ascii="仿宋" w:hAnsi="仿宋" w:eastAsia="仿宋"/>
          <w:color w:val="auto"/>
          <w:sz w:val="32"/>
          <w:szCs w:val="32"/>
          <w:highlight w:val="none"/>
        </w:rPr>
      </w:pPr>
    </w:p>
    <w:p>
      <w:pPr>
        <w:pStyle w:val="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031105" cy="2405380"/>
            <wp:effectExtent l="4445" t="4445" r="1270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pPr>
        <w:spacing w:line="600" w:lineRule="exact"/>
        <w:ind w:firstLine="640" w:firstLineChars="200"/>
        <w:rPr>
          <w:rFonts w:ascii="仿宋_GB2312" w:eastAsia="仿宋_GB2312"/>
          <w:color w:val="auto"/>
          <w:sz w:val="32"/>
          <w:szCs w:val="32"/>
          <w:highlight w:val="none"/>
        </w:rPr>
      </w:pPr>
    </w:p>
    <w:p>
      <w:pPr>
        <w:pStyle w:val="34"/>
        <w:numPr>
          <w:ilvl w:val="0"/>
          <w:numId w:val="2"/>
        </w:numPr>
        <w:spacing w:line="600" w:lineRule="exact"/>
        <w:ind w:firstLineChars="0"/>
        <w:outlineLvl w:val="1"/>
        <w:rPr>
          <w:rStyle w:val="21"/>
          <w:rFonts w:ascii="黑体" w:hAnsi="黑体" w:eastAsia="黑体"/>
          <w:b w:val="0"/>
          <w:color w:val="auto"/>
          <w:highlight w:val="none"/>
        </w:rPr>
      </w:pPr>
      <w:bookmarkStart w:id="24" w:name="_Toc15377207"/>
      <w:bookmarkStart w:id="25" w:name="_Toc15396605"/>
      <w:bookmarkStart w:id="26" w:name="_Toc3820"/>
      <w:r>
        <w:rPr>
          <w:rFonts w:hint="eastAsia" w:ascii="黑体" w:hAnsi="黑体" w:eastAsia="黑体"/>
          <w:color w:val="auto"/>
          <w:sz w:val="32"/>
          <w:szCs w:val="32"/>
          <w:highlight w:val="none"/>
        </w:rPr>
        <w:t>支</w:t>
      </w:r>
      <w:r>
        <w:rPr>
          <w:rStyle w:val="21"/>
          <w:rFonts w:hint="eastAsia" w:ascii="黑体" w:hAnsi="黑体" w:eastAsia="黑体"/>
          <w:b w:val="0"/>
          <w:color w:val="auto"/>
          <w:highlight w:val="none"/>
        </w:rPr>
        <w:t>出决算情况说明</w:t>
      </w:r>
      <w:bookmarkEnd w:id="24"/>
      <w:bookmarkEnd w:id="25"/>
      <w:bookmarkEnd w:id="26"/>
    </w:p>
    <w:p>
      <w:pPr>
        <w:spacing w:line="600" w:lineRule="exact"/>
        <w:ind w:firstLine="640" w:firstLineChars="200"/>
        <w:outlineLvl w:val="1"/>
        <w:rPr>
          <w:rFonts w:ascii="仿宋" w:hAnsi="仿宋" w:eastAsia="仿宋"/>
          <w:color w:val="auto"/>
          <w:sz w:val="32"/>
          <w:szCs w:val="32"/>
          <w:highlight w:val="none"/>
        </w:rPr>
      </w:pPr>
      <w:bookmarkStart w:id="27" w:name="_Toc21603"/>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w:t>
      </w:r>
      <w:r>
        <w:rPr>
          <w:rFonts w:hint="eastAsia" w:ascii="仿宋" w:hAnsi="仿宋" w:eastAsia="仿宋"/>
          <w:color w:val="auto"/>
          <w:sz w:val="32"/>
          <w:szCs w:val="32"/>
          <w:highlight w:val="none"/>
          <w:lang w:val="en-US" w:eastAsia="zh-CN"/>
        </w:rPr>
        <w:t>109.25</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89.13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81.6</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20.12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18.4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27"/>
    </w:p>
    <w:p>
      <w:pPr>
        <w:spacing w:line="600" w:lineRule="exact"/>
        <w:ind w:firstLine="640"/>
        <w:rPr>
          <w:rFonts w:ascii="仿宋" w:hAnsi="仿宋" w:eastAsia="仿宋"/>
          <w:color w:val="auto"/>
          <w:sz w:val="32"/>
          <w:szCs w:val="32"/>
          <w:highlight w:val="none"/>
          <w:shd w:val="pct10" w:color="auto" w:fill="FFFFFF"/>
        </w:rPr>
      </w:pPr>
    </w:p>
    <w:p>
      <w:pPr>
        <w:pStyle w:val="2"/>
        <w:rPr>
          <w:rFonts w:ascii="仿宋" w:hAnsi="仿宋" w:eastAsia="仿宋"/>
          <w:color w:val="auto"/>
          <w:sz w:val="32"/>
          <w:szCs w:val="32"/>
          <w:highlight w:val="none"/>
          <w:shd w:val="pct10" w:color="auto" w:fill="FFFFFF"/>
        </w:rPr>
      </w:pPr>
      <w:r>
        <w:drawing>
          <wp:inline distT="0" distB="0" distL="114300" distR="114300">
            <wp:extent cx="4823460" cy="2743200"/>
            <wp:effectExtent l="4445" t="4445" r="10795" b="14605"/>
            <wp:docPr id="12"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2"/>
        <w:rPr>
          <w:rFonts w:ascii="仿宋" w:hAnsi="仿宋" w:eastAsia="仿宋"/>
          <w:color w:val="auto"/>
          <w:sz w:val="32"/>
          <w:szCs w:val="32"/>
          <w:highlight w:val="none"/>
          <w:shd w:val="pct10" w:color="auto" w:fill="FFFFFF"/>
        </w:rPr>
      </w:pPr>
    </w:p>
    <w:p>
      <w:pPr>
        <w:spacing w:line="600" w:lineRule="exact"/>
        <w:ind w:firstLine="1600" w:firstLineChars="500"/>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pPr>
        <w:spacing w:line="600" w:lineRule="exact"/>
        <w:ind w:firstLine="640" w:firstLineChars="200"/>
        <w:rPr>
          <w:rFonts w:ascii="仿宋_GB2312" w:eastAsia="仿宋_GB2312"/>
          <w:color w:val="auto"/>
          <w:sz w:val="32"/>
          <w:szCs w:val="32"/>
          <w:highlight w:val="none"/>
        </w:rPr>
      </w:pPr>
    </w:p>
    <w:p>
      <w:pPr>
        <w:spacing w:line="600" w:lineRule="exact"/>
        <w:ind w:firstLine="640" w:firstLineChars="200"/>
        <w:outlineLvl w:val="1"/>
        <w:rPr>
          <w:rStyle w:val="21"/>
          <w:rFonts w:ascii="黑体" w:hAnsi="黑体" w:eastAsia="黑体"/>
          <w:b w:val="0"/>
          <w:color w:val="auto"/>
          <w:highlight w:val="none"/>
        </w:rPr>
      </w:pPr>
      <w:bookmarkStart w:id="28" w:name="_Toc15396606"/>
      <w:bookmarkStart w:id="29" w:name="_Toc15377208"/>
      <w:bookmarkStart w:id="30" w:name="_Toc3845"/>
      <w:r>
        <w:rPr>
          <w:rFonts w:hint="eastAsia" w:ascii="黑体" w:hAnsi="黑体" w:eastAsia="黑体"/>
          <w:color w:val="auto"/>
          <w:sz w:val="32"/>
          <w:szCs w:val="32"/>
          <w:highlight w:val="none"/>
        </w:rPr>
        <w:t>四、财</w:t>
      </w:r>
      <w:r>
        <w:rPr>
          <w:rStyle w:val="21"/>
          <w:rFonts w:hint="eastAsia" w:ascii="黑体" w:hAnsi="黑体" w:eastAsia="黑体"/>
          <w:b w:val="0"/>
          <w:color w:val="auto"/>
          <w:highlight w:val="none"/>
        </w:rPr>
        <w:t>政拨款收入支出决算总体情况说明</w:t>
      </w:r>
      <w:bookmarkEnd w:id="28"/>
      <w:bookmarkEnd w:id="29"/>
      <w:bookmarkEnd w:id="30"/>
    </w:p>
    <w:p>
      <w:pPr>
        <w:spacing w:line="600" w:lineRule="exact"/>
        <w:ind w:firstLine="64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val="en-US" w:eastAsia="zh-CN"/>
        </w:rPr>
        <w:t>109.25</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年相比，财政拨款收、支总计各</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0.12</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0.1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人员正常工资变动。</w:t>
      </w:r>
    </w:p>
    <w:p>
      <w:pPr>
        <w:spacing w:line="600" w:lineRule="exact"/>
        <w:rPr>
          <w:rFonts w:ascii="仿宋" w:hAnsi="仿宋" w:eastAsia="仿宋"/>
          <w:color w:val="auto"/>
          <w:sz w:val="32"/>
          <w:szCs w:val="32"/>
          <w:highlight w:val="none"/>
        </w:rPr>
      </w:pPr>
    </w:p>
    <w:p>
      <w:pPr>
        <w:pStyle w:val="2"/>
        <w:rPr>
          <w:rFonts w:ascii="仿宋" w:hAnsi="仿宋" w:eastAsia="仿宋"/>
          <w:color w:val="auto"/>
          <w:sz w:val="32"/>
          <w:szCs w:val="32"/>
          <w:highlight w:val="none"/>
        </w:rPr>
      </w:pPr>
      <w:r>
        <w:drawing>
          <wp:inline distT="0" distB="0" distL="114300" distR="114300">
            <wp:extent cx="5273040" cy="2416810"/>
            <wp:effectExtent l="4445" t="4445" r="18415" b="17145"/>
            <wp:docPr id="13"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pPr>
        <w:spacing w:line="600" w:lineRule="exact"/>
        <w:ind w:firstLine="640"/>
        <w:rPr>
          <w:rFonts w:ascii="仿宋" w:hAnsi="仿宋" w:eastAsia="仿宋"/>
          <w:b/>
          <w:color w:val="auto"/>
          <w:sz w:val="32"/>
          <w:szCs w:val="32"/>
          <w:highlight w:val="none"/>
        </w:rPr>
      </w:pPr>
    </w:p>
    <w:p>
      <w:pPr>
        <w:spacing w:line="600" w:lineRule="exact"/>
        <w:ind w:firstLine="640" w:firstLineChars="200"/>
        <w:outlineLvl w:val="1"/>
        <w:rPr>
          <w:rStyle w:val="21"/>
          <w:rFonts w:ascii="黑体" w:hAnsi="黑体" w:eastAsia="黑体"/>
          <w:b w:val="0"/>
          <w:color w:val="auto"/>
          <w:highlight w:val="none"/>
        </w:rPr>
      </w:pPr>
      <w:bookmarkStart w:id="31" w:name="_Toc15377209"/>
      <w:bookmarkStart w:id="32" w:name="_Toc15396607"/>
      <w:bookmarkStart w:id="33" w:name="_Toc26045"/>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般公共预算财政拨款支出决算情况说明</w:t>
      </w:r>
      <w:bookmarkEnd w:id="31"/>
      <w:bookmarkEnd w:id="32"/>
      <w:bookmarkEnd w:id="33"/>
    </w:p>
    <w:p>
      <w:pPr>
        <w:spacing w:line="600" w:lineRule="exact"/>
        <w:ind w:firstLine="642" w:firstLineChars="200"/>
        <w:outlineLvl w:val="2"/>
        <w:rPr>
          <w:rFonts w:ascii="仿宋" w:hAnsi="仿宋" w:eastAsia="仿宋"/>
          <w:b/>
          <w:color w:val="auto"/>
          <w:sz w:val="32"/>
          <w:szCs w:val="32"/>
          <w:highlight w:val="none"/>
        </w:rPr>
      </w:pPr>
      <w:bookmarkStart w:id="34" w:name="_Toc15377210"/>
      <w:r>
        <w:rPr>
          <w:rFonts w:hint="eastAsia" w:ascii="仿宋" w:hAnsi="仿宋" w:eastAsia="仿宋"/>
          <w:b/>
          <w:color w:val="auto"/>
          <w:sz w:val="32"/>
          <w:szCs w:val="32"/>
          <w:highlight w:val="none"/>
        </w:rPr>
        <w:t>（一）一般公共预算财政拨款支出决算总体情况</w:t>
      </w:r>
      <w:bookmarkEnd w:id="34"/>
    </w:p>
    <w:p>
      <w:pPr>
        <w:spacing w:line="600" w:lineRule="exact"/>
        <w:ind w:firstLine="640" w:firstLineChars="20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109.25</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支出减少</w:t>
      </w:r>
      <w:r>
        <w:rPr>
          <w:rFonts w:hint="eastAsia" w:ascii="仿宋" w:hAnsi="仿宋" w:eastAsia="仿宋"/>
          <w:color w:val="auto"/>
          <w:sz w:val="32"/>
          <w:szCs w:val="32"/>
          <w:highlight w:val="none"/>
          <w:lang w:val="en-US" w:eastAsia="zh-CN"/>
        </w:rPr>
        <w:t>0.12</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0.1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。主要变动原因是正常人员</w:t>
      </w:r>
      <w:r>
        <w:rPr>
          <w:rFonts w:hint="eastAsia" w:ascii="仿宋" w:hAnsi="仿宋" w:eastAsia="仿宋"/>
          <w:color w:val="auto"/>
          <w:sz w:val="32"/>
          <w:szCs w:val="32"/>
          <w:highlight w:val="none"/>
          <w:lang w:eastAsia="zh-CN"/>
        </w:rPr>
        <w:t>工作变动</w:t>
      </w:r>
      <w:r>
        <w:rPr>
          <w:rFonts w:hint="eastAsia" w:ascii="仿宋" w:hAnsi="仿宋" w:eastAsia="仿宋"/>
          <w:color w:val="auto"/>
          <w:sz w:val="32"/>
          <w:szCs w:val="32"/>
          <w:highlight w:val="none"/>
        </w:rPr>
        <w:t>。</w:t>
      </w:r>
    </w:p>
    <w:p>
      <w:pPr>
        <w:pStyle w:val="2"/>
        <w:jc w:val="center"/>
        <w:rPr>
          <w:rFonts w:hint="eastAsia" w:ascii="仿宋" w:hAnsi="仿宋" w:eastAsia="仿宋"/>
          <w:color w:val="auto"/>
          <w:sz w:val="32"/>
          <w:szCs w:val="32"/>
          <w:highlight w:val="none"/>
        </w:rPr>
      </w:pPr>
      <w:r>
        <w:drawing>
          <wp:inline distT="0" distB="0" distL="114300" distR="114300">
            <wp:extent cx="4826000" cy="2743200"/>
            <wp:effectExtent l="4445" t="4445" r="8255" b="14605"/>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pPr>
        <w:spacing w:line="600" w:lineRule="exact"/>
        <w:ind w:firstLine="642" w:firstLineChars="200"/>
        <w:outlineLvl w:val="2"/>
        <w:rPr>
          <w:rFonts w:ascii="仿宋" w:hAnsi="仿宋" w:eastAsia="仿宋"/>
          <w:b/>
          <w:color w:val="auto"/>
          <w:sz w:val="32"/>
          <w:szCs w:val="32"/>
          <w:highlight w:val="none"/>
        </w:rPr>
      </w:pPr>
      <w:bookmarkStart w:id="35" w:name="_Toc15377211"/>
      <w:r>
        <w:rPr>
          <w:rFonts w:hint="eastAsia" w:ascii="仿宋" w:hAnsi="仿宋" w:eastAsia="仿宋"/>
          <w:b/>
          <w:color w:val="auto"/>
          <w:sz w:val="32"/>
          <w:szCs w:val="32"/>
          <w:highlight w:val="none"/>
        </w:rPr>
        <w:t>（二）一般公共预算财政拨款支出决算结构情况</w:t>
      </w:r>
      <w:bookmarkEnd w:id="35"/>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109.25</w:t>
      </w:r>
      <w:r>
        <w:rPr>
          <w:rFonts w:hint="eastAsia" w:ascii="仿宋" w:hAnsi="仿宋" w:eastAsia="仿宋"/>
          <w:color w:val="auto"/>
          <w:sz w:val="32"/>
          <w:szCs w:val="32"/>
          <w:highlight w:val="none"/>
        </w:rPr>
        <w:t>万元，主要用于以下方面</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92.35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84.5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7.89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2.46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6.55</w:t>
      </w:r>
      <w:r>
        <w:rPr>
          <w:rFonts w:hint="eastAsia" w:ascii="仿宋" w:hAnsi="仿宋" w:eastAsia="仿宋"/>
          <w:color w:val="auto"/>
          <w:sz w:val="32"/>
          <w:szCs w:val="32"/>
          <w:highlight w:val="none"/>
        </w:rPr>
        <w:t>元，占</w:t>
      </w:r>
      <w:r>
        <w:rPr>
          <w:rFonts w:hint="eastAsia" w:ascii="仿宋" w:hAnsi="仿宋" w:eastAsia="仿宋"/>
          <w:color w:val="auto"/>
          <w:sz w:val="32"/>
          <w:szCs w:val="32"/>
          <w:highlight w:val="none"/>
          <w:lang w:val="en-US" w:eastAsia="zh-CN"/>
        </w:rPr>
        <w:t>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rPr>
          <w:rFonts w:ascii="仿宋" w:hAnsi="仿宋" w:eastAsia="仿宋"/>
          <w:color w:val="auto"/>
          <w:sz w:val="32"/>
          <w:szCs w:val="32"/>
          <w:highlight w:val="none"/>
        </w:rPr>
      </w:pPr>
    </w:p>
    <w:p>
      <w:pPr>
        <w:pStyle w:val="2"/>
        <w:rPr>
          <w:rFonts w:ascii="仿宋" w:hAnsi="仿宋" w:eastAsia="仿宋"/>
          <w:color w:val="auto"/>
          <w:sz w:val="32"/>
          <w:szCs w:val="32"/>
          <w:highlight w:val="none"/>
        </w:rPr>
      </w:pPr>
      <w:r>
        <w:drawing>
          <wp:inline distT="0" distB="0" distL="114300" distR="114300">
            <wp:extent cx="4823460" cy="2743200"/>
            <wp:effectExtent l="4445" t="4445" r="10795" b="14605"/>
            <wp:docPr id="14"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rPr>
          <w:rFonts w:hint="eastAsia" w:ascii="仿宋" w:hAnsi="仿宋" w:eastAsia="仿宋"/>
          <w:color w:val="auto"/>
          <w:sz w:val="32"/>
          <w:szCs w:val="32"/>
          <w:highlight w:val="none"/>
        </w:rPr>
      </w:pP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spacing w:line="600" w:lineRule="exact"/>
        <w:ind w:firstLine="640" w:firstLineChars="200"/>
        <w:rPr>
          <w:rFonts w:ascii="仿宋" w:hAnsi="仿宋" w:eastAsia="仿宋"/>
          <w:color w:val="auto"/>
          <w:sz w:val="32"/>
          <w:szCs w:val="32"/>
          <w:highlight w:val="none"/>
        </w:rPr>
      </w:pPr>
    </w:p>
    <w:p>
      <w:pPr>
        <w:spacing w:line="600" w:lineRule="exact"/>
        <w:ind w:firstLine="642" w:firstLineChars="200"/>
        <w:outlineLvl w:val="2"/>
        <w:rPr>
          <w:rFonts w:ascii="仿宋" w:hAnsi="仿宋" w:eastAsia="仿宋"/>
          <w:b/>
          <w:color w:val="auto"/>
          <w:sz w:val="32"/>
          <w:szCs w:val="32"/>
          <w:highlight w:val="none"/>
        </w:rPr>
      </w:pPr>
      <w:bookmarkStart w:id="36" w:name="_Toc15377212"/>
      <w:r>
        <w:rPr>
          <w:rFonts w:hint="eastAsia" w:ascii="仿宋" w:hAnsi="仿宋" w:eastAsia="仿宋"/>
          <w:b/>
          <w:color w:val="auto"/>
          <w:sz w:val="32"/>
          <w:szCs w:val="32"/>
          <w:highlight w:val="none"/>
        </w:rPr>
        <w:t>（三）一般公共预算财政拨款支出决算具体情况</w:t>
      </w:r>
      <w:bookmarkEnd w:id="36"/>
    </w:p>
    <w:p>
      <w:pPr>
        <w:spacing w:line="600" w:lineRule="exact"/>
        <w:ind w:firstLine="642" w:firstLineChars="200"/>
        <w:outlineLvl w:val="1"/>
        <w:rPr>
          <w:rFonts w:ascii="仿宋" w:hAnsi="仿宋" w:eastAsia="仿宋"/>
          <w:color w:val="auto"/>
          <w:sz w:val="32"/>
          <w:szCs w:val="32"/>
          <w:highlight w:val="none"/>
        </w:rPr>
      </w:pPr>
      <w:bookmarkStart w:id="37" w:name="_Toc5804"/>
      <w:bookmarkStart w:id="38" w:name="_Toc15378460"/>
      <w:bookmarkStart w:id="39" w:name="_Toc15377213"/>
      <w:bookmarkStart w:id="40" w:name="_Toc15377444"/>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24</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109.25</w:t>
      </w:r>
      <w:r>
        <w:rPr>
          <w:rFonts w:hint="eastAsia" w:ascii="仿宋" w:hAnsi="仿宋" w:eastAsia="仿宋"/>
          <w:color w:val="auto"/>
          <w:sz w:val="32"/>
          <w:szCs w:val="32"/>
          <w:highlight w:val="none"/>
        </w:rPr>
        <w:t>，</w:t>
      </w:r>
      <w:r>
        <w:rPr>
          <w:rStyle w:val="18"/>
          <w:rFonts w:hint="eastAsia" w:ascii="仿宋" w:hAnsi="仿宋" w:eastAsia="仿宋"/>
          <w:bCs/>
          <w:color w:val="auto"/>
          <w:sz w:val="32"/>
          <w:szCs w:val="32"/>
          <w:highlight w:val="none"/>
        </w:rPr>
        <w:t>完成预算</w:t>
      </w:r>
      <w:r>
        <w:rPr>
          <w:rStyle w:val="18"/>
          <w:rFonts w:hint="eastAsia" w:ascii="仿宋" w:hAnsi="仿宋" w:eastAsia="仿宋"/>
          <w:bCs/>
          <w:color w:val="auto"/>
          <w:sz w:val="32"/>
          <w:szCs w:val="32"/>
          <w:highlight w:val="none"/>
          <w:lang w:val="en-US" w:eastAsia="zh-CN"/>
        </w:rPr>
        <w:t>100</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。其中：</w:t>
      </w:r>
      <w:bookmarkEnd w:id="37"/>
      <w:bookmarkEnd w:id="38"/>
      <w:bookmarkEnd w:id="39"/>
      <w:bookmarkEnd w:id="40"/>
    </w:p>
    <w:p>
      <w:pPr>
        <w:numPr>
          <w:ilvl w:val="0"/>
          <w:numId w:val="3"/>
        </w:numPr>
        <w:spacing w:line="600" w:lineRule="exact"/>
        <w:ind w:left="0" w:leftChars="0" w:firstLine="642" w:firstLineChars="200"/>
        <w:rPr>
          <w:rFonts w:hint="eastAsia" w:ascii="仿宋" w:hAnsi="仿宋" w:eastAsia="仿宋"/>
          <w:b/>
          <w:color w:val="auto"/>
          <w:sz w:val="32"/>
          <w:szCs w:val="32"/>
          <w:highlight w:val="none"/>
          <w:lang w:val="en-US" w:eastAsia="zh-CN"/>
        </w:rPr>
      </w:pPr>
      <w:r>
        <w:rPr>
          <w:rStyle w:val="18"/>
          <w:rFonts w:hint="eastAsia" w:ascii="仿宋" w:hAnsi="仿宋" w:eastAsia="仿宋"/>
          <w:bCs/>
          <w:color w:val="auto"/>
          <w:sz w:val="32"/>
          <w:szCs w:val="32"/>
          <w:highlight w:val="none"/>
        </w:rPr>
        <w:t>一般公共服务（类）民主党派及工商联事务（款）  行政运行（项）</w:t>
      </w:r>
      <w:r>
        <w:rPr>
          <w:rStyle w:val="18"/>
          <w:rFonts w:hint="eastAsia" w:ascii="仿宋" w:hAnsi="仿宋" w:eastAsia="仿宋"/>
          <w:bCs/>
          <w:color w:val="auto"/>
          <w:sz w:val="32"/>
          <w:szCs w:val="32"/>
          <w:highlight w:val="none"/>
          <w:lang w:eastAsia="zh-CN"/>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73.23</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numPr>
          <w:ilvl w:val="0"/>
          <w:numId w:val="3"/>
        </w:numPr>
        <w:spacing w:line="600" w:lineRule="exact"/>
        <w:ind w:left="0" w:leftChars="0" w:firstLine="642" w:firstLineChars="200"/>
        <w:rPr>
          <w:rStyle w:val="18"/>
          <w:rFonts w:ascii="仿宋" w:hAnsi="仿宋" w:eastAsia="仿宋"/>
          <w:bCs/>
          <w:color w:val="auto"/>
          <w:sz w:val="32"/>
          <w:szCs w:val="32"/>
          <w:highlight w:val="none"/>
        </w:rPr>
      </w:pPr>
      <w:r>
        <w:rPr>
          <w:rStyle w:val="18"/>
          <w:rFonts w:hint="eastAsia" w:ascii="仿宋" w:hAnsi="仿宋" w:eastAsia="仿宋"/>
          <w:bCs/>
          <w:color w:val="auto"/>
          <w:sz w:val="32"/>
          <w:szCs w:val="32"/>
          <w:highlight w:val="none"/>
        </w:rPr>
        <w:t>一般公共服务（类）民主党派及工商联事务（款）    一般行政管理事务（项）</w:t>
      </w:r>
      <w:r>
        <w:rPr>
          <w:rStyle w:val="18"/>
          <w:rFonts w:hint="eastAsia" w:ascii="仿宋" w:hAnsi="仿宋" w:eastAsia="仿宋"/>
          <w:bCs/>
          <w:color w:val="auto"/>
          <w:sz w:val="32"/>
          <w:szCs w:val="32"/>
          <w:highlight w:val="none"/>
          <w:lang w:eastAsia="zh-CN"/>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20</w:t>
      </w:r>
      <w:r>
        <w:rPr>
          <w:rStyle w:val="18"/>
          <w:rFonts w:hint="eastAsia" w:ascii="仿宋" w:hAnsi="仿宋" w:eastAsia="仿宋"/>
          <w:b w:val="0"/>
          <w:bCs/>
          <w:color w:val="auto"/>
          <w:sz w:val="32"/>
          <w:szCs w:val="32"/>
          <w:highlight w:val="none"/>
        </w:rPr>
        <w:t>.1</w:t>
      </w:r>
      <w:r>
        <w:rPr>
          <w:rStyle w:val="18"/>
          <w:rFonts w:hint="eastAsia" w:ascii="仿宋" w:hAnsi="仿宋" w:eastAsia="仿宋"/>
          <w:b w:val="0"/>
          <w:bCs/>
          <w:color w:val="auto"/>
          <w:sz w:val="32"/>
          <w:szCs w:val="32"/>
          <w:highlight w:val="none"/>
          <w:lang w:val="en-US" w:eastAsia="zh-CN"/>
        </w:rPr>
        <w:t>2</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numPr>
          <w:ilvl w:val="0"/>
          <w:numId w:val="3"/>
        </w:numPr>
        <w:spacing w:line="600" w:lineRule="exact"/>
        <w:ind w:left="0" w:leftChars="0" w:firstLine="642" w:firstLineChars="200"/>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rPr>
        <w:t>社会保障和就业支出（类）行政事业单位养老支出（款）机关事业单位基本养老保险缴费支出（项）</w:t>
      </w:r>
      <w:r>
        <w:rPr>
          <w:rStyle w:val="18"/>
          <w:rFonts w:hint="eastAsia" w:ascii="仿宋" w:hAnsi="仿宋" w:eastAsia="仿宋"/>
          <w:bCs/>
          <w:color w:val="auto"/>
          <w:sz w:val="32"/>
          <w:szCs w:val="32"/>
          <w:highlight w:val="none"/>
          <w:lang w:eastAsia="zh-CN"/>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7.84</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numPr>
          <w:ilvl w:val="0"/>
          <w:numId w:val="3"/>
        </w:numPr>
        <w:spacing w:line="600" w:lineRule="exact"/>
        <w:ind w:left="0" w:leftChars="0" w:firstLine="642" w:firstLineChars="20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rPr>
        <w:t xml:space="preserve">社会保障和就业支出（类）其他社会保障和就业支出（款）其他社会保障和就业支出（项）：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0.05</w:t>
      </w:r>
      <w:r>
        <w:rPr>
          <w:rStyle w:val="18"/>
          <w:rFonts w:hint="eastAsia" w:ascii="仿宋" w:hAnsi="仿宋" w:eastAsia="仿宋"/>
          <w:b w:val="0"/>
          <w:bCs/>
          <w:color w:val="auto"/>
          <w:sz w:val="32"/>
          <w:szCs w:val="32"/>
          <w:highlight w:val="none"/>
        </w:rPr>
        <w:t>万元，完成预算100%。</w:t>
      </w:r>
    </w:p>
    <w:p>
      <w:pPr>
        <w:numPr>
          <w:ilvl w:val="0"/>
          <w:numId w:val="3"/>
        </w:numPr>
        <w:spacing w:line="600" w:lineRule="exact"/>
        <w:ind w:left="0" w:leftChars="0" w:firstLine="642" w:firstLineChars="20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rPr>
        <w:t>卫生健康支出（类）行政事业单位医疗（款）  行政单位医疗（项）</w:t>
      </w:r>
      <w:r>
        <w:rPr>
          <w:rStyle w:val="18"/>
          <w:rFonts w:hint="eastAsia" w:ascii="仿宋" w:hAnsi="仿宋" w:eastAsia="仿宋"/>
          <w:bCs/>
          <w:color w:val="auto"/>
          <w:sz w:val="32"/>
          <w:szCs w:val="32"/>
          <w:highlight w:val="none"/>
          <w:lang w:eastAsia="zh-CN"/>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2.46</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numPr>
          <w:ilvl w:val="0"/>
          <w:numId w:val="3"/>
        </w:numPr>
        <w:spacing w:line="600" w:lineRule="exact"/>
        <w:ind w:left="0" w:leftChars="0" w:firstLine="642" w:firstLineChars="200"/>
        <w:rPr>
          <w:rFonts w:ascii="仿宋" w:hAnsi="仿宋" w:eastAsia="仿宋"/>
          <w:b/>
          <w:color w:val="auto"/>
          <w:sz w:val="32"/>
          <w:szCs w:val="32"/>
          <w:highlight w:val="none"/>
        </w:rPr>
      </w:pPr>
      <w:r>
        <w:rPr>
          <w:rFonts w:hint="eastAsia" w:ascii="仿宋" w:hAnsi="仿宋" w:eastAsia="仿宋"/>
          <w:b/>
          <w:bCs/>
          <w:color w:val="auto"/>
          <w:sz w:val="32"/>
          <w:szCs w:val="32"/>
          <w:highlight w:val="none"/>
        </w:rPr>
        <w:t>住房保障支出</w:t>
      </w:r>
      <w:r>
        <w:rPr>
          <w:rStyle w:val="18"/>
          <w:rFonts w:hint="eastAsia" w:ascii="仿宋" w:hAnsi="仿宋" w:eastAsia="仿宋"/>
          <w:bCs/>
          <w:color w:val="auto"/>
          <w:sz w:val="32"/>
          <w:szCs w:val="32"/>
          <w:highlight w:val="none"/>
        </w:rPr>
        <w:t>（类）住房改革支出（款）  住房公积金（项）</w:t>
      </w:r>
      <w:r>
        <w:rPr>
          <w:rStyle w:val="18"/>
          <w:rFonts w:hint="eastAsia" w:ascii="仿宋" w:hAnsi="仿宋" w:eastAsia="仿宋"/>
          <w:bCs/>
          <w:color w:val="auto"/>
          <w:sz w:val="32"/>
          <w:szCs w:val="32"/>
          <w:highlight w:val="none"/>
          <w:lang w:eastAsia="zh-CN"/>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6.55</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tabs>
          <w:tab w:val="right" w:pos="8306"/>
        </w:tabs>
        <w:spacing w:line="600" w:lineRule="exact"/>
        <w:ind w:firstLine="640"/>
        <w:outlineLvl w:val="1"/>
        <w:rPr>
          <w:rStyle w:val="21"/>
          <w:color w:val="auto"/>
          <w:highlight w:val="none"/>
        </w:rPr>
      </w:pPr>
      <w:bookmarkStart w:id="41" w:name="_Toc18890"/>
      <w:bookmarkStart w:id="42" w:name="_Toc15396608"/>
      <w:bookmarkStart w:id="43"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般公共预算财政拨款基本支出决算情况说明</w:t>
      </w:r>
      <w:bookmarkEnd w:id="41"/>
      <w:bookmarkEnd w:id="42"/>
      <w:bookmarkEnd w:id="43"/>
      <w:r>
        <w:rPr>
          <w:rStyle w:val="21"/>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89.13</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78.36</w:t>
      </w:r>
      <w:r>
        <w:rPr>
          <w:rFonts w:hint="eastAsia" w:ascii="仿宋" w:hAnsi="仿宋" w:eastAsia="仿宋"/>
          <w:color w:val="auto"/>
          <w:sz w:val="32"/>
          <w:szCs w:val="32"/>
          <w:highlight w:val="none"/>
        </w:rPr>
        <w:t>万元，主要包括：基本工资、津贴补贴、奖金、机关事业单位基本养老保险缴费、职工基本医疗保险缴费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生活补助。</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10.77</w:t>
      </w:r>
      <w:r>
        <w:rPr>
          <w:rFonts w:hint="eastAsia" w:ascii="仿宋" w:hAnsi="仿宋" w:eastAsia="仿宋"/>
          <w:color w:val="auto"/>
          <w:sz w:val="32"/>
          <w:szCs w:val="32"/>
          <w:highlight w:val="none"/>
        </w:rPr>
        <w:t>万元，主要包括：办公费、印刷费、水费、电费、邮电费、物业管理费、差旅费、工会经费、福利费、其他交通费</w:t>
      </w:r>
      <w:r>
        <w:rPr>
          <w:rFonts w:hint="eastAsia" w:ascii="仿宋" w:hAnsi="仿宋" w:eastAsia="仿宋"/>
          <w:color w:val="auto"/>
          <w:sz w:val="32"/>
          <w:szCs w:val="32"/>
          <w:highlight w:val="none"/>
          <w:lang w:val="en-US" w:eastAsia="zh-CN"/>
        </w:rPr>
        <w:t>用、其他商品和服务支出</w:t>
      </w:r>
      <w:r>
        <w:rPr>
          <w:rFonts w:hint="eastAsia" w:ascii="仿宋" w:hAnsi="仿宋" w:eastAsia="仿宋"/>
          <w:color w:val="auto"/>
          <w:sz w:val="32"/>
          <w:szCs w:val="32"/>
          <w:highlight w:val="none"/>
        </w:rPr>
        <w:t>。</w:t>
      </w:r>
    </w:p>
    <w:p>
      <w:pPr>
        <w:spacing w:line="600" w:lineRule="exact"/>
        <w:ind w:firstLine="640"/>
        <w:outlineLvl w:val="1"/>
        <w:rPr>
          <w:rStyle w:val="21"/>
          <w:rFonts w:ascii="黑体" w:hAnsi="黑体" w:eastAsia="黑体"/>
          <w:b w:val="0"/>
          <w:color w:val="auto"/>
          <w:highlight w:val="none"/>
        </w:rPr>
      </w:pPr>
      <w:bookmarkStart w:id="44" w:name="_Toc28451"/>
      <w:bookmarkStart w:id="45" w:name="_Toc15377215"/>
      <w:bookmarkStart w:id="46" w:name="_Toc15396609"/>
      <w:r>
        <w:rPr>
          <w:rFonts w:hint="eastAsia" w:ascii="黑体" w:eastAsia="黑体"/>
          <w:color w:val="auto"/>
          <w:sz w:val="32"/>
          <w:szCs w:val="32"/>
          <w:highlight w:val="none"/>
        </w:rPr>
        <w:t>七、</w:t>
      </w:r>
      <w:r>
        <w:rPr>
          <w:rStyle w:val="21"/>
          <w:rFonts w:hint="eastAsia" w:ascii="黑体" w:hAnsi="黑体" w:eastAsia="黑体"/>
          <w:b w:val="0"/>
          <w:color w:val="auto"/>
          <w:highlight w:val="none"/>
        </w:rPr>
        <w:t>财政拨款</w:t>
      </w:r>
      <w:r>
        <w:rPr>
          <w:rStyle w:val="21"/>
          <w:rFonts w:hint="eastAsia" w:ascii="黑体" w:hAnsi="黑体" w:eastAsia="黑体"/>
          <w:color w:val="auto"/>
          <w:highlight w:val="none"/>
        </w:rPr>
        <w:t>“</w:t>
      </w:r>
      <w:r>
        <w:rPr>
          <w:rStyle w:val="21"/>
          <w:rFonts w:hint="eastAsia" w:ascii="黑体" w:hAnsi="黑体" w:eastAsia="黑体"/>
          <w:b w:val="0"/>
          <w:color w:val="auto"/>
          <w:highlight w:val="none"/>
        </w:rPr>
        <w:t>三公”经费支出决算情况说明</w:t>
      </w:r>
      <w:bookmarkEnd w:id="44"/>
      <w:bookmarkEnd w:id="45"/>
      <w:bookmarkEnd w:id="46"/>
    </w:p>
    <w:p>
      <w:pPr>
        <w:spacing w:line="600" w:lineRule="exact"/>
        <w:ind w:firstLine="640"/>
        <w:outlineLvl w:val="2"/>
        <w:rPr>
          <w:rFonts w:ascii="仿宋" w:hAnsi="仿宋" w:eastAsia="仿宋"/>
          <w:b/>
          <w:color w:val="auto"/>
          <w:sz w:val="32"/>
          <w:szCs w:val="32"/>
          <w:highlight w:val="none"/>
        </w:rPr>
      </w:pPr>
      <w:bookmarkStart w:id="47" w:name="_Toc15377216"/>
      <w:r>
        <w:rPr>
          <w:rFonts w:hint="eastAsia" w:ascii="仿宋" w:hAnsi="仿宋" w:eastAsia="仿宋"/>
          <w:b/>
          <w:color w:val="auto"/>
          <w:sz w:val="32"/>
          <w:szCs w:val="32"/>
          <w:highlight w:val="none"/>
        </w:rPr>
        <w:t>（一）“三公”经费财政拨款支出决算总体情况说明</w:t>
      </w:r>
      <w:bookmarkEnd w:id="47"/>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，较上年无变化，</w:t>
      </w:r>
      <w:r>
        <w:rPr>
          <w:rFonts w:hint="eastAsia" w:ascii="仿宋" w:hAnsi="仿宋" w:eastAsia="仿宋"/>
          <w:color w:val="auto"/>
          <w:sz w:val="32"/>
          <w:szCs w:val="32"/>
          <w:highlight w:val="none"/>
        </w:rPr>
        <w:t>决算数小于预算数的主要原因是厉行节约。</w:t>
      </w:r>
    </w:p>
    <w:p>
      <w:pPr>
        <w:spacing w:line="600" w:lineRule="exact"/>
        <w:ind w:firstLine="640"/>
        <w:outlineLvl w:val="2"/>
        <w:rPr>
          <w:rFonts w:ascii="仿宋" w:hAnsi="仿宋" w:eastAsia="仿宋"/>
          <w:b/>
          <w:color w:val="auto"/>
          <w:sz w:val="32"/>
          <w:szCs w:val="32"/>
          <w:highlight w:val="none"/>
        </w:rPr>
      </w:pPr>
      <w:bookmarkStart w:id="48" w:name="_Toc15377217"/>
      <w:r>
        <w:rPr>
          <w:rFonts w:hint="eastAsia" w:ascii="仿宋" w:hAnsi="仿宋" w:eastAsia="仿宋"/>
          <w:b/>
          <w:color w:val="auto"/>
          <w:sz w:val="32"/>
          <w:szCs w:val="32"/>
          <w:highlight w:val="none"/>
        </w:rPr>
        <w:t>（二）“三公”经费财政拨款支出决算具体情况说明</w:t>
      </w:r>
      <w:bookmarkEnd w:id="4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24</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5"/>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lang w:eastAsia="zh-CN"/>
        </w:rPr>
        <w:t>年初未安排预算，较上年无变化</w:t>
      </w:r>
      <w:r>
        <w:rPr>
          <w:rStyle w:val="18"/>
          <w:rFonts w:hint="eastAsia" w:ascii="仿宋" w:hAnsi="仿宋" w:eastAsia="仿宋"/>
          <w:b w:val="0"/>
          <w:bCs/>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Style w:val="18"/>
          <w:rFonts w:hint="eastAsia" w:ascii="仿宋" w:hAnsi="仿宋" w:eastAsia="仿宋"/>
          <w:b w:val="0"/>
          <w:bCs/>
          <w:color w:val="auto"/>
          <w:sz w:val="32"/>
          <w:szCs w:val="32"/>
          <w:highlight w:val="none"/>
          <w:lang w:eastAsia="zh-CN"/>
        </w:rPr>
        <w:t>年初未安排预算，较上年无变化</w:t>
      </w:r>
      <w:r>
        <w:rPr>
          <w:rStyle w:val="18"/>
          <w:rFonts w:hint="eastAsia" w:ascii="仿宋" w:hAnsi="仿宋" w:eastAsia="仿宋"/>
          <w:b w:val="0"/>
          <w:bCs/>
          <w:color w:val="auto"/>
          <w:sz w:val="32"/>
          <w:szCs w:val="32"/>
          <w:highlight w:val="none"/>
        </w:rPr>
        <w:t>。</w:t>
      </w:r>
    </w:p>
    <w:p>
      <w:pPr>
        <w:spacing w:line="600" w:lineRule="exact"/>
        <w:ind w:firstLine="640" w:firstLineChars="200"/>
        <w:rPr>
          <w:rFonts w:hint="eastAsia" w:ascii="仿宋_GB2312" w:eastAsia="仿宋_GB2312"/>
          <w:b/>
          <w:color w:val="auto"/>
          <w:sz w:val="32"/>
          <w:szCs w:val="32"/>
          <w:highlight w:val="none"/>
          <w:lang w:eastAsia="zh-CN"/>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lang w:eastAsia="zh-CN"/>
        </w:rPr>
        <w:t>年初未安排预算</w:t>
      </w:r>
      <w:r>
        <w:rPr>
          <w:rStyle w:val="18"/>
          <w:rFonts w:hint="eastAsia" w:ascii="仿宋" w:hAnsi="仿宋" w:eastAsia="仿宋"/>
          <w:b w:val="0"/>
          <w:bCs/>
          <w:color w:val="auto"/>
          <w:sz w:val="32"/>
          <w:szCs w:val="32"/>
          <w:highlight w:val="none"/>
        </w:rPr>
        <w:t>。</w:t>
      </w:r>
    </w:p>
    <w:p>
      <w:pPr>
        <w:spacing w:line="600" w:lineRule="exact"/>
        <w:ind w:firstLine="640"/>
        <w:rPr>
          <w:rFonts w:ascii="黑体" w:eastAsia="黑体"/>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_GB2312" w:hAnsi="仿宋_GB2312" w:eastAsia="仿宋_GB2312" w:cs="仿宋_GB2312"/>
          <w:b w:val="0"/>
          <w:bCs/>
          <w:color w:val="auto"/>
          <w:sz w:val="32"/>
          <w:szCs w:val="32"/>
          <w:highlight w:val="none"/>
        </w:rPr>
        <w:t>完成预算</w:t>
      </w:r>
      <w:r>
        <w:rPr>
          <w:rStyle w:val="18"/>
          <w:rFonts w:hint="eastAsia" w:ascii="仿宋_GB2312" w:hAnsi="仿宋_GB2312" w:eastAsia="仿宋_GB2312" w:cs="仿宋_GB2312"/>
          <w:b w:val="0"/>
          <w:bCs/>
          <w:color w:val="auto"/>
          <w:sz w:val="32"/>
          <w:szCs w:val="32"/>
          <w:highlight w:val="none"/>
          <w:lang w:val="en-US" w:eastAsia="zh-CN"/>
        </w:rPr>
        <w:t>0</w:t>
      </w:r>
      <w:r>
        <w:rPr>
          <w:rStyle w:val="18"/>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eastAsia="zh-CN"/>
        </w:rPr>
        <w:t>于202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度相比无变化</w:t>
      </w:r>
      <w:r>
        <w:rPr>
          <w:rFonts w:hint="eastAsia" w:ascii="仿宋_GB2312" w:hAnsi="仿宋_GB2312" w:eastAsia="仿宋_GB2312" w:cs="仿宋_GB2312"/>
          <w:color w:val="auto"/>
          <w:sz w:val="32"/>
          <w:szCs w:val="32"/>
          <w:highlight w:val="none"/>
        </w:rPr>
        <w:t>。主要原因是</w:t>
      </w:r>
      <w:r>
        <w:rPr>
          <w:rFonts w:hint="eastAsia" w:ascii="仿宋_GB2312" w:hAnsi="仿宋_GB2312" w:eastAsia="仿宋_GB2312" w:cs="仿宋_GB2312"/>
          <w:color w:val="auto"/>
          <w:sz w:val="32"/>
          <w:szCs w:val="32"/>
          <w:highlight w:val="none"/>
          <w:lang w:eastAsia="zh-CN"/>
        </w:rPr>
        <w:t>厉行节约</w:t>
      </w:r>
      <w:r>
        <w:rPr>
          <w:rFonts w:hint="eastAsia" w:ascii="仿宋_GB2312" w:eastAsia="仿宋_GB2312"/>
          <w:color w:val="auto"/>
          <w:sz w:val="32"/>
          <w:szCs w:val="32"/>
          <w:highlight w:val="none"/>
        </w:rPr>
        <w:t>。</w:t>
      </w:r>
      <w:bookmarkStart w:id="49" w:name="_Toc15377218"/>
      <w:bookmarkStart w:id="50" w:name="_Toc15396610"/>
    </w:p>
    <w:p>
      <w:pPr>
        <w:spacing w:line="600" w:lineRule="exact"/>
        <w:ind w:firstLine="640"/>
        <w:outlineLvl w:val="1"/>
        <w:rPr>
          <w:rStyle w:val="21"/>
          <w:rFonts w:ascii="黑体" w:hAnsi="黑体" w:eastAsia="黑体"/>
          <w:color w:val="auto"/>
          <w:highlight w:val="none"/>
        </w:rPr>
      </w:pPr>
      <w:bookmarkStart w:id="51" w:name="_Toc20909"/>
      <w:r>
        <w:rPr>
          <w:rFonts w:hint="eastAsia" w:ascii="黑体" w:eastAsia="黑体"/>
          <w:color w:val="auto"/>
          <w:sz w:val="32"/>
          <w:szCs w:val="32"/>
          <w:highlight w:val="none"/>
        </w:rPr>
        <w:t>八、</w:t>
      </w:r>
      <w:r>
        <w:rPr>
          <w:rStyle w:val="21"/>
          <w:rFonts w:hint="eastAsia" w:ascii="黑体" w:hAnsi="黑体" w:eastAsia="黑体"/>
          <w:b w:val="0"/>
          <w:color w:val="auto"/>
          <w:highlight w:val="none"/>
        </w:rPr>
        <w:t>政府性基金预算支出决算情况说明</w:t>
      </w:r>
      <w:bookmarkEnd w:id="49"/>
      <w:bookmarkEnd w:id="50"/>
      <w:bookmarkEnd w:id="51"/>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4"/>
        </w:numPr>
        <w:spacing w:line="600" w:lineRule="exact"/>
        <w:ind w:firstLine="640"/>
        <w:outlineLvl w:val="1"/>
        <w:rPr>
          <w:rStyle w:val="21"/>
          <w:rFonts w:ascii="黑体" w:hAnsi="黑体" w:eastAsia="黑体"/>
          <w:b w:val="0"/>
          <w:color w:val="auto"/>
          <w:highlight w:val="none"/>
        </w:rPr>
      </w:pPr>
      <w:bookmarkStart w:id="52" w:name="_Toc15377219"/>
      <w:bookmarkStart w:id="53" w:name="_Toc17986"/>
      <w:bookmarkStart w:id="54" w:name="_Toc15396611"/>
      <w:r>
        <w:rPr>
          <w:rStyle w:val="21"/>
          <w:rFonts w:hint="eastAsia" w:ascii="黑体" w:hAnsi="黑体" w:eastAsia="黑体"/>
          <w:b w:val="0"/>
          <w:color w:val="auto"/>
          <w:highlight w:val="none"/>
        </w:rPr>
        <w:t>国有资本经营预算支出决算情况说明</w:t>
      </w:r>
      <w:bookmarkEnd w:id="52"/>
      <w:bookmarkEnd w:id="53"/>
      <w:bookmarkEnd w:id="54"/>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4"/>
        </w:numPr>
        <w:spacing w:line="600" w:lineRule="exact"/>
        <w:ind w:firstLine="640"/>
        <w:outlineLvl w:val="1"/>
        <w:rPr>
          <w:rStyle w:val="21"/>
          <w:rFonts w:hint="eastAsia" w:ascii="黑体" w:hAnsi="黑体" w:eastAsia="黑体"/>
          <w:b w:val="0"/>
          <w:color w:val="auto"/>
          <w:highlight w:val="none"/>
        </w:rPr>
      </w:pPr>
      <w:bookmarkStart w:id="55" w:name="_Toc15396612"/>
      <w:bookmarkStart w:id="56" w:name="_Toc6168"/>
      <w:bookmarkStart w:id="57" w:name="_Toc15377221"/>
      <w:r>
        <w:rPr>
          <w:rStyle w:val="21"/>
          <w:rFonts w:hint="eastAsia" w:ascii="黑体" w:hAnsi="黑体" w:eastAsia="黑体"/>
          <w:b w:val="0"/>
          <w:color w:val="auto"/>
          <w:highlight w:val="none"/>
        </w:rPr>
        <w:t>其他重要事项的情况说明</w:t>
      </w:r>
      <w:bookmarkEnd w:id="55"/>
      <w:bookmarkEnd w:id="56"/>
      <w:bookmarkEnd w:id="57"/>
    </w:p>
    <w:p>
      <w:pPr>
        <w:spacing w:line="600" w:lineRule="exact"/>
        <w:ind w:firstLine="642" w:firstLineChars="200"/>
        <w:outlineLvl w:val="2"/>
        <w:rPr>
          <w:rFonts w:ascii="仿宋" w:hAnsi="仿宋" w:eastAsia="仿宋"/>
          <w:color w:val="auto"/>
          <w:sz w:val="32"/>
          <w:szCs w:val="32"/>
          <w:highlight w:val="none"/>
        </w:rPr>
      </w:pPr>
      <w:bookmarkStart w:id="58" w:name="_Toc15377222"/>
      <w:r>
        <w:rPr>
          <w:rFonts w:hint="eastAsia" w:ascii="仿宋" w:hAnsi="仿宋" w:eastAsia="仿宋"/>
          <w:b/>
          <w:color w:val="auto"/>
          <w:sz w:val="32"/>
          <w:szCs w:val="32"/>
          <w:highlight w:val="none"/>
        </w:rPr>
        <w:t>（一）机关运行经费支出情况</w:t>
      </w:r>
      <w:bookmarkEnd w:id="58"/>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年，机关运行经费支出</w:t>
      </w:r>
      <w:r>
        <w:rPr>
          <w:rFonts w:hint="eastAsia" w:ascii="仿宋_GB2312" w:eastAsia="仿宋_GB2312"/>
          <w:color w:val="auto"/>
          <w:sz w:val="32"/>
          <w:szCs w:val="32"/>
          <w:highlight w:val="none"/>
          <w:lang w:val="en-US" w:eastAsia="zh-CN"/>
        </w:rPr>
        <w:t>10.77</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减少</w:t>
      </w:r>
      <w:r>
        <w:rPr>
          <w:rFonts w:hint="eastAsia" w:ascii="仿宋_GB2312" w:eastAsia="仿宋_GB2312"/>
          <w:color w:val="auto"/>
          <w:sz w:val="32"/>
          <w:szCs w:val="32"/>
          <w:highlight w:val="none"/>
          <w:lang w:val="en-US" w:eastAsia="zh-CN"/>
        </w:rPr>
        <w:t>2.61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减少</w:t>
      </w:r>
      <w:r>
        <w:rPr>
          <w:rFonts w:hint="eastAsia" w:ascii="仿宋_GB2312" w:eastAsia="仿宋_GB2312"/>
          <w:color w:val="auto"/>
          <w:sz w:val="32"/>
          <w:szCs w:val="32"/>
          <w:highlight w:val="none"/>
          <w:lang w:val="en-US" w:eastAsia="zh-CN"/>
        </w:rPr>
        <w:t>18.9</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人员变化。</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59" w:name="_Toc15377223"/>
      <w:r>
        <w:rPr>
          <w:rFonts w:hint="eastAsia" w:ascii="仿宋" w:hAnsi="仿宋" w:eastAsia="仿宋"/>
          <w:b/>
          <w:color w:val="auto"/>
          <w:sz w:val="32"/>
          <w:szCs w:val="32"/>
          <w:highlight w:val="none"/>
        </w:rPr>
        <w:t>（二）政府采购支出情况</w:t>
      </w:r>
      <w:bookmarkEnd w:id="59"/>
    </w:p>
    <w:p>
      <w:pPr>
        <w:spacing w:line="600" w:lineRule="exact"/>
        <w:ind w:firstLine="640" w:firstLineChars="200"/>
        <w:rPr>
          <w:rFonts w:hint="eastAsia"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0" w:name="_Toc15377224"/>
      <w:r>
        <w:rPr>
          <w:rFonts w:hint="eastAsia" w:ascii="仿宋" w:hAnsi="仿宋" w:eastAsia="仿宋"/>
          <w:b/>
          <w:color w:val="auto"/>
          <w:sz w:val="32"/>
          <w:szCs w:val="32"/>
          <w:highlight w:val="none"/>
        </w:rPr>
        <w:t>（三）国有资产占有使用情况</w:t>
      </w:r>
      <w:bookmarkEnd w:id="60"/>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（四）预算绩效管理情况</w:t>
      </w:r>
    </w:p>
    <w:p>
      <w:pPr>
        <w:widowControl/>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根据预算绩效管理要求，本部门在202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年度预算编制阶段，组织对</w:t>
      </w:r>
      <w:r>
        <w:rPr>
          <w:rFonts w:hint="eastAsia" w:ascii="仿宋_GB2312" w:hAnsi="仿宋_GB2312" w:eastAsia="仿宋_GB2312" w:cs="仿宋_GB2312"/>
          <w:color w:val="auto"/>
          <w:sz w:val="32"/>
          <w:szCs w:val="32"/>
          <w:highlight w:val="none"/>
          <w:lang w:val="en-US" w:eastAsia="zh-CN"/>
        </w:rPr>
        <w:t>民主党派工作经费</w:t>
      </w:r>
      <w:r>
        <w:rPr>
          <w:rFonts w:hint="eastAsia" w:ascii="仿宋_GB2312" w:hAnsi="仿宋_GB2312" w:eastAsia="仿宋_GB2312" w:cs="仿宋_GB2312"/>
          <w:color w:val="auto"/>
          <w:sz w:val="32"/>
          <w:szCs w:val="32"/>
          <w:highlight w:val="none"/>
        </w:rPr>
        <w:t>项目（项目名称）等</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个项目开展了预算事前绩效评估，对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w:t>
      </w:r>
      <w:bookmarkStart w:id="97" w:name="_GoBack"/>
      <w:bookmarkEnd w:id="97"/>
      <w:r>
        <w:rPr>
          <w:rFonts w:hint="eastAsia" w:ascii="仿宋_GB2312" w:hAnsi="仿宋_GB2312" w:eastAsia="仿宋_GB2312" w:cs="仿宋_GB2312"/>
          <w:color w:val="auto"/>
          <w:sz w:val="32"/>
          <w:szCs w:val="32"/>
          <w:highlight w:val="none"/>
        </w:rPr>
        <w:t>绩效监控。</w:t>
      </w:r>
    </w:p>
    <w:p>
      <w:pPr>
        <w:widowControl/>
        <w:ind w:firstLine="640" w:firstLineChars="200"/>
        <w:jc w:val="left"/>
        <w:rPr>
          <w:rFonts w:ascii="仿宋_GB2312" w:eastAsia="仿宋_GB2312"/>
          <w:b/>
          <w:color w:val="auto"/>
          <w:sz w:val="32"/>
          <w:szCs w:val="32"/>
          <w:highlight w:val="yellow"/>
        </w:rPr>
      </w:pPr>
      <w:r>
        <w:rPr>
          <w:rFonts w:hint="eastAsia" w:ascii="仿宋_GB2312" w:hAnsi="仿宋_GB2312" w:eastAsia="仿宋_GB2312" w:cs="仿宋_GB2312"/>
          <w:color w:val="auto"/>
          <w:sz w:val="32"/>
          <w:szCs w:val="32"/>
          <w:highlight w:val="none"/>
        </w:rPr>
        <w:t>组织对202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度一般公共预算、政府性基金预算、国有资本经营预算、社会保险基金预算以及资本资产、债券资金等全面开展绩效自评，形成部门整体（含部门预算项目）绩效自评报告、专项预算项目绩效自评报告，绩效自评报告详见附件。</w:t>
      </w:r>
      <w:r>
        <w:rPr>
          <w:rFonts w:ascii="仿宋_GB2312" w:eastAsia="仿宋_GB2312"/>
          <w:b/>
          <w:color w:val="auto"/>
          <w:sz w:val="32"/>
          <w:szCs w:val="32"/>
          <w:highlight w:val="yellow"/>
        </w:rPr>
        <w:br w:type="page"/>
      </w:r>
    </w:p>
    <w:p>
      <w:pPr>
        <w:numPr>
          <w:ilvl w:val="0"/>
          <w:numId w:val="5"/>
        </w:numPr>
        <w:spacing w:line="600" w:lineRule="exact"/>
        <w:ind w:firstLine="660" w:firstLineChars="150"/>
        <w:jc w:val="center"/>
        <w:outlineLvl w:val="0"/>
        <w:rPr>
          <w:rStyle w:val="20"/>
          <w:rFonts w:ascii="黑体" w:hAnsi="黑体" w:eastAsia="黑体"/>
          <w:b w:val="0"/>
          <w:color w:val="auto"/>
          <w:highlight w:val="none"/>
        </w:rPr>
      </w:pPr>
      <w:bookmarkStart w:id="61" w:name="_Toc18244"/>
      <w:bookmarkStart w:id="62" w:name="_Toc15396613"/>
      <w:bookmarkStart w:id="63" w:name="_Toc15377225"/>
      <w:r>
        <w:rPr>
          <w:rFonts w:hint="eastAsia" w:ascii="黑体" w:hAnsi="黑体" w:eastAsia="黑体"/>
          <w:color w:val="auto"/>
          <w:sz w:val="44"/>
          <w:szCs w:val="44"/>
          <w:highlight w:val="none"/>
        </w:rPr>
        <w:t>名</w:t>
      </w:r>
      <w:r>
        <w:rPr>
          <w:rStyle w:val="20"/>
          <w:rFonts w:hint="eastAsia" w:ascii="黑体" w:hAnsi="黑体" w:eastAsia="黑体"/>
          <w:b w:val="0"/>
          <w:color w:val="auto"/>
          <w:highlight w:val="none"/>
        </w:rPr>
        <w:t>词解释</w:t>
      </w:r>
      <w:bookmarkEnd w:id="61"/>
      <w:bookmarkEnd w:id="62"/>
      <w:bookmarkEnd w:id="63"/>
    </w:p>
    <w:p>
      <w:pPr>
        <w:spacing w:line="600" w:lineRule="exact"/>
        <w:jc w:val="left"/>
        <w:rPr>
          <w:rFonts w:ascii="宋体"/>
          <w:b/>
          <w:color w:val="auto"/>
          <w:sz w:val="44"/>
          <w:szCs w:val="44"/>
          <w:highlight w:val="none"/>
        </w:rPr>
      </w:pPr>
    </w:p>
    <w:p>
      <w:pPr>
        <w:pStyle w:val="33"/>
        <w:numPr>
          <w:ilvl w:val="0"/>
          <w:numId w:val="6"/>
        </w:numPr>
        <w:spacing w:line="560" w:lineRule="exact"/>
        <w:ind w:left="0" w:leftChars="0" w:firstLine="400" w:firstLineChars="0"/>
        <w:outlineLvl w:val="1"/>
        <w:rPr>
          <w:rFonts w:hAnsi="仿宋" w:eastAsia="仿宋_GB2312" w:cs="Times New Roman"/>
          <w:sz w:val="32"/>
          <w:szCs w:val="32"/>
        </w:rPr>
      </w:pPr>
      <w:bookmarkStart w:id="64" w:name="_Toc29032"/>
      <w:bookmarkStart w:id="65" w:name="_Toc15377226"/>
      <w:r>
        <w:rPr>
          <w:rFonts w:hint="eastAsia" w:hAnsi="仿宋" w:eastAsia="仿宋_GB2312"/>
          <w:sz w:val="32"/>
          <w:szCs w:val="32"/>
        </w:rPr>
        <w:t>财政拨款收入：指单位从同级财政部门取得的财政预算资金。</w:t>
      </w:r>
      <w:bookmarkEnd w:id="64"/>
    </w:p>
    <w:p>
      <w:pPr>
        <w:numPr>
          <w:ilvl w:val="0"/>
          <w:numId w:val="6"/>
        </w:numPr>
        <w:ind w:left="0" w:leftChars="0" w:firstLine="400" w:firstLineChars="0"/>
        <w:rPr>
          <w:rFonts w:hint="eastAsia" w:ascii="仿宋" w:hAnsi="仿宋" w:eastAsia="仿宋_GB2312" w:cs="仿宋"/>
          <w:color w:val="000000"/>
          <w:sz w:val="32"/>
          <w:szCs w:val="32"/>
        </w:rPr>
      </w:pPr>
      <w:r>
        <w:rPr>
          <w:rStyle w:val="18"/>
          <w:rFonts w:hint="eastAsia" w:ascii="仿宋" w:hAnsi="仿宋" w:eastAsia="仿宋_GB2312" w:cs="仿宋"/>
          <w:b w:val="0"/>
          <w:color w:val="000000"/>
          <w:sz w:val="32"/>
          <w:szCs w:val="32"/>
        </w:rPr>
        <w:t>一般公共服务（类）民主党派及工商联事务（款）行政运行（项）：</w:t>
      </w:r>
      <w:r>
        <w:rPr>
          <w:rFonts w:hint="eastAsia" w:ascii="仿宋" w:hAnsi="仿宋" w:eastAsia="仿宋_GB2312" w:cs="仿宋"/>
          <w:color w:val="000000"/>
          <w:sz w:val="32"/>
          <w:szCs w:val="32"/>
        </w:rPr>
        <w:t>指反映行政单位（包括实行公务员管理的事业单位）的基本支出。</w:t>
      </w:r>
    </w:p>
    <w:p>
      <w:pPr>
        <w:pStyle w:val="15"/>
        <w:numPr>
          <w:ilvl w:val="0"/>
          <w:numId w:val="6"/>
        </w:numPr>
        <w:ind w:left="0" w:leftChars="0" w:firstLine="400" w:firstLineChars="0"/>
        <w:rPr>
          <w:rFonts w:hint="eastAsia" w:ascii="宋体" w:hAnsi="宋体" w:eastAsia="仿宋_GB2312" w:cs="仿宋"/>
          <w:color w:val="000000"/>
          <w:kern w:val="2"/>
          <w:sz w:val="32"/>
          <w:szCs w:val="32"/>
          <w:lang w:val="en-US" w:eastAsia="zh-CN" w:bidi="ar-SA"/>
        </w:rPr>
      </w:pPr>
      <w:r>
        <w:rPr>
          <w:rFonts w:hint="eastAsia" w:ascii="宋体" w:hAnsi="宋体" w:eastAsia="仿宋_GB2312" w:cs="仿宋"/>
          <w:color w:val="000000"/>
          <w:kern w:val="2"/>
          <w:sz w:val="32"/>
          <w:szCs w:val="32"/>
          <w:lang w:val="en-US" w:eastAsia="zh-CN" w:bidi="ar-SA"/>
        </w:rPr>
        <w:t>一般公共服务（类）民主党派及工商联事务（款）一般行政管理事务（项）：指反映行政单位（包括实行公务员管理的事业单位）未单独设置项级科目的其他项目支出。</w:t>
      </w:r>
    </w:p>
    <w:p>
      <w:pPr>
        <w:numPr>
          <w:ilvl w:val="0"/>
          <w:numId w:val="6"/>
        </w:numPr>
        <w:ind w:left="0" w:leftChars="0" w:firstLine="400" w:firstLineChars="0"/>
        <w:rPr>
          <w:rStyle w:val="18"/>
          <w:rFonts w:hint="eastAsia" w:ascii="仿宋" w:hAnsi="仿宋" w:eastAsia="仿宋_GB2312" w:cs="仿宋"/>
          <w:b w:val="0"/>
          <w:color w:val="000000"/>
          <w:sz w:val="32"/>
          <w:szCs w:val="32"/>
        </w:rPr>
      </w:pPr>
      <w:r>
        <w:rPr>
          <w:rStyle w:val="18"/>
          <w:rFonts w:hint="eastAsia" w:ascii="仿宋" w:hAnsi="仿宋" w:eastAsia="仿宋_GB2312" w:cs="仿宋"/>
          <w:b w:val="0"/>
          <w:color w:val="000000"/>
          <w:sz w:val="32"/>
          <w:szCs w:val="32"/>
        </w:rPr>
        <w:t>社会保障和就业（类）行政事业单位养老支出（款）机关事业单位基本养老保险缴费支出（项）：</w:t>
      </w:r>
      <w:r>
        <w:rPr>
          <w:rFonts w:hint="eastAsia" w:ascii="仿宋" w:hAnsi="仿宋" w:eastAsia="仿宋_GB2312" w:cs="仿宋"/>
          <w:color w:val="000000"/>
          <w:sz w:val="32"/>
          <w:szCs w:val="32"/>
        </w:rPr>
        <w:t>指反映机关事业单位</w:t>
      </w:r>
      <w:r>
        <w:rPr>
          <w:rStyle w:val="18"/>
          <w:rFonts w:hint="eastAsia" w:ascii="仿宋" w:hAnsi="仿宋" w:eastAsia="仿宋_GB2312" w:cs="仿宋"/>
          <w:b w:val="0"/>
          <w:color w:val="000000"/>
          <w:sz w:val="32"/>
          <w:szCs w:val="32"/>
        </w:rPr>
        <w:t>实施养老保险制度由单位缴纳的基本养老保险费支出。</w:t>
      </w:r>
    </w:p>
    <w:p>
      <w:pPr>
        <w:pStyle w:val="2"/>
        <w:ind w:firstLine="320" w:firstLineChars="100"/>
        <w:rPr>
          <w:rFonts w:hint="eastAsia" w:eastAsia="仿宋_GB2312"/>
          <w:lang w:val="en-US" w:eastAsia="zh-CN"/>
        </w:rPr>
      </w:pPr>
      <w:r>
        <w:rPr>
          <w:rStyle w:val="18"/>
          <w:rFonts w:hint="eastAsia" w:ascii="仿宋" w:hAnsi="仿宋" w:cs="仿宋"/>
          <w:b w:val="0"/>
          <w:color w:val="000000"/>
          <w:sz w:val="32"/>
          <w:szCs w:val="32"/>
          <w:lang w:val="en-US" w:eastAsia="zh-CN"/>
        </w:rPr>
        <w:t>5.其他社会保障和就业（类）其他社会保障和就业支出（款）其他社会保障和就业支出（项））：</w:t>
      </w:r>
      <w:r>
        <w:rPr>
          <w:rFonts w:hint="eastAsia" w:ascii="仿宋" w:hAnsi="仿宋" w:eastAsia="仿宋_GB2312" w:cs="仿宋"/>
          <w:color w:val="000000"/>
          <w:sz w:val="32"/>
          <w:szCs w:val="32"/>
        </w:rPr>
        <w:t>指反映机关事业单位</w:t>
      </w:r>
      <w:r>
        <w:rPr>
          <w:rStyle w:val="18"/>
          <w:rFonts w:hint="eastAsia" w:ascii="仿宋" w:hAnsi="仿宋" w:eastAsia="仿宋_GB2312" w:cs="仿宋"/>
          <w:b w:val="0"/>
          <w:color w:val="000000"/>
          <w:sz w:val="32"/>
          <w:szCs w:val="32"/>
        </w:rPr>
        <w:t>实施</w:t>
      </w:r>
      <w:r>
        <w:rPr>
          <w:rStyle w:val="18"/>
          <w:rFonts w:hint="eastAsia" w:ascii="仿宋" w:hAnsi="仿宋" w:cs="仿宋"/>
          <w:b w:val="0"/>
          <w:color w:val="000000"/>
          <w:sz w:val="32"/>
          <w:szCs w:val="32"/>
          <w:lang w:eastAsia="zh-CN"/>
        </w:rPr>
        <w:t>工伤保险制度</w:t>
      </w:r>
      <w:r>
        <w:rPr>
          <w:rStyle w:val="18"/>
          <w:rFonts w:hint="eastAsia" w:ascii="仿宋" w:hAnsi="仿宋" w:eastAsia="仿宋_GB2312" w:cs="仿宋"/>
          <w:b w:val="0"/>
          <w:color w:val="000000"/>
          <w:sz w:val="32"/>
          <w:szCs w:val="32"/>
        </w:rPr>
        <w:t>由单位缴纳的</w:t>
      </w:r>
      <w:r>
        <w:rPr>
          <w:rStyle w:val="18"/>
          <w:rFonts w:hint="eastAsia" w:ascii="仿宋" w:hAnsi="仿宋" w:cs="仿宋"/>
          <w:b w:val="0"/>
          <w:color w:val="000000"/>
          <w:sz w:val="32"/>
          <w:szCs w:val="32"/>
          <w:lang w:eastAsia="zh-CN"/>
        </w:rPr>
        <w:t>工伤保险费支出。</w:t>
      </w:r>
    </w:p>
    <w:p>
      <w:pPr>
        <w:numPr>
          <w:ilvl w:val="0"/>
          <w:numId w:val="0"/>
        </w:numPr>
        <w:ind w:firstLine="320" w:firstLineChars="100"/>
        <w:rPr>
          <w:rFonts w:ascii="仿宋" w:hAnsi="仿宋" w:eastAsia="仿宋_GB2312"/>
          <w:color w:val="000000"/>
          <w:sz w:val="32"/>
          <w:szCs w:val="32"/>
        </w:rPr>
      </w:pPr>
      <w:r>
        <w:rPr>
          <w:rStyle w:val="18"/>
          <w:rFonts w:hint="eastAsia" w:ascii="仿宋" w:hAnsi="仿宋" w:eastAsia="仿宋_GB2312" w:cs="仿宋"/>
          <w:b w:val="0"/>
          <w:color w:val="000000"/>
          <w:sz w:val="32"/>
          <w:szCs w:val="32"/>
          <w:lang w:val="en-US" w:eastAsia="zh-CN"/>
        </w:rPr>
        <w:t>6.</w:t>
      </w:r>
      <w:r>
        <w:rPr>
          <w:rStyle w:val="18"/>
          <w:rFonts w:hint="eastAsia" w:ascii="仿宋" w:hAnsi="仿宋" w:eastAsia="仿宋_GB2312" w:cs="仿宋"/>
          <w:b w:val="0"/>
          <w:color w:val="000000"/>
          <w:sz w:val="32"/>
          <w:szCs w:val="32"/>
          <w:lang w:eastAsia="zh-CN"/>
        </w:rPr>
        <w:t>卫生健康支出（类））</w:t>
      </w:r>
      <w:r>
        <w:rPr>
          <w:rStyle w:val="18"/>
          <w:rFonts w:hint="eastAsia" w:ascii="仿宋" w:hAnsi="仿宋" w:eastAsia="仿宋_GB2312" w:cs="仿宋"/>
          <w:b w:val="0"/>
          <w:color w:val="000000"/>
          <w:sz w:val="32"/>
          <w:szCs w:val="32"/>
        </w:rPr>
        <w:t>行政</w:t>
      </w:r>
      <w:r>
        <w:rPr>
          <w:rStyle w:val="18"/>
          <w:rFonts w:hint="eastAsia" w:ascii="仿宋" w:hAnsi="仿宋" w:eastAsia="仿宋_GB2312" w:cs="仿宋"/>
          <w:b w:val="0"/>
          <w:color w:val="000000"/>
          <w:sz w:val="32"/>
          <w:szCs w:val="32"/>
          <w:lang w:eastAsia="zh-CN"/>
        </w:rPr>
        <w:t>事业</w:t>
      </w:r>
      <w:r>
        <w:rPr>
          <w:rStyle w:val="18"/>
          <w:rFonts w:hint="eastAsia" w:ascii="仿宋" w:hAnsi="仿宋" w:eastAsia="仿宋_GB2312" w:cs="仿宋"/>
          <w:b w:val="0"/>
          <w:color w:val="000000"/>
          <w:sz w:val="32"/>
          <w:szCs w:val="32"/>
        </w:rPr>
        <w:t>单位医疗</w:t>
      </w:r>
      <w:r>
        <w:rPr>
          <w:rStyle w:val="18"/>
          <w:rFonts w:hint="eastAsia" w:ascii="仿宋" w:hAnsi="仿宋" w:eastAsia="仿宋_GB2312" w:cs="仿宋"/>
          <w:b w:val="0"/>
          <w:color w:val="000000"/>
          <w:sz w:val="32"/>
          <w:szCs w:val="32"/>
          <w:lang w:eastAsia="zh-CN"/>
        </w:rPr>
        <w:t>（款）行政单位医疗</w:t>
      </w:r>
      <w:r>
        <w:rPr>
          <w:rStyle w:val="18"/>
          <w:rFonts w:hint="eastAsia" w:ascii="仿宋" w:hAnsi="仿宋" w:eastAsia="仿宋_GB2312" w:cs="仿宋"/>
          <w:b w:val="0"/>
          <w:color w:val="000000"/>
          <w:sz w:val="32"/>
          <w:szCs w:val="32"/>
        </w:rPr>
        <w:t>：</w:t>
      </w:r>
      <w:r>
        <w:rPr>
          <w:rFonts w:hint="eastAsia" w:ascii="仿宋" w:hAnsi="仿宋" w:eastAsia="仿宋_GB2312" w:cs="仿宋"/>
          <w:color w:val="000000"/>
          <w:sz w:val="32"/>
          <w:szCs w:val="32"/>
        </w:rPr>
        <w:t>指反映财政部门集中安排的事业单位基本医疗保险缴费经费，未参加医疗保险的行政单位的公费医疗经费，按国家规定享受离休人员待遇的医疗经费。</w:t>
      </w:r>
    </w:p>
    <w:p>
      <w:pPr>
        <w:numPr>
          <w:ilvl w:val="0"/>
          <w:numId w:val="0"/>
        </w:numPr>
        <w:ind w:firstLine="320" w:firstLineChars="100"/>
        <w:rPr>
          <w:rFonts w:hint="eastAsia" w:ascii="仿宋" w:hAnsi="仿宋" w:eastAsia="仿宋_GB2312" w:cs="仿宋"/>
          <w:color w:val="000000"/>
          <w:sz w:val="32"/>
          <w:szCs w:val="32"/>
        </w:rPr>
      </w:pPr>
      <w:r>
        <w:rPr>
          <w:rStyle w:val="18"/>
          <w:rFonts w:hint="eastAsia" w:ascii="仿宋" w:hAnsi="仿宋" w:eastAsia="仿宋_GB2312" w:cs="仿宋"/>
          <w:b w:val="0"/>
          <w:color w:val="000000"/>
          <w:sz w:val="32"/>
          <w:szCs w:val="32"/>
          <w:lang w:val="en-US" w:eastAsia="zh-CN"/>
        </w:rPr>
        <w:t>7.</w:t>
      </w:r>
      <w:r>
        <w:rPr>
          <w:rStyle w:val="18"/>
          <w:rFonts w:hint="eastAsia" w:ascii="仿宋" w:hAnsi="仿宋" w:eastAsia="仿宋_GB2312" w:cs="仿宋"/>
          <w:b w:val="0"/>
          <w:color w:val="000000"/>
          <w:sz w:val="32"/>
          <w:szCs w:val="32"/>
        </w:rPr>
        <w:t>住房保障支出（类）住房改革支出（款）住房公积金（项）：</w:t>
      </w:r>
      <w:r>
        <w:rPr>
          <w:rFonts w:hint="eastAsia" w:ascii="仿宋" w:hAnsi="仿宋" w:eastAsia="仿宋_GB2312" w:cs="仿宋"/>
          <w:color w:val="000000"/>
          <w:sz w:val="32"/>
          <w:szCs w:val="32"/>
        </w:rPr>
        <w:t>指反映行政事业单位按人力资源和社会保障部、财政部规定的基本工资和津贴补贴以及规定比例为职工缴纳的住房公积金。</w:t>
      </w:r>
    </w:p>
    <w:p>
      <w:pPr>
        <w:numPr>
          <w:ilvl w:val="0"/>
          <w:numId w:val="0"/>
        </w:numPr>
        <w:ind w:firstLine="320" w:firstLineChars="100"/>
        <w:rPr>
          <w:rFonts w:ascii="仿宋" w:hAnsi="仿宋" w:eastAsia="仿宋_GB2312"/>
          <w:color w:val="000000"/>
          <w:sz w:val="32"/>
          <w:szCs w:val="32"/>
        </w:rPr>
      </w:pPr>
      <w:r>
        <w:rPr>
          <w:rFonts w:hint="eastAsia" w:ascii="仿宋" w:hAnsi="仿宋" w:eastAsia="仿宋_GB2312" w:cs="仿宋"/>
          <w:color w:val="000000"/>
          <w:sz w:val="32"/>
          <w:szCs w:val="32"/>
          <w:lang w:val="en-US" w:eastAsia="zh-CN"/>
        </w:rPr>
        <w:t>8.</w:t>
      </w:r>
      <w:r>
        <w:rPr>
          <w:rFonts w:hint="eastAsia" w:ascii="仿宋" w:hAnsi="仿宋" w:eastAsia="仿宋_GB2312" w:cs="仿宋"/>
          <w:color w:val="000000"/>
          <w:sz w:val="32"/>
          <w:szCs w:val="32"/>
        </w:rPr>
        <w:t>基本支出：指为保障机构正常运转、完成日常工作任务而发生的人员支出和公用支出。</w:t>
      </w:r>
    </w:p>
    <w:p>
      <w:pPr>
        <w:numPr>
          <w:ilvl w:val="0"/>
          <w:numId w:val="0"/>
        </w:numPr>
        <w:ind w:firstLine="320" w:firstLineChars="100"/>
        <w:rPr>
          <w:rFonts w:ascii="仿宋" w:hAnsi="仿宋" w:eastAsia="仿宋_GB2312"/>
          <w:color w:val="000000"/>
          <w:sz w:val="32"/>
          <w:szCs w:val="32"/>
        </w:rPr>
      </w:pPr>
      <w:r>
        <w:rPr>
          <w:rFonts w:hint="eastAsia" w:ascii="仿宋" w:hAnsi="仿宋" w:eastAsia="仿宋_GB2312" w:cs="仿宋"/>
          <w:color w:val="000000"/>
          <w:sz w:val="32"/>
          <w:szCs w:val="32"/>
          <w:lang w:val="en-US" w:eastAsia="zh-CN"/>
        </w:rPr>
        <w:t>9.</w:t>
      </w:r>
      <w:r>
        <w:rPr>
          <w:rFonts w:hint="eastAsia" w:ascii="仿宋" w:hAnsi="仿宋" w:eastAsia="仿宋_GB2312" w:cs="仿宋"/>
          <w:color w:val="000000"/>
          <w:sz w:val="32"/>
          <w:szCs w:val="32"/>
        </w:rPr>
        <w:t>项目支出：指在基本支出之外为完成特定行政任务和事业发展目标所发生的支出。</w:t>
      </w:r>
    </w:p>
    <w:p>
      <w:pPr>
        <w:pStyle w:val="33"/>
        <w:numPr>
          <w:ilvl w:val="0"/>
          <w:numId w:val="0"/>
        </w:numPr>
        <w:spacing w:line="560" w:lineRule="exact"/>
        <w:ind w:firstLine="320" w:firstLineChars="100"/>
        <w:rPr>
          <w:rFonts w:hAnsi="仿宋" w:eastAsia="仿宋_GB2312" w:cs="Times New Roman"/>
          <w:sz w:val="32"/>
          <w:szCs w:val="32"/>
        </w:rPr>
      </w:pPr>
      <w:r>
        <w:rPr>
          <w:rFonts w:hint="eastAsia" w:hAnsi="仿宋" w:eastAsia="仿宋_GB2312"/>
          <w:sz w:val="32"/>
          <w:szCs w:val="32"/>
          <w:lang w:val="en-US" w:eastAsia="zh-CN"/>
        </w:rPr>
        <w:t>10.</w:t>
      </w:r>
      <w:r>
        <w:rPr>
          <w:rFonts w:hint="eastAsia" w:hAnsi="仿宋" w:eastAsia="仿宋_GB2312"/>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3"/>
        <w:numPr>
          <w:ilvl w:val="0"/>
          <w:numId w:val="0"/>
        </w:numPr>
        <w:spacing w:line="560" w:lineRule="exact"/>
        <w:ind w:firstLine="320" w:firstLineChars="100"/>
        <w:rPr>
          <w:rFonts w:hAnsi="仿宋" w:eastAsia="仿宋_GB2312" w:cs="Times New Roman"/>
          <w:sz w:val="32"/>
          <w:szCs w:val="32"/>
        </w:rPr>
      </w:pPr>
      <w:r>
        <w:rPr>
          <w:rFonts w:hint="eastAsia" w:hAnsi="仿宋" w:eastAsia="仿宋_GB2312"/>
          <w:sz w:val="32"/>
          <w:szCs w:val="32"/>
          <w:lang w:val="en-US" w:eastAsia="zh-CN"/>
        </w:rPr>
        <w:t>11.</w:t>
      </w:r>
      <w:r>
        <w:rPr>
          <w:rFonts w:hint="eastAsia" w:hAnsi="仿宋"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20"/>
          <w:rFonts w:hint="eastAsia" w:ascii="黑体" w:hAnsi="黑体" w:eastAsia="黑体"/>
          <w:b w:val="0"/>
          <w:color w:val="FF0000"/>
          <w:highlight w:val="none"/>
          <w:lang w:eastAsia="zh-CN"/>
        </w:rPr>
      </w:pPr>
      <w:r>
        <w:rPr>
          <w:rFonts w:ascii="宋体"/>
          <w:b/>
          <w:color w:val="FF0000"/>
          <w:sz w:val="44"/>
          <w:szCs w:val="44"/>
          <w:highlight w:val="none"/>
        </w:rPr>
        <w:br w:type="page"/>
      </w:r>
      <w:bookmarkStart w:id="66" w:name="_Toc15396614"/>
      <w:bookmarkStart w:id="67" w:name="_Toc6901"/>
      <w:r>
        <w:rPr>
          <w:rFonts w:hint="eastAsia" w:ascii="黑体" w:hAnsi="黑体" w:eastAsia="黑体"/>
          <w:color w:val="000000" w:themeColor="text1"/>
          <w:sz w:val="44"/>
          <w:szCs w:val="44"/>
          <w:highlight w:val="none"/>
          <w14:textFill>
            <w14:solidFill>
              <w14:schemeClr w14:val="tx1"/>
            </w14:solidFill>
          </w14:textFill>
        </w:rPr>
        <w:t>第</w:t>
      </w:r>
      <w:r>
        <w:rPr>
          <w:rStyle w:val="20"/>
          <w:rFonts w:hint="eastAsia" w:ascii="黑体" w:hAnsi="黑体" w:eastAsia="黑体"/>
          <w:b w:val="0"/>
          <w:color w:val="000000" w:themeColor="text1"/>
          <w:highlight w:val="none"/>
          <w14:textFill>
            <w14:solidFill>
              <w14:schemeClr w14:val="tx1"/>
            </w14:solidFill>
          </w14:textFill>
        </w:rPr>
        <w:t>四部分 附件</w:t>
      </w:r>
      <w:bookmarkEnd w:id="66"/>
      <w:bookmarkEnd w:id="67"/>
    </w:p>
    <w:p>
      <w:pPr>
        <w:keepNext w:val="0"/>
        <w:keepLines w:val="0"/>
        <w:pageBreakBefore w:val="0"/>
        <w:kinsoku/>
        <w:wordWrap/>
        <w:overflowPunct/>
        <w:topLinePunct w:val="0"/>
        <w:autoSpaceDE/>
        <w:autoSpaceDN/>
        <w:bidi w:val="0"/>
        <w:spacing w:line="572" w:lineRule="exact"/>
        <w:jc w:val="left"/>
        <w:textAlignment w:val="auto"/>
        <w:outlineLvl w:val="9"/>
        <w:rPr>
          <w:rFonts w:hint="eastAsia" w:ascii="黑体" w:hAnsi="黑体" w:eastAsia="黑体" w:cs="黑体"/>
          <w:color w:val="000000" w:themeColor="text1"/>
          <w:sz w:val="32"/>
          <w:szCs w:val="32"/>
          <w:highlight w:val="yellow"/>
          <w14:textFill>
            <w14:solidFill>
              <w14:schemeClr w14:val="tx1"/>
            </w14:solidFill>
          </w14:textFill>
        </w:rPr>
      </w:pPr>
    </w:p>
    <w:p>
      <w:pPr>
        <w:spacing w:line="600" w:lineRule="exact"/>
        <w:ind w:firstLine="1920" w:firstLineChars="600"/>
        <w:jc w:val="both"/>
        <w:outlineLvl w:val="0"/>
        <w:rPr>
          <w:rFonts w:hint="eastAsia" w:ascii="黑体" w:hAnsi="黑体" w:eastAsia="黑体"/>
          <w:color w:val="auto"/>
          <w:sz w:val="44"/>
          <w:szCs w:val="44"/>
          <w:highlight w:val="none"/>
        </w:rPr>
      </w:pPr>
      <w:bookmarkStart w:id="68" w:name="_Toc31118"/>
      <w:r>
        <w:rPr>
          <w:rFonts w:hint="eastAsia" w:ascii="黑体" w:hAnsi="黑体" w:eastAsia="黑体" w:cs="黑体"/>
          <w:color w:val="000000" w:themeColor="text1"/>
          <w:sz w:val="32"/>
          <w:szCs w:val="32"/>
          <w:highlight w:val="none"/>
          <w14:textFill>
            <w14:solidFill>
              <w14:schemeClr w14:val="tx1"/>
            </w14:solidFill>
          </w14:textFill>
        </w:rPr>
        <w:t>附件</w:t>
      </w:r>
      <w:bookmarkEnd w:id="68"/>
      <w:bookmarkStart w:id="69" w:name="_Toc4727"/>
      <w:bookmarkStart w:id="70" w:name="_Toc15396618"/>
    </w:p>
    <w:tbl>
      <w:tblPr>
        <w:tblStyle w:val="16"/>
        <w:tblW w:w="8205" w:type="dxa"/>
        <w:tblInd w:w="0" w:type="dxa"/>
        <w:shd w:val="clear" w:color="auto" w:fill="auto"/>
        <w:tblLayout w:type="autofit"/>
        <w:tblCellMar>
          <w:top w:w="0" w:type="dxa"/>
          <w:left w:w="0" w:type="dxa"/>
          <w:bottom w:w="0" w:type="dxa"/>
          <w:right w:w="0" w:type="dxa"/>
        </w:tblCellMar>
      </w:tblPr>
      <w:tblGrid>
        <w:gridCol w:w="668"/>
        <w:gridCol w:w="943"/>
        <w:gridCol w:w="75"/>
        <w:gridCol w:w="847"/>
        <w:gridCol w:w="229"/>
        <w:gridCol w:w="1020"/>
        <w:gridCol w:w="283"/>
        <w:gridCol w:w="221"/>
        <w:gridCol w:w="288"/>
        <w:gridCol w:w="296"/>
        <w:gridCol w:w="597"/>
        <w:gridCol w:w="418"/>
        <w:gridCol w:w="270"/>
        <w:gridCol w:w="420"/>
        <w:gridCol w:w="494"/>
        <w:gridCol w:w="448"/>
        <w:gridCol w:w="688"/>
      </w:tblGrid>
      <w:tr>
        <w:tblPrEx>
          <w:tblCellMar>
            <w:top w:w="0" w:type="dxa"/>
            <w:left w:w="0" w:type="dxa"/>
            <w:bottom w:w="0" w:type="dxa"/>
            <w:right w:w="0" w:type="dxa"/>
          </w:tblCellMar>
        </w:tblPrEx>
        <w:trPr>
          <w:trHeight w:val="904" w:hRule="atLeast"/>
        </w:trPr>
        <w:tc>
          <w:tcPr>
            <w:tcW w:w="8205" w:type="dxa"/>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shd w:val="clear" w:color="auto" w:fill="auto"/>
          <w:tblCellMar>
            <w:top w:w="0" w:type="dxa"/>
            <w:left w:w="0" w:type="dxa"/>
            <w:bottom w:w="0" w:type="dxa"/>
            <w:right w:w="0" w:type="dxa"/>
          </w:tblCellMar>
        </w:tblPrEx>
        <w:trPr>
          <w:trHeight w:val="286" w:hRule="atLeast"/>
        </w:trPr>
        <w:tc>
          <w:tcPr>
            <w:tcW w:w="16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547"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51080023T000008460771-民主党派专项经费（含直属支部工作经费）</w:t>
            </w:r>
          </w:p>
        </w:tc>
      </w:tr>
      <w:tr>
        <w:tblPrEx>
          <w:tblCellMar>
            <w:top w:w="0" w:type="dxa"/>
            <w:left w:w="0" w:type="dxa"/>
            <w:bottom w:w="0" w:type="dxa"/>
            <w:right w:w="0" w:type="dxa"/>
          </w:tblCellMar>
        </w:tblPrEx>
        <w:trPr>
          <w:trHeight w:val="512" w:hRule="atLeast"/>
        </w:trPr>
        <w:tc>
          <w:tcPr>
            <w:tcW w:w="16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4206"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中国共产党广元市委员会统一战线工作部部门</w:t>
            </w:r>
          </w:p>
        </w:tc>
        <w:tc>
          <w:tcPr>
            <w:tcW w:w="690" w:type="dxa"/>
            <w:gridSpan w:val="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65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中国农工民主党广元市委员会</w:t>
            </w:r>
          </w:p>
        </w:tc>
      </w:tr>
      <w:tr>
        <w:tblPrEx>
          <w:tblCellMar>
            <w:top w:w="0" w:type="dxa"/>
            <w:left w:w="0" w:type="dxa"/>
            <w:bottom w:w="0" w:type="dxa"/>
            <w:right w:w="0"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4206"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234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206"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履行参政议政职责，开展调查研究，完成调研课题，积极建言献策，为广元经济社会发展献计出力。开展民主监督工作.积极开展社会服务工作，积极争取社会各界扶贫援助项目等。开展政治交接实践活动，以习近平新时代中国特色社会主义思想为指引，强化思想建设，增进政治共识。</w:t>
            </w:r>
          </w:p>
        </w:tc>
        <w:tc>
          <w:tcPr>
            <w:tcW w:w="234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2024年农工党广元市委按照年初工作计划及要求完满完成各项目标任务</w:t>
            </w:r>
          </w:p>
        </w:tc>
      </w:tr>
      <w:tr>
        <w:tblPrEx>
          <w:tblCellMar>
            <w:top w:w="0" w:type="dxa"/>
            <w:left w:w="0" w:type="dxa"/>
            <w:bottom w:w="0" w:type="dxa"/>
            <w:right w:w="0"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547"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一、完成参政议政调研、民主监督、社会服务工作。二、完成建言献策课题调研，形成调研报告和意见建议。三社会服务活动。四、开展主题教育及党员培训活动。</w:t>
            </w:r>
          </w:p>
        </w:tc>
      </w:tr>
      <w:tr>
        <w:tblPrEx>
          <w:tblCellMar>
            <w:top w:w="0" w:type="dxa"/>
            <w:left w:w="0" w:type="dxa"/>
            <w:bottom w:w="0" w:type="dxa"/>
            <w:right w:w="0"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85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20.12</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20.12</w:t>
            </w:r>
          </w:p>
        </w:tc>
        <w:tc>
          <w:tcPr>
            <w:tcW w:w="185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20.12</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20.12</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20.12</w:t>
            </w:r>
          </w:p>
        </w:tc>
        <w:tc>
          <w:tcPr>
            <w:tcW w:w="185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20.12</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5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5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185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9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开展主题教育活动场次</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8</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参加政治协商会议数量</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开展党员培训人次</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人次</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社会服务受益人数</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人次</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6000</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完成调研课题数量</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个</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6</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完成社情民意信息数量</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条</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50</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开展民主监督次数</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组织开展社会服务活动场次</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32</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完成社情民意率</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活动社会影响面大，完成省级以上媒体报道场次率</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完成调研报告，提出对策建议率</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完成主题教育活动成果在省级以上媒体报道率</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培训合格率</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完成调研成果率</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完成时限</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广元市民主党派进言献策积极性</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级</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lang w:eastAsia="zh-CN"/>
              </w:rPr>
            </w:pPr>
            <w:r>
              <w:rPr>
                <w:rFonts w:hint="eastAsia" w:ascii="微软雅黑" w:hAnsi="微软雅黑" w:eastAsia="微软雅黑" w:cs="微软雅黑"/>
                <w:i/>
                <w:color w:val="000000"/>
                <w:sz w:val="16"/>
                <w:szCs w:val="16"/>
                <w:u w:val="none"/>
                <w:lang w:eastAsia="zh-CN"/>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42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可引用年限</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20</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9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党员、群众满意度</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党委、政府满意度</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经济成本指标</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民主党派及支部完成党派职责</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20.12</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20.12</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286" w:hRule="atLeast"/>
        </w:trPr>
        <w:tc>
          <w:tcPr>
            <w:tcW w:w="6554"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52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2024年农工党广元市委在市委、市政府的领导下，顺利完成了各项目标任务，工作中取得以下成绩。1.认真参政履职。2.扎实开展调查研究。形成调研课题18篇。3.积极反映社情民意。全年，向省委会.市政协、市委统战部报送社情民意信息25条。4.整合资源优势，不断增强社会服务质效，在乡村振兴中，发挥了农工党能量。</w:t>
            </w:r>
          </w:p>
        </w:tc>
      </w:tr>
      <w:tr>
        <w:tblPrEx>
          <w:tblCellMar>
            <w:top w:w="0" w:type="dxa"/>
            <w:left w:w="0" w:type="dxa"/>
            <w:bottom w:w="0" w:type="dxa"/>
            <w:right w:w="0"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52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财务制度执行力有待加强，资金使用计划有待细化。</w:t>
            </w:r>
          </w:p>
        </w:tc>
      </w:tr>
      <w:tr>
        <w:tblPrEx>
          <w:shd w:val="clear" w:color="auto" w:fill="auto"/>
          <w:tblCellMar>
            <w:top w:w="0" w:type="dxa"/>
            <w:left w:w="0" w:type="dxa"/>
            <w:bottom w:w="0" w:type="dxa"/>
            <w:right w:w="0"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52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一是进一步加强财务人员业务水平的培训和提高；二是进一步完善财务管理制度，严格资金审批程序，加大资金监管力，确保各项资金正确使用，遵守资金使用制度，杜绝违规违纪现象</w:t>
            </w:r>
          </w:p>
        </w:tc>
      </w:tr>
      <w:tr>
        <w:tblPrEx>
          <w:tblCellMar>
            <w:top w:w="0" w:type="dxa"/>
            <w:left w:w="0" w:type="dxa"/>
            <w:bottom w:w="0" w:type="dxa"/>
            <w:right w:w="0" w:type="dxa"/>
          </w:tblCellMar>
        </w:tblPrEx>
        <w:trPr>
          <w:trHeight w:val="286" w:hRule="atLeast"/>
        </w:trPr>
        <w:tc>
          <w:tcPr>
            <w:tcW w:w="45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项目负责人：李兰</w:t>
            </w:r>
          </w:p>
        </w:tc>
        <w:tc>
          <w:tcPr>
            <w:tcW w:w="367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财务负责人：张洁</w:t>
            </w:r>
          </w:p>
        </w:tc>
      </w:tr>
      <w:tr>
        <w:tblPrEx>
          <w:tblCellMar>
            <w:top w:w="0" w:type="dxa"/>
            <w:left w:w="0" w:type="dxa"/>
            <w:bottom w:w="0" w:type="dxa"/>
            <w:right w:w="0" w:type="dxa"/>
          </w:tblCellMar>
        </w:tblPrEx>
        <w:trPr>
          <w:trHeight w:val="904" w:hRule="atLeast"/>
        </w:trPr>
        <w:tc>
          <w:tcPr>
            <w:tcW w:w="7865" w:type="dxa"/>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shd w:val="clear" w:color="auto" w:fill="auto"/>
          <w:tblCellMar>
            <w:top w:w="0" w:type="dxa"/>
            <w:left w:w="0" w:type="dxa"/>
            <w:bottom w:w="0" w:type="dxa"/>
            <w:right w:w="0" w:type="dxa"/>
          </w:tblCellMar>
        </w:tblPrEx>
        <w:trPr>
          <w:trHeight w:val="286" w:hRule="atLeast"/>
        </w:trPr>
        <w:tc>
          <w:tcPr>
            <w:tcW w:w="17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131"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51080024R000010823060-单位缴费（在职人员五险两金）</w:t>
            </w:r>
          </w:p>
        </w:tc>
      </w:tr>
      <w:tr>
        <w:tblPrEx>
          <w:tblCellMar>
            <w:top w:w="0" w:type="dxa"/>
            <w:left w:w="0" w:type="dxa"/>
            <w:bottom w:w="0" w:type="dxa"/>
            <w:right w:w="0" w:type="dxa"/>
          </w:tblCellMar>
        </w:tblPrEx>
        <w:trPr>
          <w:trHeight w:val="512" w:hRule="atLeast"/>
        </w:trPr>
        <w:tc>
          <w:tcPr>
            <w:tcW w:w="17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中国共产党广元市委员会统一战线工作部部门</w:t>
            </w:r>
          </w:p>
        </w:tc>
        <w:tc>
          <w:tcPr>
            <w:tcW w:w="690" w:type="dxa"/>
            <w:gridSpan w:val="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90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中国农工民主党广元市委员会</w:t>
            </w:r>
          </w:p>
        </w:tc>
      </w:tr>
      <w:tr>
        <w:tblPrEx>
          <w:tblCellMar>
            <w:top w:w="0" w:type="dxa"/>
            <w:left w:w="0" w:type="dxa"/>
            <w:bottom w:w="0" w:type="dxa"/>
            <w:right w:w="0"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25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25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2024年农工党广元市委按照年初工作计划及要求完满完成各项目标任务</w:t>
            </w:r>
          </w:p>
        </w:tc>
      </w:tr>
      <w:tr>
        <w:tblPrEx>
          <w:tblCellMar>
            <w:top w:w="0" w:type="dxa"/>
            <w:left w:w="0" w:type="dxa"/>
            <w:bottom w:w="0" w:type="dxa"/>
            <w:right w:w="0"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131"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w:t>
            </w:r>
          </w:p>
        </w:tc>
      </w:tr>
      <w:tr>
        <w:tblPrEx>
          <w:tblCellMar>
            <w:top w:w="0" w:type="dxa"/>
            <w:left w:w="0" w:type="dxa"/>
            <w:bottom w:w="0" w:type="dxa"/>
            <w:right w:w="0"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16.90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16.90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16.90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16.90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16.90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16.90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286" w:hRule="atLeast"/>
        </w:trPr>
        <w:tc>
          <w:tcPr>
            <w:tcW w:w="5960"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黑体" w:hAnsi="黑体" w:eastAsia="黑体" w:cs="黑体"/>
                <w:i w:val="0"/>
                <w:color w:val="000000"/>
                <w:kern w:val="0"/>
                <w:sz w:val="18"/>
                <w:szCs w:val="18"/>
                <w:u w:val="none"/>
                <w:lang w:val="en-US" w:eastAsia="zh-CN" w:bidi="ar"/>
              </w:rPr>
              <w:t>2024年农工党广元市委按照年初工作计划及要求完满完成各项目标任务</w:t>
            </w:r>
          </w:p>
        </w:tc>
      </w:tr>
      <w:tr>
        <w:tblPrEx>
          <w:tblCellMar>
            <w:top w:w="0" w:type="dxa"/>
            <w:left w:w="0" w:type="dxa"/>
            <w:bottom w:w="0" w:type="dxa"/>
            <w:right w:w="0"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CellMar>
            <w:top w:w="0" w:type="dxa"/>
            <w:left w:w="0" w:type="dxa"/>
            <w:bottom w:w="0" w:type="dxa"/>
            <w:right w:w="0"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CellMar>
            <w:top w:w="0" w:type="dxa"/>
            <w:left w:w="0" w:type="dxa"/>
            <w:bottom w:w="0" w:type="dxa"/>
            <w:right w:w="0" w:type="dxa"/>
          </w:tblCellMar>
        </w:tblPrEx>
        <w:trPr>
          <w:trHeight w:val="286" w:hRule="atLeast"/>
        </w:trPr>
        <w:tc>
          <w:tcPr>
            <w:tcW w:w="423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lang w:val="en-US" w:eastAsia="zh-CN"/>
              </w:rPr>
            </w:pPr>
            <w:r>
              <w:rPr>
                <w:rFonts w:hint="eastAsia" w:ascii="黑体" w:hAnsi="黑体" w:eastAsia="黑体" w:cs="黑体"/>
                <w:i w:val="0"/>
                <w:color w:val="000000"/>
                <w:kern w:val="0"/>
                <w:sz w:val="18"/>
                <w:szCs w:val="18"/>
                <w:u w:val="none"/>
                <w:lang w:val="en-US" w:eastAsia="zh-CN" w:bidi="ar"/>
              </w:rPr>
              <w:t>项目负责人：李兰</w:t>
            </w:r>
          </w:p>
        </w:tc>
        <w:tc>
          <w:tcPr>
            <w:tcW w:w="36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财务负责人：张洁</w:t>
            </w:r>
          </w:p>
        </w:tc>
      </w:tr>
      <w:tr>
        <w:tblPrEx>
          <w:tblCellMar>
            <w:top w:w="0" w:type="dxa"/>
            <w:left w:w="0" w:type="dxa"/>
            <w:bottom w:w="0" w:type="dxa"/>
            <w:right w:w="0" w:type="dxa"/>
          </w:tblCellMar>
        </w:tblPrEx>
        <w:trPr>
          <w:trHeight w:val="286" w:hRule="atLeast"/>
        </w:trPr>
        <w:tc>
          <w:tcPr>
            <w:tcW w:w="684"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1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70"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21"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0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3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9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0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0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95"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904" w:hRule="atLeast"/>
        </w:trPr>
        <w:tc>
          <w:tcPr>
            <w:tcW w:w="7865" w:type="dxa"/>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shd w:val="clear" w:color="auto" w:fill="auto"/>
          <w:tblCellMar>
            <w:top w:w="0" w:type="dxa"/>
            <w:left w:w="0" w:type="dxa"/>
            <w:bottom w:w="0" w:type="dxa"/>
            <w:right w:w="0" w:type="dxa"/>
          </w:tblCellMar>
        </w:tblPrEx>
        <w:trPr>
          <w:trHeight w:val="286" w:hRule="atLeast"/>
        </w:trPr>
        <w:tc>
          <w:tcPr>
            <w:tcW w:w="17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131"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51080024R000010824550-公务员基础绩效奖</w:t>
            </w:r>
          </w:p>
        </w:tc>
      </w:tr>
      <w:tr>
        <w:tblPrEx>
          <w:tblCellMar>
            <w:top w:w="0" w:type="dxa"/>
            <w:left w:w="0" w:type="dxa"/>
            <w:bottom w:w="0" w:type="dxa"/>
            <w:right w:w="0" w:type="dxa"/>
          </w:tblCellMar>
        </w:tblPrEx>
        <w:trPr>
          <w:trHeight w:val="512" w:hRule="atLeast"/>
        </w:trPr>
        <w:tc>
          <w:tcPr>
            <w:tcW w:w="17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中国共产党广元市委员会统一战线工作部部门</w:t>
            </w:r>
          </w:p>
        </w:tc>
        <w:tc>
          <w:tcPr>
            <w:tcW w:w="690" w:type="dxa"/>
            <w:gridSpan w:val="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90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中国农工民主党广元市委员会</w:t>
            </w:r>
          </w:p>
        </w:tc>
      </w:tr>
      <w:tr>
        <w:tblPrEx>
          <w:tblCellMar>
            <w:top w:w="0" w:type="dxa"/>
            <w:left w:w="0" w:type="dxa"/>
            <w:bottom w:w="0" w:type="dxa"/>
            <w:right w:w="0"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25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25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2024年农工党广元市委按照年初工作计划及要求完满完成各项目标任务</w:t>
            </w:r>
          </w:p>
        </w:tc>
      </w:tr>
      <w:tr>
        <w:tblPrEx>
          <w:tblCellMar>
            <w:top w:w="0" w:type="dxa"/>
            <w:left w:w="0" w:type="dxa"/>
            <w:bottom w:w="0" w:type="dxa"/>
            <w:right w:w="0"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131"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w:t>
            </w:r>
          </w:p>
        </w:tc>
      </w:tr>
      <w:tr>
        <w:tblPrEx>
          <w:tblCellMar>
            <w:top w:w="0" w:type="dxa"/>
            <w:left w:w="0" w:type="dxa"/>
            <w:bottom w:w="0" w:type="dxa"/>
            <w:right w:w="0"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16.20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16.20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16.20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16.20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16.20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16.20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286" w:hRule="atLeast"/>
        </w:trPr>
        <w:tc>
          <w:tcPr>
            <w:tcW w:w="5960"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黑体" w:hAnsi="黑体" w:eastAsia="黑体" w:cs="黑体"/>
                <w:i w:val="0"/>
                <w:color w:val="000000"/>
                <w:kern w:val="0"/>
                <w:sz w:val="18"/>
                <w:szCs w:val="18"/>
                <w:u w:val="none"/>
                <w:lang w:val="en-US" w:eastAsia="zh-CN" w:bidi="ar"/>
              </w:rPr>
              <w:t>2024年农工党广元市委按照年初工作计划及要求完满完成各项目标任务</w:t>
            </w:r>
          </w:p>
        </w:tc>
      </w:tr>
      <w:tr>
        <w:tblPrEx>
          <w:tblCellMar>
            <w:top w:w="0" w:type="dxa"/>
            <w:left w:w="0" w:type="dxa"/>
            <w:bottom w:w="0" w:type="dxa"/>
            <w:right w:w="0"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CellMar>
            <w:top w:w="0" w:type="dxa"/>
            <w:left w:w="0" w:type="dxa"/>
            <w:bottom w:w="0" w:type="dxa"/>
            <w:right w:w="0"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CellMar>
            <w:top w:w="0" w:type="dxa"/>
            <w:left w:w="0" w:type="dxa"/>
            <w:bottom w:w="0" w:type="dxa"/>
            <w:right w:w="0" w:type="dxa"/>
          </w:tblCellMar>
        </w:tblPrEx>
        <w:trPr>
          <w:trHeight w:val="286" w:hRule="atLeast"/>
        </w:trPr>
        <w:tc>
          <w:tcPr>
            <w:tcW w:w="423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项目负责人：李兰</w:t>
            </w:r>
          </w:p>
        </w:tc>
        <w:tc>
          <w:tcPr>
            <w:tcW w:w="36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财务负责人：张洁</w:t>
            </w:r>
          </w:p>
        </w:tc>
      </w:tr>
      <w:tr>
        <w:tblPrEx>
          <w:tblCellMar>
            <w:top w:w="0" w:type="dxa"/>
            <w:left w:w="0" w:type="dxa"/>
            <w:bottom w:w="0" w:type="dxa"/>
            <w:right w:w="0" w:type="dxa"/>
          </w:tblCellMar>
        </w:tblPrEx>
        <w:trPr>
          <w:trHeight w:val="286" w:hRule="atLeast"/>
        </w:trPr>
        <w:tc>
          <w:tcPr>
            <w:tcW w:w="684"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1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70"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21"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0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3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9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0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0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95"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904" w:hRule="atLeast"/>
        </w:trPr>
        <w:tc>
          <w:tcPr>
            <w:tcW w:w="7865" w:type="dxa"/>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shd w:val="clear" w:color="auto" w:fill="auto"/>
          <w:tblCellMar>
            <w:top w:w="0" w:type="dxa"/>
            <w:left w:w="0" w:type="dxa"/>
            <w:bottom w:w="0" w:type="dxa"/>
            <w:right w:w="0" w:type="dxa"/>
          </w:tblCellMar>
        </w:tblPrEx>
        <w:trPr>
          <w:trHeight w:val="286" w:hRule="atLeast"/>
        </w:trPr>
        <w:tc>
          <w:tcPr>
            <w:tcW w:w="17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131"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51080024R000010825320-退休人员生活补（助）贴</w:t>
            </w:r>
          </w:p>
        </w:tc>
      </w:tr>
      <w:tr>
        <w:tblPrEx>
          <w:tblCellMar>
            <w:top w:w="0" w:type="dxa"/>
            <w:left w:w="0" w:type="dxa"/>
            <w:bottom w:w="0" w:type="dxa"/>
            <w:right w:w="0" w:type="dxa"/>
          </w:tblCellMar>
        </w:tblPrEx>
        <w:trPr>
          <w:trHeight w:val="512" w:hRule="atLeast"/>
        </w:trPr>
        <w:tc>
          <w:tcPr>
            <w:tcW w:w="17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中国共产党广元市委员会统一战线工作部部门</w:t>
            </w:r>
          </w:p>
        </w:tc>
        <w:tc>
          <w:tcPr>
            <w:tcW w:w="690" w:type="dxa"/>
            <w:gridSpan w:val="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90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中国农工民主党广元市委员会</w:t>
            </w:r>
          </w:p>
        </w:tc>
      </w:tr>
      <w:tr>
        <w:tblPrEx>
          <w:tblCellMar>
            <w:top w:w="0" w:type="dxa"/>
            <w:left w:w="0" w:type="dxa"/>
            <w:bottom w:w="0" w:type="dxa"/>
            <w:right w:w="0"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25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25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2024年农工党广元市委按照年初工作计划及要求完满完成各项目标任务</w:t>
            </w:r>
          </w:p>
        </w:tc>
      </w:tr>
      <w:tr>
        <w:tblPrEx>
          <w:tblCellMar>
            <w:top w:w="0" w:type="dxa"/>
            <w:left w:w="0" w:type="dxa"/>
            <w:bottom w:w="0" w:type="dxa"/>
            <w:right w:w="0"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131"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r>
      <w:tr>
        <w:tblPrEx>
          <w:tblCellMar>
            <w:top w:w="0" w:type="dxa"/>
            <w:left w:w="0" w:type="dxa"/>
            <w:bottom w:w="0" w:type="dxa"/>
            <w:right w:w="0"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286" w:hRule="atLeast"/>
        </w:trPr>
        <w:tc>
          <w:tcPr>
            <w:tcW w:w="5960"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黑体" w:hAnsi="黑体" w:eastAsia="黑体" w:cs="黑体"/>
                <w:i w:val="0"/>
                <w:color w:val="000000"/>
                <w:kern w:val="0"/>
                <w:sz w:val="18"/>
                <w:szCs w:val="18"/>
                <w:u w:val="none"/>
                <w:lang w:val="en-US" w:eastAsia="zh-CN" w:bidi="ar"/>
              </w:rPr>
              <w:t>2024年农工党广元市委按照年初工作计划及要求完满完成各项目标任务</w:t>
            </w:r>
          </w:p>
        </w:tc>
      </w:tr>
      <w:tr>
        <w:tblPrEx>
          <w:tblCellMar>
            <w:top w:w="0" w:type="dxa"/>
            <w:left w:w="0" w:type="dxa"/>
            <w:bottom w:w="0" w:type="dxa"/>
            <w:right w:w="0"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CellMar>
            <w:top w:w="0" w:type="dxa"/>
            <w:left w:w="0" w:type="dxa"/>
            <w:bottom w:w="0" w:type="dxa"/>
            <w:right w:w="0"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CellMar>
            <w:top w:w="0" w:type="dxa"/>
            <w:left w:w="0" w:type="dxa"/>
            <w:bottom w:w="0" w:type="dxa"/>
            <w:right w:w="0" w:type="dxa"/>
          </w:tblCellMar>
        </w:tblPrEx>
        <w:trPr>
          <w:trHeight w:val="286" w:hRule="atLeast"/>
        </w:trPr>
        <w:tc>
          <w:tcPr>
            <w:tcW w:w="423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项目负责人：李兰</w:t>
            </w:r>
          </w:p>
        </w:tc>
        <w:tc>
          <w:tcPr>
            <w:tcW w:w="36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财务负责人：张洁</w:t>
            </w:r>
          </w:p>
        </w:tc>
      </w:tr>
      <w:tr>
        <w:tblPrEx>
          <w:tblCellMar>
            <w:top w:w="0" w:type="dxa"/>
            <w:left w:w="0" w:type="dxa"/>
            <w:bottom w:w="0" w:type="dxa"/>
            <w:right w:w="0" w:type="dxa"/>
          </w:tblCellMar>
        </w:tblPrEx>
        <w:trPr>
          <w:trHeight w:val="286" w:hRule="atLeast"/>
        </w:trPr>
        <w:tc>
          <w:tcPr>
            <w:tcW w:w="684"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1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70"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21"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0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3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9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0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0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95"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904" w:hRule="atLeast"/>
        </w:trPr>
        <w:tc>
          <w:tcPr>
            <w:tcW w:w="7865" w:type="dxa"/>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shd w:val="clear" w:color="auto" w:fill="auto"/>
          <w:tblCellMar>
            <w:top w:w="0" w:type="dxa"/>
            <w:left w:w="0" w:type="dxa"/>
            <w:bottom w:w="0" w:type="dxa"/>
            <w:right w:w="0" w:type="dxa"/>
          </w:tblCellMar>
        </w:tblPrEx>
        <w:trPr>
          <w:trHeight w:val="286" w:hRule="atLeast"/>
        </w:trPr>
        <w:tc>
          <w:tcPr>
            <w:tcW w:w="17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131"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51080024R000010828112-行政人员工资性支出</w:t>
            </w:r>
          </w:p>
        </w:tc>
      </w:tr>
      <w:tr>
        <w:tblPrEx>
          <w:tblCellMar>
            <w:top w:w="0" w:type="dxa"/>
            <w:left w:w="0" w:type="dxa"/>
            <w:bottom w:w="0" w:type="dxa"/>
            <w:right w:w="0" w:type="dxa"/>
          </w:tblCellMar>
        </w:tblPrEx>
        <w:trPr>
          <w:trHeight w:val="512" w:hRule="atLeast"/>
        </w:trPr>
        <w:tc>
          <w:tcPr>
            <w:tcW w:w="17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中国共产党广元市委员会统一战线工作部部门</w:t>
            </w:r>
          </w:p>
        </w:tc>
        <w:tc>
          <w:tcPr>
            <w:tcW w:w="690" w:type="dxa"/>
            <w:gridSpan w:val="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90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中国农工民主党广元市委员会</w:t>
            </w:r>
          </w:p>
        </w:tc>
      </w:tr>
      <w:tr>
        <w:tblPrEx>
          <w:tblCellMar>
            <w:top w:w="0" w:type="dxa"/>
            <w:left w:w="0" w:type="dxa"/>
            <w:bottom w:w="0" w:type="dxa"/>
            <w:right w:w="0"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25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25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2024年农工党广元市委按照年初工作计划及要求完满完成各项目标任务</w:t>
            </w:r>
          </w:p>
        </w:tc>
      </w:tr>
      <w:tr>
        <w:tblPrEx>
          <w:tblCellMar>
            <w:top w:w="0" w:type="dxa"/>
            <w:left w:w="0" w:type="dxa"/>
            <w:bottom w:w="0" w:type="dxa"/>
            <w:right w:w="0"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131"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w:t>
            </w:r>
          </w:p>
        </w:tc>
      </w:tr>
      <w:tr>
        <w:tblPrEx>
          <w:tblCellMar>
            <w:top w:w="0" w:type="dxa"/>
            <w:left w:w="0" w:type="dxa"/>
            <w:bottom w:w="0" w:type="dxa"/>
            <w:right w:w="0"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32.99</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32.99</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32.99</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32.99</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32.99</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32.99</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286" w:hRule="atLeast"/>
        </w:trPr>
        <w:tc>
          <w:tcPr>
            <w:tcW w:w="5960"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黑体" w:hAnsi="黑体" w:eastAsia="黑体" w:cs="黑体"/>
                <w:i w:val="0"/>
                <w:color w:val="000000"/>
                <w:kern w:val="0"/>
                <w:sz w:val="18"/>
                <w:szCs w:val="18"/>
                <w:u w:val="none"/>
                <w:lang w:val="en-US" w:eastAsia="zh-CN" w:bidi="ar"/>
              </w:rPr>
              <w:t>2024年农工党广元市委按照年初工作计划及要求完满完成各项目标任务</w:t>
            </w:r>
          </w:p>
        </w:tc>
      </w:tr>
      <w:tr>
        <w:tblPrEx>
          <w:tblCellMar>
            <w:top w:w="0" w:type="dxa"/>
            <w:left w:w="0" w:type="dxa"/>
            <w:bottom w:w="0" w:type="dxa"/>
            <w:right w:w="0"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CellMar>
            <w:top w:w="0" w:type="dxa"/>
            <w:left w:w="0" w:type="dxa"/>
            <w:bottom w:w="0" w:type="dxa"/>
            <w:right w:w="0"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CellMar>
            <w:top w:w="0" w:type="dxa"/>
            <w:left w:w="0" w:type="dxa"/>
            <w:bottom w:w="0" w:type="dxa"/>
            <w:right w:w="0" w:type="dxa"/>
          </w:tblCellMar>
        </w:tblPrEx>
        <w:trPr>
          <w:trHeight w:val="286" w:hRule="atLeast"/>
        </w:trPr>
        <w:tc>
          <w:tcPr>
            <w:tcW w:w="423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项目负责人：李兰</w:t>
            </w:r>
          </w:p>
        </w:tc>
        <w:tc>
          <w:tcPr>
            <w:tcW w:w="36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财务负责人：张洁</w:t>
            </w:r>
          </w:p>
        </w:tc>
      </w:tr>
      <w:tr>
        <w:tblPrEx>
          <w:tblCellMar>
            <w:top w:w="0" w:type="dxa"/>
            <w:left w:w="0" w:type="dxa"/>
            <w:bottom w:w="0" w:type="dxa"/>
            <w:right w:w="0" w:type="dxa"/>
          </w:tblCellMar>
        </w:tblPrEx>
        <w:trPr>
          <w:trHeight w:val="286" w:hRule="atLeast"/>
        </w:trPr>
        <w:tc>
          <w:tcPr>
            <w:tcW w:w="684"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1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70"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21"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0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3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9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0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0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95"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904" w:hRule="atLeast"/>
        </w:trPr>
        <w:tc>
          <w:tcPr>
            <w:tcW w:w="7865" w:type="dxa"/>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shd w:val="clear" w:color="auto" w:fill="auto"/>
          <w:tblCellMar>
            <w:top w:w="0" w:type="dxa"/>
            <w:left w:w="0" w:type="dxa"/>
            <w:bottom w:w="0" w:type="dxa"/>
            <w:right w:w="0" w:type="dxa"/>
          </w:tblCellMar>
        </w:tblPrEx>
        <w:trPr>
          <w:trHeight w:val="286" w:hRule="atLeast"/>
        </w:trPr>
        <w:tc>
          <w:tcPr>
            <w:tcW w:w="17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131"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51080024R000010851755-人员其他支出</w:t>
            </w:r>
          </w:p>
        </w:tc>
      </w:tr>
      <w:tr>
        <w:tblPrEx>
          <w:tblCellMar>
            <w:top w:w="0" w:type="dxa"/>
            <w:left w:w="0" w:type="dxa"/>
            <w:bottom w:w="0" w:type="dxa"/>
            <w:right w:w="0" w:type="dxa"/>
          </w:tblCellMar>
        </w:tblPrEx>
        <w:trPr>
          <w:trHeight w:val="512" w:hRule="atLeast"/>
        </w:trPr>
        <w:tc>
          <w:tcPr>
            <w:tcW w:w="17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中国共产党广元市委员会统一战线工作部部门</w:t>
            </w:r>
          </w:p>
        </w:tc>
        <w:tc>
          <w:tcPr>
            <w:tcW w:w="690" w:type="dxa"/>
            <w:gridSpan w:val="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90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中国农工民主党广元市委员会</w:t>
            </w:r>
          </w:p>
        </w:tc>
      </w:tr>
      <w:tr>
        <w:tblPrEx>
          <w:tblCellMar>
            <w:top w:w="0" w:type="dxa"/>
            <w:left w:w="0" w:type="dxa"/>
            <w:bottom w:w="0" w:type="dxa"/>
            <w:right w:w="0"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25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25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2024年农工党广元市委按照年初工作计划及要求完满完成各项目标任务</w:t>
            </w:r>
          </w:p>
        </w:tc>
      </w:tr>
      <w:tr>
        <w:tblPrEx>
          <w:tblCellMar>
            <w:top w:w="0" w:type="dxa"/>
            <w:left w:w="0" w:type="dxa"/>
            <w:bottom w:w="0" w:type="dxa"/>
            <w:right w:w="0"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131"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严格执行预算，保障单位日常运转。</w:t>
            </w:r>
          </w:p>
        </w:tc>
      </w:tr>
      <w:tr>
        <w:tblPrEx>
          <w:tblCellMar>
            <w:top w:w="0" w:type="dxa"/>
            <w:left w:w="0" w:type="dxa"/>
            <w:bottom w:w="0" w:type="dxa"/>
            <w:right w:w="0"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0.11</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0.11</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0.11</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0.11</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0.11</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0.11</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286" w:hRule="atLeast"/>
        </w:trPr>
        <w:tc>
          <w:tcPr>
            <w:tcW w:w="5960"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黑体" w:hAnsi="黑体" w:eastAsia="黑体" w:cs="黑体"/>
                <w:i w:val="0"/>
                <w:color w:val="000000"/>
                <w:kern w:val="0"/>
                <w:sz w:val="18"/>
                <w:szCs w:val="18"/>
                <w:u w:val="none"/>
                <w:lang w:val="en-US" w:eastAsia="zh-CN" w:bidi="ar"/>
              </w:rPr>
              <w:t>2024年农工党广元市委按照年初工作计划及要求完满完成各项目标任务</w:t>
            </w:r>
          </w:p>
        </w:tc>
      </w:tr>
      <w:tr>
        <w:tblPrEx>
          <w:tblCellMar>
            <w:top w:w="0" w:type="dxa"/>
            <w:left w:w="0" w:type="dxa"/>
            <w:bottom w:w="0" w:type="dxa"/>
            <w:right w:w="0"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CellMar>
            <w:top w:w="0" w:type="dxa"/>
            <w:left w:w="0" w:type="dxa"/>
            <w:bottom w:w="0" w:type="dxa"/>
            <w:right w:w="0"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CellMar>
            <w:top w:w="0" w:type="dxa"/>
            <w:left w:w="0" w:type="dxa"/>
            <w:bottom w:w="0" w:type="dxa"/>
            <w:right w:w="0" w:type="dxa"/>
          </w:tblCellMar>
        </w:tblPrEx>
        <w:trPr>
          <w:trHeight w:val="286" w:hRule="atLeast"/>
        </w:trPr>
        <w:tc>
          <w:tcPr>
            <w:tcW w:w="423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项目负责人：李兰</w:t>
            </w:r>
          </w:p>
        </w:tc>
        <w:tc>
          <w:tcPr>
            <w:tcW w:w="36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财务负责人：张洁</w:t>
            </w:r>
          </w:p>
        </w:tc>
      </w:tr>
      <w:tr>
        <w:tblPrEx>
          <w:tblCellMar>
            <w:top w:w="0" w:type="dxa"/>
            <w:left w:w="0" w:type="dxa"/>
            <w:bottom w:w="0" w:type="dxa"/>
            <w:right w:w="0" w:type="dxa"/>
          </w:tblCellMar>
        </w:tblPrEx>
        <w:trPr>
          <w:trHeight w:val="286" w:hRule="atLeast"/>
        </w:trPr>
        <w:tc>
          <w:tcPr>
            <w:tcW w:w="684"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1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70"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21"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0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3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9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0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0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95"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904" w:hRule="atLeast"/>
        </w:trPr>
        <w:tc>
          <w:tcPr>
            <w:tcW w:w="7865" w:type="dxa"/>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shd w:val="clear" w:color="auto" w:fill="auto"/>
          <w:tblCellMar>
            <w:top w:w="0" w:type="dxa"/>
            <w:left w:w="0" w:type="dxa"/>
            <w:bottom w:w="0" w:type="dxa"/>
            <w:right w:w="0" w:type="dxa"/>
          </w:tblCellMar>
        </w:tblPrEx>
        <w:trPr>
          <w:trHeight w:val="286" w:hRule="atLeast"/>
        </w:trPr>
        <w:tc>
          <w:tcPr>
            <w:tcW w:w="17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131"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51080024Y000010826991-公用经费1（福利费、工会经费）</w:t>
            </w:r>
          </w:p>
        </w:tc>
      </w:tr>
      <w:tr>
        <w:tblPrEx>
          <w:tblCellMar>
            <w:top w:w="0" w:type="dxa"/>
            <w:left w:w="0" w:type="dxa"/>
            <w:bottom w:w="0" w:type="dxa"/>
            <w:right w:w="0" w:type="dxa"/>
          </w:tblCellMar>
        </w:tblPrEx>
        <w:trPr>
          <w:trHeight w:val="512" w:hRule="atLeast"/>
        </w:trPr>
        <w:tc>
          <w:tcPr>
            <w:tcW w:w="17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中国共产党广元市委员会统一战线工作部部门</w:t>
            </w:r>
          </w:p>
        </w:tc>
        <w:tc>
          <w:tcPr>
            <w:tcW w:w="690" w:type="dxa"/>
            <w:gridSpan w:val="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90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中国农工民主党广元市委员会</w:t>
            </w:r>
          </w:p>
        </w:tc>
      </w:tr>
      <w:tr>
        <w:tblPrEx>
          <w:tblCellMar>
            <w:top w:w="0" w:type="dxa"/>
            <w:left w:w="0" w:type="dxa"/>
            <w:bottom w:w="0" w:type="dxa"/>
            <w:right w:w="0"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25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25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2024年农工党广元市委按照年初工作计划及要求完满完成各项目标任务</w:t>
            </w:r>
          </w:p>
        </w:tc>
      </w:tr>
      <w:tr>
        <w:tblPrEx>
          <w:tblCellMar>
            <w:top w:w="0" w:type="dxa"/>
            <w:left w:w="0" w:type="dxa"/>
            <w:bottom w:w="0" w:type="dxa"/>
            <w:right w:w="0"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131"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严格执行预算，保障单位日常运转。</w:t>
            </w:r>
          </w:p>
        </w:tc>
      </w:tr>
      <w:tr>
        <w:tblPrEx>
          <w:tblCellMar>
            <w:top w:w="0" w:type="dxa"/>
            <w:left w:w="0" w:type="dxa"/>
            <w:bottom w:w="0" w:type="dxa"/>
            <w:right w:w="0"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0.97</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0.97</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0.97</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0.97</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0.97</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0.97</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199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286" w:hRule="atLeast"/>
        </w:trPr>
        <w:tc>
          <w:tcPr>
            <w:tcW w:w="5960"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黑体" w:hAnsi="黑体" w:eastAsia="黑体" w:cs="黑体"/>
                <w:i w:val="0"/>
                <w:color w:val="000000"/>
                <w:kern w:val="0"/>
                <w:sz w:val="18"/>
                <w:szCs w:val="18"/>
                <w:u w:val="none"/>
                <w:lang w:val="en-US" w:eastAsia="zh-CN" w:bidi="ar"/>
              </w:rPr>
              <w:t>2024年农工党广元市委按照年初工作计划及要求完满完成各项目标任务</w:t>
            </w:r>
          </w:p>
        </w:tc>
      </w:tr>
      <w:tr>
        <w:tblPrEx>
          <w:tblCellMar>
            <w:top w:w="0" w:type="dxa"/>
            <w:left w:w="0" w:type="dxa"/>
            <w:bottom w:w="0" w:type="dxa"/>
            <w:right w:w="0"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CellMar>
            <w:top w:w="0" w:type="dxa"/>
            <w:left w:w="0" w:type="dxa"/>
            <w:bottom w:w="0" w:type="dxa"/>
            <w:right w:w="0"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lang w:eastAsia="zh-CN"/>
              </w:rPr>
            </w:pPr>
            <w:r>
              <w:rPr>
                <w:rFonts w:hint="eastAsia" w:ascii="微软雅黑" w:hAnsi="微软雅黑" w:eastAsia="微软雅黑" w:cs="微软雅黑"/>
                <w:i/>
                <w:color w:val="000000"/>
                <w:sz w:val="16"/>
                <w:szCs w:val="16"/>
                <w:u w:val="none"/>
                <w:lang w:eastAsia="zh-CN"/>
              </w:rPr>
              <w:t>无</w:t>
            </w:r>
          </w:p>
        </w:tc>
      </w:tr>
      <w:tr>
        <w:tblPrEx>
          <w:tblCellMar>
            <w:top w:w="0" w:type="dxa"/>
            <w:left w:w="0" w:type="dxa"/>
            <w:bottom w:w="0" w:type="dxa"/>
            <w:right w:w="0" w:type="dxa"/>
          </w:tblCellMar>
        </w:tblPrEx>
        <w:trPr>
          <w:trHeight w:val="286" w:hRule="atLeast"/>
        </w:trPr>
        <w:tc>
          <w:tcPr>
            <w:tcW w:w="423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项目负责人：李兰</w:t>
            </w:r>
          </w:p>
        </w:tc>
        <w:tc>
          <w:tcPr>
            <w:tcW w:w="36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财务负责人：张洁</w:t>
            </w:r>
          </w:p>
        </w:tc>
      </w:tr>
      <w:tr>
        <w:tblPrEx>
          <w:tblCellMar>
            <w:top w:w="0" w:type="dxa"/>
            <w:left w:w="0" w:type="dxa"/>
            <w:bottom w:w="0" w:type="dxa"/>
            <w:right w:w="0" w:type="dxa"/>
          </w:tblCellMar>
        </w:tblPrEx>
        <w:trPr>
          <w:trHeight w:val="286" w:hRule="atLeast"/>
        </w:trPr>
        <w:tc>
          <w:tcPr>
            <w:tcW w:w="684"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1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70"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21"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0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3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9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0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0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95"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904" w:hRule="atLeast"/>
        </w:trPr>
        <w:tc>
          <w:tcPr>
            <w:tcW w:w="7865" w:type="dxa"/>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shd w:val="clear" w:color="auto" w:fill="auto"/>
          <w:tblCellMar>
            <w:top w:w="0" w:type="dxa"/>
            <w:left w:w="0" w:type="dxa"/>
            <w:bottom w:w="0" w:type="dxa"/>
            <w:right w:w="0" w:type="dxa"/>
          </w:tblCellMar>
        </w:tblPrEx>
        <w:trPr>
          <w:trHeight w:val="286" w:hRule="atLeast"/>
        </w:trPr>
        <w:tc>
          <w:tcPr>
            <w:tcW w:w="17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131"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51080024Y000010829138-定额公用经费（行政）</w:t>
            </w:r>
          </w:p>
        </w:tc>
      </w:tr>
      <w:tr>
        <w:tblPrEx>
          <w:tblCellMar>
            <w:top w:w="0" w:type="dxa"/>
            <w:left w:w="0" w:type="dxa"/>
            <w:bottom w:w="0" w:type="dxa"/>
            <w:right w:w="0" w:type="dxa"/>
          </w:tblCellMar>
        </w:tblPrEx>
        <w:trPr>
          <w:trHeight w:val="512" w:hRule="atLeast"/>
        </w:trPr>
        <w:tc>
          <w:tcPr>
            <w:tcW w:w="17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中国共产党广元市委员会统一战线工作部部门</w:t>
            </w:r>
          </w:p>
        </w:tc>
        <w:tc>
          <w:tcPr>
            <w:tcW w:w="690" w:type="dxa"/>
            <w:gridSpan w:val="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90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中国农工民主党广元市委员会</w:t>
            </w:r>
          </w:p>
        </w:tc>
      </w:tr>
      <w:tr>
        <w:tblPrEx>
          <w:tblCellMar>
            <w:top w:w="0" w:type="dxa"/>
            <w:left w:w="0" w:type="dxa"/>
            <w:bottom w:w="0" w:type="dxa"/>
            <w:right w:w="0"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25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25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2024年农工党广元市委按照年初工作计划及要求完满完成各项目标任务</w:t>
            </w:r>
          </w:p>
        </w:tc>
      </w:tr>
      <w:tr>
        <w:tblPrEx>
          <w:tblCellMar>
            <w:top w:w="0" w:type="dxa"/>
            <w:left w:w="0" w:type="dxa"/>
            <w:bottom w:w="0" w:type="dxa"/>
            <w:right w:w="0"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131"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按年初编制，严格执行预算，保障单位日常运转，其中为厉行节约未使用公务接待费。</w:t>
            </w:r>
          </w:p>
        </w:tc>
      </w:tr>
      <w:tr>
        <w:tblPrEx>
          <w:tblCellMar>
            <w:top w:w="0" w:type="dxa"/>
            <w:left w:w="0" w:type="dxa"/>
            <w:bottom w:w="0" w:type="dxa"/>
            <w:right w:w="0"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5.90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98.33%</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5.90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98.33%</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286" w:hRule="atLeast"/>
        </w:trPr>
        <w:tc>
          <w:tcPr>
            <w:tcW w:w="5960"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黑体" w:hAnsi="黑体" w:eastAsia="黑体" w:cs="黑体"/>
                <w:i w:val="0"/>
                <w:color w:val="000000"/>
                <w:kern w:val="0"/>
                <w:sz w:val="18"/>
                <w:szCs w:val="18"/>
                <w:u w:val="none"/>
                <w:lang w:val="en-US" w:eastAsia="zh-CN" w:bidi="ar"/>
              </w:rPr>
              <w:t>2024年农工党广元市委按照年初工作计划及要求完满完成各项目标任务</w:t>
            </w:r>
          </w:p>
        </w:tc>
      </w:tr>
      <w:tr>
        <w:tblPrEx>
          <w:tblCellMar>
            <w:top w:w="0" w:type="dxa"/>
            <w:left w:w="0" w:type="dxa"/>
            <w:bottom w:w="0" w:type="dxa"/>
            <w:right w:w="0"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CellMar>
            <w:top w:w="0" w:type="dxa"/>
            <w:left w:w="0" w:type="dxa"/>
            <w:bottom w:w="0" w:type="dxa"/>
            <w:right w:w="0"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CellMar>
            <w:top w:w="0" w:type="dxa"/>
            <w:left w:w="0" w:type="dxa"/>
            <w:bottom w:w="0" w:type="dxa"/>
            <w:right w:w="0" w:type="dxa"/>
          </w:tblCellMar>
        </w:tblPrEx>
        <w:trPr>
          <w:trHeight w:val="286" w:hRule="atLeast"/>
        </w:trPr>
        <w:tc>
          <w:tcPr>
            <w:tcW w:w="423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项目负责人：李兰</w:t>
            </w:r>
          </w:p>
        </w:tc>
        <w:tc>
          <w:tcPr>
            <w:tcW w:w="36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财务负责人：张洁</w:t>
            </w:r>
          </w:p>
        </w:tc>
      </w:tr>
      <w:tr>
        <w:tblPrEx>
          <w:tblCellMar>
            <w:top w:w="0" w:type="dxa"/>
            <w:left w:w="0" w:type="dxa"/>
            <w:bottom w:w="0" w:type="dxa"/>
            <w:right w:w="0" w:type="dxa"/>
          </w:tblCellMar>
        </w:tblPrEx>
        <w:trPr>
          <w:trHeight w:val="286" w:hRule="atLeast"/>
        </w:trPr>
        <w:tc>
          <w:tcPr>
            <w:tcW w:w="684"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1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70"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21"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0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3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90"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0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0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95" w:type="dxa"/>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904" w:hRule="atLeast"/>
        </w:trPr>
        <w:tc>
          <w:tcPr>
            <w:tcW w:w="7865" w:type="dxa"/>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shd w:val="clear" w:color="auto" w:fill="auto"/>
          <w:tblCellMar>
            <w:top w:w="0" w:type="dxa"/>
            <w:left w:w="0" w:type="dxa"/>
            <w:bottom w:w="0" w:type="dxa"/>
            <w:right w:w="0" w:type="dxa"/>
          </w:tblCellMar>
        </w:tblPrEx>
        <w:trPr>
          <w:trHeight w:val="286" w:hRule="atLeast"/>
        </w:trPr>
        <w:tc>
          <w:tcPr>
            <w:tcW w:w="17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131"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51080024Y000010829846-公用经费2（公车补贴、党建、退休活动）</w:t>
            </w:r>
          </w:p>
        </w:tc>
      </w:tr>
      <w:tr>
        <w:tblPrEx>
          <w:tblCellMar>
            <w:top w:w="0" w:type="dxa"/>
            <w:left w:w="0" w:type="dxa"/>
            <w:bottom w:w="0" w:type="dxa"/>
            <w:right w:w="0" w:type="dxa"/>
          </w:tblCellMar>
        </w:tblPrEx>
        <w:trPr>
          <w:trHeight w:val="512" w:hRule="atLeast"/>
        </w:trPr>
        <w:tc>
          <w:tcPr>
            <w:tcW w:w="173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中国共产党广元市委员会统一战线工作部部门</w:t>
            </w:r>
          </w:p>
        </w:tc>
        <w:tc>
          <w:tcPr>
            <w:tcW w:w="690" w:type="dxa"/>
            <w:gridSpan w:val="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90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中国农工民主党广元市委员会</w:t>
            </w:r>
          </w:p>
        </w:tc>
      </w:tr>
      <w:tr>
        <w:tblPrEx>
          <w:tblCellMar>
            <w:top w:w="0" w:type="dxa"/>
            <w:left w:w="0" w:type="dxa"/>
            <w:bottom w:w="0" w:type="dxa"/>
            <w:right w:w="0"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25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53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25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2024年农工党广元市委按照年初工作计划及要求完满完成各项目标任务</w:t>
            </w:r>
          </w:p>
        </w:tc>
      </w:tr>
      <w:tr>
        <w:tblPrEx>
          <w:tblCellMar>
            <w:top w:w="0" w:type="dxa"/>
            <w:left w:w="0" w:type="dxa"/>
            <w:bottom w:w="0" w:type="dxa"/>
            <w:right w:w="0"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131"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严格执行预算，保障单位日常运转。</w:t>
            </w:r>
          </w:p>
        </w:tc>
      </w:tr>
      <w:tr>
        <w:tblPrEx>
          <w:tblCellMar>
            <w:top w:w="0" w:type="dxa"/>
            <w:left w:w="0" w:type="dxa"/>
            <w:bottom w:w="0" w:type="dxa"/>
            <w:right w:w="0"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4.90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4.90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4.90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0" w:type="dxa"/>
            <w:bottom w:w="0" w:type="dxa"/>
            <w:right w:w="0"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4.90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4.90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4.90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1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color w:val="000000"/>
                <w:sz w:val="16"/>
                <w:szCs w:val="16"/>
                <w:u w:val="none"/>
                <w:lang w:val="en-US" w:eastAsia="zh-CN"/>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286" w:hRule="atLeast"/>
        </w:trPr>
        <w:tc>
          <w:tcPr>
            <w:tcW w:w="5960"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023年农工党广元市委按照年初工作计划及要求完满完成各项目标任务</w:t>
            </w:r>
          </w:p>
        </w:tc>
      </w:tr>
      <w:tr>
        <w:tblPrEx>
          <w:tblCellMar>
            <w:top w:w="0" w:type="dxa"/>
            <w:left w:w="0" w:type="dxa"/>
            <w:bottom w:w="0" w:type="dxa"/>
            <w:right w:w="0"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7181"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CellMar>
            <w:top w:w="0" w:type="dxa"/>
            <w:left w:w="0" w:type="dxa"/>
            <w:bottom w:w="0" w:type="dxa"/>
            <w:right w:w="0" w:type="dxa"/>
          </w:tblCellMar>
        </w:tblPrEx>
        <w:trPr>
          <w:trHeight w:val="286" w:hRule="atLeast"/>
        </w:trPr>
        <w:tc>
          <w:tcPr>
            <w:tcW w:w="423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项目负责人：李兰</w:t>
            </w:r>
          </w:p>
        </w:tc>
        <w:tc>
          <w:tcPr>
            <w:tcW w:w="363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财务负责人：张洁</w:t>
            </w:r>
          </w:p>
        </w:tc>
      </w:tr>
    </w:tbl>
    <w:p>
      <w:pPr>
        <w:keepNext w:val="0"/>
        <w:keepLines w:val="0"/>
        <w:widowControl/>
        <w:suppressLineNumbers w:val="0"/>
        <w:jc w:val="left"/>
        <w:textAlignment w:val="center"/>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20"/>
          <w:rFonts w:hint="eastAsia" w:ascii="黑体" w:hAnsi="黑体" w:eastAsia="黑体"/>
          <w:b w:val="0"/>
          <w:color w:val="auto"/>
          <w:highlight w:val="none"/>
        </w:rPr>
        <w:t>五部分 附表</w:t>
      </w:r>
      <w:bookmarkEnd w:id="65"/>
      <w:bookmarkEnd w:id="69"/>
      <w:bookmarkEnd w:id="70"/>
      <w:bookmarkStart w:id="71" w:name="_Toc15396619"/>
    </w:p>
    <w:p>
      <w:pPr>
        <w:pStyle w:val="4"/>
        <w:rPr>
          <w:rFonts w:ascii="仿宋" w:hAnsi="仿宋" w:eastAsia="仿宋"/>
          <w:color w:val="auto"/>
          <w:highlight w:val="none"/>
        </w:rPr>
      </w:pPr>
      <w:bookmarkStart w:id="72" w:name="_Toc5714"/>
      <w:r>
        <w:rPr>
          <w:rFonts w:hint="eastAsia" w:ascii="仿宋" w:hAnsi="仿宋" w:eastAsia="仿宋"/>
          <w:b w:val="0"/>
          <w:color w:val="auto"/>
          <w:highlight w:val="none"/>
        </w:rPr>
        <w:t>一、收</w:t>
      </w:r>
      <w:r>
        <w:rPr>
          <w:rStyle w:val="21"/>
          <w:rFonts w:hint="eastAsia" w:ascii="仿宋" w:hAnsi="仿宋" w:eastAsia="仿宋"/>
          <w:b w:val="0"/>
          <w:bCs w:val="0"/>
          <w:color w:val="auto"/>
          <w:highlight w:val="none"/>
        </w:rPr>
        <w:t>入支出决算总表</w:t>
      </w:r>
      <w:bookmarkEnd w:id="71"/>
      <w:bookmarkEnd w:id="72"/>
    </w:p>
    <w:p>
      <w:pPr>
        <w:pStyle w:val="4"/>
        <w:rPr>
          <w:rFonts w:ascii="仿宋" w:hAnsi="仿宋" w:eastAsia="仿宋"/>
          <w:color w:val="auto"/>
          <w:highlight w:val="none"/>
        </w:rPr>
      </w:pPr>
      <w:bookmarkStart w:id="73" w:name="_Toc15396620"/>
      <w:bookmarkStart w:id="74" w:name="_Toc6383"/>
      <w:r>
        <w:rPr>
          <w:rFonts w:hint="eastAsia" w:ascii="仿宋" w:hAnsi="仿宋" w:eastAsia="仿宋"/>
          <w:b w:val="0"/>
          <w:color w:val="auto"/>
          <w:highlight w:val="none"/>
        </w:rPr>
        <w:t>二、收</w:t>
      </w:r>
      <w:r>
        <w:rPr>
          <w:rStyle w:val="21"/>
          <w:rFonts w:hint="eastAsia" w:ascii="仿宋" w:hAnsi="仿宋" w:eastAsia="仿宋"/>
          <w:b w:val="0"/>
          <w:bCs w:val="0"/>
          <w:color w:val="auto"/>
          <w:highlight w:val="none"/>
        </w:rPr>
        <w:t>入决算表</w:t>
      </w:r>
      <w:bookmarkEnd w:id="73"/>
      <w:bookmarkEnd w:id="74"/>
    </w:p>
    <w:p>
      <w:pPr>
        <w:pStyle w:val="4"/>
        <w:rPr>
          <w:rFonts w:ascii="仿宋" w:hAnsi="仿宋" w:eastAsia="仿宋"/>
          <w:color w:val="auto"/>
          <w:highlight w:val="none"/>
        </w:rPr>
      </w:pPr>
      <w:bookmarkStart w:id="75" w:name="_Toc15396621"/>
      <w:bookmarkStart w:id="76" w:name="_Toc14524"/>
      <w:r>
        <w:rPr>
          <w:rStyle w:val="21"/>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1"/>
          <w:rFonts w:hint="eastAsia" w:ascii="仿宋" w:hAnsi="仿宋" w:eastAsia="仿宋"/>
          <w:b w:val="0"/>
          <w:bCs w:val="0"/>
          <w:color w:val="auto"/>
          <w:highlight w:val="none"/>
        </w:rPr>
        <w:t>出决算表</w:t>
      </w:r>
      <w:bookmarkEnd w:id="75"/>
      <w:bookmarkEnd w:id="76"/>
    </w:p>
    <w:p>
      <w:pPr>
        <w:pStyle w:val="4"/>
        <w:rPr>
          <w:rFonts w:ascii="仿宋" w:hAnsi="仿宋" w:eastAsia="仿宋"/>
          <w:b w:val="0"/>
          <w:color w:val="auto"/>
          <w:highlight w:val="none"/>
        </w:rPr>
      </w:pPr>
      <w:bookmarkStart w:id="77" w:name="_Toc11227"/>
      <w:bookmarkStart w:id="78" w:name="_Toc15396622"/>
      <w:r>
        <w:rPr>
          <w:rStyle w:val="21"/>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1"/>
          <w:rFonts w:hint="eastAsia" w:ascii="仿宋" w:hAnsi="仿宋" w:eastAsia="仿宋"/>
          <w:b w:val="0"/>
          <w:bCs w:val="0"/>
          <w:color w:val="auto"/>
          <w:highlight w:val="none"/>
        </w:rPr>
        <w:t>政拨款收入支出决算总表</w:t>
      </w:r>
      <w:bookmarkEnd w:id="77"/>
      <w:bookmarkEnd w:id="78"/>
    </w:p>
    <w:p>
      <w:pPr>
        <w:pStyle w:val="4"/>
        <w:rPr>
          <w:rStyle w:val="21"/>
          <w:rFonts w:ascii="仿宋" w:hAnsi="仿宋" w:eastAsia="仿宋"/>
          <w:b w:val="0"/>
          <w:bCs w:val="0"/>
          <w:color w:val="auto"/>
          <w:highlight w:val="none"/>
        </w:rPr>
      </w:pPr>
      <w:bookmarkStart w:id="79" w:name="_Toc15396623"/>
      <w:bookmarkStart w:id="80" w:name="_Toc16030"/>
      <w:r>
        <w:rPr>
          <w:rStyle w:val="21"/>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1"/>
          <w:rFonts w:hint="eastAsia" w:ascii="仿宋" w:hAnsi="仿宋" w:eastAsia="仿宋"/>
          <w:b w:val="0"/>
          <w:bCs w:val="0"/>
          <w:color w:val="auto"/>
          <w:highlight w:val="none"/>
        </w:rPr>
        <w:t>政拨款支出决算明细表</w:t>
      </w:r>
      <w:bookmarkEnd w:id="79"/>
      <w:bookmarkEnd w:id="80"/>
      <w:bookmarkStart w:id="81" w:name="_Toc15396624"/>
    </w:p>
    <w:p>
      <w:pPr>
        <w:pStyle w:val="4"/>
        <w:rPr>
          <w:rFonts w:ascii="仿宋" w:hAnsi="仿宋" w:eastAsia="仿宋"/>
          <w:color w:val="auto"/>
          <w:highlight w:val="none"/>
        </w:rPr>
      </w:pPr>
      <w:bookmarkStart w:id="82" w:name="_Toc22244"/>
      <w:r>
        <w:rPr>
          <w:rStyle w:val="21"/>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般公共预算财政拨款支出决算表</w:t>
      </w:r>
      <w:bookmarkEnd w:id="81"/>
      <w:bookmarkEnd w:id="82"/>
    </w:p>
    <w:p>
      <w:pPr>
        <w:pStyle w:val="4"/>
        <w:rPr>
          <w:rFonts w:ascii="仿宋" w:hAnsi="仿宋" w:eastAsia="仿宋"/>
          <w:color w:val="auto"/>
          <w:highlight w:val="none"/>
        </w:rPr>
      </w:pPr>
      <w:bookmarkStart w:id="83" w:name="_Toc15396625"/>
      <w:bookmarkStart w:id="84" w:name="_Toc7574"/>
      <w:r>
        <w:rPr>
          <w:rStyle w:val="21"/>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般公共预算财政拨款支出决算明细表</w:t>
      </w:r>
      <w:bookmarkEnd w:id="83"/>
      <w:bookmarkEnd w:id="84"/>
    </w:p>
    <w:p>
      <w:pPr>
        <w:pStyle w:val="4"/>
        <w:rPr>
          <w:rFonts w:ascii="仿宋" w:hAnsi="仿宋" w:eastAsia="仿宋"/>
          <w:color w:val="auto"/>
          <w:highlight w:val="none"/>
        </w:rPr>
      </w:pPr>
      <w:bookmarkStart w:id="85" w:name="_Toc22370"/>
      <w:bookmarkStart w:id="86" w:name="_Toc15396626"/>
      <w:r>
        <w:rPr>
          <w:rStyle w:val="21"/>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般公共预算财政拨款基本支出决算表</w:t>
      </w:r>
      <w:bookmarkEnd w:id="85"/>
      <w:bookmarkEnd w:id="86"/>
    </w:p>
    <w:p>
      <w:pPr>
        <w:pStyle w:val="4"/>
        <w:rPr>
          <w:rFonts w:ascii="仿宋" w:hAnsi="仿宋" w:eastAsia="仿宋"/>
          <w:color w:val="auto"/>
          <w:highlight w:val="none"/>
        </w:rPr>
      </w:pPr>
      <w:bookmarkStart w:id="87" w:name="_Toc2822"/>
      <w:bookmarkStart w:id="88" w:name="_Toc15396627"/>
      <w:r>
        <w:rPr>
          <w:rStyle w:val="21"/>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般公共预算财政拨款项目支出决算表</w:t>
      </w:r>
      <w:bookmarkEnd w:id="87"/>
      <w:bookmarkEnd w:id="88"/>
    </w:p>
    <w:p>
      <w:pPr>
        <w:pStyle w:val="4"/>
        <w:rPr>
          <w:rFonts w:ascii="仿宋" w:hAnsi="仿宋" w:eastAsia="仿宋"/>
          <w:color w:val="auto"/>
          <w:highlight w:val="none"/>
        </w:rPr>
      </w:pPr>
      <w:bookmarkStart w:id="89" w:name="_Toc15396628"/>
      <w:bookmarkStart w:id="90" w:name="_Toc27892"/>
      <w:r>
        <w:rPr>
          <w:rStyle w:val="21"/>
          <w:rFonts w:hint="eastAsia" w:ascii="仿宋" w:hAnsi="仿宋" w:eastAsia="仿宋"/>
          <w:b w:val="0"/>
          <w:bCs w:val="0"/>
          <w:color w:val="auto"/>
          <w:highlight w:val="none"/>
        </w:rPr>
        <w:t>十、</w:t>
      </w:r>
      <w:bookmarkEnd w:id="89"/>
      <w:r>
        <w:rPr>
          <w:rFonts w:hint="eastAsia" w:ascii="仿宋" w:hAnsi="仿宋" w:eastAsia="仿宋"/>
          <w:b w:val="0"/>
          <w:color w:val="auto"/>
          <w:highlight w:val="none"/>
        </w:rPr>
        <w:t>政</w:t>
      </w:r>
      <w:r>
        <w:rPr>
          <w:rStyle w:val="21"/>
          <w:rFonts w:hint="eastAsia" w:ascii="仿宋" w:hAnsi="仿宋" w:eastAsia="仿宋"/>
          <w:b w:val="0"/>
          <w:bCs w:val="0"/>
          <w:color w:val="auto"/>
          <w:highlight w:val="none"/>
        </w:rPr>
        <w:t>府性基金预算财政拨款收入支出决算表</w:t>
      </w:r>
      <w:bookmarkEnd w:id="90"/>
    </w:p>
    <w:p>
      <w:pPr>
        <w:pStyle w:val="4"/>
        <w:rPr>
          <w:rFonts w:ascii="仿宋" w:hAnsi="仿宋" w:eastAsia="仿宋"/>
          <w:color w:val="auto"/>
          <w:highlight w:val="none"/>
        </w:rPr>
      </w:pPr>
      <w:bookmarkStart w:id="91" w:name="_Toc15396629"/>
      <w:bookmarkStart w:id="92" w:name="_Toc12490"/>
      <w:r>
        <w:rPr>
          <w:rStyle w:val="21"/>
          <w:rFonts w:hint="eastAsia" w:ascii="仿宋" w:hAnsi="仿宋" w:eastAsia="仿宋"/>
          <w:b w:val="0"/>
          <w:bCs w:val="0"/>
          <w:color w:val="auto"/>
          <w:highlight w:val="none"/>
        </w:rPr>
        <w:t>十一、</w:t>
      </w:r>
      <w:bookmarkEnd w:id="91"/>
      <w:r>
        <w:rPr>
          <w:rFonts w:hint="eastAsia" w:ascii="仿宋" w:hAnsi="仿宋" w:eastAsia="仿宋"/>
          <w:b w:val="0"/>
          <w:color w:val="auto"/>
          <w:highlight w:val="none"/>
        </w:rPr>
        <w:t>国</w:t>
      </w:r>
      <w:r>
        <w:rPr>
          <w:rStyle w:val="21"/>
          <w:rFonts w:hint="eastAsia" w:ascii="仿宋" w:hAnsi="仿宋" w:eastAsia="仿宋"/>
          <w:b w:val="0"/>
          <w:bCs w:val="0"/>
          <w:color w:val="auto"/>
          <w:highlight w:val="none"/>
        </w:rPr>
        <w:t>有资本经营预算</w:t>
      </w:r>
      <w:r>
        <w:rPr>
          <w:rStyle w:val="21"/>
          <w:rFonts w:hint="eastAsia" w:ascii="仿宋" w:hAnsi="仿宋" w:eastAsia="仿宋"/>
          <w:b w:val="0"/>
          <w:bCs w:val="0"/>
          <w:color w:val="auto"/>
          <w:highlight w:val="none"/>
          <w:lang w:eastAsia="zh-CN"/>
        </w:rPr>
        <w:t>财政拨款收入</w:t>
      </w:r>
      <w:r>
        <w:rPr>
          <w:rStyle w:val="21"/>
          <w:rFonts w:hint="eastAsia" w:ascii="仿宋" w:hAnsi="仿宋" w:eastAsia="仿宋"/>
          <w:b w:val="0"/>
          <w:bCs w:val="0"/>
          <w:color w:val="auto"/>
          <w:highlight w:val="none"/>
        </w:rPr>
        <w:t>支出决算表</w:t>
      </w:r>
      <w:bookmarkEnd w:id="92"/>
    </w:p>
    <w:p>
      <w:pPr>
        <w:pStyle w:val="4"/>
        <w:rPr>
          <w:rFonts w:ascii="仿宋" w:hAnsi="仿宋" w:eastAsia="仿宋"/>
          <w:color w:val="auto"/>
          <w:highlight w:val="none"/>
        </w:rPr>
      </w:pPr>
      <w:bookmarkStart w:id="93" w:name="_Toc15396630"/>
      <w:bookmarkStart w:id="94" w:name="_Toc18389"/>
      <w:r>
        <w:rPr>
          <w:rStyle w:val="21"/>
          <w:rFonts w:hint="eastAsia" w:ascii="仿宋" w:hAnsi="仿宋" w:eastAsia="仿宋"/>
          <w:b w:val="0"/>
          <w:bCs w:val="0"/>
          <w:color w:val="auto"/>
          <w:highlight w:val="none"/>
        </w:rPr>
        <w:t>十二、</w:t>
      </w:r>
      <w:bookmarkEnd w:id="93"/>
      <w:r>
        <w:rPr>
          <w:rStyle w:val="21"/>
          <w:rFonts w:hint="eastAsia" w:ascii="仿宋" w:hAnsi="仿宋" w:eastAsia="仿宋"/>
          <w:b w:val="0"/>
          <w:bCs w:val="0"/>
          <w:color w:val="auto"/>
          <w:highlight w:val="none"/>
          <w:lang w:eastAsia="zh-CN"/>
        </w:rPr>
        <w:t>国有资本经营预算财政拨款支出决算表</w:t>
      </w:r>
      <w:bookmarkEnd w:id="94"/>
    </w:p>
    <w:p>
      <w:pPr>
        <w:pStyle w:val="4"/>
        <w:rPr>
          <w:rFonts w:hint="eastAsia" w:eastAsia="仿宋"/>
          <w:color w:val="auto"/>
          <w:highlight w:val="none"/>
          <w:lang w:eastAsia="zh-CN"/>
        </w:rPr>
      </w:pPr>
      <w:bookmarkStart w:id="95" w:name="_Toc15396631"/>
      <w:bookmarkStart w:id="96" w:name="_Toc15551"/>
      <w:r>
        <w:rPr>
          <w:rStyle w:val="21"/>
          <w:rFonts w:hint="eastAsia" w:ascii="仿宋" w:hAnsi="仿宋" w:eastAsia="仿宋"/>
          <w:b w:val="0"/>
          <w:bCs w:val="0"/>
          <w:color w:val="auto"/>
          <w:highlight w:val="none"/>
        </w:rPr>
        <w:t>十三、</w:t>
      </w:r>
      <w:bookmarkEnd w:id="95"/>
      <w:r>
        <w:rPr>
          <w:rStyle w:val="21"/>
          <w:rFonts w:hint="eastAsia" w:ascii="仿宋" w:hAnsi="仿宋" w:eastAsia="仿宋"/>
          <w:b w:val="0"/>
          <w:bCs w:val="0"/>
          <w:color w:val="auto"/>
          <w:highlight w:val="none"/>
          <w:lang w:eastAsia="zh-CN"/>
        </w:rPr>
        <w:t>财政拨款“三公”经费支出决算表</w:t>
      </w:r>
      <w:bookmarkEnd w:id="96"/>
    </w:p>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91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23"/>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a/cNOGwIAACkEAAAOAAAAAAAAAAEAIAAAADUBAABkcnMvZTJvRG9jLnhtbFBLBQYA&#10;AAAABgAGAFkBAADCBQAAAAA=&#10;">
              <v:fill on="f" focussize="0,0"/>
              <v:stroke on="f" weight="0.5pt"/>
              <v:imagedata o:title=""/>
              <o:lock v:ext="edit" aspectratio="f"/>
              <v:textbox inset="0mm,0mm,0mm,0mm" style="mso-fit-shape-to-text:t;">
                <w:txbxContent>
                  <w:sdt>
                    <w:sdtPr>
                      <w:id w:val="1474591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23"/>
                    </w:pPr>
                  </w:p>
                </w:txbxContent>
              </v:textbox>
            </v:shape>
          </w:pict>
        </mc:Fallback>
      </mc:AlternateContent>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default"/>
        <w:lang w:val="en-US" w:eastAsia="zh-CN"/>
      </w:rPr>
    </w:pPr>
    <w:r>
      <w:rPr>
        <w:rFonts w:hint="eastAsia"/>
        <w:lang w:val="en-US" w:eastAsia="zh-CN"/>
      </w:rPr>
      <w:t xml:space="preserve">                                             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E2A99B"/>
    <w:multiLevelType w:val="singleLevel"/>
    <w:tmpl w:val="A5E2A99B"/>
    <w:lvl w:ilvl="0" w:tentative="0">
      <w:start w:val="1"/>
      <w:numFmt w:val="decimal"/>
      <w:suff w:val="nothing"/>
      <w:lvlText w:val="%1．"/>
      <w:lvlJc w:val="left"/>
      <w:pPr>
        <w:ind w:left="0" w:firstLine="400"/>
      </w:pPr>
      <w:rPr>
        <w:rFonts w:hint="default"/>
      </w:rPr>
    </w:lvl>
  </w:abstractNum>
  <w:abstractNum w:abstractNumId="1">
    <w:nsid w:val="B6099FB6"/>
    <w:multiLevelType w:val="singleLevel"/>
    <w:tmpl w:val="B6099FB6"/>
    <w:lvl w:ilvl="0" w:tentative="0">
      <w:start w:val="1"/>
      <w:numFmt w:val="chineseCounting"/>
      <w:suff w:val="nothing"/>
      <w:lvlText w:val="%1、"/>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rPr>
    </w:lvl>
  </w:abstractNum>
  <w:abstractNum w:abstractNumId="4">
    <w:nsid w:val="EE5C9A16"/>
    <w:multiLevelType w:val="singleLevel"/>
    <w:tmpl w:val="EE5C9A16"/>
    <w:lvl w:ilvl="0" w:tentative="0">
      <w:start w:val="1"/>
      <w:numFmt w:val="decimal"/>
      <w:suff w:val="nothing"/>
      <w:lvlText w:val="%1．"/>
      <w:lvlJc w:val="left"/>
      <w:pPr>
        <w:ind w:left="0" w:firstLine="397"/>
      </w:pPr>
      <w:rPr>
        <w:rFonts w:hint="default"/>
      </w:r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975B8"/>
    <w:rsid w:val="01D23CE5"/>
    <w:rsid w:val="02143E91"/>
    <w:rsid w:val="054768C7"/>
    <w:rsid w:val="05A70BB0"/>
    <w:rsid w:val="066E0107"/>
    <w:rsid w:val="07996F6E"/>
    <w:rsid w:val="0A2032A3"/>
    <w:rsid w:val="0BFD04D9"/>
    <w:rsid w:val="0C7031B4"/>
    <w:rsid w:val="0D2B0AE5"/>
    <w:rsid w:val="0D933C7E"/>
    <w:rsid w:val="0ED60325"/>
    <w:rsid w:val="0F98263C"/>
    <w:rsid w:val="101860EC"/>
    <w:rsid w:val="108F5D13"/>
    <w:rsid w:val="10C055FF"/>
    <w:rsid w:val="118107EC"/>
    <w:rsid w:val="13D50BC4"/>
    <w:rsid w:val="16BB723D"/>
    <w:rsid w:val="186F747C"/>
    <w:rsid w:val="1BE8440E"/>
    <w:rsid w:val="1C3C27AE"/>
    <w:rsid w:val="1CBB5B48"/>
    <w:rsid w:val="1D155CEE"/>
    <w:rsid w:val="1FF35744"/>
    <w:rsid w:val="23391E18"/>
    <w:rsid w:val="237C641B"/>
    <w:rsid w:val="23860B96"/>
    <w:rsid w:val="240371BF"/>
    <w:rsid w:val="26C26CF7"/>
    <w:rsid w:val="29FD04D3"/>
    <w:rsid w:val="2C1C6077"/>
    <w:rsid w:val="2C8A61B5"/>
    <w:rsid w:val="2DD0135E"/>
    <w:rsid w:val="2DF04E50"/>
    <w:rsid w:val="2EDB52CB"/>
    <w:rsid w:val="2F040D46"/>
    <w:rsid w:val="2F1208C7"/>
    <w:rsid w:val="306D4B10"/>
    <w:rsid w:val="308842FC"/>
    <w:rsid w:val="315851A0"/>
    <w:rsid w:val="319F7F4E"/>
    <w:rsid w:val="31B42931"/>
    <w:rsid w:val="32A9493D"/>
    <w:rsid w:val="3304709D"/>
    <w:rsid w:val="36AA5135"/>
    <w:rsid w:val="372627D7"/>
    <w:rsid w:val="376D39B2"/>
    <w:rsid w:val="37E16F03"/>
    <w:rsid w:val="3834749E"/>
    <w:rsid w:val="38D469F0"/>
    <w:rsid w:val="3B070A97"/>
    <w:rsid w:val="3BBA746B"/>
    <w:rsid w:val="3D98207C"/>
    <w:rsid w:val="3E78745D"/>
    <w:rsid w:val="3FFD4BA6"/>
    <w:rsid w:val="41E32594"/>
    <w:rsid w:val="44E268DA"/>
    <w:rsid w:val="466C44D7"/>
    <w:rsid w:val="47282C97"/>
    <w:rsid w:val="4A627F82"/>
    <w:rsid w:val="4B0E749A"/>
    <w:rsid w:val="4B4F25DA"/>
    <w:rsid w:val="4B806DF5"/>
    <w:rsid w:val="4BE068DB"/>
    <w:rsid w:val="4D577224"/>
    <w:rsid w:val="4EAB630A"/>
    <w:rsid w:val="4ECE2238"/>
    <w:rsid w:val="51B83623"/>
    <w:rsid w:val="52957F9F"/>
    <w:rsid w:val="537E6D0A"/>
    <w:rsid w:val="5A1467C7"/>
    <w:rsid w:val="5AF92295"/>
    <w:rsid w:val="5CD71FC4"/>
    <w:rsid w:val="5D5F28B0"/>
    <w:rsid w:val="60FB1120"/>
    <w:rsid w:val="666C1180"/>
    <w:rsid w:val="672834C4"/>
    <w:rsid w:val="6C4A05C8"/>
    <w:rsid w:val="6E7E3605"/>
    <w:rsid w:val="6F3A54F2"/>
    <w:rsid w:val="6FF5CC65"/>
    <w:rsid w:val="6FFE617B"/>
    <w:rsid w:val="715C0E4B"/>
    <w:rsid w:val="72734D90"/>
    <w:rsid w:val="72A77E92"/>
    <w:rsid w:val="72C232B3"/>
    <w:rsid w:val="73AD73D5"/>
    <w:rsid w:val="73B6EB34"/>
    <w:rsid w:val="744731E5"/>
    <w:rsid w:val="74B34C7F"/>
    <w:rsid w:val="74F0701C"/>
    <w:rsid w:val="76E3355F"/>
    <w:rsid w:val="778769C8"/>
    <w:rsid w:val="79EE5BA4"/>
    <w:rsid w:val="7A894339"/>
    <w:rsid w:val="7DD4C306"/>
    <w:rsid w:val="7EEF11D3"/>
    <w:rsid w:val="7F063CA9"/>
    <w:rsid w:val="7FA30C79"/>
    <w:rsid w:val="7FB7269E"/>
    <w:rsid w:val="7FC96657"/>
    <w:rsid w:val="D8D6DB89"/>
    <w:rsid w:val="DB6F4CAB"/>
    <w:rsid w:val="DBDFF1C1"/>
    <w:rsid w:val="DF6F9789"/>
    <w:rsid w:val="EBFD4043"/>
    <w:rsid w:val="F7DF3D5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2"/>
    <w:unhideWhenUsed/>
    <w:qFormat/>
    <w:uiPriority w:val="9"/>
    <w:pPr>
      <w:keepNext/>
      <w:keepLines/>
      <w:spacing w:before="260" w:after="260" w:line="416" w:lineRule="auto"/>
      <w:outlineLvl w:val="2"/>
    </w:pPr>
    <w:rPr>
      <w:b/>
      <w:bCs/>
      <w:sz w:val="32"/>
      <w:szCs w:val="32"/>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2"/>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6"/>
    <w:semiHidden/>
    <w:unhideWhenUsed/>
    <w:qFormat/>
    <w:uiPriority w:val="99"/>
    <w:rPr>
      <w:sz w:val="18"/>
      <w:szCs w:val="18"/>
    </w:rPr>
  </w:style>
  <w:style w:type="paragraph" w:styleId="10">
    <w:name w:val="footer"/>
    <w:basedOn w:val="1"/>
    <w:link w:val="30"/>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2"/>
    <w:basedOn w:val="7"/>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标题 1 Char"/>
    <w:basedOn w:val="17"/>
    <w:link w:val="3"/>
    <w:qFormat/>
    <w:uiPriority w:val="9"/>
    <w:rPr>
      <w:rFonts w:ascii="Times New Roman" w:hAnsi="Times New Roman"/>
      <w:b/>
      <w:bCs/>
      <w:kern w:val="44"/>
      <w:sz w:val="44"/>
      <w:szCs w:val="44"/>
    </w:rPr>
  </w:style>
  <w:style w:type="character" w:customStyle="1" w:styleId="21">
    <w:name w:val="标题 2 Char"/>
    <w:basedOn w:val="17"/>
    <w:link w:val="4"/>
    <w:qFormat/>
    <w:uiPriority w:val="9"/>
    <w:rPr>
      <w:rFonts w:asciiTheme="majorHAnsi" w:hAnsiTheme="majorHAnsi" w:eastAsiaTheme="majorEastAsia" w:cstheme="majorBidi"/>
      <w:b/>
      <w:bCs/>
      <w:kern w:val="2"/>
      <w:sz w:val="32"/>
      <w:szCs w:val="32"/>
    </w:rPr>
  </w:style>
  <w:style w:type="character" w:customStyle="1" w:styleId="22">
    <w:name w:val="标题 3 Char"/>
    <w:basedOn w:val="17"/>
    <w:link w:val="5"/>
    <w:qFormat/>
    <w:uiPriority w:val="9"/>
    <w:rPr>
      <w:rFonts w:ascii="Times New Roman" w:hAnsi="Times New Roman"/>
      <w:b/>
      <w:bCs/>
      <w:kern w:val="2"/>
      <w:sz w:val="32"/>
      <w:szCs w:val="32"/>
    </w:rPr>
  </w:style>
  <w:style w:type="paragraph" w:customStyle="1" w:styleId="23">
    <w:name w:val="BodyText1I2"/>
    <w:basedOn w:val="24"/>
    <w:qFormat/>
    <w:uiPriority w:val="0"/>
    <w:pPr>
      <w:spacing w:before="100" w:beforeAutospacing="1" w:after="100" w:afterAutospacing="1"/>
      <w:ind w:firstLine="420" w:firstLineChars="200"/>
      <w:jc w:val="both"/>
      <w:textAlignment w:val="baseline"/>
    </w:pPr>
  </w:style>
  <w:style w:type="paragraph" w:customStyle="1" w:styleId="24">
    <w:name w:val="BodyTextIndent"/>
    <w:basedOn w:val="1"/>
    <w:qFormat/>
    <w:uiPriority w:val="0"/>
    <w:pPr>
      <w:ind w:firstLine="640" w:firstLineChars="200"/>
      <w:jc w:val="both"/>
      <w:textAlignment w:val="baseline"/>
    </w:pPr>
    <w:rPr>
      <w:rFonts w:ascii="Times New Roman" w:hAnsi="Times New Roman" w:eastAsia="仿宋_GB2312"/>
      <w:kern w:val="2"/>
      <w:sz w:val="32"/>
      <w:szCs w:val="24"/>
      <w:lang w:val="en-US" w:eastAsia="zh-CN" w:bidi="ar-SA"/>
    </w:rPr>
  </w:style>
  <w:style w:type="paragraph" w:customStyle="1" w:styleId="25">
    <w:name w:val="正文-啊"/>
    <w:basedOn w:val="1"/>
    <w:qFormat/>
    <w:uiPriority w:val="0"/>
    <w:pPr>
      <w:spacing w:beforeLines="100" w:line="276" w:lineRule="auto"/>
      <w:ind w:left="210" w:right="210" w:firstLine="600"/>
      <w:contextualSpacing/>
    </w:pPr>
    <w:rPr>
      <w:rFonts w:ascii="微软雅黑" w:hAnsi="微软雅黑"/>
      <w:color w:val="000000"/>
      <w:sz w:val="24"/>
      <w:szCs w:val="21"/>
    </w:rPr>
  </w:style>
  <w:style w:type="paragraph" w:customStyle="1" w:styleId="26">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7">
    <w:name w:val="Header Char"/>
    <w:basedOn w:val="17"/>
    <w:semiHidden/>
    <w:qFormat/>
    <w:uiPriority w:val="99"/>
    <w:rPr>
      <w:rFonts w:ascii="Times New Roman" w:hAnsi="Times New Roman"/>
      <w:sz w:val="18"/>
      <w:szCs w:val="18"/>
    </w:rPr>
  </w:style>
  <w:style w:type="character" w:customStyle="1" w:styleId="28">
    <w:name w:val="页眉 Char"/>
    <w:link w:val="11"/>
    <w:semiHidden/>
    <w:qFormat/>
    <w:locked/>
    <w:uiPriority w:val="99"/>
    <w:rPr>
      <w:sz w:val="18"/>
    </w:rPr>
  </w:style>
  <w:style w:type="character" w:customStyle="1" w:styleId="29">
    <w:name w:val="Footer Char"/>
    <w:basedOn w:val="17"/>
    <w:semiHidden/>
    <w:qFormat/>
    <w:uiPriority w:val="99"/>
    <w:rPr>
      <w:rFonts w:ascii="Times New Roman" w:hAnsi="Times New Roman"/>
      <w:sz w:val="18"/>
      <w:szCs w:val="18"/>
    </w:rPr>
  </w:style>
  <w:style w:type="character" w:customStyle="1" w:styleId="30">
    <w:name w:val="页脚 Char"/>
    <w:link w:val="10"/>
    <w:qFormat/>
    <w:locked/>
    <w:uiPriority w:val="99"/>
    <w:rPr>
      <w:sz w:val="18"/>
    </w:rPr>
  </w:style>
  <w:style w:type="character" w:customStyle="1" w:styleId="31">
    <w:name w:val="Body Text Char"/>
    <w:basedOn w:val="17"/>
    <w:semiHidden/>
    <w:qFormat/>
    <w:uiPriority w:val="99"/>
    <w:rPr>
      <w:rFonts w:ascii="Times New Roman" w:hAnsi="Times New Roman"/>
      <w:szCs w:val="24"/>
    </w:rPr>
  </w:style>
  <w:style w:type="character" w:customStyle="1" w:styleId="32">
    <w:name w:val="正文文本 Char"/>
    <w:link w:val="2"/>
    <w:qFormat/>
    <w:locked/>
    <w:uiPriority w:val="99"/>
    <w:rPr>
      <w:rFonts w:ascii="仿宋_GB2312" w:hAnsi="Times New Roman" w:eastAsia="仿宋_GB2312"/>
      <w:sz w:val="24"/>
    </w:rPr>
  </w:style>
  <w:style w:type="paragraph" w:customStyle="1" w:styleId="3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4">
    <w:name w:val="List Paragraph"/>
    <w:basedOn w:val="1"/>
    <w:qFormat/>
    <w:uiPriority w:val="34"/>
    <w:pPr>
      <w:ind w:firstLine="420" w:firstLineChars="200"/>
    </w:pPr>
  </w:style>
  <w:style w:type="paragraph" w:customStyle="1" w:styleId="35">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批注框文本 Char"/>
    <w:basedOn w:val="17"/>
    <w:link w:val="9"/>
    <w:semiHidden/>
    <w:qFormat/>
    <w:uiPriority w:val="99"/>
    <w:rPr>
      <w:rFonts w:ascii="Times New Roman" w:hAnsi="Times New Roman"/>
      <w:kern w:val="2"/>
      <w:sz w:val="18"/>
      <w:szCs w:val="18"/>
    </w:rPr>
  </w:style>
  <w:style w:type="paragraph" w:customStyle="1" w:styleId="37">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8">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9">
    <w:name w:val="WPSOffice手动目录 1"/>
    <w:qFormat/>
    <w:uiPriority w:val="0"/>
    <w:pPr>
      <w:ind w:leftChars="0"/>
    </w:pPr>
    <w:rPr>
      <w:rFonts w:ascii="Times New Roman" w:hAnsi="Times New Roman" w:eastAsia="宋体" w:cs="Times New Roman"/>
      <w:sz w:val="20"/>
      <w:szCs w:val="20"/>
    </w:rPr>
  </w:style>
  <w:style w:type="paragraph" w:customStyle="1" w:styleId="40">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Administrator\Desktop\&#26032;&#24314;%20XLSX%20&#24037;&#20316;&#34920;%20(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Administrator\Desktop\&#26032;&#24314;%20XLSX%20&#24037;&#20316;&#34920;%20(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strator\Desktop\&#26032;&#24314;%20XLSX%20&#24037;&#20316;&#34920;%20(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26032;&#24314;%20XLSX%20&#24037;&#20316;&#34920;%20(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Administrator\Desktop\&#26032;&#24314;%20XLSX%20&#24037;&#20316;&#34920;%2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'[新建 XLSX 工作表 (4).xlsx]Sheet1'!$D$2</c:f>
              <c:strCache>
                <c:ptCount val="1"/>
                <c:pt idx="0">
                  <c:v>收、支总计</c:v>
                </c:pt>
              </c:strCache>
            </c:strRef>
          </c:tx>
          <c:spPr>
            <a:solidFill>
              <a:schemeClr val="accent2"/>
            </a:solidFill>
            <a:ln>
              <a:noFill/>
            </a:ln>
            <a:effectLst/>
          </c:spPr>
          <c:invertIfNegative val="false"/>
          <c:dPt>
            <c:idx val="0"/>
            <c:invertIfNegative val="false"/>
            <c:bubble3D val="false"/>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false"/>
              </a:gradFill>
              <a:ln>
                <a:noFill/>
              </a:ln>
              <a:effectLst/>
            </c:spPr>
          </c:dPt>
          <c:dPt>
            <c:idx val="1"/>
            <c:invertIfNegative val="false"/>
            <c:bubble3D val="false"/>
            <c:spPr>
              <a:solidFill>
                <a:schemeClr val="accent2"/>
              </a:solidFill>
              <a:ln>
                <a:noFill/>
              </a:ln>
              <a:effectLst/>
            </c:spPr>
          </c:dPt>
          <c:dLbls>
            <c:spPr>
              <a:noFill/>
              <a:ln>
                <a:noFill/>
              </a:ln>
              <a:effectLst/>
            </c:spPr>
            <c:txPr>
              <a:bodyPr rot="0" spcFirstLastPara="0" vertOverflow="ellipsis" vert="horz" wrap="square" lIns="38100" tIns="19050" rIns="38100" bIns="19050" anchor="ctr" anchorCtr="true"/>
              <a:lstStyle/>
              <a:p>
                <a:pPr>
                  <a:defRPr lang="zh-CN" sz="8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'[新建 XLSX 工作表 (4).xlsx]Sheet1'!$C$3:$C$4</c:f>
              <c:numCache>
                <c:formatCode>General</c:formatCode>
                <c:ptCount val="2"/>
                <c:pt idx="0">
                  <c:v>2024</c:v>
                </c:pt>
                <c:pt idx="1">
                  <c:v>2023</c:v>
                </c:pt>
              </c:numCache>
            </c:numRef>
          </c:cat>
          <c:val>
            <c:numRef>
              <c:f>'[新建 XLSX 工作表 (4).xlsx]Sheet1'!$D$3:$D$4</c:f>
              <c:numCache>
                <c:formatCode>General</c:formatCode>
                <c:ptCount val="2"/>
                <c:pt idx="0">
                  <c:v>109.25</c:v>
                </c:pt>
                <c:pt idx="1">
                  <c:v>109.37</c:v>
                </c:pt>
              </c:numCache>
            </c:numRef>
          </c:val>
        </c:ser>
        <c:dLbls>
          <c:showLegendKey val="false"/>
          <c:showVal val="true"/>
          <c:showCatName val="false"/>
          <c:showSerName val="false"/>
          <c:showPercent val="false"/>
          <c:showBubbleSize val="false"/>
        </c:dLbls>
        <c:gapWidth val="246"/>
        <c:overlap val="-28"/>
        <c:axId val="424828849"/>
        <c:axId val="886571859"/>
      </c:barChart>
      <c:catAx>
        <c:axId val="424828849"/>
        <c:scaling>
          <c:orientation val="minMax"/>
        </c:scaling>
        <c:delete val="false"/>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800" b="0" i="0" u="none" strike="noStrike" kern="1200" baseline="0">
                <a:solidFill>
                  <a:schemeClr val="tx1">
                    <a:lumMod val="65000"/>
                    <a:lumOff val="35000"/>
                  </a:schemeClr>
                </a:solidFill>
                <a:latin typeface="+mn-lt"/>
                <a:ea typeface="+mn-ea"/>
                <a:cs typeface="+mn-cs"/>
              </a:defRPr>
            </a:pPr>
          </a:p>
        </c:txPr>
        <c:crossAx val="886571859"/>
        <c:crosses val="autoZero"/>
        <c:auto val="true"/>
        <c:lblAlgn val="ctr"/>
        <c:lblOffset val="100"/>
        <c:noMultiLvlLbl val="false"/>
      </c:catAx>
      <c:valAx>
        <c:axId val="886571859"/>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out"/>
        <c:minorTickMark val="none"/>
        <c:tickLblPos val="nextTo"/>
        <c:spPr>
          <a:noFill/>
          <a:ln>
            <a:noFill/>
          </a:ln>
          <a:effectLst/>
        </c:spPr>
        <c:txPr>
          <a:bodyPr rot="-60000000" spcFirstLastPara="0" vertOverflow="ellipsis" vert="horz" wrap="square" anchor="ctr" anchorCtr="true"/>
          <a:lstStyle/>
          <a:p>
            <a:pPr>
              <a:defRPr lang="zh-CN" sz="800" b="0" i="0" u="none" strike="noStrike" kern="1200" baseline="0">
                <a:solidFill>
                  <a:schemeClr val="tx1">
                    <a:lumMod val="65000"/>
                    <a:lumOff val="35000"/>
                  </a:schemeClr>
                </a:solidFill>
                <a:latin typeface="+mn-lt"/>
                <a:ea typeface="+mn-ea"/>
                <a:cs typeface="+mn-cs"/>
              </a:defRPr>
            </a:pPr>
          </a:p>
        </c:txPr>
        <c:crossAx val="424828849"/>
        <c:crosses val="autoZero"/>
        <c:crossBetween val="between"/>
      </c:valAx>
      <c:spPr>
        <a:noFill/>
        <a:ln>
          <a:noFill/>
        </a:ln>
        <a:effectLst/>
      </c:spPr>
    </c:plotArea>
    <c:legend>
      <c:legendPos val="b"/>
      <c:legendEntry>
        <c:idx val="0"/>
        <c:txPr>
          <a:bodyPr rot="0" spcFirstLastPara="0" vertOverflow="ellipsis" vert="horz" wrap="square" anchor="ctr" anchorCtr="true"/>
          <a:lstStyle/>
          <a:p>
            <a:pPr>
              <a:defRPr lang="zh-CN" sz="8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800" b="0"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8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800"/>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gradFill>
                <a:gsLst>
                  <a:gs pos="0">
                    <a:schemeClr val="accent1">
                      <a:lumMod val="40000"/>
                      <a:lumOff val="60000"/>
                    </a:schemeClr>
                  </a:gs>
                  <a:gs pos="90000">
                    <a:schemeClr val="accent1"/>
                  </a:gs>
                </a:gsLst>
                <a:lin ang="5400000" scaled="false"/>
              </a:gradFill>
              <a:ln>
                <a:gradFill>
                  <a:gsLst>
                    <a:gs pos="0">
                      <a:schemeClr val="accent1"/>
                    </a:gs>
                    <a:gs pos="100000">
                      <a:schemeClr val="accent1">
                        <a:lumMod val="75000"/>
                      </a:schemeClr>
                    </a:gs>
                  </a:gsLst>
                  <a:lin ang="5400000" scaled="true"/>
                </a:gradFill>
              </a:ln>
              <a:effectLst>
                <a:outerShdw blurRad="76200" dist="25400" dir="2700000" algn="tl" rotWithShape="0">
                  <a:schemeClr val="accent1">
                    <a:lumMod val="50000"/>
                    <a:alpha val="30000"/>
                  </a:schemeClr>
                </a:outerShdw>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sz="1000"/>
                      <a:t>一般公共预算财政拨款收入</a:t>
                    </a:r>
                    <a:endParaRPr sz="1000"/>
                  </a:p>
                  <a:p>
                    <a:pPr defTabSz="914400">
                      <a:defRPr lang="zh-CN" sz="1000" b="0" i="0" u="none" strike="noStrike" kern="1200" baseline="0">
                        <a:solidFill>
                          <a:schemeClr val="tx1">
                            <a:lumMod val="75000"/>
                            <a:lumOff val="25000"/>
                          </a:schemeClr>
                        </a:solidFill>
                        <a:latin typeface="+mn-lt"/>
                        <a:ea typeface="+mn-ea"/>
                        <a:cs typeface="+mn-cs"/>
                      </a:defRPr>
                    </a:pPr>
                    <a:r>
                      <a:rPr sz="1000"/>
                      <a:t>100%</a:t>
                    </a:r>
                    <a:endParaRPr sz="1000"/>
                  </a:p>
                </c:rich>
              </c:tx>
              <c:dLblPos val="inEnd"/>
              <c:showLegendKey val="false"/>
              <c:showVal val="false"/>
              <c:showCatName val="true"/>
              <c:showSerName val="false"/>
              <c:showPercent val="true"/>
              <c:showBubbleSize val="false"/>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c:formatCode>
                <c:ptCount val="1"/>
                <c:pt idx="0">
                  <c:v>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1000"/>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XLSX 工作表 (4).xlsx]Sheet1'!$D$35:$D$36</c:f>
              <c:strCache>
                <c:ptCount val="2"/>
                <c:pt idx="0">
                  <c:v>基本支出</c:v>
                </c:pt>
                <c:pt idx="1">
                  <c:v>项目支出</c:v>
                </c:pt>
              </c:strCache>
            </c:strRef>
          </c:cat>
          <c:val>
            <c:numRef>
              <c:f>'[新建 XLSX 工作表 (4).xlsx]Sheet1'!$F$35:$F$36</c:f>
              <c:numCache>
                <c:formatCode>0.0%</c:formatCode>
                <c:ptCount val="2"/>
                <c:pt idx="0">
                  <c:v>0.8158352402746</c:v>
                </c:pt>
                <c:pt idx="1">
                  <c:v>0.1841647597254</c:v>
                </c:pt>
              </c:numCache>
            </c:numRef>
          </c:val>
        </c:ser>
        <c:ser>
          <c:idx val="1"/>
          <c:order val="1"/>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elete val="true"/>
          </c:dLbls>
          <c:cat>
            <c:strRef>
              <c:f>'[新建 XLSX 工作表 (4).xlsx]Sheet1'!$D$35:$D$36</c:f>
              <c:strCache>
                <c:ptCount val="2"/>
                <c:pt idx="0">
                  <c:v>基本支出</c:v>
                </c:pt>
                <c:pt idx="1">
                  <c:v>项目支出</c:v>
                </c:pt>
              </c:strCache>
            </c:strRef>
          </c:cat>
          <c:val>
            <c:numRef>
              <c:f>'[新建 XLSX 工作表 (4).xlsx]Sheet1'!$F$35:$F$36</c:f>
              <c:numCache>
                <c:formatCode>0.0%</c:formatCode>
                <c:ptCount val="2"/>
                <c:pt idx="0">
                  <c:v>0.8158352402746</c:v>
                </c:pt>
                <c:pt idx="1">
                  <c:v>0.1841647597254</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manualLayout>
          <c:xMode val="edge"/>
          <c:yMode val="edge"/>
          <c:x val="0.344340245674283"/>
          <c:y val="0.914305949008499"/>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'[新建 XLSX 工作表 (4).xlsx]Sheet1'!$D$2</c:f>
              <c:strCache>
                <c:ptCount val="1"/>
                <c:pt idx="0">
                  <c:v>收、支总计</c:v>
                </c:pt>
              </c:strCache>
            </c:strRef>
          </c:tx>
          <c:spPr>
            <a:solidFill>
              <a:schemeClr val="accent2"/>
            </a:solidFill>
            <a:ln>
              <a:noFill/>
            </a:ln>
            <a:effectLst/>
          </c:spPr>
          <c:invertIfNegative val="false"/>
          <c:dPt>
            <c:idx val="0"/>
            <c:invertIfNegative val="false"/>
            <c:bubble3D val="false"/>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false"/>
              </a:gradFill>
              <a:ln>
                <a:noFill/>
              </a:ln>
              <a:effectLst/>
            </c:spPr>
          </c:dPt>
          <c:dPt>
            <c:idx val="1"/>
            <c:invertIfNegative val="false"/>
            <c:bubble3D val="false"/>
            <c:spPr>
              <a:solidFill>
                <a:schemeClr val="accent2"/>
              </a:solidFill>
              <a:ln>
                <a:noFill/>
              </a:ln>
              <a:effectLst/>
            </c:spPr>
          </c:dPt>
          <c:dLbls>
            <c:spPr>
              <a:noFill/>
              <a:ln>
                <a:noFill/>
              </a:ln>
              <a:effectLst/>
            </c:spPr>
            <c:txPr>
              <a:bodyPr rot="0" spcFirstLastPara="0" vertOverflow="ellipsis" vert="horz" wrap="square" lIns="38100" tIns="19050" rIns="38100" bIns="19050" anchor="ctr" anchorCtr="true"/>
              <a:lstStyle/>
              <a:p>
                <a:pPr>
                  <a:defRPr lang="zh-CN" sz="8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'[新建 XLSX 工作表 (4).xlsx]Sheet1'!$D$60:$D$61</c:f>
              <c:numCache>
                <c:formatCode>General</c:formatCode>
                <c:ptCount val="2"/>
                <c:pt idx="0">
                  <c:v>2024</c:v>
                </c:pt>
                <c:pt idx="1">
                  <c:v>2023</c:v>
                </c:pt>
              </c:numCache>
            </c:numRef>
          </c:cat>
          <c:val>
            <c:numRef>
              <c:f>'[新建 XLSX 工作表 (4).xlsx]Sheet1'!$D$3:$D$4</c:f>
              <c:numCache>
                <c:formatCode>General</c:formatCode>
                <c:ptCount val="2"/>
                <c:pt idx="0">
                  <c:v>109.25</c:v>
                </c:pt>
                <c:pt idx="1">
                  <c:v>109.37</c:v>
                </c:pt>
              </c:numCache>
            </c:numRef>
          </c:val>
        </c:ser>
        <c:dLbls>
          <c:showLegendKey val="false"/>
          <c:showVal val="true"/>
          <c:showCatName val="false"/>
          <c:showSerName val="false"/>
          <c:showPercent val="false"/>
          <c:showBubbleSize val="false"/>
        </c:dLbls>
        <c:gapWidth val="246"/>
        <c:overlap val="-28"/>
        <c:axId val="424828849"/>
        <c:axId val="886571859"/>
      </c:barChart>
      <c:catAx>
        <c:axId val="424828849"/>
        <c:scaling>
          <c:orientation val="minMax"/>
        </c:scaling>
        <c:delete val="false"/>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800" b="0" i="0" u="none" strike="noStrike" kern="1200" baseline="0">
                <a:solidFill>
                  <a:schemeClr val="tx1">
                    <a:lumMod val="65000"/>
                    <a:lumOff val="35000"/>
                  </a:schemeClr>
                </a:solidFill>
                <a:latin typeface="+mn-lt"/>
                <a:ea typeface="+mn-ea"/>
                <a:cs typeface="+mn-cs"/>
              </a:defRPr>
            </a:pPr>
          </a:p>
        </c:txPr>
        <c:crossAx val="886571859"/>
        <c:crosses val="autoZero"/>
        <c:auto val="true"/>
        <c:lblAlgn val="ctr"/>
        <c:lblOffset val="100"/>
        <c:noMultiLvlLbl val="false"/>
      </c:catAx>
      <c:valAx>
        <c:axId val="886571859"/>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out"/>
        <c:minorTickMark val="none"/>
        <c:tickLblPos val="nextTo"/>
        <c:spPr>
          <a:noFill/>
          <a:ln>
            <a:noFill/>
          </a:ln>
          <a:effectLst/>
        </c:spPr>
        <c:txPr>
          <a:bodyPr rot="-60000000" spcFirstLastPara="0" vertOverflow="ellipsis" vert="horz" wrap="square" anchor="ctr" anchorCtr="true"/>
          <a:lstStyle/>
          <a:p>
            <a:pPr>
              <a:defRPr lang="zh-CN" sz="800" b="0" i="0" u="none" strike="noStrike" kern="1200" baseline="0">
                <a:solidFill>
                  <a:schemeClr val="tx1">
                    <a:lumMod val="65000"/>
                    <a:lumOff val="35000"/>
                  </a:schemeClr>
                </a:solidFill>
                <a:latin typeface="+mn-lt"/>
                <a:ea typeface="+mn-ea"/>
                <a:cs typeface="+mn-cs"/>
              </a:defRPr>
            </a:pPr>
          </a:p>
        </c:txPr>
        <c:crossAx val="424828849"/>
        <c:crosses val="autoZero"/>
        <c:crossBetween val="between"/>
      </c:valAx>
      <c:spPr>
        <a:noFill/>
        <a:ln>
          <a:noFill/>
        </a:ln>
        <a:effectLst/>
      </c:spPr>
    </c:plotArea>
    <c:legend>
      <c:legendPos val="b"/>
      <c:legendEntry>
        <c:idx val="0"/>
        <c:txPr>
          <a:bodyPr rot="0" spcFirstLastPara="0" vertOverflow="ellipsis" vert="horz" wrap="square" anchor="ctr" anchorCtr="true"/>
          <a:lstStyle/>
          <a:p>
            <a:pPr>
              <a:defRPr lang="zh-CN" sz="8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800" b="0"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8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800"/>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'[新建 XLSX 工作表 (4).xlsx]Sheet1'!$E$86</c:f>
              <c:strCache>
                <c:ptCount val="1"/>
                <c:pt idx="0">
                  <c:v>一般公共预算财政拨款支出合计</c:v>
                </c:pt>
              </c:strCache>
            </c:strRef>
          </c:tx>
          <c:spPr>
            <a:solidFill>
              <a:schemeClr val="accent1"/>
            </a:solidFill>
            <a:ln>
              <a:noFill/>
            </a:ln>
            <a:effectLst/>
          </c:spPr>
          <c:invertIfNegative val="false"/>
          <c:dPt>
            <c:idx val="0"/>
            <c:invertIfNegative val="false"/>
            <c:bubble3D val="false"/>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false"/>
              </a:gradFill>
              <a:ln>
                <a:noFill/>
              </a:ln>
              <a:effectLst/>
            </c:spPr>
          </c:dPt>
          <c:dPt>
            <c:idx val="1"/>
            <c:invertIfNegative val="false"/>
            <c:bubble3D val="false"/>
            <c:spPr>
              <a:solidFill>
                <a:schemeClr val="accent2"/>
              </a:solidFill>
              <a:ln>
                <a:no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'[新建 XLSX 工作表 (4).xlsx]Sheet1'!$D$87:$D$88</c:f>
              <c:numCache>
                <c:formatCode>General</c:formatCode>
                <c:ptCount val="2"/>
                <c:pt idx="0">
                  <c:v>2024</c:v>
                </c:pt>
                <c:pt idx="1">
                  <c:v>2023</c:v>
                </c:pt>
              </c:numCache>
            </c:numRef>
          </c:cat>
          <c:val>
            <c:numRef>
              <c:f>'[新建 XLSX 工作表 (4).xlsx]Sheet1'!$E$87:$E$88</c:f>
              <c:numCache>
                <c:formatCode>General</c:formatCode>
                <c:ptCount val="2"/>
                <c:pt idx="0">
                  <c:v>109.25</c:v>
                </c:pt>
                <c:pt idx="1">
                  <c:v>109.37</c:v>
                </c:pt>
              </c:numCache>
            </c:numRef>
          </c:val>
        </c:ser>
        <c:dLbls>
          <c:showLegendKey val="false"/>
          <c:showVal val="true"/>
          <c:showCatName val="false"/>
          <c:showSerName val="false"/>
          <c:showPercent val="false"/>
          <c:showBubbleSize val="false"/>
        </c:dLbls>
        <c:gapWidth val="246"/>
        <c:overlap val="-28"/>
        <c:axId val="320727399"/>
        <c:axId val="897520149"/>
      </c:barChart>
      <c:catAx>
        <c:axId val="320727399"/>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crossAx val="897520149"/>
        <c:crosses val="autoZero"/>
        <c:auto val="true"/>
        <c:lblAlgn val="ctr"/>
        <c:lblOffset val="100"/>
        <c:noMultiLvlLbl val="false"/>
      </c:catAx>
      <c:valAx>
        <c:axId val="897520149"/>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crossAx val="320727399"/>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1000"/>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'[新建 XLSX 工作表 (4).xlsx]Sheet1'!$D$117:$D$120</c:f>
              <c:strCache>
                <c:ptCount val="4"/>
                <c:pt idx="0">
                  <c:v>一般公共服务支出</c:v>
                </c:pt>
                <c:pt idx="1">
                  <c:v>社会保障和就业支出</c:v>
                </c:pt>
                <c:pt idx="2">
                  <c:v>卫生健康支出</c:v>
                </c:pt>
                <c:pt idx="3">
                  <c:v>住房保障支出</c:v>
                </c:pt>
              </c:strCache>
            </c:strRef>
          </c:cat>
          <c:val>
            <c:numRef>
              <c:f>'[新建 XLSX 工作表 (4).xlsx]Sheet1'!$F$117:$F$120</c:f>
              <c:numCache>
                <c:formatCode>0.0%</c:formatCode>
                <c:ptCount val="4"/>
                <c:pt idx="0">
                  <c:v>0.845308924485126</c:v>
                </c:pt>
                <c:pt idx="1">
                  <c:v>0.0722196796338673</c:v>
                </c:pt>
                <c:pt idx="2">
                  <c:v>0.0225171624713959</c:v>
                </c:pt>
                <c:pt idx="3">
                  <c:v>0.059954233409611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manualLayout>
          <c:xMode val="edge"/>
          <c:yMode val="edge"/>
          <c:x val="0.0986659622242768"/>
          <c:y val="0.915067852129153"/>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5">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0">
      <cs:styleClr val="auto"/>
    </cs:fillRef>
    <cs:effectRef idx="0">
      <cs:styleClr val="auto"/>
    </cs:effectRef>
    <cs:fontRef idx="minor">
      <a:schemeClr val="dk1"/>
    </cs:fontRef>
    <cs:spPr>
      <a:gradFill>
        <a:gsLst>
          <a:gs pos="0">
            <a:schemeClr val="phClr">
              <a:lumMod val="40000"/>
              <a:lumOff val="60000"/>
            </a:schemeClr>
          </a:gs>
          <a:gs pos="90000">
            <a:schemeClr val="phClr"/>
          </a:gs>
        </a:gsLst>
        <a:lin ang="5400000" scaled="false"/>
      </a:gradFill>
      <a:ln>
        <a:gradFill>
          <a:gsLst>
            <a:gs pos="0">
              <a:schemeClr val="phClr"/>
            </a:gs>
            <a:gs pos="100000">
              <a:schemeClr val="phClr">
                <a:lumMod val="75000"/>
              </a:schemeClr>
            </a:gs>
          </a:gsLst>
          <a:lin ang="5400000" scaled="true"/>
        </a:gradFill>
      </a:ln>
      <a:effectLst>
        <a:outerShdw blurRad="76200" dist="25400" dir="2700000" algn="tl" rotWithShape="0">
          <a:schemeClr val="phClr">
            <a:lumMod val="50000"/>
            <a:alpha val="30000"/>
          </a:schemeClr>
        </a:outerShdw>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26</Pages>
  <Words>3963</Words>
  <Characters>4287</Characters>
  <Lines>61</Lines>
  <Paragraphs>17</Paragraphs>
  <TotalTime>18</TotalTime>
  <ScaleCrop>false</ScaleCrop>
  <LinksUpToDate>false</LinksUpToDate>
  <CharactersWithSpaces>4409</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 </cp:lastModifiedBy>
  <cp:lastPrinted>2023-07-31T18:35:00Z</cp:lastPrinted>
  <dcterms:modified xsi:type="dcterms:W3CDTF">2025-10-14T10:19:09Z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1F8DBC0EEEF2423C808DAE8633144E42_13</vt:lpwstr>
  </property>
  <property fmtid="{D5CDD505-2E9C-101B-9397-08002B2CF9AE}" pid="4" name="KSOTemplateDocerSaveRecord">
    <vt:lpwstr>eyJoZGlkIjoiYTc2ZGZiNzZiNDVlOGViOWVmM2JhOTY0NGJkNjUyYzgiLCJ1c2VySWQiOiIyMjA2OTAwNTAifQ==</vt:lpwstr>
  </property>
</Properties>
</file>