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ascii="方正小标宋简体" w:hAnsi="宋体" w:eastAsia="方正小标宋简体"/>
          <w:szCs w:val="21"/>
        </w:rPr>
      </w:pPr>
      <w:bookmarkStart w:id="91" w:name="_GoBack"/>
      <w:bookmarkStart w:id="0" w:name="_Toc15306267"/>
    </w:p>
    <w:p>
      <w:pPr>
        <w:spacing w:line="600" w:lineRule="exact"/>
        <w:jc w:val="center"/>
        <w:rPr>
          <w:rFonts w:ascii="方正小标宋简体" w:hAnsi="宋体" w:eastAsia="方正小标宋简体"/>
          <w:sz w:val="72"/>
          <w:szCs w:val="72"/>
        </w:rPr>
      </w:pPr>
    </w:p>
    <w:p>
      <w:pPr>
        <w:spacing w:line="600" w:lineRule="exact"/>
        <w:jc w:val="center"/>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9688"/>
      <w:bookmarkStart w:id="2" w:name="_Toc32302"/>
      <w:bookmarkStart w:id="3" w:name="_Toc15377425"/>
      <w:bookmarkStart w:id="4" w:name="_Toc15396475"/>
      <w:bookmarkStart w:id="5" w:name="_Toc15396597"/>
      <w:bookmarkStart w:id="6" w:name="_Toc15378441"/>
      <w:bookmarkStart w:id="7" w:name="_Toc15377193"/>
      <w:r>
        <w:rPr>
          <w:rFonts w:hint="eastAsia" w:ascii="方正小标宋简体" w:hAnsi="方正小标宋简体" w:eastAsia="方正小标宋简体" w:cs="方正小标宋简体"/>
          <w:sz w:val="72"/>
          <w:szCs w:val="72"/>
        </w:rPr>
        <w:t>202</w:t>
      </w:r>
      <w:r>
        <w:rPr>
          <w:rFonts w:hint="eastAsia" w:ascii="方正小标宋简体" w:hAnsi="方正小标宋简体" w:eastAsia="方正小标宋简体" w:cs="方正小标宋简体"/>
          <w:sz w:val="72"/>
          <w:szCs w:val="72"/>
          <w:lang w:val="en-US" w:eastAsia="zh-CN"/>
        </w:rPr>
        <w:t>4</w:t>
      </w:r>
      <w:r>
        <w:rPr>
          <w:rFonts w:hint="eastAsia" w:ascii="方正小标宋简体" w:hAnsi="方正小标宋简体" w:eastAsia="方正小标宋简体" w:cs="方正小标宋简体"/>
          <w:sz w:val="72"/>
          <w:szCs w:val="72"/>
        </w:rPr>
        <w:t>年度</w:t>
      </w:r>
      <w:bookmarkEnd w:id="1"/>
      <w:bookmarkEnd w:id="2"/>
      <w:bookmarkEnd w:id="3"/>
      <w:bookmarkEnd w:id="4"/>
      <w:bookmarkEnd w:id="5"/>
      <w:bookmarkEnd w:id="6"/>
      <w:bookmarkEnd w:id="7"/>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8" w:name="_Toc28927"/>
      <w:bookmarkStart w:id="9" w:name="_Toc15377194"/>
      <w:bookmarkStart w:id="10" w:name="_Toc15377426"/>
      <w:bookmarkStart w:id="11" w:name="_Toc15396476"/>
      <w:bookmarkStart w:id="12" w:name="_Toc28379"/>
      <w:bookmarkStart w:id="13" w:name="_Toc15378442"/>
      <w:bookmarkStart w:id="14" w:name="_Toc15396598"/>
      <w:r>
        <w:rPr>
          <w:rFonts w:hint="eastAsia" w:ascii="方正小标宋简体" w:hAnsi="方正小标宋简体" w:eastAsia="方正小标宋简体" w:cs="方正小标宋简体"/>
          <w:sz w:val="72"/>
          <w:szCs w:val="72"/>
        </w:rPr>
        <w:t>广元市</w:t>
      </w:r>
      <w:bookmarkEnd w:id="0"/>
      <w:bookmarkStart w:id="15" w:name="_Toc15306268"/>
      <w:r>
        <w:rPr>
          <w:rFonts w:hint="eastAsia" w:ascii="方正小标宋简体" w:hAnsi="方正小标宋简体" w:eastAsia="方正小标宋简体" w:cs="方正小标宋简体"/>
          <w:sz w:val="72"/>
          <w:szCs w:val="72"/>
        </w:rPr>
        <w:t>作家协会单位决算</w:t>
      </w:r>
      <w:bookmarkEnd w:id="8"/>
      <w:bookmarkEnd w:id="9"/>
      <w:bookmarkEnd w:id="10"/>
      <w:bookmarkEnd w:id="11"/>
      <w:bookmarkEnd w:id="12"/>
      <w:bookmarkEnd w:id="13"/>
      <w:bookmarkEnd w:id="14"/>
      <w:bookmarkEnd w:id="15"/>
    </w:p>
    <w:p>
      <w:pPr>
        <w:widowControl/>
        <w:jc w:val="center"/>
        <w:rPr>
          <w:rFonts w:ascii="黑体" w:hAnsi="黑体" w:eastAsia="黑体" w:cstheme="minorBidi"/>
          <w:color w:val="auto"/>
          <w:sz w:val="28"/>
          <w:szCs w:val="28"/>
        </w:rPr>
      </w:pPr>
      <w:r>
        <w:rPr>
          <w:rFonts w:ascii="方正小标宋简体" w:hAnsi="宋体" w:eastAsia="方正小标宋简体"/>
          <w:sz w:val="36"/>
          <w:szCs w:val="36"/>
        </w:rPr>
        <w:br w:type="page"/>
      </w:r>
      <w:r>
        <w:rPr>
          <w:rFonts w:hint="eastAsia" w:ascii="黑体" w:hAnsi="黑体" w:eastAsia="黑体"/>
          <w:color w:val="auto"/>
          <w:sz w:val="48"/>
          <w:szCs w:val="48"/>
        </w:rPr>
        <w:t>目录</w:t>
      </w:r>
    </w:p>
    <w:p>
      <w:pPr>
        <w:pStyle w:val="10"/>
        <w:spacing w:before="0"/>
        <w:rPr>
          <w:color w:val="auto"/>
        </w:rPr>
      </w:pPr>
      <w:r>
        <w:rPr>
          <w:rFonts w:hint="eastAsia"/>
          <w:color w:val="auto"/>
        </w:rPr>
        <w:t>公开时间：202</w:t>
      </w:r>
      <w:r>
        <w:rPr>
          <w:rFonts w:hint="eastAsia"/>
          <w:color w:val="auto"/>
          <w:lang w:val="en-US" w:eastAsia="zh-CN"/>
        </w:rPr>
        <w:t>5</w:t>
      </w:r>
      <w:r>
        <w:rPr>
          <w:rFonts w:hint="eastAsia"/>
          <w:color w:val="auto"/>
        </w:rPr>
        <w:t>年10月</w:t>
      </w:r>
      <w:r>
        <w:rPr>
          <w:rFonts w:hint="eastAsia"/>
          <w:color w:val="auto"/>
          <w:lang w:val="en-US" w:eastAsia="zh-CN"/>
        </w:rPr>
        <w:t>14</w:t>
      </w:r>
      <w:r>
        <w:rPr>
          <w:rFonts w:hint="eastAsia"/>
          <w:color w:val="auto"/>
        </w:rPr>
        <w:t>日</w:t>
      </w:r>
    </w:p>
    <w:sdt>
      <w:sdtPr>
        <w:rPr>
          <w:rFonts w:ascii="宋体" w:hAnsi="宋体"/>
        </w:rPr>
        <w:id w:val="147481326"/>
        <w:docPartObj>
          <w:docPartGallery w:val="Table of Contents"/>
          <w:docPartUnique/>
        </w:docPartObj>
      </w:sdtPr>
      <w:sdtEndPr>
        <w:rPr>
          <w:rFonts w:ascii="宋体" w:hAnsi="宋体"/>
          <w:b/>
        </w:rPr>
      </w:sdtEndPr>
      <w:sdtContent>
        <w:p>
          <w:pPr>
            <w:rPr>
              <w:rFonts w:ascii="Times New Roman" w:hAnsi="Times New Roman" w:eastAsia="宋体" w:cs="Times New Roman"/>
              <w:b/>
              <w:kern w:val="2"/>
              <w:sz w:val="21"/>
              <w:szCs w:val="24"/>
              <w:lang w:val="en-US" w:eastAsia="zh-CN" w:bidi="ar-SA"/>
            </w:rPr>
          </w:pPr>
          <w:bookmarkStart w:id="16" w:name="_Toc15377196"/>
          <w:bookmarkStart w:id="17" w:name="_Toc15396599"/>
          <w:r>
            <w:fldChar w:fldCharType="begin"/>
          </w:r>
          <w:r>
            <w:instrText xml:space="preserve">TOC \o "1-2" \h \u </w:instrText>
          </w:r>
          <w:r>
            <w:fldChar w:fldCharType="separate"/>
          </w:r>
        </w:p>
        <w:p>
          <w:pPr>
            <w:pStyle w:val="10"/>
            <w:tabs>
              <w:tab w:val="right" w:leader="dot" w:pos="8306"/>
              <w:tab w:val="clear" w:pos="8296"/>
            </w:tabs>
          </w:pPr>
          <w:r>
            <w:fldChar w:fldCharType="begin"/>
          </w:r>
          <w:r>
            <w:instrText xml:space="preserve"> HYPERLINK \l _Toc5902 </w:instrText>
          </w:r>
          <w:r>
            <w:fldChar w:fldCharType="separate"/>
          </w:r>
          <w:r>
            <w:rPr>
              <w:rFonts w:hint="eastAsia" w:ascii="黑体" w:hAnsi="黑体" w:eastAsia="黑体"/>
            </w:rPr>
            <w:t>第一部分 单位</w:t>
          </w:r>
          <w:r>
            <w:rPr>
              <w:rFonts w:hint="eastAsia" w:ascii="黑体" w:hAnsi="黑体" w:eastAsia="黑体"/>
              <w:bCs w:val="0"/>
            </w:rPr>
            <w:t>概况</w:t>
          </w:r>
          <w:r>
            <w:tab/>
          </w:r>
          <w:r>
            <w:fldChar w:fldCharType="begin"/>
          </w:r>
          <w:r>
            <w:instrText xml:space="preserve"> PAGEREF _Toc5902 \h </w:instrText>
          </w:r>
          <w:r>
            <w:fldChar w:fldCharType="separate"/>
          </w:r>
          <w:r>
            <w:t>1</w:t>
          </w:r>
          <w:r>
            <w:fldChar w:fldCharType="end"/>
          </w:r>
          <w:r>
            <w:fldChar w:fldCharType="end"/>
          </w:r>
        </w:p>
        <w:p>
          <w:pPr>
            <w:pStyle w:val="11"/>
            <w:tabs>
              <w:tab w:val="right" w:leader="dot" w:pos="8306"/>
              <w:tab w:val="clear" w:pos="8296"/>
            </w:tabs>
          </w:pPr>
          <w:r>
            <w:fldChar w:fldCharType="begin"/>
          </w:r>
          <w:r>
            <w:instrText xml:space="preserve"> HYPERLINK \l _Toc26611 </w:instrText>
          </w:r>
          <w:r>
            <w:fldChar w:fldCharType="separate"/>
          </w:r>
          <w:r>
            <w:rPr>
              <w:rFonts w:hint="eastAsia" w:ascii="黑体" w:hAnsi="黑体" w:eastAsia="黑体"/>
              <w:bCs w:val="0"/>
            </w:rPr>
            <w:t>一、主要职责</w:t>
          </w:r>
          <w:r>
            <w:tab/>
          </w:r>
          <w:r>
            <w:fldChar w:fldCharType="begin"/>
          </w:r>
          <w:r>
            <w:instrText xml:space="preserve"> PAGEREF _Toc26611 \h </w:instrText>
          </w:r>
          <w:r>
            <w:fldChar w:fldCharType="separate"/>
          </w:r>
          <w:r>
            <w:t>1</w:t>
          </w:r>
          <w:r>
            <w:fldChar w:fldCharType="end"/>
          </w:r>
          <w:r>
            <w:fldChar w:fldCharType="end"/>
          </w:r>
        </w:p>
        <w:p>
          <w:pPr>
            <w:pStyle w:val="11"/>
            <w:tabs>
              <w:tab w:val="right" w:leader="dot" w:pos="8306"/>
              <w:tab w:val="clear" w:pos="8296"/>
            </w:tabs>
          </w:pPr>
          <w:r>
            <w:fldChar w:fldCharType="begin"/>
          </w:r>
          <w:r>
            <w:instrText xml:space="preserve"> HYPERLINK \l _Toc24375 </w:instrText>
          </w:r>
          <w:r>
            <w:fldChar w:fldCharType="separate"/>
          </w:r>
          <w:r>
            <w:rPr>
              <w:rFonts w:hint="eastAsia" w:ascii="黑体" w:hAnsi="黑体" w:eastAsia="黑体"/>
            </w:rPr>
            <w:t>二、机构设置</w:t>
          </w:r>
          <w:r>
            <w:tab/>
          </w:r>
          <w:r>
            <w:fldChar w:fldCharType="begin"/>
          </w:r>
          <w:r>
            <w:instrText xml:space="preserve"> PAGEREF _Toc24375 \h </w:instrText>
          </w:r>
          <w:r>
            <w:fldChar w:fldCharType="separate"/>
          </w:r>
          <w:r>
            <w:t>2</w:t>
          </w:r>
          <w:r>
            <w:fldChar w:fldCharType="end"/>
          </w:r>
          <w:r>
            <w:fldChar w:fldCharType="end"/>
          </w:r>
        </w:p>
        <w:p>
          <w:pPr>
            <w:pStyle w:val="10"/>
            <w:tabs>
              <w:tab w:val="right" w:leader="dot" w:pos="8306"/>
              <w:tab w:val="clear" w:pos="8296"/>
            </w:tabs>
          </w:pPr>
          <w:r>
            <w:fldChar w:fldCharType="begin"/>
          </w:r>
          <w:r>
            <w:instrText xml:space="preserve"> HYPERLINK \l _Toc10305 </w:instrText>
          </w:r>
          <w:r>
            <w:fldChar w:fldCharType="separate"/>
          </w:r>
          <w:r>
            <w:rPr>
              <w:rFonts w:hint="eastAsia" w:ascii="黑体" w:hAnsi="黑体" w:eastAsia="黑体"/>
            </w:rPr>
            <w:t>第二部分 202</w:t>
          </w:r>
          <w:r>
            <w:rPr>
              <w:rFonts w:hint="eastAsia" w:ascii="黑体" w:hAnsi="黑体" w:eastAsia="黑体"/>
              <w:lang w:val="en-US" w:eastAsia="zh-CN"/>
            </w:rPr>
            <w:t>4</w:t>
          </w:r>
          <w:r>
            <w:rPr>
              <w:rFonts w:hint="eastAsia" w:ascii="黑体" w:hAnsi="黑体" w:eastAsia="黑体"/>
            </w:rPr>
            <w:t>年度</w:t>
          </w:r>
          <w:r>
            <w:rPr>
              <w:rFonts w:hint="eastAsia" w:ascii="黑体" w:hAnsi="黑体" w:eastAsia="黑体"/>
              <w:bCs/>
            </w:rPr>
            <w:t>单位决算情况说明</w:t>
          </w:r>
          <w:r>
            <w:tab/>
          </w:r>
          <w:r>
            <w:fldChar w:fldCharType="begin"/>
          </w:r>
          <w:r>
            <w:instrText xml:space="preserve"> PAGEREF _Toc10305 \h </w:instrText>
          </w:r>
          <w:r>
            <w:fldChar w:fldCharType="separate"/>
          </w:r>
          <w:r>
            <w:t>3</w:t>
          </w:r>
          <w:r>
            <w:fldChar w:fldCharType="end"/>
          </w:r>
          <w:r>
            <w:fldChar w:fldCharType="end"/>
          </w:r>
        </w:p>
        <w:p>
          <w:pPr>
            <w:pStyle w:val="11"/>
            <w:tabs>
              <w:tab w:val="right" w:leader="dot" w:pos="8306"/>
              <w:tab w:val="clear" w:pos="8296"/>
            </w:tabs>
          </w:pPr>
          <w:r>
            <w:fldChar w:fldCharType="begin"/>
          </w:r>
          <w:r>
            <w:instrText xml:space="preserve"> HYPERLINK \l _Toc14994 </w:instrText>
          </w:r>
          <w: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_Toc14994 \h </w:instrText>
          </w:r>
          <w:r>
            <w:fldChar w:fldCharType="separate"/>
          </w:r>
          <w:r>
            <w:t>3</w:t>
          </w:r>
          <w:r>
            <w:fldChar w:fldCharType="end"/>
          </w:r>
          <w:r>
            <w:fldChar w:fldCharType="end"/>
          </w:r>
        </w:p>
        <w:p>
          <w:pPr>
            <w:pStyle w:val="11"/>
            <w:tabs>
              <w:tab w:val="right" w:leader="dot" w:pos="8306"/>
              <w:tab w:val="clear" w:pos="8296"/>
            </w:tabs>
          </w:pPr>
          <w:r>
            <w:fldChar w:fldCharType="begin"/>
          </w:r>
          <w:r>
            <w:instrText xml:space="preserve"> HYPERLINK \l _Toc3460 </w:instrText>
          </w:r>
          <w:r>
            <w:fldChar w:fldCharType="separate"/>
          </w:r>
          <w:r>
            <w:rPr>
              <w:rFonts w:hint="default"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_Toc3460 \h </w:instrText>
          </w:r>
          <w:r>
            <w:fldChar w:fldCharType="separate"/>
          </w:r>
          <w:r>
            <w:t>3</w:t>
          </w:r>
          <w:r>
            <w:fldChar w:fldCharType="end"/>
          </w:r>
          <w:r>
            <w:fldChar w:fldCharType="end"/>
          </w:r>
        </w:p>
        <w:p>
          <w:pPr>
            <w:pStyle w:val="11"/>
            <w:tabs>
              <w:tab w:val="right" w:leader="dot" w:pos="8306"/>
              <w:tab w:val="clear" w:pos="8296"/>
            </w:tabs>
          </w:pPr>
          <w:r>
            <w:fldChar w:fldCharType="begin"/>
          </w:r>
          <w:r>
            <w:instrText xml:space="preserve"> HYPERLINK \l _Toc16499 </w:instrText>
          </w:r>
          <w:r>
            <w:fldChar w:fldCharType="separate"/>
          </w:r>
          <w:r>
            <w:rPr>
              <w:rFonts w:hint="default"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_Toc16499 \h </w:instrText>
          </w:r>
          <w:r>
            <w:fldChar w:fldCharType="separate"/>
          </w:r>
          <w:r>
            <w:t>4</w:t>
          </w:r>
          <w:r>
            <w:fldChar w:fldCharType="end"/>
          </w:r>
          <w:r>
            <w:fldChar w:fldCharType="end"/>
          </w:r>
        </w:p>
        <w:p>
          <w:pPr>
            <w:pStyle w:val="11"/>
            <w:tabs>
              <w:tab w:val="right" w:leader="dot" w:pos="8306"/>
              <w:tab w:val="clear" w:pos="8296"/>
            </w:tabs>
          </w:pPr>
          <w:r>
            <w:fldChar w:fldCharType="begin"/>
          </w:r>
          <w:r>
            <w:instrText xml:space="preserve"> HYPERLINK \l _Toc2054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_Toc2054 \h </w:instrText>
          </w:r>
          <w:r>
            <w:fldChar w:fldCharType="separate"/>
          </w:r>
          <w:r>
            <w:t>4</w:t>
          </w:r>
          <w:r>
            <w:fldChar w:fldCharType="end"/>
          </w:r>
          <w:r>
            <w:fldChar w:fldCharType="end"/>
          </w:r>
        </w:p>
        <w:p>
          <w:pPr>
            <w:pStyle w:val="11"/>
            <w:tabs>
              <w:tab w:val="right" w:leader="dot" w:pos="8306"/>
              <w:tab w:val="clear" w:pos="8296"/>
            </w:tabs>
          </w:pPr>
          <w:r>
            <w:fldChar w:fldCharType="begin"/>
          </w:r>
          <w:r>
            <w:instrText xml:space="preserve"> HYPERLINK \l _Toc9500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_Toc9500 \h </w:instrText>
          </w:r>
          <w:r>
            <w:fldChar w:fldCharType="separate"/>
          </w:r>
          <w:r>
            <w:t>5</w:t>
          </w:r>
          <w:r>
            <w:fldChar w:fldCharType="end"/>
          </w:r>
          <w:r>
            <w:fldChar w:fldCharType="end"/>
          </w:r>
        </w:p>
        <w:p>
          <w:pPr>
            <w:pStyle w:val="11"/>
            <w:tabs>
              <w:tab w:val="right" w:leader="dot" w:pos="8306"/>
              <w:tab w:val="clear" w:pos="8296"/>
            </w:tabs>
          </w:pPr>
          <w:r>
            <w:fldChar w:fldCharType="begin"/>
          </w:r>
          <w:r>
            <w:instrText xml:space="preserve"> HYPERLINK \l _Toc29597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_Toc29597 \h </w:instrText>
          </w:r>
          <w:r>
            <w:fldChar w:fldCharType="separate"/>
          </w:r>
          <w:r>
            <w:t>7</w:t>
          </w:r>
          <w:r>
            <w:fldChar w:fldCharType="end"/>
          </w:r>
          <w:r>
            <w:fldChar w:fldCharType="end"/>
          </w:r>
        </w:p>
        <w:p>
          <w:pPr>
            <w:pStyle w:val="11"/>
            <w:tabs>
              <w:tab w:val="right" w:leader="dot" w:pos="8306"/>
              <w:tab w:val="clear" w:pos="8296"/>
            </w:tabs>
          </w:pPr>
          <w:r>
            <w:fldChar w:fldCharType="begin"/>
          </w:r>
          <w:r>
            <w:instrText xml:space="preserve"> HYPERLINK \l _Toc21310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_Toc21310 \h </w:instrText>
          </w:r>
          <w:r>
            <w:fldChar w:fldCharType="separate"/>
          </w:r>
          <w:r>
            <w:t>8</w:t>
          </w:r>
          <w:r>
            <w:fldChar w:fldCharType="end"/>
          </w:r>
          <w:r>
            <w:fldChar w:fldCharType="end"/>
          </w:r>
        </w:p>
        <w:p>
          <w:pPr>
            <w:pStyle w:val="11"/>
            <w:tabs>
              <w:tab w:val="right" w:leader="dot" w:pos="8306"/>
              <w:tab w:val="clear" w:pos="8296"/>
            </w:tabs>
          </w:pPr>
          <w:r>
            <w:fldChar w:fldCharType="begin"/>
          </w:r>
          <w:r>
            <w:instrText xml:space="preserve"> HYPERLINK \l _Toc23970 </w:instrText>
          </w:r>
          <w:r>
            <w:fldChar w:fldCharType="separate"/>
          </w:r>
          <w:r>
            <w:rPr>
              <w:rFonts w:hint="eastAsia" w:ascii="黑体" w:hAnsi="黑体" w:eastAsia="黑体"/>
              <w:lang w:val="zh-CN"/>
            </w:rPr>
            <w:t>八、政府性基金预算支出决算情况说明</w:t>
          </w:r>
          <w:r>
            <w:tab/>
          </w:r>
          <w:r>
            <w:fldChar w:fldCharType="begin"/>
          </w:r>
          <w:r>
            <w:instrText xml:space="preserve"> PAGEREF _Toc23970 \h </w:instrText>
          </w:r>
          <w:r>
            <w:fldChar w:fldCharType="separate"/>
          </w:r>
          <w:r>
            <w:t>9</w:t>
          </w:r>
          <w:r>
            <w:fldChar w:fldCharType="end"/>
          </w:r>
          <w:r>
            <w:fldChar w:fldCharType="end"/>
          </w:r>
        </w:p>
        <w:p>
          <w:pPr>
            <w:pStyle w:val="11"/>
            <w:tabs>
              <w:tab w:val="right" w:leader="dot" w:pos="8306"/>
              <w:tab w:val="clear" w:pos="8296"/>
            </w:tabs>
          </w:pPr>
          <w:r>
            <w:fldChar w:fldCharType="begin"/>
          </w:r>
          <w:r>
            <w:instrText xml:space="preserve"> HYPERLINK \l _Toc25230 </w:instrText>
          </w:r>
          <w:r>
            <w:fldChar w:fldCharType="separate"/>
          </w:r>
          <w:r>
            <w:rPr>
              <w:rFonts w:hint="eastAsia" w:ascii="黑体" w:hAnsi="黑体" w:eastAsia="黑体"/>
              <w:lang w:val="zh-CN"/>
            </w:rPr>
            <w:t>九、国有资本经营预算支出决算情况说明</w:t>
          </w:r>
          <w:r>
            <w:tab/>
          </w:r>
          <w:r>
            <w:fldChar w:fldCharType="begin"/>
          </w:r>
          <w:r>
            <w:instrText xml:space="preserve"> PAGEREF _Toc25230 \h </w:instrText>
          </w:r>
          <w:r>
            <w:fldChar w:fldCharType="separate"/>
          </w:r>
          <w:r>
            <w:t>9</w:t>
          </w:r>
          <w:r>
            <w:fldChar w:fldCharType="end"/>
          </w:r>
          <w:r>
            <w:fldChar w:fldCharType="end"/>
          </w:r>
        </w:p>
        <w:p>
          <w:pPr>
            <w:pStyle w:val="11"/>
            <w:tabs>
              <w:tab w:val="right" w:leader="dot" w:pos="8306"/>
              <w:tab w:val="clear" w:pos="8296"/>
            </w:tabs>
          </w:pPr>
          <w:r>
            <w:fldChar w:fldCharType="begin"/>
          </w:r>
          <w:r>
            <w:instrText xml:space="preserve"> HYPERLINK \l _Toc18348 </w:instrText>
          </w:r>
          <w:r>
            <w:fldChar w:fldCharType="separate"/>
          </w:r>
          <w:r>
            <w:rPr>
              <w:rFonts w:hint="eastAsia" w:ascii="黑体" w:hAnsi="黑体" w:eastAsia="黑体"/>
              <w:lang w:val="zh-CN"/>
            </w:rPr>
            <w:t>十、其他重要事项的情况说明</w:t>
          </w:r>
          <w:r>
            <w:tab/>
          </w:r>
          <w:r>
            <w:fldChar w:fldCharType="begin"/>
          </w:r>
          <w:r>
            <w:instrText xml:space="preserve"> PAGEREF _Toc18348 \h </w:instrText>
          </w:r>
          <w:r>
            <w:fldChar w:fldCharType="separate"/>
          </w:r>
          <w:r>
            <w:t>9</w:t>
          </w:r>
          <w:r>
            <w:fldChar w:fldCharType="end"/>
          </w:r>
          <w:r>
            <w:fldChar w:fldCharType="end"/>
          </w:r>
        </w:p>
        <w:p>
          <w:pPr>
            <w:pStyle w:val="10"/>
            <w:tabs>
              <w:tab w:val="right" w:leader="dot" w:pos="8306"/>
              <w:tab w:val="clear" w:pos="8296"/>
            </w:tabs>
          </w:pPr>
          <w:r>
            <w:fldChar w:fldCharType="begin"/>
          </w:r>
          <w:r>
            <w:instrText xml:space="preserve"> HYPERLINK \l _Toc23584 </w:instrText>
          </w:r>
          <w:r>
            <w:fldChar w:fldCharType="separate"/>
          </w:r>
          <w:r>
            <w:rPr>
              <w:rFonts w:hint="eastAsia" w:ascii="黑体" w:hAnsi="黑体" w:eastAsia="黑体" w:cs="黑体"/>
              <w:szCs w:val="44"/>
            </w:rPr>
            <w:t xml:space="preserve">第三部分 </w:t>
          </w:r>
          <w:r>
            <w:rPr>
              <w:rFonts w:hint="eastAsia" w:ascii="黑体" w:hAnsi="黑体" w:eastAsia="黑体"/>
              <w:szCs w:val="44"/>
            </w:rPr>
            <w:t>名</w:t>
          </w:r>
          <w:r>
            <w:rPr>
              <w:rFonts w:hint="eastAsia" w:ascii="黑体" w:hAnsi="黑体" w:eastAsia="黑体"/>
            </w:rPr>
            <w:t>词解释</w:t>
          </w:r>
          <w:r>
            <w:tab/>
          </w:r>
          <w:r>
            <w:fldChar w:fldCharType="begin"/>
          </w:r>
          <w:r>
            <w:instrText xml:space="preserve"> PAGEREF _Toc23584 \h </w:instrText>
          </w:r>
          <w:r>
            <w:fldChar w:fldCharType="separate"/>
          </w:r>
          <w:r>
            <w:t>11</w:t>
          </w:r>
          <w:r>
            <w:fldChar w:fldCharType="end"/>
          </w:r>
          <w:r>
            <w:fldChar w:fldCharType="end"/>
          </w:r>
        </w:p>
        <w:p>
          <w:pPr>
            <w:pStyle w:val="10"/>
            <w:tabs>
              <w:tab w:val="right" w:leader="dot" w:pos="8306"/>
              <w:tab w:val="clear" w:pos="8296"/>
            </w:tabs>
          </w:pPr>
          <w:r>
            <w:fldChar w:fldCharType="begin"/>
          </w:r>
          <w:r>
            <w:instrText xml:space="preserve"> HYPERLINK \l _Toc13580 </w:instrText>
          </w:r>
          <w:r>
            <w:fldChar w:fldCharType="separate"/>
          </w:r>
          <w:r>
            <w:rPr>
              <w:rFonts w:hint="eastAsia" w:ascii="黑体" w:hAnsi="黑体" w:eastAsia="黑体"/>
              <w:szCs w:val="44"/>
            </w:rPr>
            <w:t>第</w:t>
          </w:r>
          <w:r>
            <w:rPr>
              <w:rFonts w:hint="eastAsia" w:ascii="黑体" w:hAnsi="黑体" w:eastAsia="黑体"/>
            </w:rPr>
            <w:t>四部分 附件</w:t>
          </w:r>
          <w:r>
            <w:tab/>
          </w:r>
          <w:r>
            <w:fldChar w:fldCharType="begin"/>
          </w:r>
          <w:r>
            <w:instrText xml:space="preserve"> PAGEREF _Toc13580 \h </w:instrText>
          </w:r>
          <w:r>
            <w:fldChar w:fldCharType="separate"/>
          </w:r>
          <w:r>
            <w:t>14</w:t>
          </w:r>
          <w:r>
            <w:fldChar w:fldCharType="end"/>
          </w:r>
          <w:r>
            <w:fldChar w:fldCharType="end"/>
          </w:r>
        </w:p>
        <w:p>
          <w:pPr>
            <w:pStyle w:val="10"/>
            <w:tabs>
              <w:tab w:val="right" w:leader="dot" w:pos="8306"/>
              <w:tab w:val="clear" w:pos="8296"/>
            </w:tabs>
          </w:pPr>
          <w:r>
            <w:fldChar w:fldCharType="begin"/>
          </w:r>
          <w:r>
            <w:instrText xml:space="preserve"> HYPERLINK \l _Toc16831 </w:instrText>
          </w:r>
          <w:r>
            <w:fldChar w:fldCharType="separate"/>
          </w:r>
          <w:r>
            <w:rPr>
              <w:rFonts w:hint="eastAsia" w:ascii="黑体" w:hAnsi="黑体" w:eastAsia="黑体"/>
              <w:szCs w:val="44"/>
            </w:rPr>
            <w:t>第</w:t>
          </w:r>
          <w:r>
            <w:rPr>
              <w:rFonts w:hint="eastAsia" w:ascii="黑体" w:hAnsi="黑体" w:eastAsia="黑体"/>
            </w:rPr>
            <w:t>五部分 附表</w:t>
          </w:r>
          <w:r>
            <w:tab/>
          </w:r>
          <w:r>
            <w:fldChar w:fldCharType="begin"/>
          </w:r>
          <w:r>
            <w:instrText xml:space="preserve"> PAGEREF _Toc16831 \h </w:instrText>
          </w:r>
          <w:r>
            <w:fldChar w:fldCharType="separate"/>
          </w:r>
          <w:r>
            <w:t>33</w:t>
          </w:r>
          <w:r>
            <w:fldChar w:fldCharType="end"/>
          </w:r>
          <w:r>
            <w:fldChar w:fldCharType="end"/>
          </w:r>
        </w:p>
        <w:p>
          <w:pPr>
            <w:pStyle w:val="11"/>
            <w:tabs>
              <w:tab w:val="right" w:leader="dot" w:pos="8306"/>
              <w:tab w:val="clear" w:pos="8296"/>
            </w:tabs>
          </w:pPr>
          <w:r>
            <w:fldChar w:fldCharType="begin"/>
          </w:r>
          <w:r>
            <w:instrText xml:space="preserve"> HYPERLINK \l _Toc12518 </w:instrText>
          </w:r>
          <w:r>
            <w:fldChar w:fldCharType="separate"/>
          </w:r>
          <w:r>
            <w:rPr>
              <w:rFonts w:hint="eastAsia" w:ascii="仿宋" w:hAnsi="仿宋" w:eastAsia="仿宋"/>
            </w:rPr>
            <w:t>一、收</w:t>
          </w:r>
          <w:r>
            <w:rPr>
              <w:rFonts w:hint="eastAsia" w:ascii="仿宋" w:hAnsi="仿宋" w:eastAsia="仿宋"/>
              <w:bCs w:val="0"/>
            </w:rPr>
            <w:t>入支出决算总表</w:t>
          </w:r>
          <w:r>
            <w:tab/>
          </w:r>
          <w:r>
            <w:fldChar w:fldCharType="begin"/>
          </w:r>
          <w:r>
            <w:instrText xml:space="preserve"> PAGEREF _Toc12518 \h </w:instrText>
          </w:r>
          <w:r>
            <w:fldChar w:fldCharType="separate"/>
          </w:r>
          <w:r>
            <w:t>33</w:t>
          </w:r>
          <w:r>
            <w:fldChar w:fldCharType="end"/>
          </w:r>
          <w:r>
            <w:fldChar w:fldCharType="end"/>
          </w:r>
        </w:p>
        <w:p>
          <w:pPr>
            <w:pStyle w:val="11"/>
            <w:tabs>
              <w:tab w:val="right" w:leader="dot" w:pos="8306"/>
              <w:tab w:val="clear" w:pos="8296"/>
            </w:tabs>
          </w:pPr>
          <w:r>
            <w:fldChar w:fldCharType="begin"/>
          </w:r>
          <w:r>
            <w:instrText xml:space="preserve"> HYPERLINK \l _Toc22760 </w:instrText>
          </w:r>
          <w:r>
            <w:fldChar w:fldCharType="separate"/>
          </w:r>
          <w:r>
            <w:rPr>
              <w:rFonts w:hint="eastAsia" w:ascii="仿宋" w:hAnsi="仿宋" w:eastAsia="仿宋"/>
            </w:rPr>
            <w:t>二、收</w:t>
          </w:r>
          <w:r>
            <w:rPr>
              <w:rFonts w:hint="eastAsia" w:ascii="仿宋" w:hAnsi="仿宋" w:eastAsia="仿宋"/>
              <w:bCs w:val="0"/>
            </w:rPr>
            <w:t>入决算表</w:t>
          </w:r>
          <w:r>
            <w:tab/>
          </w:r>
          <w:r>
            <w:fldChar w:fldCharType="begin"/>
          </w:r>
          <w:r>
            <w:instrText xml:space="preserve"> PAGEREF _Toc22760 \h </w:instrText>
          </w:r>
          <w:r>
            <w:fldChar w:fldCharType="separate"/>
          </w:r>
          <w:r>
            <w:t>33</w:t>
          </w:r>
          <w:r>
            <w:fldChar w:fldCharType="end"/>
          </w:r>
          <w:r>
            <w:fldChar w:fldCharType="end"/>
          </w:r>
        </w:p>
        <w:p>
          <w:pPr>
            <w:pStyle w:val="11"/>
            <w:tabs>
              <w:tab w:val="right" w:leader="dot" w:pos="8306"/>
              <w:tab w:val="clear" w:pos="8296"/>
            </w:tabs>
          </w:pPr>
          <w:r>
            <w:fldChar w:fldCharType="begin"/>
          </w:r>
          <w:r>
            <w:instrText xml:space="preserve"> HYPERLINK \l _Toc11951 </w:instrText>
          </w:r>
          <w:r>
            <w:fldChar w:fldCharType="separate"/>
          </w:r>
          <w:r>
            <w:rPr>
              <w:rFonts w:hint="eastAsia" w:ascii="仿宋" w:hAnsi="仿宋" w:eastAsia="仿宋"/>
              <w:bCs w:val="0"/>
            </w:rPr>
            <w:t>三、</w:t>
          </w:r>
          <w:r>
            <w:rPr>
              <w:rFonts w:hint="eastAsia" w:ascii="仿宋" w:hAnsi="仿宋" w:eastAsia="仿宋"/>
            </w:rPr>
            <w:t>支</w:t>
          </w:r>
          <w:r>
            <w:rPr>
              <w:rFonts w:hint="eastAsia" w:ascii="仿宋" w:hAnsi="仿宋" w:eastAsia="仿宋"/>
              <w:bCs w:val="0"/>
            </w:rPr>
            <w:t>出决算表</w:t>
          </w:r>
          <w:r>
            <w:tab/>
          </w:r>
          <w:r>
            <w:fldChar w:fldCharType="begin"/>
          </w:r>
          <w:r>
            <w:instrText xml:space="preserve"> PAGEREF _Toc11951 \h </w:instrText>
          </w:r>
          <w:r>
            <w:fldChar w:fldCharType="separate"/>
          </w:r>
          <w:r>
            <w:t>33</w:t>
          </w:r>
          <w:r>
            <w:fldChar w:fldCharType="end"/>
          </w:r>
          <w:r>
            <w:fldChar w:fldCharType="end"/>
          </w:r>
        </w:p>
        <w:p>
          <w:pPr>
            <w:pStyle w:val="11"/>
            <w:tabs>
              <w:tab w:val="right" w:leader="dot" w:pos="8306"/>
              <w:tab w:val="clear" w:pos="8296"/>
            </w:tabs>
          </w:pPr>
          <w:r>
            <w:fldChar w:fldCharType="begin"/>
          </w:r>
          <w:r>
            <w:instrText xml:space="preserve"> HYPERLINK \l _Toc31071 </w:instrText>
          </w:r>
          <w:r>
            <w:fldChar w:fldCharType="separate"/>
          </w:r>
          <w:r>
            <w:rPr>
              <w:rFonts w:hint="eastAsia" w:ascii="仿宋" w:hAnsi="仿宋" w:eastAsia="仿宋"/>
              <w:bCs w:val="0"/>
            </w:rPr>
            <w:t>四、</w:t>
          </w:r>
          <w:r>
            <w:rPr>
              <w:rFonts w:hint="eastAsia" w:ascii="仿宋" w:hAnsi="仿宋" w:eastAsia="仿宋"/>
            </w:rPr>
            <w:t>财</w:t>
          </w:r>
          <w:r>
            <w:rPr>
              <w:rFonts w:hint="eastAsia" w:ascii="仿宋" w:hAnsi="仿宋" w:eastAsia="仿宋"/>
              <w:bCs w:val="0"/>
            </w:rPr>
            <w:t>政拨款收入支出决算总表</w:t>
          </w:r>
          <w:r>
            <w:tab/>
          </w:r>
          <w:r>
            <w:fldChar w:fldCharType="begin"/>
          </w:r>
          <w:r>
            <w:instrText xml:space="preserve"> PAGEREF _Toc31071 \h </w:instrText>
          </w:r>
          <w:r>
            <w:fldChar w:fldCharType="separate"/>
          </w:r>
          <w:r>
            <w:t>33</w:t>
          </w:r>
          <w:r>
            <w:fldChar w:fldCharType="end"/>
          </w:r>
          <w:r>
            <w:fldChar w:fldCharType="end"/>
          </w:r>
        </w:p>
        <w:p>
          <w:pPr>
            <w:pStyle w:val="11"/>
            <w:tabs>
              <w:tab w:val="right" w:leader="dot" w:pos="8306"/>
              <w:tab w:val="clear" w:pos="8296"/>
            </w:tabs>
          </w:pPr>
          <w:r>
            <w:fldChar w:fldCharType="begin"/>
          </w:r>
          <w:r>
            <w:instrText xml:space="preserve"> HYPERLINK \l _Toc21748 </w:instrText>
          </w:r>
          <w:r>
            <w:fldChar w:fldCharType="separate"/>
          </w:r>
          <w:r>
            <w:rPr>
              <w:rFonts w:hint="eastAsia" w:ascii="仿宋" w:hAnsi="仿宋" w:eastAsia="仿宋"/>
              <w:bCs w:val="0"/>
            </w:rPr>
            <w:t>五、</w:t>
          </w:r>
          <w:r>
            <w:rPr>
              <w:rFonts w:hint="eastAsia" w:ascii="仿宋" w:hAnsi="仿宋" w:eastAsia="仿宋"/>
            </w:rPr>
            <w:t>财</w:t>
          </w:r>
          <w:r>
            <w:rPr>
              <w:rFonts w:hint="eastAsia" w:ascii="仿宋" w:hAnsi="仿宋" w:eastAsia="仿宋"/>
              <w:bCs w:val="0"/>
            </w:rPr>
            <w:t>政拨款支出决算明细表</w:t>
          </w:r>
          <w:r>
            <w:tab/>
          </w:r>
          <w:r>
            <w:fldChar w:fldCharType="begin"/>
          </w:r>
          <w:r>
            <w:instrText xml:space="preserve"> PAGEREF _Toc21748 \h </w:instrText>
          </w:r>
          <w:r>
            <w:fldChar w:fldCharType="separate"/>
          </w:r>
          <w:r>
            <w:t>33</w:t>
          </w:r>
          <w:r>
            <w:fldChar w:fldCharType="end"/>
          </w:r>
          <w:r>
            <w:fldChar w:fldCharType="end"/>
          </w:r>
        </w:p>
        <w:p>
          <w:pPr>
            <w:pStyle w:val="11"/>
            <w:tabs>
              <w:tab w:val="right" w:leader="dot" w:pos="8306"/>
              <w:tab w:val="clear" w:pos="8296"/>
            </w:tabs>
          </w:pPr>
          <w:r>
            <w:fldChar w:fldCharType="begin"/>
          </w:r>
          <w:r>
            <w:instrText xml:space="preserve"> HYPERLINK \l _Toc28729 </w:instrText>
          </w:r>
          <w:r>
            <w:fldChar w:fldCharType="separate"/>
          </w:r>
          <w:r>
            <w:rPr>
              <w:rFonts w:hint="eastAsia" w:ascii="仿宋" w:hAnsi="仿宋" w:eastAsia="仿宋"/>
              <w:bCs w:val="0"/>
            </w:rPr>
            <w:t>六、</w:t>
          </w:r>
          <w:r>
            <w:rPr>
              <w:rFonts w:hint="eastAsia" w:ascii="仿宋" w:hAnsi="仿宋" w:eastAsia="仿宋"/>
            </w:rPr>
            <w:t>一</w:t>
          </w:r>
          <w:r>
            <w:rPr>
              <w:rFonts w:hint="eastAsia" w:ascii="仿宋" w:hAnsi="仿宋" w:eastAsia="仿宋"/>
              <w:bCs w:val="0"/>
            </w:rPr>
            <w:t>般公共预算财政拨款支出决算表</w:t>
          </w:r>
          <w:r>
            <w:tab/>
          </w:r>
          <w:r>
            <w:fldChar w:fldCharType="begin"/>
          </w:r>
          <w:r>
            <w:instrText xml:space="preserve"> PAGEREF _Toc28729 \h </w:instrText>
          </w:r>
          <w:r>
            <w:fldChar w:fldCharType="separate"/>
          </w:r>
          <w:r>
            <w:t>33</w:t>
          </w:r>
          <w:r>
            <w:fldChar w:fldCharType="end"/>
          </w:r>
          <w:r>
            <w:fldChar w:fldCharType="end"/>
          </w:r>
        </w:p>
        <w:p>
          <w:pPr>
            <w:pStyle w:val="11"/>
            <w:tabs>
              <w:tab w:val="right" w:leader="dot" w:pos="8306"/>
              <w:tab w:val="clear" w:pos="8296"/>
            </w:tabs>
          </w:pPr>
          <w:r>
            <w:fldChar w:fldCharType="begin"/>
          </w:r>
          <w:r>
            <w:instrText xml:space="preserve"> HYPERLINK \l _Toc12684 </w:instrText>
          </w:r>
          <w:r>
            <w:fldChar w:fldCharType="separate"/>
          </w:r>
          <w:r>
            <w:rPr>
              <w:rFonts w:hint="eastAsia" w:ascii="仿宋" w:hAnsi="仿宋" w:eastAsia="仿宋"/>
              <w:bCs w:val="0"/>
            </w:rPr>
            <w:t>七、</w:t>
          </w:r>
          <w:r>
            <w:rPr>
              <w:rFonts w:hint="eastAsia" w:ascii="仿宋" w:hAnsi="仿宋" w:eastAsia="仿宋"/>
            </w:rPr>
            <w:t>一</w:t>
          </w:r>
          <w:r>
            <w:rPr>
              <w:rFonts w:hint="eastAsia" w:ascii="仿宋" w:hAnsi="仿宋" w:eastAsia="仿宋"/>
              <w:bCs w:val="0"/>
            </w:rPr>
            <w:t>般公共预算财政拨款支出决算明细表</w:t>
          </w:r>
          <w:r>
            <w:tab/>
          </w:r>
          <w:r>
            <w:fldChar w:fldCharType="begin"/>
          </w:r>
          <w:r>
            <w:instrText xml:space="preserve"> PAGEREF _Toc12684 \h </w:instrText>
          </w:r>
          <w:r>
            <w:fldChar w:fldCharType="separate"/>
          </w:r>
          <w:r>
            <w:t>33</w:t>
          </w:r>
          <w:r>
            <w:fldChar w:fldCharType="end"/>
          </w:r>
          <w:r>
            <w:fldChar w:fldCharType="end"/>
          </w:r>
        </w:p>
        <w:p>
          <w:pPr>
            <w:pStyle w:val="11"/>
            <w:tabs>
              <w:tab w:val="right" w:leader="dot" w:pos="8306"/>
              <w:tab w:val="clear" w:pos="8296"/>
            </w:tabs>
          </w:pPr>
          <w:r>
            <w:fldChar w:fldCharType="begin"/>
          </w:r>
          <w:r>
            <w:instrText xml:space="preserve"> HYPERLINK \l _Toc7333 </w:instrText>
          </w:r>
          <w:r>
            <w:fldChar w:fldCharType="separate"/>
          </w:r>
          <w:r>
            <w:rPr>
              <w:rFonts w:hint="eastAsia" w:ascii="仿宋" w:hAnsi="仿宋" w:eastAsia="仿宋"/>
              <w:bCs w:val="0"/>
            </w:rPr>
            <w:t>八、</w:t>
          </w:r>
          <w:r>
            <w:rPr>
              <w:rFonts w:hint="eastAsia" w:ascii="仿宋" w:hAnsi="仿宋" w:eastAsia="仿宋"/>
            </w:rPr>
            <w:t>一</w:t>
          </w:r>
          <w:r>
            <w:rPr>
              <w:rFonts w:hint="eastAsia" w:ascii="仿宋" w:hAnsi="仿宋" w:eastAsia="仿宋"/>
              <w:bCs w:val="0"/>
            </w:rPr>
            <w:t>般公共预算财政拨款基本支出决算表</w:t>
          </w:r>
          <w:r>
            <w:tab/>
          </w:r>
          <w:r>
            <w:fldChar w:fldCharType="begin"/>
          </w:r>
          <w:r>
            <w:instrText xml:space="preserve"> PAGEREF _Toc7333 \h </w:instrText>
          </w:r>
          <w:r>
            <w:fldChar w:fldCharType="separate"/>
          </w:r>
          <w:r>
            <w:t>33</w:t>
          </w:r>
          <w:r>
            <w:fldChar w:fldCharType="end"/>
          </w:r>
          <w:r>
            <w:fldChar w:fldCharType="end"/>
          </w:r>
        </w:p>
        <w:p>
          <w:pPr>
            <w:pStyle w:val="11"/>
            <w:tabs>
              <w:tab w:val="right" w:leader="dot" w:pos="8306"/>
              <w:tab w:val="clear" w:pos="8296"/>
            </w:tabs>
          </w:pPr>
          <w:r>
            <w:fldChar w:fldCharType="begin"/>
          </w:r>
          <w:r>
            <w:instrText xml:space="preserve"> HYPERLINK \l _Toc21715 </w:instrText>
          </w:r>
          <w:r>
            <w:fldChar w:fldCharType="separate"/>
          </w:r>
          <w:r>
            <w:rPr>
              <w:rFonts w:hint="eastAsia" w:ascii="仿宋" w:hAnsi="仿宋" w:eastAsia="仿宋"/>
              <w:bCs w:val="0"/>
            </w:rPr>
            <w:t>九、</w:t>
          </w:r>
          <w:r>
            <w:rPr>
              <w:rFonts w:hint="eastAsia" w:ascii="仿宋" w:hAnsi="仿宋" w:eastAsia="仿宋"/>
            </w:rPr>
            <w:t>一</w:t>
          </w:r>
          <w:r>
            <w:rPr>
              <w:rFonts w:hint="eastAsia" w:ascii="仿宋" w:hAnsi="仿宋" w:eastAsia="仿宋"/>
              <w:bCs w:val="0"/>
            </w:rPr>
            <w:t>般公共预算财政拨款项目支出决算表</w:t>
          </w:r>
          <w:r>
            <w:tab/>
          </w:r>
          <w:r>
            <w:fldChar w:fldCharType="begin"/>
          </w:r>
          <w:r>
            <w:instrText xml:space="preserve"> PAGEREF _Toc21715 \h </w:instrText>
          </w:r>
          <w:r>
            <w:fldChar w:fldCharType="separate"/>
          </w:r>
          <w:r>
            <w:t>33</w:t>
          </w:r>
          <w:r>
            <w:fldChar w:fldCharType="end"/>
          </w:r>
          <w:r>
            <w:fldChar w:fldCharType="end"/>
          </w:r>
        </w:p>
        <w:p>
          <w:pPr>
            <w:pStyle w:val="11"/>
            <w:tabs>
              <w:tab w:val="right" w:leader="dot" w:pos="8306"/>
              <w:tab w:val="clear" w:pos="8296"/>
            </w:tabs>
          </w:pPr>
          <w:r>
            <w:fldChar w:fldCharType="begin"/>
          </w:r>
          <w:r>
            <w:instrText xml:space="preserve"> HYPERLINK \l _Toc27593 </w:instrText>
          </w:r>
          <w:r>
            <w:fldChar w:fldCharType="separate"/>
          </w:r>
          <w:r>
            <w:rPr>
              <w:rFonts w:hint="eastAsia" w:ascii="仿宋" w:hAnsi="仿宋" w:eastAsia="仿宋"/>
              <w:bCs w:val="0"/>
            </w:rPr>
            <w:t>十、</w:t>
          </w:r>
          <w:r>
            <w:rPr>
              <w:rFonts w:hint="eastAsia" w:ascii="仿宋" w:hAnsi="仿宋" w:eastAsia="仿宋"/>
            </w:rPr>
            <w:t>政</w:t>
          </w:r>
          <w:r>
            <w:rPr>
              <w:rFonts w:hint="eastAsia" w:ascii="仿宋" w:hAnsi="仿宋" w:eastAsia="仿宋"/>
              <w:bCs w:val="0"/>
            </w:rPr>
            <w:t>府性基金预算财政拨款收入支出决算表</w:t>
          </w:r>
          <w:r>
            <w:tab/>
          </w:r>
          <w:r>
            <w:fldChar w:fldCharType="begin"/>
          </w:r>
          <w:r>
            <w:instrText xml:space="preserve"> PAGEREF _Toc27593 \h </w:instrText>
          </w:r>
          <w:r>
            <w:fldChar w:fldCharType="separate"/>
          </w:r>
          <w:r>
            <w:t>33</w:t>
          </w:r>
          <w:r>
            <w:fldChar w:fldCharType="end"/>
          </w:r>
          <w:r>
            <w:fldChar w:fldCharType="end"/>
          </w:r>
        </w:p>
        <w:p>
          <w:pPr>
            <w:pStyle w:val="11"/>
            <w:tabs>
              <w:tab w:val="right" w:leader="dot" w:pos="8306"/>
              <w:tab w:val="clear" w:pos="8296"/>
            </w:tabs>
          </w:pPr>
          <w:r>
            <w:fldChar w:fldCharType="begin"/>
          </w:r>
          <w:r>
            <w:instrText xml:space="preserve"> HYPERLINK \l _Toc9364 </w:instrText>
          </w:r>
          <w:r>
            <w:fldChar w:fldCharType="separate"/>
          </w:r>
          <w:r>
            <w:rPr>
              <w:rFonts w:hint="eastAsia" w:ascii="仿宋" w:hAnsi="仿宋" w:eastAsia="仿宋"/>
              <w:bCs w:val="0"/>
            </w:rPr>
            <w:t>十一、</w:t>
          </w:r>
          <w:r>
            <w:rPr>
              <w:rFonts w:hint="eastAsia" w:ascii="仿宋" w:hAnsi="仿宋" w:eastAsia="仿宋"/>
            </w:rPr>
            <w:t>国</w:t>
          </w:r>
          <w:r>
            <w:rPr>
              <w:rFonts w:hint="eastAsia" w:ascii="仿宋" w:hAnsi="仿宋" w:eastAsia="仿宋"/>
              <w:bCs w:val="0"/>
            </w:rPr>
            <w:t>有资本经营预算财政拨款收入支出决算表</w:t>
          </w:r>
          <w:r>
            <w:tab/>
          </w:r>
          <w:r>
            <w:fldChar w:fldCharType="begin"/>
          </w:r>
          <w:r>
            <w:instrText xml:space="preserve"> PAGEREF _Toc9364 \h </w:instrText>
          </w:r>
          <w:r>
            <w:fldChar w:fldCharType="separate"/>
          </w:r>
          <w:r>
            <w:t>33</w:t>
          </w:r>
          <w:r>
            <w:fldChar w:fldCharType="end"/>
          </w:r>
          <w:r>
            <w:fldChar w:fldCharType="end"/>
          </w:r>
        </w:p>
        <w:p>
          <w:pPr>
            <w:pStyle w:val="11"/>
            <w:tabs>
              <w:tab w:val="right" w:leader="dot" w:pos="8306"/>
              <w:tab w:val="clear" w:pos="8296"/>
            </w:tabs>
          </w:pPr>
          <w:r>
            <w:fldChar w:fldCharType="begin"/>
          </w:r>
          <w:r>
            <w:instrText xml:space="preserve"> HYPERLINK \l _Toc3232 </w:instrText>
          </w:r>
          <w:r>
            <w:fldChar w:fldCharType="separate"/>
          </w:r>
          <w:r>
            <w:rPr>
              <w:rFonts w:hint="eastAsia" w:ascii="仿宋" w:hAnsi="仿宋" w:eastAsia="仿宋"/>
              <w:bCs w:val="0"/>
            </w:rPr>
            <w:t>十二、国有资本经营预算财政拨款支出决算表</w:t>
          </w:r>
          <w:r>
            <w:tab/>
          </w:r>
          <w:r>
            <w:fldChar w:fldCharType="begin"/>
          </w:r>
          <w:r>
            <w:instrText xml:space="preserve"> PAGEREF _Toc3232 \h </w:instrText>
          </w:r>
          <w:r>
            <w:fldChar w:fldCharType="separate"/>
          </w:r>
          <w:r>
            <w:t>33</w:t>
          </w:r>
          <w:r>
            <w:fldChar w:fldCharType="end"/>
          </w:r>
          <w:r>
            <w:fldChar w:fldCharType="end"/>
          </w:r>
        </w:p>
        <w:p>
          <w:pPr>
            <w:pStyle w:val="11"/>
            <w:tabs>
              <w:tab w:val="right" w:leader="dot" w:pos="8306"/>
              <w:tab w:val="clear" w:pos="8296"/>
            </w:tabs>
          </w:pPr>
          <w:r>
            <w:fldChar w:fldCharType="begin"/>
          </w:r>
          <w:r>
            <w:instrText xml:space="preserve"> HYPERLINK \l _Toc15080 </w:instrText>
          </w:r>
          <w:r>
            <w:fldChar w:fldCharType="separate"/>
          </w:r>
          <w:r>
            <w:rPr>
              <w:rFonts w:hint="eastAsia" w:ascii="仿宋" w:hAnsi="仿宋" w:eastAsia="仿宋"/>
              <w:bCs w:val="0"/>
            </w:rPr>
            <w:t>十三、财政拨款“三公”经费支出决算表</w:t>
          </w:r>
          <w:r>
            <w:tab/>
          </w:r>
          <w:r>
            <w:fldChar w:fldCharType="begin"/>
          </w:r>
          <w:r>
            <w:instrText xml:space="preserve"> PAGEREF _Toc15080 \h </w:instrText>
          </w:r>
          <w:r>
            <w:fldChar w:fldCharType="separate"/>
          </w:r>
          <w:r>
            <w:t>33</w:t>
          </w:r>
          <w:r>
            <w:fldChar w:fldCharType="end"/>
          </w:r>
          <w:r>
            <w:fldChar w:fldCharType="end"/>
          </w:r>
        </w:p>
        <w:p>
          <w:pPr>
            <w:jc w:val="center"/>
          </w:pPr>
          <w:r>
            <w:rPr>
              <w:b/>
            </w:rPr>
            <w:fldChar w:fldCharType="end"/>
          </w:r>
        </w:p>
      </w:sdtContent>
    </w:sdt>
    <w:p>
      <w:pPr>
        <w:pStyle w:val="2"/>
        <w:spacing w:before="0" w:after="0"/>
        <w:jc w:val="center"/>
        <w:rPr>
          <w:rFonts w:ascii="黑体" w:hAnsi="黑体" w:eastAsia="黑体"/>
          <w:b w:val="0"/>
        </w:rPr>
        <w:sectPr>
          <w:headerReference r:id="rId3" w:type="default"/>
          <w:pgSz w:w="11906" w:h="16838"/>
          <w:pgMar w:top="1440" w:right="1800" w:bottom="1440" w:left="1800" w:header="851" w:footer="992" w:gutter="0"/>
          <w:pgNumType w:start="1"/>
          <w:cols w:space="425" w:num="1"/>
          <w:titlePg/>
          <w:docGrid w:type="lines" w:linePitch="312" w:charSpace="0"/>
        </w:sectPr>
      </w:pPr>
    </w:p>
    <w:p>
      <w:pPr>
        <w:pStyle w:val="2"/>
        <w:spacing w:before="0" w:after="0"/>
        <w:jc w:val="center"/>
        <w:rPr>
          <w:rStyle w:val="17"/>
          <w:rFonts w:ascii="黑体" w:hAnsi="黑体" w:eastAsia="黑体"/>
          <w:b/>
          <w:bCs w:val="0"/>
        </w:rPr>
      </w:pPr>
      <w:bookmarkStart w:id="18" w:name="_Toc5902"/>
      <w:r>
        <w:rPr>
          <w:rFonts w:hint="eastAsia" w:ascii="黑体" w:hAnsi="黑体" w:eastAsia="黑体"/>
          <w:b w:val="0"/>
        </w:rPr>
        <w:t>第一部分 单位</w:t>
      </w:r>
      <w:r>
        <w:rPr>
          <w:rStyle w:val="17"/>
          <w:rFonts w:hint="eastAsia" w:ascii="黑体" w:hAnsi="黑体" w:eastAsia="黑体"/>
          <w:b w:val="0"/>
          <w:bCs w:val="0"/>
        </w:rPr>
        <w:t>概况</w:t>
      </w:r>
      <w:bookmarkEnd w:id="16"/>
      <w:bookmarkEnd w:id="17"/>
      <w:bookmarkEnd w:id="18"/>
    </w:p>
    <w:p>
      <w:pPr>
        <w:pStyle w:val="3"/>
        <w:spacing w:before="0" w:after="0"/>
        <w:ind w:firstLine="640" w:firstLineChars="200"/>
        <w:rPr>
          <w:rStyle w:val="18"/>
          <w:rFonts w:ascii="黑体" w:hAnsi="黑体" w:eastAsia="黑体"/>
          <w:b w:val="0"/>
          <w:bCs w:val="0"/>
        </w:rPr>
      </w:pPr>
      <w:bookmarkStart w:id="19" w:name="_Toc26611"/>
      <w:bookmarkStart w:id="20" w:name="_Toc15396600"/>
      <w:bookmarkStart w:id="21" w:name="_Toc15377197"/>
      <w:r>
        <w:rPr>
          <w:rStyle w:val="18"/>
          <w:rFonts w:hint="eastAsia" w:ascii="黑体" w:hAnsi="黑体" w:eastAsia="黑体"/>
          <w:b w:val="0"/>
          <w:bCs w:val="0"/>
        </w:rPr>
        <w:t>一、主要职责</w:t>
      </w:r>
      <w:bookmarkEnd w:id="19"/>
    </w:p>
    <w:p>
      <w:pPr>
        <w:spacing w:line="600" w:lineRule="exact"/>
        <w:ind w:firstLine="640" w:firstLineChars="200"/>
        <w:rPr>
          <w:rFonts w:ascii="仿宋_GB2312" w:eastAsia="仿宋_GB2312"/>
          <w:sz w:val="32"/>
          <w:szCs w:val="32"/>
        </w:rPr>
      </w:pPr>
      <w:r>
        <w:rPr>
          <w:rFonts w:hint="eastAsia" w:ascii="仿宋_GB2312" w:eastAsia="仿宋_GB2312"/>
          <w:sz w:val="32"/>
          <w:szCs w:val="32"/>
        </w:rPr>
        <w:t>广元市作家协会是在中国共产党领导下的全市作家、文学工作者自愿结合的专业性人民团体，由市委领导。其主要工作任务是：一是组织学习党的基本理论和文艺方针，坚持文艺为人民服务、为社会主义服务的方向。贯彻“百花齐放”“百家争鸣”的方针，弘扬主旋律，提倡多样化，发扬和繁荣具有中国特色的社会主义文学，为加强社会主义精神文明建设服务。二是组织、推动文学评论和文学理论研究，坚持正确导向，发扬文艺民主，掌握文学创作状况和发展态势，推动我市文学理论研究和文学评论活动，促进社会主义文学事业的健康发展，培养造就一支紧跟时代步伐、热爱祖国和人民、艺术水平精湛的文学队伍。三是组织作家深入生活，不断提高文学创作的思想和艺术水平，大力推出优秀的创作成果，表彰奖励优秀文学成果，激发作家的进取精神，多出精品，多出人才。四是组织作家参加国内、国际文学交流活动，加强同市内外文学工作者的联系，增进相互了解和友谊。五是依据宪法和法律，反映作家的意见和要求，关心作家的创作和生活，兴办为作家服务的各种福利事业，依法维护作家的合法权益。六是实施章程中所规定的其它职责，承办市委和市政府交办的其它工作。</w:t>
      </w:r>
    </w:p>
    <w:p/>
    <w:p>
      <w:pPr>
        <w:pStyle w:val="3"/>
        <w:spacing w:before="0" w:after="0"/>
        <w:ind w:firstLine="640" w:firstLineChars="200"/>
        <w:rPr>
          <w:rFonts w:ascii="黑体" w:hAnsi="黑体" w:eastAsia="黑体"/>
          <w:b w:val="0"/>
        </w:rPr>
      </w:pPr>
      <w:bookmarkStart w:id="22" w:name="_Toc24375"/>
      <w:r>
        <w:rPr>
          <w:rFonts w:hint="eastAsia" w:ascii="黑体" w:hAnsi="黑体" w:eastAsia="黑体"/>
          <w:b w:val="0"/>
        </w:rPr>
        <w:t>二、机构设置</w:t>
      </w:r>
      <w:bookmarkEnd w:id="22"/>
    </w:p>
    <w:bookmarkEnd w:id="20"/>
    <w:bookmarkEnd w:id="21"/>
    <w:p>
      <w:pPr>
        <w:widowControl/>
        <w:ind w:firstLine="640" w:firstLineChars="200"/>
        <w:jc w:val="left"/>
        <w:rPr>
          <w:rFonts w:ascii="仿宋" w:hAnsi="仿宋" w:eastAsia="仿宋"/>
          <w:kern w:val="0"/>
          <w:sz w:val="32"/>
          <w:szCs w:val="32"/>
        </w:rPr>
      </w:pPr>
      <w:r>
        <w:rPr>
          <w:rFonts w:hint="eastAsia" w:ascii="仿宋_GB2312" w:eastAsia="仿宋_GB2312"/>
          <w:sz w:val="32"/>
          <w:szCs w:val="32"/>
        </w:rPr>
        <w:t>广元市作家协会属</w:t>
      </w:r>
      <w:r>
        <w:rPr>
          <w:rFonts w:ascii="仿宋_GB2312" w:eastAsia="仿宋_GB2312"/>
          <w:sz w:val="32"/>
          <w:szCs w:val="32"/>
        </w:rPr>
        <w:t>市委宣传部</w:t>
      </w:r>
      <w:r>
        <w:rPr>
          <w:rFonts w:hint="eastAsia" w:ascii="仿宋_GB2312" w:eastAsia="仿宋_GB2312"/>
          <w:sz w:val="32"/>
          <w:szCs w:val="32"/>
        </w:rPr>
        <w:t>二级预算单位，</w:t>
      </w:r>
      <w:r>
        <w:rPr>
          <w:rFonts w:hint="eastAsia" w:ascii="仿宋_GB2312" w:eastAsia="仿宋_GB2312"/>
          <w:sz w:val="32"/>
          <w:szCs w:val="32"/>
          <w:lang w:eastAsia="zh-CN"/>
        </w:rPr>
        <w:t>根据单位职责分工，单位</w:t>
      </w:r>
      <w:r>
        <w:rPr>
          <w:rFonts w:hint="eastAsia" w:ascii="仿宋_GB2312" w:eastAsia="仿宋_GB2312"/>
          <w:sz w:val="32"/>
          <w:szCs w:val="32"/>
        </w:rPr>
        <w:t>内设</w:t>
      </w:r>
      <w:r>
        <w:rPr>
          <w:rFonts w:hint="eastAsia" w:ascii="仿宋_GB2312" w:eastAsia="仿宋_GB2312"/>
          <w:sz w:val="32"/>
          <w:szCs w:val="32"/>
          <w:lang w:eastAsia="zh-CN"/>
        </w:rPr>
        <w:t>机构包括</w:t>
      </w:r>
      <w:r>
        <w:rPr>
          <w:rFonts w:hint="eastAsia" w:ascii="仿宋_GB2312" w:eastAsia="仿宋_GB2312"/>
          <w:sz w:val="32"/>
          <w:szCs w:val="32"/>
        </w:rPr>
        <w:t>办公室、创作联络部2个部门，参公事业编制5名。</w:t>
      </w:r>
      <w:r>
        <w:rPr>
          <w:rFonts w:ascii="仿宋" w:hAnsi="仿宋" w:eastAsia="仿宋"/>
          <w:sz w:val="32"/>
          <w:szCs w:val="32"/>
        </w:rPr>
        <w:br w:type="page"/>
      </w:r>
      <w:bookmarkStart w:id="23" w:name="_Toc15396602"/>
      <w:bookmarkStart w:id="24" w:name="_Toc15377204"/>
    </w:p>
    <w:p>
      <w:pPr>
        <w:pStyle w:val="2"/>
        <w:spacing w:before="0" w:after="0"/>
        <w:ind w:right="440"/>
        <w:jc w:val="center"/>
        <w:rPr>
          <w:rStyle w:val="17"/>
          <w:rFonts w:ascii="黑体" w:hAnsi="黑体" w:eastAsia="黑体"/>
          <w:b w:val="0"/>
          <w:bCs/>
        </w:rPr>
      </w:pPr>
      <w:bookmarkStart w:id="25" w:name="_Toc10305"/>
      <w:r>
        <w:rPr>
          <w:rFonts w:hint="eastAsia" w:ascii="黑体" w:hAnsi="黑体" w:eastAsia="黑体"/>
          <w:b w:val="0"/>
        </w:rPr>
        <w:t>第二部分 202</w:t>
      </w:r>
      <w:r>
        <w:rPr>
          <w:rFonts w:hint="eastAsia" w:ascii="黑体" w:hAnsi="黑体" w:eastAsia="黑体"/>
          <w:b w:val="0"/>
          <w:lang w:val="en-US" w:eastAsia="zh-CN"/>
        </w:rPr>
        <w:t>4</w:t>
      </w:r>
      <w:r>
        <w:rPr>
          <w:rFonts w:hint="eastAsia" w:ascii="黑体" w:hAnsi="黑体" w:eastAsia="黑体"/>
          <w:b w:val="0"/>
        </w:rPr>
        <w:t>年度</w:t>
      </w:r>
      <w:r>
        <w:rPr>
          <w:rStyle w:val="17"/>
          <w:rFonts w:hint="eastAsia" w:ascii="黑体" w:hAnsi="黑体" w:eastAsia="黑体"/>
          <w:b w:val="0"/>
          <w:bCs/>
        </w:rPr>
        <w:t>单位决算情况说明</w:t>
      </w:r>
      <w:bookmarkEnd w:id="23"/>
      <w:bookmarkEnd w:id="24"/>
      <w:bookmarkEnd w:id="25"/>
    </w:p>
    <w:p>
      <w:pPr>
        <w:pStyle w:val="28"/>
        <w:numPr>
          <w:ilvl w:val="0"/>
          <w:numId w:val="1"/>
        </w:numPr>
        <w:spacing w:line="600" w:lineRule="exact"/>
        <w:ind w:firstLineChars="0"/>
        <w:outlineLvl w:val="1"/>
        <w:rPr>
          <w:rStyle w:val="18"/>
          <w:rFonts w:ascii="黑体" w:hAnsi="黑体" w:eastAsia="黑体"/>
          <w:b w:val="0"/>
        </w:rPr>
      </w:pPr>
      <w:bookmarkStart w:id="26" w:name="_Toc14994"/>
      <w:bookmarkStart w:id="27" w:name="_Toc15377205"/>
      <w:bookmarkStart w:id="28" w:name="_Toc15396603"/>
      <w:r>
        <w:rPr>
          <w:rFonts w:hint="eastAsia" w:ascii="黑体" w:hAnsi="黑体" w:eastAsia="黑体"/>
          <w:sz w:val="32"/>
          <w:szCs w:val="32"/>
        </w:rPr>
        <w:t>收</w:t>
      </w:r>
      <w:r>
        <w:rPr>
          <w:rStyle w:val="18"/>
          <w:rFonts w:hint="eastAsia" w:ascii="黑体" w:hAnsi="黑体" w:eastAsia="黑体"/>
          <w:b w:val="0"/>
        </w:rPr>
        <w:t>入支出决算总体情况说明</w:t>
      </w:r>
      <w:bookmarkEnd w:id="26"/>
      <w:bookmarkEnd w:id="27"/>
      <w:bookmarkEnd w:id="28"/>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color w:val="000000"/>
          <w:sz w:val="32"/>
          <w:lang w:val="en-US" w:eastAsia="zh-CN"/>
        </w:rPr>
        <w:t>166.43</w:t>
      </w:r>
      <w:r>
        <w:rPr>
          <w:rFonts w:hint="eastAsia" w:ascii="仿宋_GB2312" w:hAnsi="仿宋_GB2312" w:eastAsia="仿宋_GB2312" w:cs="仿宋_GB2312"/>
          <w:sz w:val="32"/>
          <w:szCs w:val="32"/>
        </w:rPr>
        <w:t>万元。与202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年相比，收、支总计各</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58.4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下降</w:t>
      </w:r>
      <w:r>
        <w:rPr>
          <w:rFonts w:hint="eastAsia" w:ascii="仿宋_GB2312" w:hAnsi="仿宋_GB2312" w:eastAsia="仿宋_GB2312" w:cs="仿宋_GB2312"/>
          <w:sz w:val="32"/>
          <w:szCs w:val="32"/>
          <w:lang w:val="en-US" w:eastAsia="zh-CN"/>
        </w:rPr>
        <w:t>25.98</w:t>
      </w:r>
      <w:r>
        <w:rPr>
          <w:rFonts w:hint="eastAsia" w:ascii="仿宋_GB2312" w:hAnsi="仿宋_GB2312" w:eastAsia="仿宋_GB2312" w:cs="仿宋_GB2312"/>
          <w:sz w:val="32"/>
          <w:szCs w:val="32"/>
        </w:rPr>
        <w:t>%。主要变动原因是文学活动</w:t>
      </w:r>
      <w:r>
        <w:rPr>
          <w:rFonts w:hint="eastAsia" w:ascii="仿宋_GB2312" w:hAnsi="仿宋_GB2312" w:eastAsia="仿宋_GB2312" w:cs="仿宋_GB2312"/>
          <w:sz w:val="32"/>
          <w:szCs w:val="32"/>
          <w:lang w:eastAsia="zh-CN"/>
        </w:rPr>
        <w:t>项目经费</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rPr>
        <w:t>。</w:t>
      </w:r>
    </w:p>
    <w:p>
      <w:pPr>
        <w:pStyle w:val="20"/>
        <w:ind w:left="0" w:leftChars="0" w:firstLine="0" w:firstLineChars="0"/>
        <w:rPr>
          <w:rFonts w:hint="eastAsia" w:ascii="仿宋_GB2312" w:hAnsi="仿宋_GB2312" w:eastAsia="仿宋_GB2312" w:cs="仿宋_GB2312"/>
          <w:sz w:val="32"/>
          <w:szCs w:val="32"/>
        </w:rPr>
      </w:pPr>
      <w:r>
        <w:drawing>
          <wp:inline distT="0" distB="0" distL="0" distR="0">
            <wp:extent cx="5158740" cy="2719705"/>
            <wp:effectExtent l="4445" t="4445" r="18415" b="19050"/>
            <wp:docPr id="21"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1280" w:firstLineChars="400"/>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w:t>
      </w:r>
    </w:p>
    <w:p>
      <w:pPr>
        <w:pStyle w:val="28"/>
        <w:numPr>
          <w:ilvl w:val="0"/>
          <w:numId w:val="1"/>
        </w:numPr>
        <w:spacing w:line="600" w:lineRule="exact"/>
        <w:ind w:firstLineChars="0"/>
        <w:outlineLvl w:val="1"/>
        <w:rPr>
          <w:rStyle w:val="18"/>
          <w:rFonts w:ascii="黑体" w:hAnsi="黑体" w:eastAsia="黑体"/>
          <w:b w:val="0"/>
        </w:rPr>
      </w:pPr>
      <w:bookmarkStart w:id="29" w:name="_Toc15396604"/>
      <w:bookmarkStart w:id="30" w:name="_Toc3460"/>
      <w:bookmarkStart w:id="31" w:name="_Toc15377206"/>
      <w:r>
        <w:rPr>
          <w:rFonts w:hint="eastAsia" w:ascii="黑体" w:hAnsi="黑体" w:eastAsia="黑体"/>
          <w:sz w:val="32"/>
          <w:szCs w:val="32"/>
        </w:rPr>
        <w:t>收</w:t>
      </w:r>
      <w:r>
        <w:rPr>
          <w:rStyle w:val="18"/>
          <w:rFonts w:hint="eastAsia" w:ascii="黑体" w:hAnsi="黑体" w:eastAsia="黑体"/>
          <w:b w:val="0"/>
        </w:rPr>
        <w:t>入决算情况说明</w:t>
      </w:r>
      <w:bookmarkEnd w:id="29"/>
      <w:bookmarkEnd w:id="30"/>
      <w:bookmarkEnd w:id="31"/>
    </w:p>
    <w:p>
      <w:pPr>
        <w:spacing w:line="600" w:lineRule="exact"/>
        <w:ind w:firstLine="640" w:firstLineChars="200"/>
        <w:rPr>
          <w:rFonts w:ascii="仿宋_GB2312" w:hAnsi="仿宋_GB2312" w:eastAsia="仿宋_GB2312"/>
          <w:color w:val="000000"/>
          <w:sz w:val="32"/>
          <w:lang w:val="zh-CN"/>
        </w:rPr>
      </w:pPr>
      <w:r>
        <w:rPr>
          <w:rFonts w:hint="eastAsia" w:ascii="仿宋_GB2312" w:hAnsi="仿宋_GB2312" w:eastAsia="仿宋_GB2312"/>
          <w:color w:val="000000"/>
          <w:sz w:val="32"/>
          <w:lang w:val="zh-CN"/>
        </w:rPr>
        <w:t>202</w:t>
      </w:r>
      <w:r>
        <w:rPr>
          <w:rFonts w:hint="eastAsia" w:ascii="仿宋_GB2312" w:hAnsi="仿宋_GB2312" w:eastAsia="仿宋_GB2312"/>
          <w:color w:val="000000"/>
          <w:sz w:val="32"/>
          <w:lang w:val="en-US" w:eastAsia="zh-CN"/>
        </w:rPr>
        <w:t>4</w:t>
      </w:r>
      <w:r>
        <w:rPr>
          <w:rFonts w:hint="eastAsia" w:ascii="仿宋_GB2312" w:hAnsi="仿宋_GB2312" w:eastAsia="仿宋_GB2312"/>
          <w:color w:val="000000"/>
          <w:sz w:val="32"/>
          <w:lang w:val="zh-CN"/>
        </w:rPr>
        <w:t>年本年收入合计</w:t>
      </w:r>
      <w:r>
        <w:rPr>
          <w:rFonts w:hint="eastAsia" w:ascii="仿宋_GB2312" w:hAnsi="仿宋_GB2312" w:eastAsia="仿宋_GB2312"/>
          <w:color w:val="000000"/>
          <w:sz w:val="32"/>
          <w:lang w:val="en-US" w:eastAsia="zh-CN"/>
        </w:rPr>
        <w:t>134.38</w:t>
      </w:r>
      <w:r>
        <w:rPr>
          <w:rFonts w:hint="eastAsia" w:ascii="仿宋_GB2312" w:hAnsi="仿宋_GB2312" w:eastAsia="仿宋_GB2312"/>
          <w:color w:val="000000"/>
          <w:sz w:val="32"/>
          <w:lang w:val="zh-CN"/>
        </w:rPr>
        <w:t>万元，其中：一般公共预算财政拨款收入</w:t>
      </w:r>
      <w:r>
        <w:rPr>
          <w:rFonts w:hint="eastAsia" w:ascii="仿宋_GB2312" w:hAnsi="仿宋_GB2312" w:eastAsia="仿宋_GB2312"/>
          <w:color w:val="000000"/>
          <w:sz w:val="32"/>
          <w:lang w:val="en-US" w:eastAsia="zh-CN"/>
        </w:rPr>
        <w:t>134.37</w:t>
      </w:r>
      <w:r>
        <w:rPr>
          <w:rFonts w:hint="eastAsia" w:ascii="仿宋_GB2312" w:hAnsi="仿宋_GB2312" w:eastAsia="仿宋_GB2312"/>
          <w:color w:val="000000"/>
          <w:sz w:val="32"/>
          <w:lang w:val="zh-CN"/>
        </w:rPr>
        <w:t>万元，占</w:t>
      </w:r>
      <w:r>
        <w:rPr>
          <w:rFonts w:hint="eastAsia" w:ascii="仿宋_GB2312" w:hAnsi="仿宋_GB2312" w:eastAsia="仿宋_GB2312"/>
          <w:color w:val="000000"/>
          <w:sz w:val="32"/>
          <w:lang w:val="en-US" w:eastAsia="zh-CN"/>
        </w:rPr>
        <w:t>99.99</w:t>
      </w:r>
      <w:r>
        <w:rPr>
          <w:rFonts w:hint="eastAsia" w:ascii="仿宋_GB2312" w:hAnsi="仿宋_GB2312" w:eastAsia="仿宋_GB2312"/>
          <w:color w:val="000000"/>
          <w:sz w:val="32"/>
          <w:lang w:val="zh-CN"/>
        </w:rPr>
        <w:t>%，</w:t>
      </w:r>
      <w:r>
        <w:rPr>
          <w:rFonts w:hint="eastAsia" w:ascii="仿宋_GB2312" w:hAnsi="仿宋_GB2312" w:eastAsia="仿宋_GB2312" w:cs="仿宋_GB2312"/>
          <w:color w:val="auto"/>
          <w:sz w:val="32"/>
          <w:szCs w:val="32"/>
          <w:highlight w:val="none"/>
          <w:lang w:eastAsia="zh-CN"/>
        </w:rPr>
        <w:t>其他收入</w:t>
      </w:r>
      <w:r>
        <w:rPr>
          <w:rFonts w:hint="eastAsia" w:ascii="仿宋_GB2312" w:hAnsi="仿宋_GB2312" w:eastAsia="仿宋_GB2312" w:cs="仿宋_GB2312"/>
          <w:sz w:val="32"/>
          <w:szCs w:val="32"/>
        </w:rPr>
        <w:t>0.01</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val="en-US" w:eastAsia="zh-CN"/>
        </w:rPr>
        <w:t>.01</w:t>
      </w:r>
      <w:r>
        <w:rPr>
          <w:rFonts w:hint="eastAsia" w:ascii="仿宋_GB2312" w:hAnsi="仿宋_GB2312" w:eastAsia="仿宋_GB2312" w:cs="仿宋_GB2312"/>
          <w:color w:val="auto"/>
          <w:sz w:val="32"/>
          <w:szCs w:val="32"/>
          <w:highlight w:val="none"/>
          <w:lang w:eastAsia="zh-CN"/>
        </w:rPr>
        <w:t>%。</w:t>
      </w:r>
    </w:p>
    <w:p>
      <w:pPr>
        <w:spacing w:line="600" w:lineRule="exact"/>
        <w:rPr>
          <w:rFonts w:ascii="仿宋" w:hAnsi="仿宋" w:eastAsia="仿宋"/>
          <w:sz w:val="32"/>
          <w:szCs w:val="32"/>
        </w:rPr>
      </w:pPr>
      <w:r>
        <w:rPr>
          <w:rFonts w:ascii="仿宋" w:hAnsi="仿宋" w:eastAsia="仿宋"/>
          <w:sz w:val="32"/>
          <w:szCs w:val="32"/>
        </w:rPr>
        <w:drawing>
          <wp:anchor distT="0" distB="0" distL="114300" distR="114300" simplePos="0" relativeHeight="251661312" behindDoc="0" locked="0" layoutInCell="1" allowOverlap="1">
            <wp:simplePos x="0" y="0"/>
            <wp:positionH relativeFrom="column">
              <wp:posOffset>387985</wp:posOffset>
            </wp:positionH>
            <wp:positionV relativeFrom="paragraph">
              <wp:posOffset>467360</wp:posOffset>
            </wp:positionV>
            <wp:extent cx="4654550" cy="2298065"/>
            <wp:effectExtent l="19050" t="0" r="12700" b="6985"/>
            <wp:wrapTopAndBottom/>
            <wp:docPr id="1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spacing w:line="600" w:lineRule="exact"/>
        <w:ind w:firstLine="2240" w:firstLineChars="700"/>
        <w:rPr>
          <w:rFonts w:ascii="仿宋_GB2312" w:eastAsia="仿宋_GB2312"/>
          <w:sz w:val="32"/>
          <w:szCs w:val="32"/>
        </w:rPr>
      </w:pPr>
      <w:r>
        <w:rPr>
          <w:rFonts w:hint="eastAsia" w:ascii="仿宋" w:hAnsi="仿宋" w:eastAsia="仿宋"/>
          <w:sz w:val="32"/>
          <w:szCs w:val="32"/>
        </w:rPr>
        <w:t>图2：收入决算结构图</w:t>
      </w:r>
    </w:p>
    <w:p>
      <w:pPr>
        <w:pStyle w:val="28"/>
        <w:numPr>
          <w:ilvl w:val="0"/>
          <w:numId w:val="1"/>
        </w:numPr>
        <w:spacing w:line="600" w:lineRule="exact"/>
        <w:ind w:firstLineChars="0"/>
        <w:outlineLvl w:val="1"/>
        <w:rPr>
          <w:rStyle w:val="18"/>
          <w:rFonts w:ascii="黑体" w:hAnsi="黑体" w:eastAsia="黑体"/>
          <w:b w:val="0"/>
        </w:rPr>
      </w:pPr>
      <w:bookmarkStart w:id="32" w:name="_Toc15396605"/>
      <w:bookmarkStart w:id="33" w:name="_Toc15377207"/>
      <w:bookmarkStart w:id="34" w:name="_Toc16499"/>
      <w:r>
        <w:rPr>
          <w:rFonts w:hint="eastAsia" w:ascii="黑体" w:hAnsi="黑体" w:eastAsia="黑体"/>
          <w:sz w:val="32"/>
          <w:szCs w:val="32"/>
        </w:rPr>
        <w:t>支</w:t>
      </w:r>
      <w:r>
        <w:rPr>
          <w:rStyle w:val="18"/>
          <w:rFonts w:hint="eastAsia" w:ascii="黑体" w:hAnsi="黑体" w:eastAsia="黑体"/>
          <w:b w:val="0"/>
        </w:rPr>
        <w:t>出决算情况说明</w:t>
      </w:r>
      <w:bookmarkEnd w:id="32"/>
      <w:bookmarkEnd w:id="33"/>
      <w:bookmarkEnd w:id="34"/>
    </w:p>
    <w:p>
      <w:pPr>
        <w:keepNext/>
        <w:keepLines/>
        <w:spacing w:line="576" w:lineRule="exact"/>
        <w:ind w:firstLine="640"/>
        <w:rPr>
          <w:rFonts w:ascii="仿宋_GB2312" w:hAnsi="仿宋_GB2312" w:eastAsia="仿宋_GB2312"/>
          <w:color w:val="000000"/>
          <w:sz w:val="32"/>
          <w:lang w:val="zh-CN"/>
        </w:rPr>
      </w:pPr>
      <w:r>
        <w:rPr>
          <w:rFonts w:hint="eastAsia" w:ascii="仿宋_GB2312" w:hAnsi="仿宋_GB2312" w:eastAsia="仿宋_GB2312" w:cs="仿宋_GB2312"/>
          <w:sz w:val="32"/>
          <w:szCs w:val="32"/>
          <w:lang w:val="zh-CN"/>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rPr>
        <w:t>年本年支出合计</w:t>
      </w:r>
      <w:r>
        <w:rPr>
          <w:rFonts w:hint="eastAsia" w:ascii="仿宋_GB2312" w:hAnsi="仿宋_GB2312" w:eastAsia="仿宋_GB2312" w:cs="仿宋_GB2312"/>
          <w:sz w:val="32"/>
          <w:szCs w:val="32"/>
          <w:lang w:val="en-US" w:eastAsia="zh-CN"/>
        </w:rPr>
        <w:t>145.56</w:t>
      </w:r>
      <w:r>
        <w:rPr>
          <w:rFonts w:hint="eastAsia" w:ascii="仿宋_GB2312" w:hAnsi="仿宋_GB2312" w:eastAsia="仿宋_GB2312" w:cs="仿宋_GB2312"/>
          <w:sz w:val="32"/>
          <w:szCs w:val="32"/>
          <w:lang w:val="zh-CN"/>
        </w:rPr>
        <w:t>万元，其中：基本支出</w:t>
      </w:r>
      <w:r>
        <w:rPr>
          <w:rFonts w:hint="eastAsia" w:ascii="仿宋_GB2312" w:hAnsi="仿宋_GB2312" w:eastAsia="仿宋_GB2312" w:cs="仿宋_GB2312"/>
          <w:sz w:val="32"/>
          <w:szCs w:val="32"/>
          <w:lang w:val="en-US" w:eastAsia="zh-CN"/>
        </w:rPr>
        <w:t>111.81</w:t>
      </w:r>
      <w:r>
        <w:rPr>
          <w:rFonts w:hint="eastAsia" w:ascii="仿宋_GB2312" w:hAnsi="仿宋_GB2312" w:eastAsia="仿宋_GB2312" w:cs="仿宋_GB2312"/>
          <w:sz w:val="32"/>
          <w:szCs w:val="32"/>
          <w:lang w:val="zh-CN"/>
        </w:rPr>
        <w:t>万元，占</w:t>
      </w:r>
      <w:r>
        <w:rPr>
          <w:rFonts w:hint="eastAsia" w:ascii="仿宋_GB2312" w:hAnsi="仿宋_GB2312" w:eastAsia="仿宋_GB2312" w:cs="仿宋_GB2312"/>
          <w:sz w:val="32"/>
          <w:szCs w:val="32"/>
          <w:lang w:val="en-US" w:eastAsia="zh-CN"/>
        </w:rPr>
        <w:t>76.81</w:t>
      </w:r>
      <w:r>
        <w:rPr>
          <w:rFonts w:hint="eastAsia" w:ascii="仿宋_GB2312" w:hAnsi="仿宋_GB2312" w:eastAsia="仿宋_GB2312" w:cs="仿宋_GB2312"/>
          <w:sz w:val="32"/>
          <w:szCs w:val="32"/>
          <w:lang w:val="zh-CN"/>
        </w:rPr>
        <w:t>%；项目支出</w:t>
      </w:r>
      <w:r>
        <w:rPr>
          <w:rFonts w:hint="eastAsia" w:ascii="仿宋_GB2312" w:hAnsi="仿宋_GB2312" w:eastAsia="仿宋_GB2312" w:cs="仿宋_GB2312"/>
          <w:sz w:val="32"/>
          <w:szCs w:val="32"/>
          <w:lang w:val="en-US" w:eastAsia="zh-CN"/>
        </w:rPr>
        <w:t>33.75</w:t>
      </w:r>
      <w:r>
        <w:rPr>
          <w:rFonts w:hint="eastAsia" w:ascii="仿宋_GB2312" w:hAnsi="仿宋_GB2312" w:eastAsia="仿宋_GB2312" w:cs="仿宋_GB2312"/>
          <w:sz w:val="32"/>
          <w:szCs w:val="32"/>
          <w:lang w:val="zh-CN"/>
        </w:rPr>
        <w:t>万元，占</w:t>
      </w:r>
      <w:r>
        <w:rPr>
          <w:rFonts w:hint="eastAsia" w:ascii="仿宋_GB2312" w:hAnsi="仿宋_GB2312" w:eastAsia="仿宋_GB2312" w:cs="仿宋_GB2312"/>
          <w:sz w:val="32"/>
          <w:szCs w:val="32"/>
          <w:lang w:val="en-US" w:eastAsia="zh-CN"/>
        </w:rPr>
        <w:t>23.19</w:t>
      </w:r>
      <w:r>
        <w:rPr>
          <w:rFonts w:hint="eastAsia" w:ascii="仿宋_GB2312" w:hAnsi="仿宋_GB2312" w:eastAsia="仿宋_GB2312" w:cs="仿宋_GB2312"/>
          <w:sz w:val="32"/>
          <w:szCs w:val="32"/>
          <w:lang w:val="zh-CN"/>
        </w:rPr>
        <w:t>%。</w:t>
      </w:r>
      <w:r>
        <w:rPr>
          <w:rFonts w:ascii="仿宋" w:hAnsi="仿宋" w:eastAsia="仿宋"/>
          <w:sz w:val="32"/>
          <w:szCs w:val="32"/>
          <w:shd w:val="pct10" w:color="auto" w:fill="FFFFFF"/>
        </w:rPr>
        <w:drawing>
          <wp:anchor distT="0" distB="0" distL="114300" distR="114300" simplePos="0" relativeHeight="251662336" behindDoc="0" locked="0" layoutInCell="1" allowOverlap="1">
            <wp:simplePos x="0" y="0"/>
            <wp:positionH relativeFrom="column">
              <wp:posOffset>143510</wp:posOffset>
            </wp:positionH>
            <wp:positionV relativeFrom="paragraph">
              <wp:posOffset>838200</wp:posOffset>
            </wp:positionV>
            <wp:extent cx="5062220" cy="2839085"/>
            <wp:effectExtent l="0" t="0" r="9525" b="0"/>
            <wp:wrapNone/>
            <wp:docPr id="1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20"/>
        <w:spacing w:beforeLines="0"/>
        <w:ind w:left="0" w:firstLine="0"/>
        <w:rPr>
          <w:rFonts w:ascii="仿宋" w:hAnsi="仿宋" w:eastAsia="仿宋"/>
          <w:color w:val="auto"/>
          <w:sz w:val="32"/>
          <w:szCs w:val="32"/>
          <w:shd w:val="pct10" w:color="auto" w:fill="FFFFFF"/>
        </w:rPr>
      </w:pPr>
    </w:p>
    <w:p>
      <w:pPr>
        <w:pStyle w:val="20"/>
        <w:spacing w:beforeLines="0"/>
        <w:rPr>
          <w:rFonts w:ascii="仿宋" w:hAnsi="仿宋" w:eastAsia="仿宋"/>
          <w:color w:val="auto"/>
          <w:sz w:val="32"/>
          <w:szCs w:val="32"/>
          <w:shd w:val="pct10" w:color="auto" w:fill="FFFFFF"/>
        </w:rPr>
      </w:pPr>
    </w:p>
    <w:p>
      <w:pPr>
        <w:pStyle w:val="20"/>
        <w:spacing w:beforeLines="0"/>
        <w:rPr>
          <w:rFonts w:ascii="仿宋" w:hAnsi="仿宋" w:eastAsia="仿宋"/>
          <w:color w:val="auto"/>
          <w:sz w:val="32"/>
          <w:szCs w:val="32"/>
          <w:shd w:val="pct10" w:color="auto" w:fill="FFFFFF"/>
        </w:rPr>
      </w:pPr>
    </w:p>
    <w:p>
      <w:pPr>
        <w:pStyle w:val="20"/>
        <w:spacing w:beforeLines="0"/>
        <w:rPr>
          <w:rFonts w:ascii="仿宋" w:hAnsi="仿宋" w:eastAsia="仿宋"/>
          <w:color w:val="auto"/>
          <w:sz w:val="32"/>
          <w:szCs w:val="32"/>
          <w:shd w:val="pct10" w:color="auto" w:fill="FFFFFF"/>
        </w:rPr>
      </w:pPr>
    </w:p>
    <w:p>
      <w:pPr>
        <w:pStyle w:val="20"/>
        <w:spacing w:beforeLines="0"/>
        <w:rPr>
          <w:rFonts w:ascii="仿宋" w:hAnsi="仿宋" w:eastAsia="仿宋"/>
          <w:color w:val="auto"/>
          <w:sz w:val="32"/>
          <w:szCs w:val="32"/>
          <w:shd w:val="pct10" w:color="auto" w:fill="FFFFFF"/>
        </w:rPr>
      </w:pPr>
    </w:p>
    <w:p>
      <w:pPr>
        <w:pStyle w:val="20"/>
        <w:spacing w:beforeLines="0"/>
        <w:rPr>
          <w:rFonts w:ascii="仿宋" w:hAnsi="仿宋" w:eastAsia="仿宋"/>
          <w:color w:val="auto"/>
          <w:sz w:val="32"/>
          <w:szCs w:val="32"/>
          <w:shd w:val="pct10" w:color="auto" w:fill="FFFFFF"/>
        </w:rPr>
      </w:pPr>
    </w:p>
    <w:p>
      <w:pPr>
        <w:pStyle w:val="20"/>
        <w:spacing w:beforeLines="0"/>
        <w:rPr>
          <w:rFonts w:ascii="仿宋" w:hAnsi="仿宋" w:eastAsia="仿宋"/>
          <w:color w:val="auto"/>
          <w:sz w:val="32"/>
          <w:szCs w:val="32"/>
          <w:shd w:val="pct10" w:color="auto" w:fill="FFFFFF"/>
        </w:rPr>
      </w:pPr>
    </w:p>
    <w:p>
      <w:pPr>
        <w:pStyle w:val="20"/>
        <w:spacing w:beforeLines="0"/>
        <w:ind w:left="0" w:firstLine="0"/>
        <w:rPr>
          <w:rFonts w:ascii="仿宋" w:hAnsi="仿宋" w:eastAsia="仿宋"/>
          <w:color w:val="auto"/>
          <w:sz w:val="32"/>
          <w:szCs w:val="32"/>
          <w:shd w:val="pct10" w:color="auto" w:fill="FFFFFF"/>
        </w:rPr>
      </w:pPr>
    </w:p>
    <w:p>
      <w:pPr>
        <w:spacing w:line="600" w:lineRule="exact"/>
        <w:ind w:firstLine="1920" w:firstLineChars="600"/>
        <w:rPr>
          <w:rFonts w:ascii="仿宋" w:hAnsi="仿宋" w:eastAsia="仿宋"/>
          <w:sz w:val="32"/>
          <w:szCs w:val="32"/>
        </w:rPr>
      </w:pPr>
      <w:r>
        <w:rPr>
          <w:rFonts w:hint="eastAsia" w:ascii="仿宋" w:hAnsi="仿宋" w:eastAsia="仿宋"/>
          <w:sz w:val="32"/>
          <w:szCs w:val="32"/>
        </w:rPr>
        <w:t>图3：支出决算结构图</w:t>
      </w:r>
    </w:p>
    <w:p>
      <w:pPr>
        <w:spacing w:line="600" w:lineRule="exact"/>
        <w:ind w:firstLine="640" w:firstLineChars="200"/>
        <w:outlineLvl w:val="1"/>
        <w:rPr>
          <w:rStyle w:val="18"/>
          <w:rFonts w:ascii="黑体" w:hAnsi="黑体" w:eastAsia="黑体"/>
          <w:b w:val="0"/>
        </w:rPr>
      </w:pPr>
      <w:bookmarkStart w:id="35" w:name="_Toc2054"/>
      <w:bookmarkStart w:id="36" w:name="_Toc15377208"/>
      <w:bookmarkStart w:id="37" w:name="_Toc15396606"/>
      <w:r>
        <w:rPr>
          <w:rFonts w:hint="eastAsia" w:ascii="黑体" w:hAnsi="黑体" w:eastAsia="黑体"/>
          <w:sz w:val="32"/>
          <w:szCs w:val="32"/>
        </w:rPr>
        <w:t>四、财</w:t>
      </w:r>
      <w:r>
        <w:rPr>
          <w:rStyle w:val="18"/>
          <w:rFonts w:hint="eastAsia" w:ascii="黑体" w:hAnsi="黑体" w:eastAsia="黑体"/>
          <w:b w:val="0"/>
        </w:rPr>
        <w:t>政拨款收入支出决算总体情况说明</w:t>
      </w:r>
      <w:bookmarkEnd w:id="35"/>
      <w:bookmarkEnd w:id="36"/>
      <w:bookmarkEnd w:id="37"/>
    </w:p>
    <w:p>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rPr>
        <w:t>年财政拨款收、支总计</w:t>
      </w:r>
      <w:r>
        <w:rPr>
          <w:rFonts w:hint="eastAsia" w:ascii="仿宋_GB2312" w:hAnsi="仿宋_GB2312" w:eastAsia="仿宋_GB2312" w:cs="仿宋_GB2312"/>
          <w:sz w:val="32"/>
          <w:szCs w:val="32"/>
          <w:lang w:val="en-US" w:eastAsia="zh-CN"/>
        </w:rPr>
        <w:t>135.25</w:t>
      </w:r>
      <w:r>
        <w:rPr>
          <w:rFonts w:hint="eastAsia" w:ascii="仿宋_GB2312" w:hAnsi="仿宋_GB2312" w:eastAsia="仿宋_GB2312" w:cs="仿宋_GB2312"/>
          <w:sz w:val="32"/>
          <w:szCs w:val="32"/>
          <w:lang w:val="zh-CN"/>
        </w:rPr>
        <w:t>万元。与202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rPr>
        <w:t>年相</w:t>
      </w:r>
    </w:p>
    <w:p>
      <w:pPr>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比，财政拨款收、支总计各减少</w:t>
      </w:r>
      <w:r>
        <w:rPr>
          <w:rFonts w:hint="eastAsia" w:ascii="仿宋_GB2312" w:hAnsi="仿宋_GB2312" w:eastAsia="仿宋_GB2312" w:cs="仿宋_GB2312"/>
          <w:sz w:val="32"/>
          <w:szCs w:val="32"/>
          <w:lang w:val="en-US" w:eastAsia="zh-CN"/>
        </w:rPr>
        <w:t>89.58</w:t>
      </w:r>
      <w:r>
        <w:rPr>
          <w:rFonts w:hint="eastAsia" w:ascii="仿宋_GB2312" w:hAnsi="仿宋_GB2312" w:eastAsia="仿宋_GB2312" w:cs="仿宋_GB2312"/>
          <w:sz w:val="32"/>
          <w:szCs w:val="32"/>
          <w:lang w:val="zh-CN"/>
        </w:rPr>
        <w:t>万元，下降</w:t>
      </w:r>
      <w:r>
        <w:rPr>
          <w:rFonts w:hint="eastAsia" w:ascii="仿宋_GB2312" w:hAnsi="仿宋_GB2312" w:eastAsia="仿宋_GB2312" w:cs="仿宋_GB2312"/>
          <w:sz w:val="32"/>
          <w:szCs w:val="32"/>
          <w:lang w:val="en-US" w:eastAsia="zh-CN"/>
        </w:rPr>
        <w:t>39.84</w:t>
      </w:r>
      <w:r>
        <w:rPr>
          <w:rFonts w:hint="eastAsia" w:ascii="仿宋_GB2312" w:hAnsi="仿宋_GB2312" w:eastAsia="仿宋_GB2312" w:cs="仿宋_GB2312"/>
          <w:sz w:val="32"/>
          <w:szCs w:val="32"/>
          <w:lang w:val="zh-CN"/>
        </w:rPr>
        <w:t>%。主要变动原因是</w:t>
      </w:r>
      <w:r>
        <w:rPr>
          <w:rFonts w:hint="eastAsia" w:ascii="仿宋_GB2312" w:hAnsi="仿宋_GB2312" w:eastAsia="仿宋_GB2312" w:cs="仿宋_GB2312"/>
          <w:sz w:val="32"/>
          <w:szCs w:val="32"/>
        </w:rPr>
        <w:t>文学活动</w:t>
      </w:r>
      <w:r>
        <w:rPr>
          <w:rFonts w:hint="eastAsia" w:ascii="仿宋_GB2312" w:hAnsi="仿宋_GB2312" w:eastAsia="仿宋_GB2312" w:cs="仿宋_GB2312"/>
          <w:sz w:val="32"/>
          <w:szCs w:val="32"/>
          <w:lang w:eastAsia="zh-CN"/>
        </w:rPr>
        <w:t>项目经费</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zh-CN"/>
        </w:rPr>
        <w:t>。</w:t>
      </w:r>
    </w:p>
    <w:p>
      <w:pPr>
        <w:spacing w:line="600" w:lineRule="exact"/>
        <w:rPr>
          <w:rFonts w:ascii="仿宋" w:hAnsi="仿宋" w:eastAsia="仿宋"/>
          <w:sz w:val="32"/>
          <w:szCs w:val="32"/>
        </w:rPr>
      </w:pPr>
      <w:r>
        <w:rPr>
          <w:rFonts w:hint="eastAsia" w:ascii="仿宋" w:hAnsi="仿宋" w:eastAsia="仿宋"/>
          <w:sz w:val="32"/>
          <w:szCs w:val="32"/>
        </w:rPr>
        <w:drawing>
          <wp:anchor distT="0" distB="0" distL="114300" distR="114300" simplePos="0" relativeHeight="251664384" behindDoc="0" locked="0" layoutInCell="1" allowOverlap="1">
            <wp:simplePos x="0" y="0"/>
            <wp:positionH relativeFrom="column">
              <wp:posOffset>279400</wp:posOffset>
            </wp:positionH>
            <wp:positionV relativeFrom="paragraph">
              <wp:posOffset>129540</wp:posOffset>
            </wp:positionV>
            <wp:extent cx="4706620" cy="2413635"/>
            <wp:effectExtent l="19050" t="0" r="17839" b="5760"/>
            <wp:wrapNone/>
            <wp:docPr id="2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pStyle w:val="20"/>
        <w:spacing w:beforeLines="0"/>
        <w:rPr>
          <w:rFonts w:ascii="仿宋" w:hAnsi="仿宋" w:eastAsia="仿宋"/>
          <w:color w:val="auto"/>
          <w:sz w:val="32"/>
          <w:szCs w:val="32"/>
        </w:rPr>
      </w:pPr>
    </w:p>
    <w:p>
      <w:pPr>
        <w:pStyle w:val="20"/>
        <w:spacing w:beforeLines="0"/>
        <w:rPr>
          <w:rFonts w:ascii="仿宋" w:hAnsi="仿宋" w:eastAsia="仿宋"/>
          <w:color w:val="auto"/>
          <w:sz w:val="32"/>
          <w:szCs w:val="32"/>
        </w:rPr>
      </w:pPr>
    </w:p>
    <w:p>
      <w:pPr>
        <w:pStyle w:val="20"/>
        <w:spacing w:beforeLines="0"/>
        <w:rPr>
          <w:rFonts w:ascii="仿宋" w:hAnsi="仿宋" w:eastAsia="仿宋"/>
          <w:color w:val="auto"/>
          <w:sz w:val="32"/>
          <w:szCs w:val="32"/>
        </w:rPr>
      </w:pPr>
    </w:p>
    <w:p>
      <w:pPr>
        <w:pStyle w:val="20"/>
        <w:spacing w:before="312"/>
        <w:ind w:left="0" w:firstLine="0"/>
      </w:pPr>
    </w:p>
    <w:p>
      <w:pPr>
        <w:spacing w:line="600" w:lineRule="exact"/>
        <w:ind w:firstLine="960" w:firstLineChars="300"/>
        <w:rPr>
          <w:rFonts w:ascii="仿宋" w:hAnsi="仿宋" w:eastAsia="仿宋"/>
          <w:sz w:val="32"/>
          <w:szCs w:val="32"/>
        </w:rPr>
      </w:pPr>
      <w:r>
        <w:rPr>
          <w:rFonts w:hint="eastAsia" w:ascii="仿宋" w:hAnsi="仿宋" w:eastAsia="仿宋"/>
          <w:sz w:val="32"/>
          <w:szCs w:val="32"/>
        </w:rPr>
        <w:t>图4：财政拨款收、支决算总计变动情况</w:t>
      </w:r>
    </w:p>
    <w:p>
      <w:pPr>
        <w:tabs>
          <w:tab w:val="left" w:pos="3622"/>
        </w:tabs>
        <w:spacing w:line="600" w:lineRule="exact"/>
        <w:ind w:firstLine="640" w:firstLineChars="200"/>
        <w:outlineLvl w:val="1"/>
        <w:rPr>
          <w:rStyle w:val="18"/>
          <w:rFonts w:ascii="黑体" w:hAnsi="黑体" w:eastAsia="黑体"/>
          <w:b w:val="0"/>
        </w:rPr>
      </w:pPr>
      <w:bookmarkStart w:id="38" w:name="_Toc9500"/>
      <w:bookmarkStart w:id="39" w:name="_Toc15396607"/>
      <w:bookmarkStart w:id="40" w:name="_Toc15377209"/>
      <w:r>
        <w:rPr>
          <w:rFonts w:hint="eastAsia" w:ascii="黑体" w:hAnsi="黑体" w:eastAsia="黑体"/>
          <w:sz w:val="32"/>
          <w:szCs w:val="32"/>
        </w:rPr>
        <w:t>五、</w:t>
      </w:r>
      <w:r>
        <w:rPr>
          <w:rFonts w:hint="eastAsia" w:ascii="黑体" w:hAnsi="黑体" w:eastAsia="黑体"/>
          <w:b/>
          <w:sz w:val="32"/>
          <w:szCs w:val="32"/>
        </w:rPr>
        <w:t>一</w:t>
      </w:r>
      <w:r>
        <w:rPr>
          <w:rStyle w:val="18"/>
          <w:rFonts w:hint="eastAsia" w:ascii="黑体" w:hAnsi="黑体" w:eastAsia="黑体"/>
          <w:b w:val="0"/>
        </w:rPr>
        <w:t>般公共预算财政拨款支出决算情况说明</w:t>
      </w:r>
      <w:bookmarkEnd w:id="38"/>
      <w:bookmarkEnd w:id="39"/>
      <w:bookmarkEnd w:id="40"/>
    </w:p>
    <w:p>
      <w:pPr>
        <w:spacing w:line="600" w:lineRule="exact"/>
        <w:ind w:firstLine="642" w:firstLineChars="200"/>
        <w:outlineLvl w:val="2"/>
        <w:rPr>
          <w:rFonts w:ascii="仿宋" w:hAnsi="仿宋" w:eastAsia="仿宋"/>
          <w:b/>
          <w:sz w:val="32"/>
          <w:szCs w:val="32"/>
        </w:rPr>
      </w:pPr>
      <w:bookmarkStart w:id="41" w:name="_Toc15377210"/>
      <w:r>
        <w:rPr>
          <w:rFonts w:hint="eastAsia" w:ascii="仿宋" w:hAnsi="仿宋" w:eastAsia="仿宋"/>
          <w:b/>
          <w:sz w:val="32"/>
          <w:szCs w:val="32"/>
        </w:rPr>
        <w:t>（一）一般公共预算财政拨款支出决算总体情况</w:t>
      </w:r>
      <w:bookmarkEnd w:id="41"/>
    </w:p>
    <w:p>
      <w:pPr>
        <w:pStyle w:val="20"/>
        <w:spacing w:beforeLines="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val="zh-CN"/>
        </w:rPr>
        <w:t>年一般公共预算财政拨款支出</w:t>
      </w:r>
      <w:r>
        <w:rPr>
          <w:rFonts w:hint="eastAsia" w:ascii="仿宋_GB2312" w:hAnsi="仿宋_GB2312" w:eastAsia="仿宋_GB2312" w:cs="仿宋_GB2312"/>
          <w:color w:val="auto"/>
          <w:sz w:val="32"/>
          <w:szCs w:val="32"/>
          <w:lang w:val="en-US" w:eastAsia="zh-CN"/>
        </w:rPr>
        <w:t>134.31</w:t>
      </w:r>
      <w:r>
        <w:rPr>
          <w:rFonts w:hint="eastAsia" w:ascii="仿宋_GB2312" w:hAnsi="仿宋_GB2312" w:eastAsia="仿宋_GB2312" w:cs="仿宋_GB2312"/>
          <w:color w:val="auto"/>
          <w:sz w:val="32"/>
          <w:szCs w:val="32"/>
          <w:lang w:val="zh-CN"/>
        </w:rPr>
        <w:t>万元，占本年支出合计的</w:t>
      </w:r>
      <w:r>
        <w:rPr>
          <w:rFonts w:hint="eastAsia" w:ascii="仿宋_GB2312" w:hAnsi="仿宋_GB2312" w:eastAsia="仿宋_GB2312" w:cs="仿宋_GB2312"/>
          <w:color w:val="auto"/>
          <w:sz w:val="32"/>
          <w:szCs w:val="32"/>
          <w:lang w:val="en-US" w:eastAsia="zh-CN"/>
        </w:rPr>
        <w:t>92.27</w:t>
      </w:r>
      <w:r>
        <w:rPr>
          <w:rFonts w:hint="eastAsia" w:ascii="仿宋_GB2312" w:hAnsi="仿宋_GB2312" w:eastAsia="仿宋_GB2312" w:cs="仿宋_GB2312"/>
          <w:color w:val="auto"/>
          <w:sz w:val="32"/>
          <w:szCs w:val="32"/>
          <w:lang w:val="zh-CN"/>
        </w:rPr>
        <w:t>%。与202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zh-CN"/>
        </w:rPr>
        <w:t>年相比，一般公共预算财政拨款支出减少</w:t>
      </w:r>
      <w:r>
        <w:rPr>
          <w:rFonts w:hint="eastAsia" w:ascii="仿宋_GB2312" w:hAnsi="仿宋_GB2312" w:eastAsia="仿宋_GB2312" w:cs="仿宋_GB2312"/>
          <w:color w:val="auto"/>
          <w:sz w:val="32"/>
          <w:szCs w:val="32"/>
          <w:lang w:val="en-US" w:eastAsia="zh-CN"/>
        </w:rPr>
        <w:t>90.52</w:t>
      </w:r>
      <w:r>
        <w:rPr>
          <w:rFonts w:hint="eastAsia" w:ascii="仿宋_GB2312" w:hAnsi="仿宋_GB2312" w:eastAsia="仿宋_GB2312" w:cs="仿宋_GB2312"/>
          <w:color w:val="auto"/>
          <w:sz w:val="32"/>
          <w:szCs w:val="32"/>
          <w:lang w:val="zh-CN"/>
        </w:rPr>
        <w:t>万元，下降</w:t>
      </w:r>
      <w:r>
        <w:rPr>
          <w:rFonts w:hint="eastAsia" w:ascii="仿宋_GB2312" w:hAnsi="仿宋_GB2312" w:eastAsia="仿宋_GB2312" w:cs="仿宋_GB2312"/>
          <w:color w:val="auto"/>
          <w:sz w:val="32"/>
          <w:szCs w:val="32"/>
          <w:lang w:val="en-US" w:eastAsia="zh-CN"/>
        </w:rPr>
        <w:t>40.26</w:t>
      </w:r>
      <w:r>
        <w:rPr>
          <w:rFonts w:hint="eastAsia" w:ascii="仿宋_GB2312" w:hAnsi="仿宋_GB2312" w:eastAsia="仿宋_GB2312" w:cs="仿宋_GB2312"/>
          <w:color w:val="auto"/>
          <w:sz w:val="32"/>
          <w:szCs w:val="32"/>
          <w:lang w:val="zh-CN"/>
        </w:rPr>
        <w:t>%。主要变动原因是</w:t>
      </w:r>
      <w:r>
        <w:rPr>
          <w:rFonts w:hint="eastAsia" w:ascii="仿宋_GB2312" w:hAnsi="仿宋_GB2312" w:eastAsia="仿宋_GB2312" w:cs="仿宋_GB2312"/>
          <w:color w:val="auto"/>
          <w:sz w:val="32"/>
          <w:szCs w:val="32"/>
        </w:rPr>
        <w:t>文学活动支出</w:t>
      </w:r>
      <w:r>
        <w:rPr>
          <w:rFonts w:hint="eastAsia" w:ascii="仿宋_GB2312" w:hAnsi="仿宋_GB2312" w:eastAsia="仿宋_GB2312" w:cs="仿宋_GB2312"/>
          <w:color w:val="auto"/>
          <w:sz w:val="32"/>
          <w:szCs w:val="32"/>
          <w:lang w:eastAsia="zh-CN"/>
        </w:rPr>
        <w:t>减少</w:t>
      </w:r>
      <w:r>
        <w:rPr>
          <w:rFonts w:hint="eastAsia" w:ascii="仿宋_GB2312" w:hAnsi="仿宋_GB2312" w:eastAsia="仿宋_GB2312" w:cs="仿宋_GB2312"/>
          <w:color w:val="auto"/>
          <w:sz w:val="32"/>
          <w:szCs w:val="32"/>
          <w:lang w:val="zh-CN"/>
        </w:rPr>
        <w:t>。</w:t>
      </w:r>
    </w:p>
    <w:p>
      <w:pPr>
        <w:pStyle w:val="20"/>
        <w:spacing w:beforeLines="0"/>
        <w:rPr>
          <w:lang w:val="zh-CN"/>
        </w:rPr>
      </w:pPr>
      <w:r>
        <w:rPr>
          <w:rFonts w:hint="eastAsia"/>
        </w:rPr>
        <w:drawing>
          <wp:anchor distT="0" distB="0" distL="114300" distR="114300" simplePos="0" relativeHeight="251663360" behindDoc="0" locked="0" layoutInCell="1" allowOverlap="1">
            <wp:simplePos x="0" y="0"/>
            <wp:positionH relativeFrom="column">
              <wp:posOffset>98425</wp:posOffset>
            </wp:positionH>
            <wp:positionV relativeFrom="paragraph">
              <wp:posOffset>11430</wp:posOffset>
            </wp:positionV>
            <wp:extent cx="5279390" cy="2721610"/>
            <wp:effectExtent l="19050" t="0" r="16451" b="2850"/>
            <wp:wrapNone/>
            <wp:docPr id="20"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pStyle w:val="20"/>
        <w:spacing w:beforeLines="0"/>
        <w:rPr>
          <w:lang w:val="zh-CN"/>
        </w:rPr>
      </w:pPr>
    </w:p>
    <w:p>
      <w:pPr>
        <w:pStyle w:val="20"/>
        <w:spacing w:beforeLines="0"/>
        <w:rPr>
          <w:lang w:val="zh-CN"/>
        </w:rPr>
      </w:pPr>
    </w:p>
    <w:p>
      <w:pPr>
        <w:pStyle w:val="20"/>
        <w:spacing w:beforeLines="0"/>
        <w:rPr>
          <w:lang w:val="zh-CN"/>
        </w:rPr>
      </w:pPr>
    </w:p>
    <w:p>
      <w:pPr>
        <w:pStyle w:val="20"/>
        <w:spacing w:beforeLines="0"/>
        <w:rPr>
          <w:lang w:val="zh-CN"/>
        </w:rPr>
      </w:pPr>
    </w:p>
    <w:p>
      <w:pPr>
        <w:pStyle w:val="20"/>
        <w:spacing w:beforeLines="0"/>
        <w:ind w:left="0" w:firstLine="0"/>
        <w:rPr>
          <w:lang w:val="zh-CN"/>
        </w:rPr>
      </w:pPr>
    </w:p>
    <w:p>
      <w:pPr>
        <w:spacing w:line="600" w:lineRule="exact"/>
        <w:ind w:firstLine="960" w:firstLineChars="300"/>
        <w:rPr>
          <w:rFonts w:ascii="仿宋" w:hAnsi="仿宋" w:eastAsia="仿宋"/>
          <w:sz w:val="32"/>
          <w:szCs w:val="32"/>
        </w:rPr>
      </w:pPr>
      <w:r>
        <w:rPr>
          <w:rFonts w:hint="eastAsia" w:ascii="仿宋" w:hAnsi="仿宋" w:eastAsia="仿宋"/>
          <w:sz w:val="32"/>
          <w:szCs w:val="32"/>
        </w:rPr>
        <w:t>图5：一般公共预算财政拨款支出决算变动情况</w:t>
      </w:r>
    </w:p>
    <w:p>
      <w:pPr>
        <w:spacing w:line="600" w:lineRule="exact"/>
        <w:ind w:firstLine="642" w:firstLineChars="200"/>
        <w:outlineLvl w:val="2"/>
        <w:rPr>
          <w:rFonts w:ascii="仿宋" w:hAnsi="仿宋" w:eastAsia="仿宋"/>
          <w:b/>
          <w:sz w:val="32"/>
          <w:szCs w:val="32"/>
        </w:rPr>
      </w:pPr>
      <w:bookmarkStart w:id="42" w:name="_Toc15377211"/>
      <w:r>
        <w:rPr>
          <w:rFonts w:hint="eastAsia" w:ascii="仿宋" w:hAnsi="仿宋" w:eastAsia="仿宋"/>
          <w:b/>
          <w:sz w:val="32"/>
          <w:szCs w:val="32"/>
        </w:rPr>
        <w:t>（二）一般公共预算财政拨款支出决算结构情况</w:t>
      </w:r>
      <w:bookmarkEnd w:id="42"/>
    </w:p>
    <w:p>
      <w:pPr>
        <w:spacing w:line="600" w:lineRule="exact"/>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rPr>
        <w:t>年一般公共预算财政拨款支出</w:t>
      </w:r>
      <w:r>
        <w:rPr>
          <w:rFonts w:hint="eastAsia" w:ascii="仿宋_GB2312" w:hAnsi="仿宋_GB2312" w:eastAsia="仿宋_GB2312" w:cs="仿宋_GB2312"/>
          <w:sz w:val="32"/>
          <w:szCs w:val="32"/>
          <w:lang w:val="en-US" w:eastAsia="zh-CN"/>
        </w:rPr>
        <w:t>134.31</w:t>
      </w:r>
      <w:r>
        <w:rPr>
          <w:rFonts w:hint="eastAsia" w:ascii="仿宋_GB2312" w:hAnsi="仿宋_GB2312" w:eastAsia="仿宋_GB2312" w:cs="仿宋_GB2312"/>
          <w:sz w:val="32"/>
          <w:szCs w:val="32"/>
          <w:lang w:val="zh-CN"/>
        </w:rPr>
        <w:t>万元，主要</w:t>
      </w:r>
    </w:p>
    <w:p>
      <w:pPr>
        <w:spacing w:line="600" w:lineRule="exact"/>
        <w:rPr>
          <w:rFonts w:hint="eastAsia" w:ascii="仿宋_GB2312" w:hAnsi="仿宋_GB2312" w:eastAsia="仿宋_GB2312" w:cs="仿宋_GB2312"/>
          <w:sz w:val="32"/>
          <w:szCs w:val="32"/>
          <w:lang w:val="zh-CN"/>
        </w:rPr>
      </w:pPr>
    </w:p>
    <w:p>
      <w:pPr>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用于以下方面： 一般公共服务支出</w:t>
      </w:r>
      <w:r>
        <w:rPr>
          <w:rFonts w:hint="eastAsia" w:ascii="仿宋_GB2312" w:hAnsi="仿宋_GB2312" w:eastAsia="仿宋_GB2312" w:cs="仿宋_GB2312"/>
          <w:sz w:val="32"/>
          <w:szCs w:val="32"/>
          <w:lang w:val="en-US" w:eastAsia="zh-CN"/>
        </w:rPr>
        <w:t>97.63</w:t>
      </w:r>
      <w:r>
        <w:rPr>
          <w:rFonts w:hint="eastAsia" w:ascii="仿宋_GB2312" w:hAnsi="仿宋_GB2312" w:eastAsia="仿宋_GB2312" w:cs="仿宋_GB2312"/>
          <w:sz w:val="32"/>
          <w:szCs w:val="32"/>
          <w:lang w:val="zh-CN"/>
        </w:rPr>
        <w:t>万元，占</w:t>
      </w:r>
      <w:r>
        <w:rPr>
          <w:rFonts w:hint="eastAsia" w:ascii="仿宋_GB2312" w:hAnsi="仿宋_GB2312" w:eastAsia="仿宋_GB2312" w:cs="仿宋_GB2312"/>
          <w:sz w:val="32"/>
          <w:szCs w:val="32"/>
          <w:lang w:val="en-US" w:eastAsia="zh-CN"/>
        </w:rPr>
        <w:t>72.69</w:t>
      </w:r>
      <w:r>
        <w:rPr>
          <w:rFonts w:hint="eastAsia" w:ascii="仿宋_GB2312" w:hAnsi="仿宋_GB2312" w:eastAsia="仿宋_GB2312" w:cs="仿宋_GB2312"/>
          <w:sz w:val="32"/>
          <w:szCs w:val="32"/>
          <w:lang w:val="zh-CN"/>
        </w:rPr>
        <w:t>%；文化体育与传媒支出</w:t>
      </w:r>
      <w:r>
        <w:rPr>
          <w:rFonts w:hint="eastAsia" w:ascii="仿宋_GB2312" w:hAnsi="仿宋_GB2312" w:eastAsia="仿宋_GB2312" w:cs="仿宋_GB2312"/>
          <w:sz w:val="32"/>
          <w:szCs w:val="32"/>
          <w:lang w:val="en-US" w:eastAsia="zh-CN"/>
        </w:rPr>
        <w:t>12.61</w:t>
      </w:r>
      <w:r>
        <w:rPr>
          <w:rFonts w:hint="eastAsia" w:ascii="仿宋_GB2312" w:hAnsi="仿宋_GB2312" w:eastAsia="仿宋_GB2312" w:cs="仿宋_GB2312"/>
          <w:sz w:val="32"/>
          <w:szCs w:val="32"/>
          <w:lang w:val="zh-CN"/>
        </w:rPr>
        <w:t>万元，占</w:t>
      </w:r>
      <w:r>
        <w:rPr>
          <w:rFonts w:hint="eastAsia" w:ascii="仿宋_GB2312" w:hAnsi="仿宋_GB2312" w:eastAsia="仿宋_GB2312" w:cs="仿宋_GB2312"/>
          <w:sz w:val="32"/>
          <w:szCs w:val="32"/>
          <w:lang w:val="en-US" w:eastAsia="zh-CN"/>
        </w:rPr>
        <w:t>9.39</w:t>
      </w:r>
      <w:r>
        <w:rPr>
          <w:rFonts w:hint="eastAsia" w:ascii="仿宋_GB2312" w:hAnsi="仿宋_GB2312" w:eastAsia="仿宋_GB2312" w:cs="仿宋_GB2312"/>
          <w:sz w:val="32"/>
          <w:szCs w:val="32"/>
          <w:lang w:val="zh-CN"/>
        </w:rPr>
        <w:t>%；社会保障和就业支出10.</w:t>
      </w:r>
      <w:r>
        <w:rPr>
          <w:rFonts w:hint="eastAsia" w:ascii="仿宋_GB2312" w:hAnsi="仿宋_GB2312" w:eastAsia="仿宋_GB2312" w:cs="仿宋_GB2312"/>
          <w:sz w:val="32"/>
          <w:szCs w:val="32"/>
          <w:lang w:val="en-US" w:eastAsia="zh-CN"/>
        </w:rPr>
        <w:t>59</w:t>
      </w:r>
      <w:r>
        <w:rPr>
          <w:rFonts w:hint="eastAsia" w:ascii="仿宋_GB2312" w:hAnsi="仿宋_GB2312" w:eastAsia="仿宋_GB2312" w:cs="仿宋_GB2312"/>
          <w:sz w:val="32"/>
          <w:szCs w:val="32"/>
          <w:lang w:val="zh-CN"/>
        </w:rPr>
        <w:t>万元，占</w:t>
      </w:r>
      <w:r>
        <w:rPr>
          <w:rFonts w:hint="eastAsia" w:ascii="仿宋_GB2312" w:hAnsi="仿宋_GB2312" w:eastAsia="仿宋_GB2312" w:cs="仿宋_GB2312"/>
          <w:sz w:val="32"/>
          <w:szCs w:val="32"/>
          <w:lang w:val="en-US" w:eastAsia="zh-CN"/>
        </w:rPr>
        <w:t>7.88</w:t>
      </w:r>
      <w:r>
        <w:rPr>
          <w:rFonts w:hint="eastAsia" w:ascii="仿宋_GB2312" w:hAnsi="仿宋_GB2312" w:eastAsia="仿宋_GB2312" w:cs="仿宋_GB2312"/>
          <w:sz w:val="32"/>
          <w:szCs w:val="32"/>
          <w:lang w:val="zh-CN"/>
        </w:rPr>
        <w:t>%；卫生健康支出</w:t>
      </w:r>
      <w:r>
        <w:rPr>
          <w:rFonts w:hint="eastAsia" w:ascii="仿宋_GB2312" w:hAnsi="仿宋_GB2312" w:eastAsia="仿宋_GB2312" w:cs="仿宋_GB2312"/>
          <w:sz w:val="32"/>
          <w:szCs w:val="32"/>
          <w:lang w:val="en-US" w:eastAsia="zh-CN"/>
        </w:rPr>
        <w:t>3.36</w:t>
      </w:r>
      <w:r>
        <w:rPr>
          <w:rFonts w:hint="eastAsia" w:ascii="仿宋_GB2312" w:hAnsi="仿宋_GB2312" w:eastAsia="仿宋_GB2312" w:cs="仿宋_GB2312"/>
          <w:sz w:val="32"/>
          <w:szCs w:val="32"/>
          <w:lang w:val="zh-CN"/>
        </w:rPr>
        <w:t>万元，占</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lang w:val="zh-CN"/>
        </w:rPr>
        <w:t>%；住房保障支出</w:t>
      </w:r>
      <w:r>
        <w:rPr>
          <w:rFonts w:hint="eastAsia" w:ascii="仿宋_GB2312" w:hAnsi="仿宋_GB2312" w:eastAsia="仿宋_GB2312" w:cs="仿宋_GB2312"/>
          <w:sz w:val="32"/>
          <w:szCs w:val="32"/>
          <w:lang w:val="en-US" w:eastAsia="zh-CN"/>
        </w:rPr>
        <w:t>10.12</w:t>
      </w:r>
      <w:r>
        <w:rPr>
          <w:rFonts w:hint="eastAsia" w:ascii="仿宋_GB2312" w:hAnsi="仿宋_GB2312" w:eastAsia="仿宋_GB2312" w:cs="仿宋_GB2312"/>
          <w:sz w:val="32"/>
          <w:szCs w:val="32"/>
          <w:lang w:val="zh-CN"/>
        </w:rPr>
        <w:t>万元，占</w:t>
      </w:r>
      <w:r>
        <w:rPr>
          <w:rFonts w:hint="eastAsia" w:ascii="仿宋_GB2312" w:hAnsi="仿宋_GB2312" w:eastAsia="仿宋_GB2312" w:cs="仿宋_GB2312"/>
          <w:sz w:val="32"/>
          <w:szCs w:val="32"/>
          <w:lang w:val="en-US" w:eastAsia="zh-CN"/>
        </w:rPr>
        <w:t>7.54</w:t>
      </w:r>
      <w:r>
        <w:rPr>
          <w:rFonts w:hint="eastAsia" w:ascii="仿宋_GB2312" w:hAnsi="仿宋_GB2312" w:eastAsia="仿宋_GB2312" w:cs="仿宋_GB2312"/>
          <w:sz w:val="32"/>
          <w:szCs w:val="32"/>
          <w:lang w:val="zh-CN"/>
        </w:rPr>
        <w:t>%。</w:t>
      </w:r>
    </w:p>
    <w:p>
      <w:pPr>
        <w:pStyle w:val="20"/>
        <w:spacing w:beforeLines="0"/>
        <w:ind w:left="0" w:firstLine="0"/>
      </w:pPr>
    </w:p>
    <w:p>
      <w:pPr>
        <w:pStyle w:val="20"/>
        <w:spacing w:beforeLines="0"/>
        <w:ind w:left="0" w:firstLine="0"/>
      </w:pPr>
    </w:p>
    <w:p>
      <w:pPr>
        <w:pStyle w:val="20"/>
        <w:spacing w:beforeLines="0"/>
      </w:pPr>
      <w:r>
        <w:rPr>
          <w:rFonts w:hint="eastAsia"/>
        </w:rPr>
        <w:drawing>
          <wp:inline distT="0" distB="0" distL="0" distR="0">
            <wp:extent cx="4786630" cy="2665730"/>
            <wp:effectExtent l="4445" t="4445" r="9525" b="15875"/>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图6：一般公共预算财政拨款支出决算结构</w:t>
      </w:r>
    </w:p>
    <w:p>
      <w:pPr>
        <w:spacing w:line="600" w:lineRule="exact"/>
        <w:ind w:firstLine="642" w:firstLineChars="200"/>
        <w:outlineLvl w:val="2"/>
        <w:rPr>
          <w:rFonts w:ascii="仿宋" w:hAnsi="仿宋" w:eastAsia="仿宋"/>
          <w:b/>
          <w:sz w:val="32"/>
          <w:szCs w:val="32"/>
        </w:rPr>
      </w:pPr>
      <w:bookmarkStart w:id="43" w:name="_Toc15377212"/>
      <w:r>
        <w:rPr>
          <w:rFonts w:hint="eastAsia" w:ascii="仿宋" w:hAnsi="仿宋" w:eastAsia="仿宋"/>
          <w:b/>
          <w:sz w:val="32"/>
          <w:szCs w:val="32"/>
        </w:rPr>
        <w:t>（三）一般公共预算财政拨款支出决算具体情况</w:t>
      </w:r>
      <w:bookmarkEnd w:id="43"/>
    </w:p>
    <w:p>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rPr>
        <w:t>年一般公共预算支出决算数为</w:t>
      </w:r>
      <w:r>
        <w:rPr>
          <w:rFonts w:hint="eastAsia" w:ascii="仿宋_GB2312" w:hAnsi="仿宋_GB2312" w:eastAsia="仿宋_GB2312" w:cs="仿宋_GB2312"/>
          <w:sz w:val="32"/>
          <w:szCs w:val="32"/>
          <w:lang w:val="en-US" w:eastAsia="zh-CN"/>
        </w:rPr>
        <w:t>134.31</w:t>
      </w:r>
      <w:r>
        <w:rPr>
          <w:rFonts w:hint="eastAsia" w:ascii="仿宋_GB2312" w:hAnsi="仿宋_GB2312" w:eastAsia="仿宋_GB2312" w:cs="仿宋_GB2312"/>
          <w:sz w:val="32"/>
          <w:szCs w:val="32"/>
          <w:lang w:val="zh-CN"/>
        </w:rPr>
        <w:t>万元，完成预算100%。其中：</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1.一般公共服务（类）群众团体事务（款）行政运行（项）</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87.73</w:t>
      </w:r>
      <w:r>
        <w:rPr>
          <w:rFonts w:hint="eastAsia" w:ascii="仿宋_GB2312" w:hAnsi="仿宋_GB2312" w:eastAsia="仿宋_GB2312" w:cs="仿宋_GB2312"/>
          <w:sz w:val="32"/>
          <w:szCs w:val="32"/>
        </w:rPr>
        <w:t>万元，完成预算</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%，决算数与预算数持平。</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2.一般公共服务（类）群众团体事务（款）一般行政管理事务（项）</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 xml:space="preserve"> 支出决算为9</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万元，完成预算100%，决算数与预算数持平。</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3. 文化旅游体育与传媒支出（类）文化和旅游（款）文化活动（项）：</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9.3</w:t>
      </w:r>
      <w:r>
        <w:rPr>
          <w:rFonts w:hint="eastAsia" w:ascii="仿宋_GB2312" w:hAnsi="仿宋_GB2312" w:eastAsia="仿宋_GB2312" w:cs="仿宋_GB2312"/>
          <w:sz w:val="32"/>
          <w:szCs w:val="32"/>
        </w:rPr>
        <w:t>万元，完成预算100%，决算数与预算数持平。</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4.文化旅游体育与传媒支出（类）文化和旅游（款）文化创作与保护（项）：</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3.31</w:t>
      </w:r>
      <w:r>
        <w:rPr>
          <w:rFonts w:hint="eastAsia" w:ascii="仿宋_GB2312" w:hAnsi="仿宋_GB2312" w:eastAsia="仿宋_GB2312" w:cs="仿宋_GB2312"/>
          <w:sz w:val="32"/>
          <w:szCs w:val="32"/>
        </w:rPr>
        <w:t>万元，完成预算100%，决算数与预算数持平。</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5.社会保障和就业（类）行政事业单位养老支出（款） 机关事业单位基本养老保险缴费支出（项）</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 xml:space="preserve"> 支出决算为10.</w:t>
      </w:r>
      <w:r>
        <w:rPr>
          <w:rFonts w:hint="eastAsia" w:ascii="仿宋_GB2312" w:hAnsi="仿宋_GB2312" w:eastAsia="仿宋_GB2312" w:cs="仿宋_GB2312"/>
          <w:sz w:val="32"/>
          <w:szCs w:val="32"/>
          <w:lang w:val="en-US" w:eastAsia="zh-CN"/>
        </w:rPr>
        <w:t>52</w:t>
      </w:r>
      <w:r>
        <w:rPr>
          <w:rFonts w:hint="eastAsia" w:ascii="仿宋_GB2312" w:hAnsi="仿宋_GB2312" w:eastAsia="仿宋_GB2312" w:cs="仿宋_GB2312"/>
          <w:sz w:val="32"/>
          <w:szCs w:val="32"/>
        </w:rPr>
        <w:t>万元，完成预算</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%，决算数与预算数持平。</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6.社会保障和就业（类）其他社会保障和就业支出（款） 其他社会保障和就业支出（项）</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 xml:space="preserve"> 支出决算为0.</w:t>
      </w:r>
      <w:r>
        <w:rPr>
          <w:rFonts w:hint="eastAsia" w:ascii="仿宋_GB2312" w:hAnsi="仿宋_GB2312" w:eastAsia="仿宋_GB2312" w:cs="仿宋_GB2312"/>
          <w:sz w:val="32"/>
          <w:szCs w:val="32"/>
          <w:lang w:val="en-US" w:eastAsia="zh-CN"/>
        </w:rPr>
        <w:t>07</w:t>
      </w:r>
      <w:r>
        <w:rPr>
          <w:rFonts w:hint="eastAsia" w:ascii="仿宋_GB2312" w:hAnsi="仿宋_GB2312" w:eastAsia="仿宋_GB2312" w:cs="仿宋_GB2312"/>
          <w:sz w:val="32"/>
          <w:szCs w:val="32"/>
        </w:rPr>
        <w:t>万元，完成预算100%，决算数与预算数持平。</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7.卫生健康（类）行政事业单位医疗（款）</w:t>
      </w:r>
      <w:r>
        <w:rPr>
          <w:rFonts w:hint="eastAsia" w:ascii="仿宋_GB2312" w:hAnsi="仿宋_GB2312" w:eastAsia="仿宋_GB2312" w:cs="仿宋_GB2312"/>
          <w:b/>
          <w:bCs/>
          <w:sz w:val="32"/>
          <w:szCs w:val="32"/>
          <w:lang w:eastAsia="zh-CN"/>
        </w:rPr>
        <w:t>行政</w:t>
      </w:r>
      <w:r>
        <w:rPr>
          <w:rFonts w:hint="eastAsia" w:ascii="仿宋_GB2312" w:hAnsi="仿宋_GB2312" w:eastAsia="仿宋_GB2312" w:cs="仿宋_GB2312"/>
          <w:b/>
          <w:bCs/>
          <w:sz w:val="32"/>
          <w:szCs w:val="32"/>
        </w:rPr>
        <w:t>单位医疗（项）</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支出决算为3.</w:t>
      </w:r>
      <w:r>
        <w:rPr>
          <w:rFonts w:hint="eastAsia" w:ascii="仿宋_GB2312" w:hAnsi="仿宋_GB2312" w:eastAsia="仿宋_GB2312" w:cs="仿宋_GB2312"/>
          <w:sz w:val="32"/>
          <w:szCs w:val="32"/>
          <w:lang w:val="en-US" w:eastAsia="zh-CN"/>
        </w:rPr>
        <w:t>36</w:t>
      </w:r>
      <w:r>
        <w:rPr>
          <w:rFonts w:hint="eastAsia" w:ascii="仿宋_GB2312" w:hAnsi="仿宋_GB2312" w:eastAsia="仿宋_GB2312" w:cs="仿宋_GB2312"/>
          <w:sz w:val="32"/>
          <w:szCs w:val="32"/>
        </w:rPr>
        <w:t>万元，完成预算100%，决算数与预算数持平。</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8.住房保障支出（类）住房改革支出（款）住房公积金（项）：</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10.12</w:t>
      </w:r>
      <w:r>
        <w:rPr>
          <w:rFonts w:hint="eastAsia" w:ascii="仿宋_GB2312" w:hAnsi="仿宋_GB2312" w:eastAsia="仿宋_GB2312" w:cs="仿宋_GB2312"/>
          <w:sz w:val="32"/>
          <w:szCs w:val="32"/>
        </w:rPr>
        <w:t>万元，完成预算</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%，决算数与预算数持平。</w:t>
      </w:r>
    </w:p>
    <w:p>
      <w:pPr>
        <w:tabs>
          <w:tab w:val="right" w:pos="8306"/>
        </w:tabs>
        <w:spacing w:line="600" w:lineRule="exact"/>
        <w:ind w:firstLine="640"/>
        <w:outlineLvl w:val="1"/>
        <w:rPr>
          <w:rStyle w:val="18"/>
        </w:rPr>
      </w:pPr>
      <w:bookmarkStart w:id="44" w:name="_Toc15396608"/>
      <w:bookmarkStart w:id="45" w:name="_Toc15377214"/>
      <w:bookmarkStart w:id="46" w:name="_Toc29597"/>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18"/>
          <w:rFonts w:hint="eastAsia" w:ascii="黑体" w:hAnsi="黑体" w:eastAsia="黑体"/>
          <w:b w:val="0"/>
        </w:rPr>
        <w:t>般公共预算财政拨款基本支出决算情况说明</w:t>
      </w:r>
      <w:bookmarkEnd w:id="44"/>
      <w:bookmarkEnd w:id="45"/>
      <w:bookmarkEnd w:id="46"/>
      <w:r>
        <w:rPr>
          <w:rStyle w:val="18"/>
          <w:rFonts w:ascii="黑体" w:hAnsi="黑体" w:eastAsia="黑体"/>
          <w:b w:val="0"/>
        </w:rPr>
        <w:tab/>
      </w:r>
    </w:p>
    <w:p>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rPr>
        <w:t>年一般公共预算财政拨款基本支出11</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lang w:val="zh-CN"/>
        </w:rPr>
        <w:t>万元，其中：</w:t>
      </w:r>
    </w:p>
    <w:p>
      <w:pPr>
        <w:spacing w:line="600" w:lineRule="exact"/>
        <w:ind w:firstLine="642" w:firstLineChars="200"/>
        <w:rPr>
          <w:rFonts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人员经费</w:t>
      </w:r>
      <w:r>
        <w:rPr>
          <w:rFonts w:hint="eastAsia" w:ascii="仿宋_GB2312" w:hAnsi="仿宋_GB2312" w:eastAsia="仿宋_GB2312" w:cs="仿宋_GB2312"/>
          <w:sz w:val="32"/>
          <w:szCs w:val="32"/>
          <w:lang w:val="en-US" w:eastAsia="zh-CN"/>
        </w:rPr>
        <w:t>97.57</w:t>
      </w:r>
      <w:r>
        <w:rPr>
          <w:rFonts w:hint="eastAsia" w:ascii="仿宋_GB2312" w:hAnsi="仿宋_GB2312" w:eastAsia="仿宋_GB2312" w:cs="仿宋_GB2312"/>
          <w:sz w:val="32"/>
          <w:szCs w:val="32"/>
          <w:lang w:val="zh-CN"/>
        </w:rPr>
        <w:t>万元，主要包括：</w:t>
      </w:r>
      <w:r>
        <w:rPr>
          <w:rFonts w:hint="eastAsia" w:ascii="仿宋_GB2312" w:hAnsi="仿宋_GB2312" w:eastAsia="仿宋_GB2312" w:cs="仿宋_GB2312"/>
          <w:sz w:val="32"/>
          <w:szCs w:val="32"/>
        </w:rPr>
        <w:t>基本工资、津贴补贴、奖金、机关事业单位基本养老保险缴费、职工基本医疗保险缴费、其他社会保障缴费、住房公积金</w:t>
      </w:r>
      <w:r>
        <w:rPr>
          <w:rFonts w:hint="eastAsia" w:ascii="仿宋_GB2312" w:hAnsi="仿宋_GB2312" w:eastAsia="仿宋_GB2312" w:cs="仿宋_GB2312"/>
          <w:sz w:val="32"/>
          <w:szCs w:val="32"/>
          <w:lang w:val="zh-CN"/>
        </w:rPr>
        <w:t>。</w:t>
      </w:r>
    </w:p>
    <w:p>
      <w:pPr>
        <w:spacing w:line="600" w:lineRule="exact"/>
        <w:ind w:firstLine="642" w:firstLineChars="200"/>
        <w:rPr>
          <w:rFonts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公用经费</w:t>
      </w:r>
      <w:r>
        <w:rPr>
          <w:rFonts w:hint="eastAsia" w:ascii="仿宋_GB2312" w:hAnsi="仿宋_GB2312" w:eastAsia="仿宋_GB2312" w:cs="仿宋_GB2312"/>
          <w:sz w:val="32"/>
          <w:szCs w:val="32"/>
          <w:lang w:val="en-US" w:eastAsia="zh-CN"/>
        </w:rPr>
        <w:t>14.23</w:t>
      </w:r>
      <w:r>
        <w:rPr>
          <w:rFonts w:hint="eastAsia" w:ascii="仿宋_GB2312" w:hAnsi="仿宋_GB2312" w:eastAsia="仿宋_GB2312" w:cs="仿宋_GB2312"/>
          <w:sz w:val="32"/>
          <w:szCs w:val="32"/>
          <w:lang w:val="zh-CN"/>
        </w:rPr>
        <w:t>万元，主要包括：</w:t>
      </w:r>
      <w:r>
        <w:rPr>
          <w:rFonts w:hint="eastAsia" w:ascii="仿宋_GB2312" w:hAnsi="仿宋_GB2312" w:eastAsia="仿宋_GB2312" w:cs="仿宋_GB2312"/>
          <w:sz w:val="32"/>
          <w:szCs w:val="32"/>
        </w:rPr>
        <w:t>办公费、</w:t>
      </w:r>
      <w:r>
        <w:rPr>
          <w:rFonts w:hint="eastAsia" w:ascii="仿宋_GB2312" w:hAnsi="仿宋_GB2312" w:eastAsia="仿宋_GB2312" w:cs="仿宋_GB2312"/>
          <w:sz w:val="32"/>
          <w:szCs w:val="32"/>
          <w:lang w:eastAsia="zh-CN"/>
        </w:rPr>
        <w:t>手续费、</w:t>
      </w:r>
      <w:r>
        <w:rPr>
          <w:rFonts w:hint="eastAsia" w:ascii="仿宋_GB2312" w:hAnsi="仿宋_GB2312" w:eastAsia="仿宋_GB2312" w:cs="仿宋_GB2312"/>
          <w:sz w:val="32"/>
          <w:szCs w:val="32"/>
        </w:rPr>
        <w:t>水费、电费、</w:t>
      </w:r>
      <w:r>
        <w:rPr>
          <w:rFonts w:hint="eastAsia" w:ascii="仿宋_GB2312" w:hAnsi="仿宋_GB2312" w:eastAsia="仿宋_GB2312" w:cs="仿宋_GB2312"/>
          <w:sz w:val="32"/>
          <w:szCs w:val="32"/>
          <w:lang w:eastAsia="zh-CN"/>
        </w:rPr>
        <w:t>邮电费、物业管理费、</w:t>
      </w:r>
      <w:r>
        <w:rPr>
          <w:rFonts w:hint="eastAsia" w:ascii="仿宋_GB2312" w:hAnsi="仿宋_GB2312" w:eastAsia="仿宋_GB2312" w:cs="仿宋_GB2312"/>
          <w:sz w:val="32"/>
          <w:szCs w:val="32"/>
        </w:rPr>
        <w:t>差旅费、维修（护）费、培训费、公务接待费、工会经费、福利费、其他交通费</w:t>
      </w:r>
      <w:r>
        <w:rPr>
          <w:rFonts w:hint="eastAsia" w:ascii="仿宋_GB2312" w:hAnsi="仿宋_GB2312" w:eastAsia="仿宋_GB2312" w:cs="仿宋_GB2312"/>
          <w:sz w:val="32"/>
          <w:szCs w:val="32"/>
          <w:lang w:val="en-US" w:eastAsia="zh-CN"/>
        </w:rPr>
        <w:t>用</w:t>
      </w:r>
      <w:r>
        <w:rPr>
          <w:rFonts w:hint="eastAsia" w:ascii="仿宋_GB2312" w:hAnsi="仿宋_GB2312" w:eastAsia="仿宋_GB2312" w:cs="仿宋_GB2312"/>
          <w:sz w:val="32"/>
          <w:szCs w:val="32"/>
        </w:rPr>
        <w:t>、其他商品和服务支出</w:t>
      </w:r>
      <w:r>
        <w:rPr>
          <w:rFonts w:hint="eastAsia" w:ascii="仿宋_GB2312" w:hAnsi="仿宋_GB2312" w:eastAsia="仿宋_GB2312" w:cs="仿宋_GB2312"/>
          <w:sz w:val="32"/>
          <w:szCs w:val="32"/>
          <w:lang w:eastAsia="zh-CN"/>
        </w:rPr>
        <w:t>、办公设备购置</w:t>
      </w:r>
      <w:r>
        <w:rPr>
          <w:rFonts w:hint="eastAsia" w:ascii="仿宋_GB2312" w:hAnsi="仿宋_GB2312" w:eastAsia="仿宋_GB2312" w:cs="仿宋_GB2312"/>
          <w:sz w:val="32"/>
          <w:szCs w:val="32"/>
          <w:lang w:val="zh-CN"/>
        </w:rPr>
        <w:t>。</w:t>
      </w:r>
    </w:p>
    <w:p>
      <w:pPr>
        <w:spacing w:line="600" w:lineRule="exact"/>
        <w:ind w:firstLine="640"/>
        <w:outlineLvl w:val="1"/>
        <w:rPr>
          <w:rStyle w:val="18"/>
          <w:rFonts w:ascii="黑体" w:hAnsi="黑体" w:eastAsia="黑体"/>
          <w:b w:val="0"/>
        </w:rPr>
      </w:pPr>
      <w:bookmarkStart w:id="47" w:name="_Toc21310"/>
      <w:bookmarkStart w:id="48" w:name="_Toc15377215"/>
      <w:bookmarkStart w:id="49" w:name="_Toc15396609"/>
      <w:r>
        <w:rPr>
          <w:rFonts w:hint="eastAsia" w:ascii="黑体" w:eastAsia="黑体"/>
          <w:sz w:val="32"/>
          <w:szCs w:val="32"/>
        </w:rPr>
        <w:t>七、</w:t>
      </w:r>
      <w:r>
        <w:rPr>
          <w:rStyle w:val="18"/>
          <w:rFonts w:hint="eastAsia" w:ascii="黑体" w:hAnsi="黑体" w:eastAsia="黑体"/>
          <w:b w:val="0"/>
        </w:rPr>
        <w:t>财政拨款</w:t>
      </w:r>
      <w:r>
        <w:rPr>
          <w:rStyle w:val="18"/>
          <w:rFonts w:hint="eastAsia" w:ascii="黑体" w:hAnsi="黑体" w:eastAsia="黑体"/>
        </w:rPr>
        <w:t>“</w:t>
      </w:r>
      <w:r>
        <w:rPr>
          <w:rStyle w:val="18"/>
          <w:rFonts w:hint="eastAsia" w:ascii="黑体" w:hAnsi="黑体" w:eastAsia="黑体"/>
          <w:b w:val="0"/>
        </w:rPr>
        <w:t>三公”经费支出决算情况说明</w:t>
      </w:r>
      <w:bookmarkEnd w:id="47"/>
      <w:bookmarkEnd w:id="48"/>
      <w:bookmarkEnd w:id="49"/>
    </w:p>
    <w:p>
      <w:pPr>
        <w:spacing w:line="600" w:lineRule="exact"/>
        <w:ind w:firstLine="640"/>
        <w:outlineLvl w:val="2"/>
        <w:rPr>
          <w:rFonts w:ascii="仿宋_GB2312" w:hAnsi="仿宋_GB2312" w:eastAsia="仿宋_GB2312" w:cs="仿宋_GB2312"/>
          <w:b/>
          <w:sz w:val="32"/>
          <w:szCs w:val="32"/>
        </w:rPr>
      </w:pPr>
      <w:bookmarkStart w:id="50" w:name="_Toc15377216"/>
      <w:r>
        <w:rPr>
          <w:rFonts w:hint="eastAsia" w:ascii="仿宋_GB2312" w:hAnsi="仿宋_GB2312" w:eastAsia="仿宋_GB2312" w:cs="仿宋_GB2312"/>
          <w:b/>
          <w:sz w:val="32"/>
          <w:szCs w:val="32"/>
        </w:rPr>
        <w:t>（一）“三公”经费财政拨款支出决算总体情况说明</w:t>
      </w:r>
      <w:bookmarkEnd w:id="50"/>
    </w:p>
    <w:p>
      <w:pPr>
        <w:keepNext/>
        <w:keepLines/>
        <w:spacing w:line="576" w:lineRule="exact"/>
        <w:ind w:firstLine="640"/>
        <w:rPr>
          <w:rFonts w:ascii="仿宋_GB2312" w:hAnsi="仿宋_GB2312" w:eastAsia="仿宋_GB2312" w:cs="仿宋_GB2312"/>
          <w:sz w:val="32"/>
          <w:szCs w:val="32"/>
          <w:lang w:val="zh-CN"/>
        </w:rPr>
      </w:pPr>
      <w:r>
        <w:rPr>
          <w:rFonts w:hint="eastAsia" w:ascii="仿宋_GB2312" w:hAnsi="仿宋_GB2312" w:eastAsia="仿宋_GB2312"/>
          <w:sz w:val="32"/>
          <w:lang w:val="zh-CN"/>
        </w:rPr>
        <w:t>202</w:t>
      </w:r>
      <w:r>
        <w:rPr>
          <w:rFonts w:hint="eastAsia" w:ascii="仿宋_GB2312" w:hAnsi="仿宋_GB2312" w:eastAsia="仿宋_GB2312"/>
          <w:sz w:val="32"/>
          <w:lang w:val="en-US" w:eastAsia="zh-CN"/>
        </w:rPr>
        <w:t>4</w:t>
      </w:r>
      <w:r>
        <w:rPr>
          <w:rFonts w:hint="eastAsia" w:ascii="仿宋_GB2312" w:hAnsi="仿宋_GB2312" w:eastAsia="仿宋_GB2312"/>
          <w:sz w:val="32"/>
          <w:lang w:val="zh-CN"/>
        </w:rPr>
        <w:t>年</w:t>
      </w:r>
      <w:r>
        <w:rPr>
          <w:rFonts w:ascii="仿宋_GB2312" w:hAnsi="仿宋_GB2312" w:eastAsia="仿宋_GB2312"/>
          <w:sz w:val="32"/>
          <w:lang w:val="zh-CN"/>
        </w:rPr>
        <w:t>“</w:t>
      </w:r>
      <w:r>
        <w:rPr>
          <w:rFonts w:hint="eastAsia" w:ascii="仿宋_GB2312" w:hAnsi="仿宋_GB2312" w:eastAsia="仿宋_GB2312"/>
          <w:sz w:val="32"/>
          <w:lang w:val="zh-CN"/>
        </w:rPr>
        <w:t>三公</w:t>
      </w:r>
      <w:r>
        <w:rPr>
          <w:rFonts w:ascii="仿宋_GB2312" w:hAnsi="仿宋_GB2312" w:eastAsia="仿宋_GB2312"/>
          <w:sz w:val="32"/>
          <w:lang w:val="zh-CN"/>
        </w:rPr>
        <w:t>”</w:t>
      </w:r>
      <w:r>
        <w:rPr>
          <w:rFonts w:hint="eastAsia" w:ascii="仿宋_GB2312" w:hAnsi="仿宋_GB2312" w:eastAsia="仿宋_GB2312"/>
          <w:sz w:val="32"/>
          <w:lang w:val="zh-CN"/>
        </w:rPr>
        <w:t>经费财政拨款支出决算为0.</w:t>
      </w:r>
      <w:r>
        <w:rPr>
          <w:rFonts w:hint="eastAsia" w:ascii="仿宋_GB2312" w:hAnsi="仿宋_GB2312" w:eastAsia="仿宋_GB2312"/>
          <w:sz w:val="32"/>
          <w:lang w:val="en-US" w:eastAsia="zh-CN"/>
        </w:rPr>
        <w:t>32</w:t>
      </w:r>
      <w:r>
        <w:rPr>
          <w:rFonts w:hint="eastAsia" w:ascii="仿宋_GB2312" w:hAnsi="仿宋_GB2312" w:eastAsia="仿宋_GB2312"/>
          <w:sz w:val="32"/>
          <w:lang w:val="zh-CN"/>
        </w:rPr>
        <w:t>万元，完成预算达</w:t>
      </w:r>
      <w:r>
        <w:rPr>
          <w:rFonts w:hint="eastAsia" w:ascii="仿宋_GB2312" w:hAnsi="仿宋_GB2312" w:eastAsia="仿宋_GB2312"/>
          <w:sz w:val="32"/>
          <w:lang w:val="en-US" w:eastAsia="zh-CN"/>
        </w:rPr>
        <w:t>91.43</w:t>
      </w:r>
      <w:r>
        <w:rPr>
          <w:rFonts w:hint="eastAsia" w:ascii="仿宋_GB2312" w:hAnsi="仿宋_GB2312" w:eastAsia="仿宋_GB2312"/>
          <w:sz w:val="32"/>
          <w:lang w:val="zh-CN"/>
        </w:rPr>
        <w:t>%；较上年增加0.</w:t>
      </w:r>
      <w:r>
        <w:rPr>
          <w:rFonts w:hint="eastAsia" w:ascii="仿宋_GB2312" w:hAnsi="仿宋_GB2312" w:eastAsia="仿宋_GB2312"/>
          <w:sz w:val="32"/>
          <w:lang w:val="en-US" w:eastAsia="zh-CN"/>
        </w:rPr>
        <w:t>12</w:t>
      </w:r>
      <w:r>
        <w:rPr>
          <w:rFonts w:hint="eastAsia" w:ascii="仿宋_GB2312" w:hAnsi="仿宋_GB2312" w:eastAsia="仿宋_GB2312"/>
          <w:sz w:val="32"/>
          <w:lang w:val="zh-CN"/>
        </w:rPr>
        <w:t>万元，增长</w:t>
      </w:r>
      <w:r>
        <w:rPr>
          <w:rFonts w:hint="eastAsia" w:ascii="仿宋_GB2312" w:hAnsi="仿宋_GB2312" w:eastAsia="仿宋_GB2312"/>
          <w:sz w:val="32"/>
          <w:lang w:val="en-US" w:eastAsia="zh-CN"/>
        </w:rPr>
        <w:t>60</w:t>
      </w:r>
      <w:r>
        <w:rPr>
          <w:rFonts w:hint="eastAsia" w:ascii="仿宋_GB2312" w:hAnsi="仿宋_GB2312" w:eastAsia="仿宋_GB2312"/>
          <w:sz w:val="32"/>
          <w:lang w:val="zh-CN"/>
        </w:rPr>
        <w:t>%。决</w:t>
      </w:r>
      <w:r>
        <w:rPr>
          <w:rFonts w:hint="eastAsia" w:ascii="仿宋_GB2312" w:hAnsi="仿宋_GB2312" w:eastAsia="仿宋_GB2312"/>
          <w:color w:val="auto"/>
          <w:sz w:val="32"/>
          <w:lang w:val="zh-CN"/>
        </w:rPr>
        <w:t>算</w:t>
      </w:r>
      <w:r>
        <w:rPr>
          <w:rFonts w:hint="eastAsia" w:ascii="仿宋_GB2312" w:hAnsi="仿宋_GB2312" w:eastAsia="仿宋_GB2312"/>
          <w:color w:val="auto"/>
          <w:sz w:val="32"/>
          <w:highlight w:val="none"/>
          <w:lang w:val="zh-CN"/>
        </w:rPr>
        <w:t>数</w:t>
      </w:r>
      <w:r>
        <w:rPr>
          <w:rFonts w:hint="eastAsia" w:ascii="仿宋_GB2312" w:hAnsi="仿宋_GB2312" w:eastAsia="仿宋_GB2312"/>
          <w:color w:val="auto"/>
          <w:sz w:val="32"/>
          <w:highlight w:val="none"/>
          <w:lang w:eastAsia="zh-CN"/>
        </w:rPr>
        <w:t>小于</w:t>
      </w:r>
      <w:r>
        <w:rPr>
          <w:rFonts w:hint="eastAsia" w:ascii="仿宋_GB2312" w:hAnsi="仿宋_GB2312" w:eastAsia="仿宋_GB2312"/>
          <w:color w:val="auto"/>
          <w:sz w:val="32"/>
          <w:highlight w:val="none"/>
          <w:lang w:val="zh-CN"/>
        </w:rPr>
        <w:t>预</w:t>
      </w:r>
      <w:r>
        <w:rPr>
          <w:rFonts w:hint="eastAsia" w:ascii="仿宋_GB2312" w:hAnsi="仿宋_GB2312" w:eastAsia="仿宋_GB2312"/>
          <w:color w:val="auto"/>
          <w:sz w:val="32"/>
          <w:lang w:val="zh-CN"/>
        </w:rPr>
        <w:t>算数的</w:t>
      </w:r>
      <w:r>
        <w:rPr>
          <w:rFonts w:hint="eastAsia" w:ascii="仿宋_GB2312" w:hAnsi="仿宋_GB2312" w:eastAsia="仿宋_GB2312" w:cs="仿宋_GB2312"/>
          <w:sz w:val="32"/>
          <w:szCs w:val="32"/>
          <w:lang w:val="zh-CN"/>
        </w:rPr>
        <w:t>主要原因是进一步健全内控制度，严控接待费用支出，</w:t>
      </w:r>
      <w:r>
        <w:rPr>
          <w:rFonts w:hint="eastAsia" w:ascii="仿宋_GB2312" w:hAnsi="仿宋_GB2312" w:eastAsia="仿宋_GB2312"/>
          <w:color w:val="auto"/>
          <w:sz w:val="32"/>
          <w:lang w:val="zh-CN"/>
        </w:rPr>
        <w:t>接待人数增加。</w:t>
      </w:r>
    </w:p>
    <w:p>
      <w:pPr>
        <w:spacing w:line="600" w:lineRule="exact"/>
        <w:ind w:firstLine="640"/>
        <w:outlineLvl w:val="2"/>
        <w:rPr>
          <w:rFonts w:ascii="仿宋_GB2312" w:hAnsi="仿宋_GB2312" w:eastAsia="仿宋_GB2312" w:cs="仿宋_GB2312"/>
          <w:b/>
          <w:sz w:val="32"/>
          <w:szCs w:val="32"/>
        </w:rPr>
      </w:pPr>
      <w:bookmarkStart w:id="51" w:name="_Toc15377217"/>
      <w:r>
        <w:rPr>
          <w:rFonts w:hint="eastAsia" w:ascii="仿宋_GB2312" w:hAnsi="仿宋_GB2312" w:eastAsia="仿宋_GB2312" w:cs="仿宋_GB2312"/>
          <w:b/>
          <w:sz w:val="32"/>
          <w:szCs w:val="32"/>
        </w:rPr>
        <w:t>（二）“三公”经费财政拨款支出决算具体情况说明</w:t>
      </w:r>
      <w:bookmarkEnd w:id="51"/>
    </w:p>
    <w:p>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rPr>
        <w:t>年</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三公</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经费财政拨款支出决算中，因公出国（境）费支出决算0万元，占0%；公务用车购置及运行维护费支出决算0万元，占0%；公务接待费支出决算0.</w:t>
      </w:r>
      <w:r>
        <w:rPr>
          <w:rFonts w:hint="eastAsia" w:ascii="仿宋_GB2312" w:hAnsi="仿宋_GB2312" w:eastAsia="仿宋_GB2312" w:cs="仿宋_GB2312"/>
          <w:sz w:val="32"/>
          <w:szCs w:val="32"/>
          <w:lang w:val="en-US" w:eastAsia="zh-CN"/>
        </w:rPr>
        <w:t>32</w:t>
      </w:r>
      <w:r>
        <w:rPr>
          <w:rFonts w:hint="eastAsia" w:ascii="仿宋_GB2312" w:hAnsi="仿宋_GB2312" w:eastAsia="仿宋_GB2312" w:cs="仿宋_GB2312"/>
          <w:sz w:val="32"/>
          <w:szCs w:val="32"/>
          <w:lang w:val="zh-CN"/>
        </w:rPr>
        <w:t>万元，占100%。具体情况如下：</w:t>
      </w:r>
    </w:p>
    <w:p>
      <w:pPr>
        <w:pStyle w:val="20"/>
        <w:spacing w:beforeLines="0"/>
        <w:ind w:left="0" w:firstLine="0"/>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drawing>
          <wp:anchor distT="0" distB="0" distL="114300" distR="114300" simplePos="0" relativeHeight="251665408" behindDoc="0" locked="0" layoutInCell="1" allowOverlap="1">
            <wp:simplePos x="0" y="0"/>
            <wp:positionH relativeFrom="column">
              <wp:posOffset>34925</wp:posOffset>
            </wp:positionH>
            <wp:positionV relativeFrom="paragraph">
              <wp:posOffset>190500</wp:posOffset>
            </wp:positionV>
            <wp:extent cx="5060315" cy="2998470"/>
            <wp:effectExtent l="19050" t="0" r="25902" b="0"/>
            <wp:wrapNone/>
            <wp:docPr id="30"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pStyle w:val="20"/>
        <w:spacing w:beforeLines="0"/>
        <w:ind w:left="0" w:firstLine="0"/>
        <w:rPr>
          <w:rFonts w:ascii="仿宋_GB2312" w:hAnsi="仿宋_GB2312" w:eastAsia="仿宋_GB2312" w:cs="仿宋_GB2312"/>
          <w:color w:val="auto"/>
          <w:sz w:val="32"/>
          <w:szCs w:val="32"/>
          <w:lang w:val="zh-CN"/>
        </w:rPr>
      </w:pPr>
    </w:p>
    <w:p>
      <w:pPr>
        <w:pStyle w:val="20"/>
        <w:spacing w:beforeLines="0"/>
        <w:ind w:left="0" w:firstLine="0"/>
        <w:rPr>
          <w:rFonts w:ascii="仿宋_GB2312" w:hAnsi="仿宋_GB2312" w:eastAsia="仿宋_GB2312" w:cs="仿宋_GB2312"/>
          <w:color w:val="auto"/>
          <w:sz w:val="32"/>
          <w:szCs w:val="32"/>
          <w:lang w:val="zh-CN"/>
        </w:rPr>
      </w:pPr>
    </w:p>
    <w:p>
      <w:pPr>
        <w:pStyle w:val="20"/>
        <w:spacing w:beforeLines="0"/>
        <w:ind w:left="0" w:firstLine="0"/>
        <w:rPr>
          <w:rFonts w:ascii="仿宋_GB2312" w:hAnsi="仿宋_GB2312" w:eastAsia="仿宋_GB2312" w:cs="仿宋_GB2312"/>
          <w:color w:val="auto"/>
          <w:sz w:val="32"/>
          <w:szCs w:val="32"/>
          <w:lang w:val="zh-CN"/>
        </w:rPr>
      </w:pPr>
    </w:p>
    <w:p>
      <w:pPr>
        <w:pStyle w:val="20"/>
        <w:spacing w:beforeLines="0"/>
        <w:ind w:left="0" w:firstLine="0"/>
        <w:rPr>
          <w:rFonts w:ascii="仿宋_GB2312" w:hAnsi="仿宋_GB2312" w:eastAsia="仿宋_GB2312" w:cs="仿宋_GB2312"/>
          <w:color w:val="auto"/>
          <w:sz w:val="32"/>
          <w:szCs w:val="32"/>
          <w:lang w:val="zh-CN"/>
        </w:rPr>
      </w:pPr>
    </w:p>
    <w:p>
      <w:pPr>
        <w:pStyle w:val="20"/>
        <w:spacing w:beforeLines="0"/>
        <w:ind w:left="0" w:firstLine="0"/>
        <w:rPr>
          <w:rFonts w:ascii="仿宋_GB2312" w:hAnsi="仿宋_GB2312" w:eastAsia="仿宋_GB2312" w:cs="仿宋_GB2312"/>
          <w:color w:val="auto"/>
          <w:sz w:val="32"/>
          <w:szCs w:val="32"/>
          <w:lang w:val="zh-CN"/>
        </w:rPr>
      </w:pPr>
    </w:p>
    <w:p>
      <w:pPr>
        <w:pStyle w:val="20"/>
        <w:spacing w:beforeLines="0"/>
        <w:ind w:left="0" w:firstLine="0"/>
        <w:rPr>
          <w:rFonts w:ascii="仿宋_GB2312" w:hAnsi="仿宋_GB2312" w:eastAsia="仿宋_GB2312" w:cs="仿宋_GB2312"/>
          <w:color w:val="auto"/>
          <w:sz w:val="32"/>
          <w:szCs w:val="32"/>
          <w:lang w:val="zh-CN"/>
        </w:rPr>
      </w:pPr>
    </w:p>
    <w:p>
      <w:pPr>
        <w:pStyle w:val="20"/>
        <w:spacing w:beforeLines="0"/>
        <w:ind w:left="0" w:firstLine="0"/>
        <w:rPr>
          <w:rFonts w:ascii="仿宋_GB2312" w:hAnsi="仿宋_GB2312" w:eastAsia="仿宋_GB2312" w:cs="仿宋_GB2312"/>
          <w:color w:val="auto"/>
          <w:sz w:val="32"/>
          <w:szCs w:val="32"/>
          <w:lang w:val="zh-CN"/>
        </w:rPr>
      </w:pPr>
    </w:p>
    <w:p>
      <w:pPr>
        <w:spacing w:line="600" w:lineRule="exact"/>
        <w:ind w:firstLine="2252" w:firstLineChars="704"/>
        <w:rPr>
          <w:rFonts w:ascii="仿宋" w:hAnsi="仿宋" w:eastAsia="仿宋"/>
          <w:sz w:val="32"/>
          <w:szCs w:val="32"/>
        </w:rPr>
      </w:pPr>
      <w:r>
        <w:rPr>
          <w:rFonts w:hint="eastAsia" w:ascii="仿宋" w:hAnsi="仿宋" w:eastAsia="仿宋"/>
          <w:sz w:val="32"/>
          <w:szCs w:val="32"/>
        </w:rPr>
        <w:t>图7：“三公”经费财政拨款支出结构</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1.因公出国（境）经费</w:t>
      </w:r>
      <w:r>
        <w:rPr>
          <w:rFonts w:hint="eastAsia" w:ascii="仿宋_GB2312" w:hAnsi="仿宋_GB2312" w:eastAsia="仿宋_GB2312" w:cs="仿宋_GB2312"/>
          <w:sz w:val="32"/>
          <w:szCs w:val="32"/>
        </w:rPr>
        <w:t>支出0万元，年初未安排预算，因公出国（境）支出决算较202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年无变化。</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2.公务用车购置及运行维护费</w:t>
      </w:r>
      <w:r>
        <w:rPr>
          <w:rFonts w:hint="eastAsia" w:ascii="仿宋_GB2312" w:hAnsi="仿宋_GB2312" w:eastAsia="仿宋_GB2312" w:cs="仿宋_GB2312"/>
          <w:sz w:val="32"/>
          <w:szCs w:val="32"/>
        </w:rPr>
        <w:t>支出0万元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年初未安排预算，公务用车购置及运行维护费较202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年无变化。</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其中：公务用车购置支出0万元。全年按规定更新购置公务用车0辆。截至202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年12月底，单位共有公务用车0辆。</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公务用车运行维护费支出0万元。</w:t>
      </w:r>
    </w:p>
    <w:p>
      <w:pPr>
        <w:spacing w:line="600" w:lineRule="exact"/>
        <w:ind w:firstLine="642" w:firstLineChars="200"/>
        <w:rPr>
          <w:rFonts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3.公务接待费</w:t>
      </w:r>
      <w:r>
        <w:rPr>
          <w:rFonts w:hint="eastAsia" w:ascii="仿宋_GB2312" w:hAnsi="仿宋_GB2312" w:eastAsia="仿宋_GB2312" w:cs="仿宋_GB2312"/>
          <w:sz w:val="32"/>
          <w:szCs w:val="32"/>
          <w:lang w:val="zh-CN"/>
        </w:rPr>
        <w:t>支出0.</w:t>
      </w:r>
      <w:r>
        <w:rPr>
          <w:rFonts w:hint="eastAsia" w:ascii="仿宋_GB2312" w:hAnsi="仿宋_GB2312" w:eastAsia="仿宋_GB2312" w:cs="仿宋_GB2312"/>
          <w:sz w:val="32"/>
          <w:szCs w:val="32"/>
          <w:lang w:val="en-US" w:eastAsia="zh-CN"/>
        </w:rPr>
        <w:t>32</w:t>
      </w:r>
      <w:r>
        <w:rPr>
          <w:rFonts w:hint="eastAsia" w:ascii="仿宋_GB2312" w:hAnsi="仿宋_GB2312" w:eastAsia="仿宋_GB2312" w:cs="仿宋_GB2312"/>
          <w:sz w:val="32"/>
          <w:szCs w:val="32"/>
          <w:lang w:val="zh-CN"/>
        </w:rPr>
        <w:t>万元，完成预算</w:t>
      </w:r>
      <w:r>
        <w:rPr>
          <w:rFonts w:hint="eastAsia" w:ascii="仿宋_GB2312" w:hAnsi="仿宋_GB2312" w:eastAsia="仿宋_GB2312" w:cs="仿宋_GB2312"/>
          <w:sz w:val="32"/>
          <w:szCs w:val="32"/>
          <w:lang w:val="en-US" w:eastAsia="zh-CN"/>
        </w:rPr>
        <w:t>91.43</w:t>
      </w:r>
      <w:r>
        <w:rPr>
          <w:rFonts w:hint="eastAsia" w:ascii="仿宋_GB2312" w:hAnsi="仿宋_GB2312" w:eastAsia="仿宋_GB2312" w:cs="仿宋_GB2312"/>
          <w:sz w:val="32"/>
          <w:szCs w:val="32"/>
          <w:lang w:val="zh-CN"/>
        </w:rPr>
        <w:t>%。公务接待费支出决算比202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rPr>
        <w:t>年增加万元，增长</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zh-CN"/>
        </w:rPr>
        <w:t>0%。主要原因是进一步健全内控制度，严控接待费用支出，</w:t>
      </w:r>
      <w:r>
        <w:rPr>
          <w:rFonts w:hint="eastAsia" w:ascii="仿宋_GB2312" w:hAnsi="仿宋_GB2312" w:eastAsia="仿宋_GB2312"/>
          <w:color w:val="auto"/>
          <w:sz w:val="32"/>
          <w:lang w:val="zh-CN"/>
        </w:rPr>
        <w:t>接待人数增加</w:t>
      </w:r>
      <w:r>
        <w:rPr>
          <w:rFonts w:hint="eastAsia" w:ascii="仿宋_GB2312" w:hAnsi="仿宋_GB2312" w:eastAsia="仿宋_GB2312" w:cs="仿宋_GB2312"/>
          <w:sz w:val="32"/>
          <w:szCs w:val="32"/>
          <w:lang w:val="zh-CN"/>
        </w:rPr>
        <w:t>。其中：</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国内公务接待</w:t>
      </w:r>
      <w:r>
        <w:rPr>
          <w:rFonts w:hint="eastAsia" w:ascii="仿宋_GB2312" w:hAnsi="仿宋_GB2312" w:eastAsia="仿宋_GB2312" w:cs="仿宋_GB2312"/>
          <w:sz w:val="32"/>
          <w:szCs w:val="32"/>
        </w:rPr>
        <w:t>支出0.</w:t>
      </w:r>
      <w:r>
        <w:rPr>
          <w:rFonts w:hint="eastAsia" w:ascii="仿宋_GB2312" w:hAnsi="仿宋_GB2312" w:eastAsia="仿宋_GB2312" w:cs="仿宋_GB2312"/>
          <w:sz w:val="32"/>
          <w:szCs w:val="32"/>
          <w:lang w:val="en-US" w:eastAsia="zh-CN"/>
        </w:rPr>
        <w:t>32</w:t>
      </w:r>
      <w:r>
        <w:rPr>
          <w:rFonts w:hint="eastAsia" w:ascii="仿宋_GB2312" w:hAnsi="仿宋_GB2312" w:eastAsia="仿宋_GB2312" w:cs="仿宋_GB2312"/>
          <w:sz w:val="32"/>
          <w:szCs w:val="32"/>
        </w:rPr>
        <w:t>万元，</w:t>
      </w:r>
      <w:r>
        <w:rPr>
          <w:rFonts w:hint="eastAsia" w:ascii="仿宋_GB2312" w:eastAsia="仿宋_GB2312"/>
          <w:sz w:val="32"/>
          <w:szCs w:val="32"/>
        </w:rPr>
        <w:t>主要用于开展文学工作和文学交流活动发生的用餐费等</w:t>
      </w:r>
      <w:r>
        <w:rPr>
          <w:rFonts w:hint="eastAsia" w:ascii="仿宋_GB2312" w:hAnsi="仿宋_GB2312" w:eastAsia="仿宋_GB2312" w:cs="仿宋_GB2312"/>
          <w:sz w:val="32"/>
          <w:szCs w:val="32"/>
        </w:rPr>
        <w:t>。国内公务接待4批次，1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人次（不包括陪同人员），共计支出0.</w:t>
      </w:r>
      <w:r>
        <w:rPr>
          <w:rFonts w:hint="eastAsia" w:ascii="仿宋_GB2312" w:hAnsi="仿宋_GB2312" w:eastAsia="仿宋_GB2312" w:cs="仿宋_GB2312"/>
          <w:sz w:val="32"/>
          <w:szCs w:val="32"/>
          <w:lang w:val="en-US" w:eastAsia="zh-CN"/>
        </w:rPr>
        <w:t>32</w:t>
      </w:r>
      <w:r>
        <w:rPr>
          <w:rFonts w:hint="eastAsia" w:ascii="仿宋_GB2312" w:hAnsi="仿宋_GB2312" w:eastAsia="仿宋_GB2312" w:cs="仿宋_GB2312"/>
          <w:sz w:val="32"/>
          <w:szCs w:val="32"/>
        </w:rPr>
        <w:t>万元，主要用于接待</w:t>
      </w:r>
      <w:r>
        <w:rPr>
          <w:rFonts w:hint="eastAsia" w:ascii="仿宋_GB2312" w:hAnsi="仿宋_GB2312" w:eastAsia="仿宋_GB2312" w:cs="仿宋_GB2312"/>
          <w:sz w:val="32"/>
          <w:szCs w:val="32"/>
          <w:lang w:eastAsia="zh-CN"/>
        </w:rPr>
        <w:t>苍溪县作协一行</w:t>
      </w:r>
      <w:r>
        <w:rPr>
          <w:rFonts w:hint="eastAsia" w:ascii="仿宋_GB2312" w:hAnsi="仿宋_GB2312" w:eastAsia="仿宋_GB2312" w:cs="仿宋_GB2312"/>
          <w:sz w:val="32"/>
          <w:szCs w:val="32"/>
          <w:lang w:val="en-US" w:eastAsia="zh-CN"/>
        </w:rPr>
        <w:t>714</w:t>
      </w:r>
      <w:r>
        <w:rPr>
          <w:rFonts w:hint="eastAsia" w:ascii="仿宋_GB2312" w:hAnsi="仿宋_GB2312" w:eastAsia="仿宋_GB2312" w:cs="仿宋_GB2312"/>
          <w:sz w:val="32"/>
          <w:szCs w:val="32"/>
        </w:rPr>
        <w:t>元；接待</w:t>
      </w:r>
      <w:r>
        <w:rPr>
          <w:rFonts w:hint="eastAsia" w:ascii="仿宋_GB2312" w:hAnsi="仿宋_GB2312" w:eastAsia="仿宋_GB2312" w:cs="仿宋_GB2312"/>
          <w:sz w:val="32"/>
          <w:szCs w:val="32"/>
          <w:lang w:eastAsia="zh-CN"/>
        </w:rPr>
        <w:t>省作协</w:t>
      </w:r>
      <w:r>
        <w:rPr>
          <w:rFonts w:hint="eastAsia" w:ascii="仿宋_GB2312" w:hAnsi="仿宋_GB2312" w:eastAsia="仿宋_GB2312" w:cs="仿宋_GB2312"/>
          <w:sz w:val="32"/>
          <w:szCs w:val="32"/>
        </w:rPr>
        <w:t>一行费用</w:t>
      </w:r>
      <w:r>
        <w:rPr>
          <w:rFonts w:hint="eastAsia" w:ascii="仿宋_GB2312" w:hAnsi="仿宋_GB2312" w:eastAsia="仿宋_GB2312" w:cs="仿宋_GB2312"/>
          <w:sz w:val="32"/>
          <w:szCs w:val="32"/>
          <w:lang w:val="en-US" w:eastAsia="zh-CN"/>
        </w:rPr>
        <w:t>856</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省作协主席一行</w:t>
      </w:r>
      <w:r>
        <w:rPr>
          <w:rFonts w:hint="eastAsia" w:ascii="仿宋_GB2312" w:hAnsi="仿宋_GB2312" w:eastAsia="仿宋_GB2312" w:cs="仿宋_GB2312"/>
          <w:sz w:val="32"/>
          <w:szCs w:val="32"/>
        </w:rPr>
        <w:t>接待费用</w:t>
      </w:r>
      <w:r>
        <w:rPr>
          <w:rFonts w:hint="eastAsia" w:ascii="仿宋_GB2312" w:hAnsi="仿宋_GB2312" w:eastAsia="仿宋_GB2312" w:cs="仿宋_GB2312"/>
          <w:sz w:val="32"/>
          <w:szCs w:val="32"/>
          <w:lang w:val="en-US" w:eastAsia="zh-CN"/>
        </w:rPr>
        <w:t>619</w:t>
      </w:r>
      <w:r>
        <w:rPr>
          <w:rFonts w:hint="eastAsia" w:ascii="仿宋_GB2312" w:hAnsi="仿宋_GB2312" w:eastAsia="仿宋_GB2312" w:cs="仿宋_GB2312"/>
          <w:sz w:val="32"/>
          <w:szCs w:val="32"/>
        </w:rPr>
        <w:t>元；接待</w:t>
      </w:r>
      <w:r>
        <w:rPr>
          <w:rFonts w:hint="eastAsia" w:ascii="仿宋_GB2312" w:hAnsi="仿宋_GB2312" w:eastAsia="仿宋_GB2312" w:cs="仿宋_GB2312"/>
          <w:sz w:val="32"/>
          <w:szCs w:val="32"/>
          <w:lang w:eastAsia="zh-CN"/>
        </w:rPr>
        <w:t>省作协党组副书记一行、支新时代文学时间点授牌</w:t>
      </w:r>
      <w:r>
        <w:rPr>
          <w:rFonts w:hint="eastAsia" w:ascii="仿宋_GB2312" w:hAnsi="仿宋_GB2312" w:eastAsia="仿宋_GB2312" w:cs="仿宋_GB2312"/>
          <w:sz w:val="32"/>
          <w:szCs w:val="32"/>
          <w:lang w:val="en-US" w:eastAsia="zh-CN"/>
        </w:rPr>
        <w:t>1000</w:t>
      </w:r>
      <w:r>
        <w:rPr>
          <w:rFonts w:hint="eastAsia" w:ascii="仿宋_GB2312" w:hAnsi="仿宋_GB2312" w:eastAsia="仿宋_GB2312" w:cs="仿宋_GB2312"/>
          <w:sz w:val="32"/>
          <w:szCs w:val="32"/>
        </w:rPr>
        <w:t>元。</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外事接待支出</w:t>
      </w:r>
      <w:r>
        <w:rPr>
          <w:rFonts w:hint="eastAsia" w:ascii="仿宋_GB2312" w:hAnsi="仿宋_GB2312" w:eastAsia="仿宋_GB2312" w:cs="仿宋_GB2312"/>
          <w:sz w:val="32"/>
          <w:szCs w:val="32"/>
        </w:rPr>
        <w:t>0万元。</w:t>
      </w:r>
    </w:p>
    <w:p>
      <w:pPr>
        <w:keepNext/>
        <w:keepLines/>
        <w:spacing w:line="576" w:lineRule="exact"/>
        <w:ind w:firstLine="640"/>
        <w:outlineLvl w:val="1"/>
        <w:rPr>
          <w:rFonts w:ascii="黑体" w:hAnsi="黑体" w:eastAsia="黑体"/>
          <w:b/>
          <w:sz w:val="32"/>
          <w:lang w:val="zh-CN"/>
        </w:rPr>
      </w:pPr>
      <w:bookmarkStart w:id="52" w:name="_Toc23970"/>
      <w:r>
        <w:rPr>
          <w:rFonts w:hint="eastAsia" w:ascii="黑体" w:hAnsi="黑体" w:eastAsia="黑体"/>
          <w:color w:val="000000"/>
          <w:sz w:val="32"/>
          <w:lang w:val="zh-CN"/>
        </w:rPr>
        <w:t>八、</w:t>
      </w:r>
      <w:r>
        <w:rPr>
          <w:rFonts w:hint="eastAsia" w:ascii="黑体" w:hAnsi="黑体" w:eastAsia="黑体"/>
          <w:sz w:val="32"/>
          <w:lang w:val="zh-CN"/>
        </w:rPr>
        <w:t>政府性基金预算支出决算情况说明</w:t>
      </w:r>
      <w:bookmarkEnd w:id="52"/>
    </w:p>
    <w:p>
      <w:pPr>
        <w:spacing w:line="576" w:lineRule="exact"/>
        <w:ind w:firstLine="640"/>
        <w:rPr>
          <w:rFonts w:ascii="仿宋_GB2312" w:hAnsi="仿宋_GB2312" w:eastAsia="仿宋_GB2312"/>
          <w:color w:val="000000"/>
          <w:sz w:val="32"/>
          <w:lang w:val="zh-CN"/>
        </w:rPr>
      </w:pPr>
      <w:r>
        <w:rPr>
          <w:rFonts w:hint="eastAsia" w:ascii="仿宋_GB2312" w:hAnsi="仿宋_GB2312" w:eastAsia="仿宋_GB2312"/>
          <w:color w:val="000000"/>
          <w:sz w:val="32"/>
          <w:lang w:val="zh-CN"/>
        </w:rPr>
        <w:t>202</w:t>
      </w:r>
      <w:r>
        <w:rPr>
          <w:rFonts w:hint="eastAsia" w:ascii="仿宋_GB2312" w:hAnsi="仿宋_GB2312" w:eastAsia="仿宋_GB2312"/>
          <w:color w:val="000000"/>
          <w:sz w:val="32"/>
          <w:lang w:val="en-US" w:eastAsia="zh-CN"/>
        </w:rPr>
        <w:t>4</w:t>
      </w:r>
      <w:r>
        <w:rPr>
          <w:rFonts w:hint="eastAsia" w:ascii="仿宋_GB2312" w:hAnsi="仿宋_GB2312" w:eastAsia="仿宋_GB2312"/>
          <w:color w:val="000000"/>
          <w:sz w:val="32"/>
          <w:lang w:val="zh-CN"/>
        </w:rPr>
        <w:t>年政府性基金预算拨款支出0万元。</w:t>
      </w:r>
    </w:p>
    <w:p>
      <w:pPr>
        <w:keepNext/>
        <w:keepLines/>
        <w:spacing w:line="576" w:lineRule="exact"/>
        <w:ind w:firstLine="640"/>
        <w:outlineLvl w:val="1"/>
        <w:rPr>
          <w:rFonts w:ascii="黑体" w:hAnsi="黑体" w:eastAsia="黑体"/>
          <w:sz w:val="32"/>
          <w:lang w:val="zh-CN"/>
        </w:rPr>
      </w:pPr>
      <w:bookmarkStart w:id="53" w:name="_Toc25230"/>
      <w:r>
        <w:rPr>
          <w:rFonts w:hint="eastAsia" w:ascii="黑体" w:hAnsi="黑体" w:eastAsia="黑体"/>
          <w:sz w:val="32"/>
          <w:lang w:val="zh-CN"/>
        </w:rPr>
        <w:t>九、国有资本经营预算支出决算情况说明</w:t>
      </w:r>
      <w:bookmarkEnd w:id="53"/>
    </w:p>
    <w:p>
      <w:pPr>
        <w:spacing w:line="576" w:lineRule="exact"/>
        <w:ind w:firstLine="640"/>
        <w:rPr>
          <w:rFonts w:ascii="仿宋_GB2312" w:hAnsi="仿宋_GB2312" w:eastAsia="仿宋_GB2312"/>
          <w:color w:val="000000"/>
          <w:sz w:val="32"/>
          <w:lang w:val="zh-CN"/>
        </w:rPr>
      </w:pPr>
      <w:r>
        <w:rPr>
          <w:rFonts w:hint="eastAsia" w:ascii="仿宋_GB2312" w:hAnsi="仿宋_GB2312" w:eastAsia="仿宋_GB2312"/>
          <w:color w:val="000000"/>
          <w:sz w:val="32"/>
          <w:lang w:val="zh-CN"/>
        </w:rPr>
        <w:t>202</w:t>
      </w:r>
      <w:r>
        <w:rPr>
          <w:rFonts w:hint="eastAsia" w:ascii="仿宋_GB2312" w:hAnsi="仿宋_GB2312" w:eastAsia="仿宋_GB2312"/>
          <w:color w:val="000000"/>
          <w:sz w:val="32"/>
          <w:lang w:val="en-US" w:eastAsia="zh-CN"/>
        </w:rPr>
        <w:t>4</w:t>
      </w:r>
      <w:r>
        <w:rPr>
          <w:rFonts w:hint="eastAsia" w:ascii="仿宋_GB2312" w:hAnsi="仿宋_GB2312" w:eastAsia="仿宋_GB2312"/>
          <w:color w:val="000000"/>
          <w:sz w:val="32"/>
          <w:lang w:val="zh-CN"/>
        </w:rPr>
        <w:t>年国有资本经营预算拨款支出0万元。</w:t>
      </w:r>
    </w:p>
    <w:p>
      <w:pPr>
        <w:keepNext/>
        <w:keepLines/>
        <w:spacing w:line="576" w:lineRule="exact"/>
        <w:ind w:firstLine="640"/>
        <w:outlineLvl w:val="1"/>
        <w:rPr>
          <w:rFonts w:ascii="黑体" w:hAnsi="黑体" w:eastAsia="黑体"/>
          <w:b/>
          <w:sz w:val="32"/>
          <w:lang w:val="zh-CN"/>
        </w:rPr>
      </w:pPr>
      <w:bookmarkStart w:id="54" w:name="_Toc18348"/>
      <w:r>
        <w:rPr>
          <w:rFonts w:hint="eastAsia" w:ascii="黑体" w:hAnsi="黑体" w:eastAsia="黑体"/>
          <w:color w:val="000000"/>
          <w:sz w:val="32"/>
          <w:lang w:val="zh-CN"/>
        </w:rPr>
        <w:t>十</w:t>
      </w:r>
      <w:r>
        <w:rPr>
          <w:rFonts w:hint="eastAsia" w:ascii="黑体" w:hAnsi="黑体" w:eastAsia="黑体"/>
          <w:b/>
          <w:sz w:val="32"/>
          <w:lang w:val="zh-CN"/>
        </w:rPr>
        <w:t>、</w:t>
      </w:r>
      <w:r>
        <w:rPr>
          <w:rFonts w:hint="eastAsia" w:ascii="黑体" w:hAnsi="黑体" w:eastAsia="黑体"/>
          <w:sz w:val="32"/>
          <w:lang w:val="zh-CN"/>
        </w:rPr>
        <w:t>其他重要事项的情况说明</w:t>
      </w:r>
      <w:bookmarkEnd w:id="54"/>
    </w:p>
    <w:p>
      <w:pPr>
        <w:keepNext/>
        <w:keepLines/>
        <w:spacing w:line="576" w:lineRule="exact"/>
        <w:ind w:firstLine="643"/>
        <w:rPr>
          <w:rFonts w:ascii="仿宋_GB2312" w:hAnsi="仿宋_GB2312" w:eastAsia="仿宋_GB2312"/>
          <w:color w:val="000000"/>
          <w:sz w:val="32"/>
          <w:lang w:val="zh-CN"/>
        </w:rPr>
      </w:pPr>
      <w:r>
        <w:rPr>
          <w:rFonts w:hint="eastAsia" w:ascii="仿宋_GB2312" w:hAnsi="仿宋_GB2312" w:eastAsia="仿宋_GB2312"/>
          <w:b/>
          <w:color w:val="000000"/>
          <w:sz w:val="32"/>
          <w:lang w:val="zh-CN"/>
        </w:rPr>
        <w:t>（一）机关运行经费支出情况</w:t>
      </w:r>
    </w:p>
    <w:p>
      <w:pPr>
        <w:spacing w:line="576" w:lineRule="exact"/>
        <w:ind w:firstLine="640"/>
        <w:rPr>
          <w:rFonts w:hint="eastAsia" w:ascii="仿宋_GB2312" w:hAnsi="仿宋_GB2312" w:eastAsia="仿宋_GB2312"/>
          <w:sz w:val="32"/>
          <w:lang w:val="zh-CN"/>
        </w:rPr>
      </w:pPr>
      <w:r>
        <w:rPr>
          <w:rFonts w:hint="eastAsia" w:ascii="仿宋_GB2312" w:hAnsi="仿宋_GB2312" w:eastAsia="仿宋_GB2312"/>
          <w:color w:val="000000"/>
          <w:sz w:val="32"/>
          <w:lang w:val="zh-CN"/>
        </w:rPr>
        <w:t>202</w:t>
      </w:r>
      <w:r>
        <w:rPr>
          <w:rFonts w:hint="eastAsia" w:ascii="仿宋_GB2312" w:hAnsi="仿宋_GB2312" w:eastAsia="仿宋_GB2312"/>
          <w:color w:val="000000"/>
          <w:sz w:val="32"/>
          <w:lang w:val="en-US" w:eastAsia="zh-CN"/>
        </w:rPr>
        <w:t>4</w:t>
      </w:r>
      <w:r>
        <w:rPr>
          <w:rFonts w:hint="eastAsia" w:ascii="仿宋_GB2312" w:hAnsi="仿宋_GB2312" w:eastAsia="仿宋_GB2312"/>
          <w:color w:val="000000"/>
          <w:sz w:val="32"/>
          <w:lang w:val="zh-CN"/>
        </w:rPr>
        <w:t>年，广元市作家协会机关运行经费支出</w:t>
      </w:r>
      <w:r>
        <w:rPr>
          <w:rFonts w:hint="eastAsia" w:ascii="仿宋_GB2312" w:hAnsi="仿宋_GB2312" w:eastAsia="仿宋_GB2312"/>
          <w:color w:val="000000"/>
          <w:sz w:val="32"/>
          <w:lang w:val="en-US" w:eastAsia="zh-CN"/>
        </w:rPr>
        <w:t>14.23</w:t>
      </w:r>
      <w:r>
        <w:rPr>
          <w:rFonts w:hint="eastAsia" w:ascii="仿宋_GB2312" w:hAnsi="仿宋_GB2312" w:eastAsia="仿宋_GB2312"/>
          <w:color w:val="000000"/>
          <w:sz w:val="32"/>
          <w:lang w:val="zh-CN"/>
        </w:rPr>
        <w:t>万元，比202</w:t>
      </w:r>
      <w:r>
        <w:rPr>
          <w:rFonts w:hint="eastAsia" w:ascii="仿宋_GB2312" w:hAnsi="仿宋_GB2312" w:eastAsia="仿宋_GB2312"/>
          <w:color w:val="000000"/>
          <w:sz w:val="32"/>
          <w:lang w:val="en-US" w:eastAsia="zh-CN"/>
        </w:rPr>
        <w:t>3</w:t>
      </w:r>
      <w:r>
        <w:rPr>
          <w:rFonts w:hint="eastAsia" w:ascii="仿宋_GB2312" w:hAnsi="仿宋_GB2312" w:eastAsia="仿宋_GB2312"/>
          <w:color w:val="000000"/>
          <w:sz w:val="32"/>
          <w:lang w:val="zh-CN"/>
        </w:rPr>
        <w:t>年减少</w:t>
      </w:r>
      <w:r>
        <w:rPr>
          <w:rFonts w:hint="eastAsia" w:ascii="仿宋_GB2312" w:hAnsi="仿宋_GB2312" w:eastAsia="仿宋_GB2312"/>
          <w:color w:val="000000"/>
          <w:sz w:val="32"/>
          <w:lang w:val="en-US" w:eastAsia="zh-CN"/>
        </w:rPr>
        <w:t>1.34</w:t>
      </w:r>
      <w:r>
        <w:rPr>
          <w:rFonts w:hint="eastAsia" w:ascii="仿宋_GB2312" w:hAnsi="仿宋_GB2312" w:eastAsia="仿宋_GB2312"/>
          <w:color w:val="000000"/>
          <w:sz w:val="32"/>
          <w:lang w:val="zh-CN"/>
        </w:rPr>
        <w:t>万元，下降</w:t>
      </w:r>
      <w:r>
        <w:rPr>
          <w:rFonts w:hint="eastAsia" w:ascii="仿宋_GB2312" w:hAnsi="仿宋_GB2312" w:eastAsia="仿宋_GB2312"/>
          <w:sz w:val="32"/>
          <w:lang w:val="en-US" w:eastAsia="zh-CN"/>
        </w:rPr>
        <w:t>8.61</w:t>
      </w:r>
      <w:r>
        <w:rPr>
          <w:rFonts w:hint="eastAsia" w:ascii="仿宋_GB2312" w:hAnsi="仿宋_GB2312" w:eastAsia="仿宋_GB2312"/>
          <w:sz w:val="32"/>
          <w:lang w:val="zh-CN"/>
        </w:rPr>
        <w:t>%。主要原因是年度人员调动所致。</w:t>
      </w:r>
    </w:p>
    <w:p>
      <w:pPr>
        <w:keepNext/>
        <w:keepLines/>
        <w:spacing w:line="576" w:lineRule="exact"/>
        <w:ind w:firstLine="643"/>
        <w:rPr>
          <w:rFonts w:ascii="仿宋_GB2312" w:hAnsi="仿宋_GB2312" w:eastAsia="仿宋_GB2312"/>
          <w:b/>
          <w:color w:val="000000"/>
          <w:sz w:val="32"/>
          <w:lang w:val="zh-CN"/>
        </w:rPr>
      </w:pPr>
      <w:r>
        <w:rPr>
          <w:rFonts w:hint="eastAsia" w:ascii="仿宋_GB2312" w:hAnsi="仿宋_GB2312" w:eastAsia="仿宋_GB2312"/>
          <w:b/>
          <w:color w:val="000000"/>
          <w:sz w:val="32"/>
          <w:lang w:val="zh-CN"/>
        </w:rPr>
        <w:t>（二）政府采购支出情况</w:t>
      </w:r>
    </w:p>
    <w:p>
      <w:pPr>
        <w:spacing w:line="576" w:lineRule="exact"/>
        <w:ind w:firstLine="640"/>
        <w:rPr>
          <w:rFonts w:ascii="仿宋_GB2312" w:hAnsi="仿宋_GB2312" w:eastAsia="仿宋_GB2312"/>
          <w:color w:val="000000"/>
          <w:sz w:val="32"/>
          <w:lang w:val="zh-CN"/>
        </w:rPr>
      </w:pPr>
      <w:r>
        <w:rPr>
          <w:rFonts w:hint="eastAsia" w:ascii="仿宋_GB2312" w:hAnsi="仿宋_GB2312" w:eastAsia="仿宋_GB2312"/>
          <w:color w:val="000000"/>
          <w:sz w:val="32"/>
          <w:lang w:val="zh-CN"/>
        </w:rPr>
        <w:t>202</w:t>
      </w:r>
      <w:r>
        <w:rPr>
          <w:rFonts w:hint="eastAsia" w:ascii="仿宋_GB2312" w:hAnsi="仿宋_GB2312" w:eastAsia="仿宋_GB2312"/>
          <w:color w:val="000000"/>
          <w:sz w:val="32"/>
          <w:lang w:val="en-US" w:eastAsia="zh-CN"/>
        </w:rPr>
        <w:t>4</w:t>
      </w:r>
      <w:r>
        <w:rPr>
          <w:rFonts w:hint="eastAsia" w:ascii="仿宋_GB2312" w:hAnsi="仿宋_GB2312" w:eastAsia="仿宋_GB2312"/>
          <w:color w:val="000000"/>
          <w:sz w:val="32"/>
          <w:lang w:val="zh-CN"/>
        </w:rPr>
        <w:t>年，广元市作家协会政府采购支出总额0万元。</w:t>
      </w:r>
    </w:p>
    <w:p>
      <w:pPr>
        <w:keepNext/>
        <w:keepLines/>
        <w:spacing w:line="576" w:lineRule="exact"/>
        <w:ind w:firstLine="643"/>
        <w:rPr>
          <w:rFonts w:ascii="仿宋_GB2312" w:hAnsi="仿宋_GB2312" w:eastAsia="仿宋_GB2312"/>
          <w:b/>
          <w:color w:val="000000"/>
          <w:sz w:val="32"/>
          <w:lang w:val="zh-CN"/>
        </w:rPr>
      </w:pPr>
      <w:r>
        <w:rPr>
          <w:rFonts w:hint="eastAsia" w:ascii="仿宋_GB2312" w:hAnsi="仿宋_GB2312" w:eastAsia="仿宋_GB2312"/>
          <w:b/>
          <w:color w:val="000000"/>
          <w:sz w:val="32"/>
          <w:lang w:val="zh-CN"/>
        </w:rPr>
        <w:t>（三）国有资产占有使用情况</w:t>
      </w:r>
    </w:p>
    <w:p>
      <w:pPr>
        <w:spacing w:line="576" w:lineRule="exact"/>
        <w:ind w:firstLine="640"/>
        <w:rPr>
          <w:rFonts w:ascii="仿宋_GB2312" w:hAnsi="仿宋_GB2312" w:eastAsia="仿宋_GB2312"/>
          <w:color w:val="000000"/>
          <w:sz w:val="32"/>
          <w:lang w:val="zh-CN"/>
        </w:rPr>
      </w:pPr>
      <w:r>
        <w:rPr>
          <w:rFonts w:hint="eastAsia" w:ascii="仿宋_GB2312" w:hAnsi="仿宋_GB2312" w:eastAsia="仿宋_GB2312"/>
          <w:color w:val="000000"/>
          <w:sz w:val="32"/>
          <w:lang w:val="zh-CN"/>
        </w:rPr>
        <w:t>截至202</w:t>
      </w:r>
      <w:r>
        <w:rPr>
          <w:rFonts w:hint="eastAsia" w:ascii="仿宋_GB2312" w:hAnsi="仿宋_GB2312" w:eastAsia="仿宋_GB2312"/>
          <w:color w:val="000000"/>
          <w:sz w:val="32"/>
          <w:lang w:val="en-US" w:eastAsia="zh-CN"/>
        </w:rPr>
        <w:t>4</w:t>
      </w:r>
      <w:r>
        <w:rPr>
          <w:rFonts w:hint="eastAsia" w:ascii="仿宋_GB2312" w:hAnsi="仿宋_GB2312" w:eastAsia="仿宋_GB2312"/>
          <w:color w:val="000000"/>
          <w:sz w:val="32"/>
          <w:lang w:val="zh-CN"/>
        </w:rPr>
        <w:t>年12月31日，广元市作家协会共有车辆0辆。单价100万元（含）以上设备0台（套)。</w:t>
      </w:r>
    </w:p>
    <w:p>
      <w:pPr>
        <w:keepNext/>
        <w:keepLines/>
        <w:spacing w:line="576" w:lineRule="exact"/>
        <w:ind w:firstLine="643"/>
        <w:rPr>
          <w:rFonts w:ascii="仿宋_GB2312" w:hAnsi="仿宋_GB2312" w:eastAsia="仿宋_GB2312"/>
          <w:b/>
          <w:color w:val="000000"/>
          <w:sz w:val="32"/>
          <w:lang w:val="zh-CN"/>
        </w:rPr>
      </w:pPr>
      <w:r>
        <w:rPr>
          <w:rFonts w:hint="eastAsia" w:ascii="仿宋_GB2312" w:hAnsi="仿宋_GB2312" w:eastAsia="仿宋_GB2312"/>
          <w:b/>
          <w:color w:val="000000"/>
          <w:sz w:val="32"/>
          <w:lang w:val="zh-CN"/>
        </w:rPr>
        <w:t>（四）预算绩效管理情况。</w:t>
      </w:r>
    </w:p>
    <w:p>
      <w:pPr>
        <w:spacing w:line="576" w:lineRule="exact"/>
        <w:ind w:firstLine="643"/>
        <w:rPr>
          <w:rFonts w:ascii="仿宋_GB2312" w:hAnsi="仿宋_GB2312" w:eastAsia="仿宋_GB2312"/>
          <w:sz w:val="32"/>
        </w:rPr>
      </w:pPr>
      <w:r>
        <w:rPr>
          <w:rFonts w:hint="eastAsia" w:ascii="仿宋_GB2312" w:hAnsi="仿宋_GB2312" w:eastAsia="仿宋_GB2312"/>
          <w:sz w:val="32"/>
        </w:rPr>
        <w:t>根据预算绩效管理要求，本单位在202</w:t>
      </w:r>
      <w:r>
        <w:rPr>
          <w:rFonts w:hint="eastAsia" w:ascii="宋体" w:hAnsi="宋体" w:eastAsia="仿宋_GB2312"/>
          <w:sz w:val="32"/>
          <w:lang w:val="en-US" w:eastAsia="zh-CN"/>
        </w:rPr>
        <w:t>4</w:t>
      </w:r>
      <w:r>
        <w:rPr>
          <w:rFonts w:hint="eastAsia" w:ascii="仿宋_GB2312" w:hAnsi="仿宋_GB2312" w:eastAsia="仿宋_GB2312"/>
          <w:sz w:val="32"/>
        </w:rPr>
        <w:t>年度预算编制阶段，对</w:t>
      </w:r>
      <w:r>
        <w:rPr>
          <w:rFonts w:hint="eastAsia" w:ascii="仿宋_GB2312" w:hAnsi="仿宋_GB2312" w:eastAsia="仿宋_GB2312"/>
          <w:sz w:val="32"/>
          <w:lang w:val="en-US" w:eastAsia="zh-CN"/>
        </w:rPr>
        <w:t>7</w:t>
      </w:r>
      <w:r>
        <w:rPr>
          <w:rFonts w:hint="eastAsia" w:ascii="仿宋_GB2312" w:hAnsi="仿宋_GB2312" w:eastAsia="仿宋_GB2312"/>
          <w:sz w:val="32"/>
        </w:rPr>
        <w:t>个项目编制了绩效目标，预算执行过程中，</w:t>
      </w:r>
      <w:r>
        <w:rPr>
          <w:rFonts w:hint="eastAsia" w:ascii="仿宋_GB2312" w:hAnsi="仿宋_GB2312" w:eastAsia="仿宋_GB2312"/>
          <w:sz w:val="32"/>
          <w:lang w:eastAsia="zh-CN"/>
        </w:rPr>
        <w:t>对</w:t>
      </w:r>
      <w:r>
        <w:rPr>
          <w:rFonts w:hint="eastAsia" w:ascii="仿宋_GB2312" w:hAnsi="仿宋_GB2312" w:eastAsia="仿宋_GB2312"/>
          <w:sz w:val="32"/>
        </w:rPr>
        <w:t>1</w:t>
      </w:r>
      <w:r>
        <w:rPr>
          <w:rFonts w:hint="eastAsia" w:ascii="仿宋_GB2312" w:hAnsi="仿宋_GB2312" w:eastAsia="仿宋_GB2312"/>
          <w:sz w:val="32"/>
          <w:lang w:val="en-US" w:eastAsia="zh-CN"/>
        </w:rPr>
        <w:t>6</w:t>
      </w:r>
      <w:r>
        <w:rPr>
          <w:rFonts w:hint="eastAsia" w:ascii="仿宋_GB2312" w:hAnsi="仿宋_GB2312" w:eastAsia="仿宋_GB2312"/>
          <w:sz w:val="32"/>
        </w:rPr>
        <w:t>个项目开展绩效监控，组织对1</w:t>
      </w:r>
      <w:r>
        <w:rPr>
          <w:rFonts w:hint="eastAsia" w:ascii="仿宋_GB2312" w:hAnsi="仿宋_GB2312" w:eastAsia="仿宋_GB2312"/>
          <w:sz w:val="32"/>
          <w:lang w:val="en-US" w:eastAsia="zh-CN"/>
        </w:rPr>
        <w:t>6</w:t>
      </w:r>
      <w:r>
        <w:rPr>
          <w:rFonts w:hint="eastAsia" w:ascii="仿宋_GB2312" w:hAnsi="仿宋_GB2312" w:eastAsia="仿宋_GB2312"/>
          <w:sz w:val="32"/>
        </w:rPr>
        <w:t>个项目开展绩效自评，绩效自评表详见第四部分附件。</w:t>
      </w:r>
    </w:p>
    <w:p>
      <w:pPr>
        <w:widowControl/>
        <w:jc w:val="left"/>
        <w:rPr>
          <w:rFonts w:ascii="仿宋_GB2312" w:eastAsia="仿宋_GB2312"/>
          <w:b/>
          <w:sz w:val="32"/>
          <w:szCs w:val="32"/>
        </w:rPr>
      </w:pPr>
      <w:r>
        <w:rPr>
          <w:rFonts w:ascii="仿宋_GB2312" w:eastAsia="仿宋_GB2312"/>
          <w:b/>
          <w:sz w:val="32"/>
          <w:szCs w:val="32"/>
        </w:rPr>
        <w:br w:type="page"/>
      </w:r>
    </w:p>
    <w:p>
      <w:pPr>
        <w:numPr>
          <w:ilvl w:val="0"/>
          <w:numId w:val="2"/>
        </w:numPr>
        <w:spacing w:line="600" w:lineRule="exact"/>
        <w:ind w:firstLine="660" w:firstLineChars="150"/>
        <w:jc w:val="center"/>
        <w:outlineLvl w:val="0"/>
        <w:rPr>
          <w:rStyle w:val="17"/>
          <w:rFonts w:ascii="黑体" w:hAnsi="黑体" w:eastAsia="黑体"/>
          <w:b w:val="0"/>
        </w:rPr>
      </w:pPr>
      <w:bookmarkStart w:id="55" w:name="_Toc23584"/>
      <w:bookmarkStart w:id="56" w:name="_Toc15396613"/>
      <w:bookmarkStart w:id="57" w:name="_Toc15377225"/>
      <w:r>
        <w:rPr>
          <w:rFonts w:hint="eastAsia" w:ascii="黑体" w:hAnsi="黑体" w:eastAsia="黑体"/>
          <w:sz w:val="44"/>
          <w:szCs w:val="44"/>
        </w:rPr>
        <w:t>名</w:t>
      </w:r>
      <w:r>
        <w:rPr>
          <w:rStyle w:val="17"/>
          <w:rFonts w:hint="eastAsia" w:ascii="黑体" w:hAnsi="黑体" w:eastAsia="黑体"/>
          <w:b w:val="0"/>
        </w:rPr>
        <w:t>词解释</w:t>
      </w:r>
      <w:bookmarkEnd w:id="55"/>
      <w:bookmarkEnd w:id="56"/>
      <w:bookmarkEnd w:id="57"/>
    </w:p>
    <w:p>
      <w:pPr>
        <w:spacing w:line="600" w:lineRule="exact"/>
        <w:jc w:val="left"/>
        <w:rPr>
          <w:rFonts w:ascii="宋体"/>
          <w:b/>
          <w:sz w:val="44"/>
          <w:szCs w:val="44"/>
        </w:rPr>
      </w:pPr>
    </w:p>
    <w:p>
      <w:pPr>
        <w:pStyle w:val="27"/>
        <w:spacing w:line="560" w:lineRule="exact"/>
        <w:ind w:firstLine="640" w:firstLineChars="200"/>
        <w:rPr>
          <w:rFonts w:hint="eastAsia"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其他收入：指单位取得的除上述收入以外的各项收入。主要是从非同级财政部门取得的预算资金等。</w:t>
      </w:r>
    </w:p>
    <w:p>
      <w:pPr>
        <w:pStyle w:val="2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w:t>
      </w:r>
      <w:r>
        <w:rPr>
          <w:rFonts w:ascii="仿宋_GB2312" w:eastAsia="仿宋_GB2312"/>
          <w:color w:val="auto"/>
          <w:sz w:val="32"/>
          <w:szCs w:val="32"/>
        </w:rPr>
        <w:t>.</w:t>
      </w:r>
      <w:r>
        <w:rPr>
          <w:rFonts w:hint="eastAsia" w:ascii="仿宋_GB2312" w:eastAsia="仿宋_GB2312"/>
          <w:color w:val="auto"/>
          <w:sz w:val="32"/>
          <w:szCs w:val="32"/>
        </w:rPr>
        <w:t>年初结转和结余：指以前年度尚未完成、结转到本年按有关规定继续使用的资金。</w:t>
      </w:r>
    </w:p>
    <w:p>
      <w:pPr>
        <w:pStyle w:val="2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3.年末结转和结余：指单位按有关规定结转到下年或以后年度继续使用的资金。</w:t>
      </w:r>
    </w:p>
    <w:p>
      <w:pPr>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4.一般公共服务（类）群众团体事务（款）行政运行（项）：反映行政单位（包括实行公务员管理的事业单位）的基本支出。</w:t>
      </w:r>
    </w:p>
    <w:p>
      <w:pPr>
        <w:ind w:firstLine="640" w:firstLineChars="200"/>
        <w:rPr>
          <w:rFonts w:eastAsia="仿宋_GB2312"/>
        </w:rPr>
      </w:pPr>
      <w:r>
        <w:rPr>
          <w:rFonts w:ascii="仿宋_GB2312" w:hAnsi="Calibri" w:eastAsia="仿宋_GB2312" w:cs="仿宋"/>
          <w:kern w:val="0"/>
          <w:sz w:val="32"/>
          <w:szCs w:val="32"/>
        </w:rPr>
        <w:t>5.</w:t>
      </w:r>
      <w:r>
        <w:rPr>
          <w:rFonts w:hint="eastAsia" w:ascii="仿宋_GB2312" w:hAnsi="Calibri" w:eastAsia="仿宋_GB2312" w:cs="仿宋"/>
          <w:kern w:val="0"/>
          <w:sz w:val="32"/>
          <w:szCs w:val="32"/>
        </w:rPr>
        <w:t>一般公共服务（类）群众团体事务（款）一般行政管理事务（项）：</w:t>
      </w:r>
      <w:r>
        <w:rPr>
          <w:rFonts w:hint="eastAsia" w:ascii="仿宋_GB2312" w:eastAsia="仿宋_GB2312"/>
          <w:sz w:val="32"/>
          <w:szCs w:val="32"/>
          <w:lang w:eastAsia="zh-CN"/>
        </w:rPr>
        <w:t>反映行政单位（包括实行公务员管理的事业单位）未单独设置项级科目的其他项目支出</w:t>
      </w:r>
      <w:r>
        <w:rPr>
          <w:rFonts w:hint="eastAsia" w:ascii="仿宋_GB2312" w:eastAsia="仿宋_GB2312"/>
          <w:sz w:val="32"/>
          <w:szCs w:val="32"/>
        </w:rPr>
        <w:t>。</w:t>
      </w:r>
    </w:p>
    <w:p>
      <w:pPr>
        <w:ind w:firstLine="640" w:firstLineChars="200"/>
        <w:rPr>
          <w:rFonts w:ascii="仿宋_GB2312" w:hAnsi="Calibri" w:eastAsia="仿宋_GB2312" w:cs="仿宋"/>
          <w:kern w:val="0"/>
          <w:sz w:val="32"/>
          <w:szCs w:val="32"/>
        </w:rPr>
      </w:pPr>
      <w:r>
        <w:rPr>
          <w:rFonts w:ascii="仿宋_GB2312" w:hAnsi="Calibri" w:eastAsia="仿宋_GB2312" w:cs="仿宋"/>
          <w:kern w:val="0"/>
          <w:sz w:val="32"/>
          <w:szCs w:val="32"/>
        </w:rPr>
        <w:t>6</w:t>
      </w:r>
      <w:r>
        <w:rPr>
          <w:rFonts w:hint="eastAsia" w:ascii="仿宋_GB2312" w:hAnsi="Calibri" w:eastAsia="仿宋_GB2312" w:cs="仿宋"/>
          <w:kern w:val="0"/>
          <w:sz w:val="32"/>
          <w:szCs w:val="32"/>
        </w:rPr>
        <w:t>. 文化旅游体育与传媒支出（类）文化和旅游（款）文化活动（项）：反映举办大型文化艺术活动的支出。</w:t>
      </w:r>
    </w:p>
    <w:p>
      <w:pPr>
        <w:ind w:firstLine="640" w:firstLineChars="200"/>
        <w:rPr>
          <w:rFonts w:hint="eastAsia" w:ascii="仿宋_GB2312" w:hAnsi="Calibri" w:eastAsia="仿宋_GB2312" w:cs="仿宋"/>
          <w:kern w:val="0"/>
          <w:sz w:val="32"/>
          <w:szCs w:val="32"/>
        </w:rPr>
      </w:pPr>
      <w:r>
        <w:rPr>
          <w:rFonts w:hint="eastAsia" w:ascii="仿宋_GB2312" w:hAnsi="Calibri" w:eastAsia="仿宋_GB2312" w:cs="仿宋"/>
          <w:kern w:val="0"/>
          <w:sz w:val="32"/>
          <w:szCs w:val="32"/>
        </w:rPr>
        <w:t xml:space="preserve">7.文化旅游体育与传媒支出（类）文化和旅游（款）    </w:t>
      </w:r>
      <w:r>
        <w:rPr>
          <w:rFonts w:hint="eastAsia" w:ascii="仿宋_GB2312" w:hAnsi="仿宋_GB2312" w:eastAsia="仿宋_GB2312" w:cs="仿宋_GB2312"/>
          <w:bCs/>
          <w:sz w:val="32"/>
          <w:szCs w:val="32"/>
        </w:rPr>
        <w:t>文化创作与保护</w:t>
      </w:r>
      <w:r>
        <w:rPr>
          <w:rFonts w:hint="eastAsia" w:ascii="仿宋_GB2312" w:hAnsi="Calibri" w:eastAsia="仿宋_GB2312" w:cs="仿宋"/>
          <w:kern w:val="0"/>
          <w:sz w:val="32"/>
          <w:szCs w:val="32"/>
        </w:rPr>
        <w:t>（项）：</w:t>
      </w:r>
      <w:r>
        <w:rPr>
          <w:rFonts w:hint="eastAsia" w:ascii="仿宋_GB2312" w:hAnsi="Calibri" w:eastAsia="仿宋_GB2312" w:cs="仿宋"/>
          <w:kern w:val="0"/>
          <w:sz w:val="32"/>
          <w:szCs w:val="32"/>
          <w:lang w:eastAsia="zh-CN"/>
        </w:rPr>
        <w:t>反映鼓励文学、艺术创作和优秀传统文化保护方面的支出</w:t>
      </w:r>
      <w:r>
        <w:rPr>
          <w:rFonts w:hint="eastAsia" w:ascii="仿宋_GB2312" w:hAnsi="Calibri" w:eastAsia="仿宋_GB2312" w:cs="仿宋"/>
          <w:kern w:val="0"/>
          <w:sz w:val="32"/>
          <w:szCs w:val="32"/>
        </w:rPr>
        <w:t>。</w:t>
      </w:r>
    </w:p>
    <w:p>
      <w:pPr>
        <w:spacing w:line="576" w:lineRule="exact"/>
        <w:ind w:firstLine="640" w:firstLineChars="200"/>
        <w:rPr>
          <w:rFonts w:ascii="仿宋_GB2312" w:hAnsi="Calibri" w:eastAsia="仿宋_GB2312"/>
          <w:kern w:val="0"/>
          <w:sz w:val="32"/>
          <w:szCs w:val="32"/>
        </w:rPr>
      </w:pPr>
      <w:r>
        <w:rPr>
          <w:rFonts w:hint="eastAsia" w:ascii="仿宋_GB2312" w:hAnsi="Calibri" w:eastAsia="仿宋_GB2312" w:cs="仿宋"/>
          <w:kern w:val="0"/>
          <w:sz w:val="32"/>
          <w:szCs w:val="32"/>
        </w:rPr>
        <w:t>8.社会保障和就业（类）社会保障和就业支出（款）机关事业单位基本养老保险缴费支出（项）：指机关事业单位实施养老保险制度由单</w:t>
      </w:r>
      <w:r>
        <w:rPr>
          <w:rFonts w:hint="eastAsia" w:ascii="仿宋_GB2312" w:hAnsi="Calibri" w:eastAsia="仿宋_GB2312" w:cs="仿宋_GB2312"/>
          <w:kern w:val="0"/>
          <w:sz w:val="32"/>
          <w:szCs w:val="32"/>
        </w:rPr>
        <w:t>位缴纳的基本养老保险费支出。</w:t>
      </w:r>
    </w:p>
    <w:p>
      <w:pPr>
        <w:pStyle w:val="27"/>
        <w:numPr>
          <w:ilvl w:val="0"/>
          <w:numId w:val="0"/>
        </w:numPr>
        <w:spacing w:line="560" w:lineRule="exact"/>
        <w:ind w:firstLine="640" w:firstLineChars="200"/>
        <w:rPr>
          <w:rFonts w:ascii="仿宋_GB2312" w:hAnsi="仿宋" w:eastAsia="仿宋_GB2312"/>
          <w:b/>
          <w:sz w:val="32"/>
          <w:szCs w:val="32"/>
        </w:rPr>
      </w:pPr>
      <w:r>
        <w:rPr>
          <w:rFonts w:hint="eastAsia" w:ascii="仿宋_GB2312" w:hAnsi="Calibri" w:eastAsia="仿宋_GB2312" w:cs="仿宋"/>
          <w:kern w:val="0"/>
          <w:sz w:val="32"/>
          <w:szCs w:val="32"/>
        </w:rPr>
        <w:t>9.社会保障和就业（类）其他社会保障和就业支出（款） 其他社会保障和就业支出（项）</w:t>
      </w:r>
      <w:r>
        <w:rPr>
          <w:rFonts w:hint="eastAsia" w:ascii="仿宋_GB2312" w:eastAsia="仿宋_GB2312" w:cs="仿宋"/>
          <w:kern w:val="0"/>
          <w:sz w:val="32"/>
          <w:szCs w:val="32"/>
          <w:lang w:eastAsia="zh-CN"/>
        </w:rPr>
        <w:t>：</w:t>
      </w:r>
      <w:r>
        <w:rPr>
          <w:rStyle w:val="15"/>
          <w:rFonts w:hint="eastAsia" w:ascii="仿宋_GB2312" w:hAnsi="楷体" w:eastAsia="仿宋_GB2312"/>
          <w:b w:val="0"/>
          <w:bCs/>
          <w:sz w:val="32"/>
          <w:szCs w:val="32"/>
        </w:rPr>
        <w:t>反映除上述项目以外其他用于社会保障和就业方面的支出。</w:t>
      </w:r>
    </w:p>
    <w:p>
      <w:pPr>
        <w:spacing w:line="576" w:lineRule="exact"/>
        <w:ind w:firstLine="640" w:firstLineChars="200"/>
        <w:rPr>
          <w:rFonts w:ascii="仿宋_GB2312" w:hAnsi="Calibri" w:eastAsia="仿宋_GB2312"/>
          <w:kern w:val="0"/>
          <w:sz w:val="32"/>
          <w:szCs w:val="32"/>
        </w:rPr>
      </w:pPr>
      <w:r>
        <w:rPr>
          <w:rFonts w:hint="eastAsia" w:ascii="仿宋_GB2312" w:hAnsi="Calibri" w:eastAsia="仿宋_GB2312" w:cs="仿宋_GB2312"/>
          <w:kern w:val="0"/>
          <w:sz w:val="32"/>
          <w:szCs w:val="32"/>
        </w:rPr>
        <w:t>10</w:t>
      </w:r>
      <w:r>
        <w:rPr>
          <w:rFonts w:ascii="仿宋_GB2312" w:hAnsi="Calibri" w:eastAsia="仿宋_GB2312" w:cs="仿宋_GB2312"/>
          <w:kern w:val="0"/>
          <w:sz w:val="32"/>
          <w:szCs w:val="32"/>
        </w:rPr>
        <w:t>.</w:t>
      </w:r>
      <w:r>
        <w:rPr>
          <w:rFonts w:hint="eastAsia" w:ascii="仿宋_GB2312" w:hAnsi="Calibri" w:eastAsia="仿宋_GB2312" w:cs="仿宋_GB2312"/>
          <w:kern w:val="0"/>
          <w:sz w:val="32"/>
          <w:szCs w:val="32"/>
        </w:rPr>
        <w:t>卫生健康支出（类）行政事业单位医疗（款）行政单位医疗（项）</w:t>
      </w:r>
      <w:r>
        <w:rPr>
          <w:rFonts w:hint="eastAsia" w:ascii="仿宋_GB2312" w:hAnsi="Calibri" w:eastAsia="仿宋_GB2312" w:cs="仿宋_GB2312"/>
          <w:kern w:val="0"/>
          <w:sz w:val="32"/>
          <w:szCs w:val="32"/>
          <w:lang w:eastAsia="zh-CN"/>
        </w:rPr>
        <w:t>：</w:t>
      </w:r>
      <w:r>
        <w:rPr>
          <w:rFonts w:hint="eastAsia" w:ascii="仿宋_GB2312" w:hAnsi="Calibri" w:eastAsia="仿宋_GB2312" w:cs="仿宋_GB2312"/>
          <w:kern w:val="0"/>
          <w:sz w:val="32"/>
          <w:szCs w:val="32"/>
        </w:rPr>
        <w:t>指财政部门集中安排的行政单位基本医疗保险缴费经费。</w:t>
      </w:r>
    </w:p>
    <w:p>
      <w:pPr>
        <w:spacing w:line="576" w:lineRule="exact"/>
        <w:ind w:firstLine="640"/>
        <w:rPr>
          <w:rFonts w:ascii="仿宋_GB2312" w:hAnsi="Calibri" w:eastAsia="仿宋_GB2312"/>
          <w:kern w:val="0"/>
          <w:sz w:val="32"/>
          <w:szCs w:val="32"/>
        </w:rPr>
      </w:pPr>
      <w:r>
        <w:rPr>
          <w:rFonts w:ascii="仿宋_GB2312" w:hAnsi="Calibri" w:eastAsia="仿宋_GB2312" w:cs="仿宋_GB2312"/>
          <w:kern w:val="0"/>
          <w:sz w:val="32"/>
          <w:szCs w:val="32"/>
        </w:rPr>
        <w:t>1</w:t>
      </w:r>
      <w:r>
        <w:rPr>
          <w:rFonts w:hint="eastAsia" w:ascii="仿宋_GB2312" w:hAnsi="Calibri" w:eastAsia="仿宋_GB2312" w:cs="仿宋_GB2312"/>
          <w:kern w:val="0"/>
          <w:sz w:val="32"/>
          <w:szCs w:val="32"/>
        </w:rPr>
        <w:t>1</w:t>
      </w:r>
      <w:r>
        <w:rPr>
          <w:rFonts w:ascii="仿宋_GB2312" w:hAnsi="Calibri" w:eastAsia="仿宋_GB2312" w:cs="仿宋_GB2312"/>
          <w:kern w:val="0"/>
          <w:sz w:val="32"/>
          <w:szCs w:val="32"/>
        </w:rPr>
        <w:t>.</w:t>
      </w:r>
      <w:r>
        <w:rPr>
          <w:rFonts w:hint="eastAsia" w:ascii="仿宋_GB2312" w:hAnsi="Calibri" w:eastAsia="仿宋_GB2312" w:cs="仿宋_GB2312"/>
          <w:kern w:val="0"/>
          <w:sz w:val="32"/>
          <w:szCs w:val="32"/>
        </w:rPr>
        <w:t>住房保障支出（类）住房改革支出（款）住房公积金（项）</w:t>
      </w:r>
      <w:r>
        <w:rPr>
          <w:rFonts w:hint="eastAsia" w:ascii="仿宋_GB2312" w:hAnsi="Calibri" w:eastAsia="仿宋_GB2312" w:cs="仿宋_GB2312"/>
          <w:kern w:val="0"/>
          <w:sz w:val="32"/>
          <w:szCs w:val="32"/>
          <w:lang w:eastAsia="zh-CN"/>
        </w:rPr>
        <w:t>：</w:t>
      </w:r>
      <w:r>
        <w:rPr>
          <w:rFonts w:hint="eastAsia" w:ascii="仿宋_GB2312" w:hAnsi="Calibri" w:eastAsia="仿宋_GB2312" w:cs="仿宋_GB2312"/>
          <w:kern w:val="0"/>
          <w:sz w:val="32"/>
          <w:szCs w:val="32"/>
        </w:rPr>
        <w:t>指行政事业单位按人力资源和社会保障部、财政部规定的基本工资和津贴补贴以及规定比例为职工缴纳的住房公积金。</w:t>
      </w:r>
    </w:p>
    <w:p>
      <w:pPr>
        <w:ind w:firstLine="640" w:firstLineChars="200"/>
        <w:rPr>
          <w:rFonts w:ascii="仿宋_GB2312" w:eastAsia="仿宋_GB2312"/>
          <w:sz w:val="32"/>
          <w:szCs w:val="32"/>
        </w:rPr>
      </w:pPr>
      <w:r>
        <w:rPr>
          <w:rFonts w:hint="eastAsia" w:ascii="仿宋_GB2312" w:eastAsia="仿宋_GB2312"/>
          <w:sz w:val="32"/>
          <w:szCs w:val="32"/>
        </w:rPr>
        <w:t>12</w:t>
      </w:r>
      <w:r>
        <w:rPr>
          <w:rFonts w:ascii="仿宋_GB2312" w:eastAsia="仿宋_GB2312"/>
          <w:sz w:val="32"/>
          <w:szCs w:val="32"/>
        </w:rPr>
        <w:t>.</w:t>
      </w:r>
      <w:r>
        <w:rPr>
          <w:rFonts w:hint="eastAsia" w:ascii="仿宋_GB2312" w:eastAsia="仿宋_GB2312"/>
          <w:sz w:val="32"/>
          <w:szCs w:val="32"/>
        </w:rPr>
        <w:t>基本支出：指为保障机构正常运转、完成日常工作任务而发生的人员支出和公用支出。</w:t>
      </w:r>
    </w:p>
    <w:p>
      <w:pPr>
        <w:ind w:firstLine="640" w:firstLineChars="200"/>
        <w:rPr>
          <w:rFonts w:ascii="仿宋_GB2312" w:eastAsia="仿宋_GB2312"/>
          <w:sz w:val="32"/>
          <w:szCs w:val="32"/>
        </w:rPr>
      </w:pPr>
      <w:r>
        <w:rPr>
          <w:rFonts w:hint="eastAsia" w:ascii="仿宋_GB2312" w:eastAsia="仿宋_GB2312"/>
          <w:sz w:val="32"/>
          <w:szCs w:val="32"/>
        </w:rPr>
        <w:t>13</w:t>
      </w:r>
      <w:r>
        <w:rPr>
          <w:rFonts w:ascii="仿宋_GB2312" w:eastAsia="仿宋_GB2312"/>
          <w:sz w:val="32"/>
          <w:szCs w:val="32"/>
        </w:rPr>
        <w:t>.</w:t>
      </w:r>
      <w:r>
        <w:rPr>
          <w:rFonts w:hint="eastAsia" w:ascii="仿宋_GB2312" w:eastAsia="仿宋_GB2312"/>
          <w:sz w:val="32"/>
          <w:szCs w:val="32"/>
        </w:rPr>
        <w:t>项目支出：指在基本支出之外为完成特定行政任务和事业发展目标所发生的支出。</w:t>
      </w:r>
    </w:p>
    <w:p>
      <w:pPr>
        <w:pStyle w:val="2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14</w:t>
      </w:r>
      <w:r>
        <w:rPr>
          <w:rFonts w:ascii="仿宋_GB2312" w:eastAsia="仿宋_GB2312"/>
          <w:color w:val="auto"/>
          <w:sz w:val="32"/>
          <w:szCs w:val="32"/>
        </w:rPr>
        <w:t>.</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7"/>
        <w:spacing w:line="560" w:lineRule="exact"/>
        <w:ind w:firstLine="640" w:firstLineChars="200"/>
        <w:rPr>
          <w:rFonts w:ascii="黑体" w:hAnsi="黑体" w:eastAsia="黑体"/>
          <w:color w:val="auto"/>
          <w:sz w:val="44"/>
          <w:szCs w:val="44"/>
        </w:rPr>
      </w:pPr>
      <w:r>
        <w:rPr>
          <w:rFonts w:hint="eastAsia" w:ascii="仿宋_GB2312" w:eastAsia="仿宋_GB2312"/>
          <w:color w:val="auto"/>
          <w:sz w:val="32"/>
          <w:szCs w:val="32"/>
        </w:rPr>
        <w:t>15</w:t>
      </w:r>
      <w:r>
        <w:rPr>
          <w:rFonts w:ascii="仿宋_GB2312" w:eastAsia="仿宋_GB2312"/>
          <w:color w:val="auto"/>
          <w:sz w:val="32"/>
          <w:szCs w:val="32"/>
        </w:rPr>
        <w:t>.</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Start w:id="58" w:name="_Toc15396614"/>
      <w:bookmarkStart w:id="59" w:name="_Toc15377226"/>
    </w:p>
    <w:bookmarkEnd w:id="58"/>
    <w:p>
      <w:pPr>
        <w:spacing w:line="600" w:lineRule="exact"/>
        <w:rPr>
          <w:rStyle w:val="17"/>
          <w:rFonts w:ascii="黑体" w:hAnsi="黑体" w:eastAsia="黑体"/>
          <w:b w:val="0"/>
        </w:rPr>
      </w:pPr>
    </w:p>
    <w:p>
      <w:pPr>
        <w:spacing w:line="572" w:lineRule="exact"/>
        <w:jc w:val="left"/>
        <w:rPr>
          <w:rFonts w:ascii="仿宋_GB2312" w:hAnsi="仿宋_GB2312" w:eastAsia="仿宋_GB2312" w:cs="仿宋_GB2312"/>
          <w:sz w:val="32"/>
          <w:szCs w:val="32"/>
        </w:rPr>
      </w:pPr>
    </w:p>
    <w:p>
      <w:pPr>
        <w:spacing w:line="600" w:lineRule="exact"/>
        <w:jc w:val="center"/>
        <w:rPr>
          <w:rFonts w:ascii="宋体" w:hAnsi="宋体" w:cs="宋体"/>
          <w:kern w:val="0"/>
          <w:sz w:val="32"/>
          <w:szCs w:val="32"/>
        </w:rPr>
        <w:sectPr>
          <w:footerReference r:id="rId5" w:type="first"/>
          <w:footerReference r:id="rId4" w:type="default"/>
          <w:pgSz w:w="11906" w:h="16838"/>
          <w:pgMar w:top="1440" w:right="1800" w:bottom="1440" w:left="1800" w:header="851" w:footer="992" w:gutter="0"/>
          <w:pgNumType w:start="1"/>
          <w:cols w:space="425" w:num="1"/>
          <w:titlePg/>
          <w:docGrid w:type="lines" w:linePitch="312" w:charSpace="0"/>
        </w:sectPr>
      </w:pPr>
      <w:bookmarkStart w:id="60" w:name="_Toc15396618"/>
    </w:p>
    <w:p>
      <w:pPr>
        <w:spacing w:line="600" w:lineRule="exact"/>
        <w:jc w:val="center"/>
        <w:outlineLvl w:val="0"/>
        <w:rPr>
          <w:rStyle w:val="17"/>
          <w:rFonts w:ascii="黑体" w:hAnsi="黑体" w:eastAsia="黑体"/>
          <w:b w:val="0"/>
        </w:rPr>
      </w:pPr>
      <w:bookmarkStart w:id="61" w:name="_Toc13580"/>
      <w:r>
        <w:rPr>
          <w:rFonts w:hint="eastAsia" w:ascii="黑体" w:hAnsi="黑体" w:eastAsia="黑体"/>
          <w:sz w:val="44"/>
          <w:szCs w:val="44"/>
        </w:rPr>
        <w:t>第</w:t>
      </w:r>
      <w:r>
        <w:rPr>
          <w:rStyle w:val="17"/>
          <w:rFonts w:hint="eastAsia" w:ascii="黑体" w:hAnsi="黑体" w:eastAsia="黑体"/>
          <w:b w:val="0"/>
        </w:rPr>
        <w:t>四部分 附件</w:t>
      </w:r>
      <w:bookmarkEnd w:id="61"/>
    </w:p>
    <w:p>
      <w:pPr>
        <w:spacing w:line="600" w:lineRule="exact"/>
        <w:outlineLvl w:val="0"/>
        <w:rPr>
          <w:rFonts w:hint="eastAsia"/>
        </w:rPr>
      </w:pPr>
      <w:bookmarkStart w:id="62" w:name="_Toc603"/>
      <w:r>
        <w:rPr>
          <w:rFonts w:hint="eastAsia"/>
        </w:rPr>
        <w:t>附件1</w:t>
      </w:r>
      <w:bookmarkEnd w:id="62"/>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8"/>
        <w:gridCol w:w="891"/>
        <w:gridCol w:w="1186"/>
        <w:gridCol w:w="396"/>
        <w:gridCol w:w="831"/>
        <w:gridCol w:w="396"/>
        <w:gridCol w:w="846"/>
        <w:gridCol w:w="486"/>
        <w:gridCol w:w="486"/>
        <w:gridCol w:w="13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51080024R000010828112-行政人员工资性支出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9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25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广元市作家协会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9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9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严格执行相关政策，保障工资及时、足额发放或社保及时、足额缴纳，预算编制科学合理，无结余资金。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45.17</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45.17</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45.17</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45.17</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45.17</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45.17</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9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9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0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结合自评情况，项目自评总分100分，严格执行相关政策，保障工资及时、足额发放或社保及时、足额缴纳，预算编制科学合理，无结余资金。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项目负责人：李明元</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财务负责人：马晓燕</w:t>
            </w:r>
          </w:p>
        </w:tc>
      </w:tr>
    </w:tbl>
    <w:p>
      <w:pPr>
        <w:pStyle w:val="20"/>
        <w:spacing w:before="319"/>
        <w:ind w:left="0" w:firstLine="0"/>
        <w:rPr>
          <w:rFonts w:ascii="仿宋_GB2312" w:hAnsi="Calibri" w:eastAsia="仿宋_GB2312" w:cs="仿宋"/>
          <w:color w:val="auto"/>
          <w:kern w:val="0"/>
          <w:sz w:val="32"/>
          <w:szCs w:val="32"/>
        </w:rPr>
      </w:pPr>
      <w:r>
        <w:rPr>
          <w:rFonts w:hint="eastAsia" w:ascii="仿宋_GB2312" w:hAnsi="Calibri" w:eastAsia="仿宋_GB2312" w:cs="仿宋"/>
          <w:color w:val="auto"/>
          <w:kern w:val="0"/>
          <w:sz w:val="32"/>
          <w:szCs w:val="32"/>
        </w:rPr>
        <w:t>附件2</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8"/>
        <w:gridCol w:w="891"/>
        <w:gridCol w:w="1186"/>
        <w:gridCol w:w="396"/>
        <w:gridCol w:w="831"/>
        <w:gridCol w:w="396"/>
        <w:gridCol w:w="846"/>
        <w:gridCol w:w="486"/>
        <w:gridCol w:w="486"/>
        <w:gridCol w:w="13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51080024R000010823428-人员工资性支出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9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25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广元市作家协会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9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9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严格执行相关政策，保障工资及时、足额发放或社保及时、足额缴纳，预算编制科学合理，无结余资金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0.99</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0.99</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0.99</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0.99</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9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9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0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结合自评情况，项目自评总分100分，严格执行相关政策，保障工资及时、足额发放或社保及时、足额缴纳，预算编制科学合理，无结余资金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项目负责人：李明元</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财务负责人：马晓燕</w:t>
            </w:r>
          </w:p>
        </w:tc>
      </w:tr>
    </w:tbl>
    <w:p>
      <w:pPr>
        <w:spacing w:line="600" w:lineRule="exact"/>
        <w:outlineLvl w:val="0"/>
        <w:rPr>
          <w:rFonts w:hint="eastAsia" w:ascii="微软雅黑" w:hAnsi="微软雅黑" w:cs="微软雅黑"/>
          <w:color w:val="000000"/>
          <w:sz w:val="24"/>
        </w:rPr>
      </w:pPr>
    </w:p>
    <w:p>
      <w:pPr>
        <w:spacing w:line="600" w:lineRule="exact"/>
        <w:outlineLvl w:val="0"/>
        <w:rPr>
          <w:rFonts w:hint="eastAsia" w:ascii="微软雅黑" w:hAnsi="微软雅黑" w:cs="微软雅黑"/>
          <w:color w:val="000000"/>
          <w:sz w:val="24"/>
        </w:rPr>
      </w:pPr>
      <w:bookmarkStart w:id="63" w:name="_Toc361"/>
      <w:r>
        <w:rPr>
          <w:rFonts w:hint="eastAsia" w:ascii="微软雅黑" w:hAnsi="微软雅黑" w:cs="微软雅黑"/>
          <w:color w:val="000000"/>
          <w:sz w:val="24"/>
        </w:rPr>
        <w:t>附件3</w:t>
      </w:r>
      <w:bookmarkEnd w:id="63"/>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8"/>
        <w:gridCol w:w="891"/>
        <w:gridCol w:w="1186"/>
        <w:gridCol w:w="396"/>
        <w:gridCol w:w="831"/>
        <w:gridCol w:w="396"/>
        <w:gridCol w:w="846"/>
        <w:gridCol w:w="486"/>
        <w:gridCol w:w="486"/>
        <w:gridCol w:w="13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9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25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广元市作家协会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9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9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严格执行相关政策，保障工资及时、足额发放，预算编制科学合理，无结余资金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7.21</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7.21</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7.21</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7.21</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9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9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374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0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结合自评情况，项目自评总分100分，严格执行相关政策，保障工资及时、足额发放，预算编制科学合理，无结余资金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项目负责人：李明元</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财务负责人：马晓燕</w:t>
            </w:r>
          </w:p>
        </w:tc>
      </w:tr>
    </w:tbl>
    <w:p>
      <w:pPr>
        <w:pStyle w:val="20"/>
        <w:spacing w:before="319"/>
        <w:ind w:left="0" w:firstLine="0"/>
        <w:rPr>
          <w:rFonts w:hint="eastAsia"/>
        </w:rPr>
      </w:pPr>
      <w:r>
        <w:rPr>
          <w:rFonts w:hint="eastAsia"/>
        </w:rPr>
        <w:t>附件4</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8"/>
        <w:gridCol w:w="891"/>
        <w:gridCol w:w="1186"/>
        <w:gridCol w:w="396"/>
        <w:gridCol w:w="831"/>
        <w:gridCol w:w="396"/>
        <w:gridCol w:w="846"/>
        <w:gridCol w:w="486"/>
        <w:gridCol w:w="486"/>
        <w:gridCol w:w="13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51080024R000010824550-公务员基础绩效奖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广元市作家协会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严格执行相关政策，保障工资及时、足额发放或社保及时、足额缴纳，预算编制科学合理，无结余资金。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21.33</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21.33</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21.33</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21.33</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21.33</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21.33</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结合自评情况，项目自评总分100分，严格执行相关政策，保障工资及时、足额发放或社保及时、足额缴纳，预算编制科学合理，无结余资金。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项目负责人：李明元</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财务负责人：马晓燕</w:t>
            </w:r>
          </w:p>
        </w:tc>
      </w:tr>
    </w:tbl>
    <w:p>
      <w:pPr>
        <w:pStyle w:val="20"/>
        <w:spacing w:before="319"/>
        <w:ind w:left="0" w:firstLine="0"/>
        <w:rPr>
          <w:rFonts w:hint="eastAsia"/>
        </w:rPr>
      </w:pPr>
      <w:r>
        <w:rPr>
          <w:rFonts w:hint="eastAsia"/>
        </w:rPr>
        <w:t>附件5</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8"/>
        <w:gridCol w:w="891"/>
        <w:gridCol w:w="1186"/>
        <w:gridCol w:w="396"/>
        <w:gridCol w:w="831"/>
        <w:gridCol w:w="396"/>
        <w:gridCol w:w="846"/>
        <w:gridCol w:w="486"/>
        <w:gridCol w:w="486"/>
        <w:gridCol w:w="13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51080024R000010823060-单位缴费（在职人员五险两金）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9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25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广元市作家协会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9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9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严格执行相关政策，精准申报缴费基数，保障社保及时、足额缴纳，预算编制科学合理，减少结余资金。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严格执行相关政策，精准申报缴费基数，保障社保及时、足额缴纳，预算编制科学合理，减少结余资金。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22.81</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22.81</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22.81</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22.81</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22.81</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22.81</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9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9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0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结合自评情况，项目自评总分100分，严格执行相关政策，保障社保及时、足额缴纳，预算编制科学合理，减少结余资金。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项目负责人：李明元</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财务负责人：马晓燕</w:t>
            </w:r>
          </w:p>
        </w:tc>
      </w:tr>
    </w:tbl>
    <w:p>
      <w:pPr>
        <w:pStyle w:val="20"/>
        <w:spacing w:before="319"/>
        <w:ind w:left="0" w:firstLine="0"/>
        <w:rPr>
          <w:rFonts w:hint="eastAsia"/>
        </w:rPr>
      </w:pPr>
      <w:r>
        <w:rPr>
          <w:rFonts w:hint="eastAsia"/>
        </w:rPr>
        <w:t>附件6</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8"/>
        <w:gridCol w:w="891"/>
        <w:gridCol w:w="1186"/>
        <w:gridCol w:w="396"/>
        <w:gridCol w:w="831"/>
        <w:gridCol w:w="396"/>
        <w:gridCol w:w="846"/>
        <w:gridCol w:w="486"/>
        <w:gridCol w:w="486"/>
        <w:gridCol w:w="13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51080024R000010851755-人员其他支出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9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38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25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广元市作家协会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9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9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严格执行相关政策，保障工资及时、足额发放或社保及时、足额缴纳，预算编制科学合理，无结余资金。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0.14</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0.14</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0.14</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0.14</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0.14</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0.14</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9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9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0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结合自评情况，项目自评总分100分，严格执行相关政策，保障工资及时、足额发放或社保及时、足额缴纳，预算编制科学合理，无结余资金。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项目负责人：李明元</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财务负责人：马晓燕</w:t>
            </w:r>
          </w:p>
        </w:tc>
      </w:tr>
    </w:tbl>
    <w:p>
      <w:pPr>
        <w:pStyle w:val="20"/>
        <w:spacing w:before="319"/>
        <w:ind w:left="0" w:firstLine="0"/>
        <w:rPr>
          <w:rFonts w:hint="eastAsia"/>
        </w:rPr>
      </w:pPr>
      <w:r>
        <w:rPr>
          <w:rFonts w:hint="eastAsia"/>
        </w:rPr>
        <w:t>附件7</w:t>
      </w:r>
    </w:p>
    <w:tbl>
      <w:tblPr>
        <w:tblStyle w:val="12"/>
        <w:tblW w:w="6244" w:type="pct"/>
        <w:tblInd w:w="-122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05"/>
        <w:gridCol w:w="1020"/>
        <w:gridCol w:w="1065"/>
        <w:gridCol w:w="2115"/>
        <w:gridCol w:w="660"/>
        <w:gridCol w:w="645"/>
        <w:gridCol w:w="765"/>
        <w:gridCol w:w="1080"/>
        <w:gridCol w:w="690"/>
        <w:gridCol w:w="525"/>
        <w:gridCol w:w="10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51080024Y000010829138-定额公用经费（行政）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12" w:hRule="atLeast"/>
        </w:trPr>
        <w:tc>
          <w:tcPr>
            <w:tcW w:w="9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4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507"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07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广元市作家协会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4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4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57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4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157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4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1" w:hRule="atLeast"/>
        </w:trPr>
        <w:tc>
          <w:tcPr>
            <w:tcW w:w="4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7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6" w:hRule="atLeast"/>
        </w:trPr>
        <w:tc>
          <w:tcPr>
            <w:tcW w:w="4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7.50</w:t>
            </w: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6.20</w:t>
            </w:r>
          </w:p>
        </w:tc>
        <w:tc>
          <w:tcPr>
            <w:tcW w:w="97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6.20</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4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7.50</w:t>
            </w: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6.20</w:t>
            </w:r>
          </w:p>
        </w:tc>
        <w:tc>
          <w:tcPr>
            <w:tcW w:w="97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6.20</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4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1" w:hRule="atLeast"/>
        </w:trPr>
        <w:tc>
          <w:tcPr>
            <w:tcW w:w="4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4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7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78" w:hRule="atLeast"/>
        </w:trPr>
        <w:tc>
          <w:tcPr>
            <w:tcW w:w="4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4" w:hRule="atLeast"/>
        </w:trPr>
        <w:tc>
          <w:tcPr>
            <w:tcW w:w="4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92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03"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5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结合自评情况，项目自评总分96分，提高预算编制质量，严格执行预算，保障单位日常运转。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12"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5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经济科目有少许变更。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5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5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项目负责人：李明元</w:t>
            </w:r>
          </w:p>
        </w:tc>
        <w:tc>
          <w:tcPr>
            <w:tcW w:w="224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财务负责人：马晓燕</w:t>
            </w:r>
          </w:p>
        </w:tc>
      </w:tr>
    </w:tbl>
    <w:p>
      <w:pPr>
        <w:pStyle w:val="20"/>
        <w:spacing w:before="319"/>
        <w:ind w:left="0" w:firstLine="0"/>
        <w:rPr>
          <w:rFonts w:hint="eastAsia"/>
        </w:rPr>
      </w:pPr>
      <w:r>
        <w:rPr>
          <w:rFonts w:hint="eastAsia"/>
        </w:rPr>
        <w:t>附件8</w:t>
      </w:r>
    </w:p>
    <w:tbl>
      <w:tblPr>
        <w:tblStyle w:val="12"/>
        <w:tblW w:w="6147" w:type="pct"/>
        <w:tblInd w:w="-110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68"/>
        <w:gridCol w:w="1135"/>
        <w:gridCol w:w="584"/>
        <w:gridCol w:w="2027"/>
        <w:gridCol w:w="626"/>
        <w:gridCol w:w="624"/>
        <w:gridCol w:w="727"/>
        <w:gridCol w:w="1024"/>
        <w:gridCol w:w="714"/>
        <w:gridCol w:w="649"/>
        <w:gridCol w:w="12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0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94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51080024Y000010826991-公用经费1（福利费、工会经费）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0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9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487"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26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广元市作家协会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5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9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75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5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19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175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5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394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提高预算编制质量，严格执行预算，职工生日及节假日购物慰问及体检，保障单位日常运转。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5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4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5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1.35</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1.35</w:t>
            </w:r>
          </w:p>
        </w:tc>
        <w:tc>
          <w:tcPr>
            <w:tcW w:w="94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1.35</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5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1.35</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1.35</w:t>
            </w:r>
          </w:p>
        </w:tc>
        <w:tc>
          <w:tcPr>
            <w:tcW w:w="94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1.35</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5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5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4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5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31"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48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结合自评情况，项目自评总分98分，提高预算编制质量，严格执行预算，职工生日及节假日购物慰问及体检，保障单位日常运转</w:t>
            </w:r>
            <w:r>
              <w:rPr>
                <w:rFonts w:hint="eastAsia" w:ascii="微软雅黑" w:hAnsi="微软雅黑" w:eastAsia="微软雅黑" w:cs="微软雅黑"/>
                <w:i/>
                <w:iCs/>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48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48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项目负责人：李明元</w:t>
            </w:r>
          </w:p>
        </w:tc>
        <w:tc>
          <w:tcPr>
            <w:tcW w:w="240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财务负责人：马晓燕</w:t>
            </w:r>
          </w:p>
        </w:tc>
      </w:tr>
    </w:tbl>
    <w:p>
      <w:pPr>
        <w:pStyle w:val="20"/>
        <w:spacing w:before="319"/>
        <w:ind w:left="0" w:firstLine="0"/>
        <w:rPr>
          <w:rFonts w:hint="eastAsia"/>
        </w:rPr>
      </w:pPr>
      <w:r>
        <w:rPr>
          <w:rFonts w:hint="eastAsia"/>
        </w:rPr>
        <w:t>附件9</w:t>
      </w:r>
    </w:p>
    <w:tbl>
      <w:tblPr>
        <w:tblStyle w:val="12"/>
        <w:tblW w:w="5961" w:type="pct"/>
        <w:tblInd w:w="-110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0"/>
        <w:gridCol w:w="1050"/>
        <w:gridCol w:w="1020"/>
        <w:gridCol w:w="2070"/>
        <w:gridCol w:w="615"/>
        <w:gridCol w:w="705"/>
        <w:gridCol w:w="855"/>
        <w:gridCol w:w="855"/>
        <w:gridCol w:w="525"/>
        <w:gridCol w:w="450"/>
        <w:gridCol w:w="10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1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51080024Y000010829846-公用经费2（公车补贴、党建、退休活动）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5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421"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 xml:space="preserve">实施单位 </w:t>
            </w:r>
          </w:p>
        </w:tc>
        <w:tc>
          <w:tcPr>
            <w:tcW w:w="99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广元市作家协会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5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41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4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5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141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4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1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0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7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4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6.67</w:t>
            </w:r>
          </w:p>
        </w:tc>
        <w:tc>
          <w:tcPr>
            <w:tcW w:w="10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6.67</w:t>
            </w:r>
          </w:p>
        </w:tc>
        <w:tc>
          <w:tcPr>
            <w:tcW w:w="107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6.67</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4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6.67</w:t>
            </w:r>
          </w:p>
        </w:tc>
        <w:tc>
          <w:tcPr>
            <w:tcW w:w="10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6.67</w:t>
            </w:r>
          </w:p>
        </w:tc>
        <w:tc>
          <w:tcPr>
            <w:tcW w:w="107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6.67</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4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7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7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7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0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0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4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0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4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0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0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3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00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5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结合自评情况，项目自评总分96分，提高预算编制质量，严格执行预算，保障单位日常运转。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5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经济科目有少许变更。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52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81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项目负责人：李明元</w:t>
            </w:r>
          </w:p>
        </w:tc>
        <w:tc>
          <w:tcPr>
            <w:tcW w:w="218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财务负责人：马晓燕</w:t>
            </w:r>
          </w:p>
        </w:tc>
      </w:tr>
    </w:tbl>
    <w:p>
      <w:pPr>
        <w:pStyle w:val="20"/>
        <w:spacing w:before="319"/>
        <w:ind w:left="0" w:firstLine="0"/>
      </w:pPr>
      <w:r>
        <w:rPr>
          <w:rFonts w:hint="eastAsia"/>
        </w:rPr>
        <w:t>附件10</w:t>
      </w:r>
    </w:p>
    <w:tbl>
      <w:tblPr>
        <w:tblStyle w:val="12"/>
        <w:tblW w:w="5910" w:type="pct"/>
        <w:tblInd w:w="-88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6"/>
        <w:gridCol w:w="1020"/>
        <w:gridCol w:w="1382"/>
        <w:gridCol w:w="1200"/>
        <w:gridCol w:w="638"/>
        <w:gridCol w:w="850"/>
        <w:gridCol w:w="750"/>
        <w:gridCol w:w="984"/>
        <w:gridCol w:w="583"/>
        <w:gridCol w:w="683"/>
        <w:gridCol w:w="9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8"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0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98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51080022T000004933756-《剑门关》文学杂志等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0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9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488"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 xml:space="preserve">实施单位 </w:t>
            </w:r>
          </w:p>
        </w:tc>
        <w:tc>
          <w:tcPr>
            <w:tcW w:w="11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广元市作家协会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5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9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58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9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出版《剑门关》2期。引导广大作家、文学爱好者的正确创作导向，以文学方式宣传展示广元经济社会发展情况，团结广大作家与文学爱好者，培育文学新人。</w:t>
            </w:r>
          </w:p>
        </w:tc>
        <w:tc>
          <w:tcPr>
            <w:tcW w:w="158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出版《剑门关》2期。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398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引导广大作家、文学爱好者的正确创作导向，以文学方式宣传展示广元经济社会发展情况，团结广大作家与文学爱好者，培育文学新人。出版《剑门关》2期。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11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6.50</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6.50</w:t>
            </w:r>
          </w:p>
        </w:tc>
        <w:tc>
          <w:tcPr>
            <w:tcW w:w="111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6.50</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6.50</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6.50</w:t>
            </w:r>
          </w:p>
        </w:tc>
        <w:tc>
          <w:tcPr>
            <w:tcW w:w="111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6.50</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11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出版《剑门关》</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期</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auto"/>
                <w:kern w:val="0"/>
                <w:sz w:val="18"/>
                <w:szCs w:val="18"/>
                <w:u w:val="none"/>
                <w:lang w:val="en-US" w:eastAsia="zh-CN" w:bidi="ar"/>
              </w:rPr>
              <w:t>2</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图书出版错误率</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提升广元文化软实力</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进一步提升</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进一步提升</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读者满意度</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工作经费</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65000</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65000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18</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89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r>
              <w:rPr>
                <w:rFonts w:hint="eastAsia" w:ascii="宋体" w:hAnsi="宋体" w:eastAsia="宋体" w:cs="宋体"/>
                <w:i w:val="0"/>
                <w:iCs w:val="0"/>
                <w:color w:val="000000"/>
                <w:kern w:val="0"/>
                <w:sz w:val="18"/>
                <w:szCs w:val="18"/>
                <w:u w:val="none"/>
                <w:lang w:val="en-US" w:eastAsia="zh-CN" w:bidi="ar"/>
              </w:rPr>
              <w:t>6</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5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490"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结合自评情况，项目自评总分96分，出版《剑门关》2期。引导广大作家、文学爱好者的正确创作导向，以文学方式宣传展示广元经济社会发展情况，团结广大作家与文学爱好者，培育文学新人。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5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C00000"/>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4490"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auto"/>
                <w:sz w:val="16"/>
                <w:szCs w:val="16"/>
                <w:u w:val="none"/>
              </w:rPr>
            </w:pPr>
            <w:r>
              <w:rPr>
                <w:rFonts w:hint="eastAsia" w:ascii="微软雅黑" w:hAnsi="微软雅黑" w:eastAsia="微软雅黑" w:cs="微软雅黑"/>
                <w:i w:val="0"/>
                <w:iCs w:val="0"/>
                <w:color w:val="auto"/>
                <w:kern w:val="0"/>
                <w:sz w:val="16"/>
                <w:szCs w:val="16"/>
                <w:u w:val="none"/>
                <w:lang w:val="en-US" w:eastAsia="zh-CN" w:bidi="ar"/>
              </w:rPr>
              <w:t>绩效目标有偏差。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490"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auto"/>
                <w:sz w:val="16"/>
                <w:szCs w:val="16"/>
                <w:u w:val="none"/>
              </w:rPr>
            </w:pPr>
            <w:r>
              <w:rPr>
                <w:rFonts w:hint="eastAsia" w:ascii="微软雅黑" w:hAnsi="微软雅黑" w:eastAsia="微软雅黑" w:cs="微软雅黑"/>
                <w:i w:val="0"/>
                <w:iCs w:val="0"/>
                <w:color w:val="auto"/>
                <w:kern w:val="0"/>
                <w:sz w:val="16"/>
                <w:szCs w:val="16"/>
                <w:u w:val="none"/>
                <w:lang w:val="en-US" w:eastAsia="zh-CN" w:bidi="ar"/>
              </w:rPr>
              <w:t>适时跟进出版工作方面政策，了解项目内容，提高预算绩效编制精准度。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61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项目负责人：王尚敏</w:t>
            </w:r>
          </w:p>
        </w:tc>
        <w:tc>
          <w:tcPr>
            <w:tcW w:w="238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财务负责人：马晓燕</w:t>
            </w:r>
          </w:p>
        </w:tc>
      </w:tr>
    </w:tbl>
    <w:p>
      <w:pPr>
        <w:pStyle w:val="20"/>
        <w:spacing w:before="319"/>
        <w:ind w:left="0" w:firstLine="0"/>
        <w:rPr>
          <w:rFonts w:hint="eastAsia" w:eastAsia="宋体"/>
          <w:lang w:eastAsia="zh-CN"/>
        </w:rPr>
      </w:pPr>
      <w:r>
        <w:rPr>
          <w:rFonts w:hint="eastAsia"/>
        </w:rPr>
        <w:t>附件1</w:t>
      </w:r>
      <w:r>
        <w:rPr>
          <w:rFonts w:hint="eastAsia"/>
          <w:lang w:val="en-US" w:eastAsia="zh-CN"/>
        </w:rPr>
        <w:t>1</w:t>
      </w:r>
    </w:p>
    <w:tbl>
      <w:tblPr>
        <w:tblStyle w:val="12"/>
        <w:tblW w:w="5753" w:type="pct"/>
        <w:tblInd w:w="-78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6"/>
        <w:gridCol w:w="944"/>
        <w:gridCol w:w="1183"/>
        <w:gridCol w:w="1717"/>
        <w:gridCol w:w="600"/>
        <w:gridCol w:w="683"/>
        <w:gridCol w:w="650"/>
        <w:gridCol w:w="1000"/>
        <w:gridCol w:w="600"/>
        <w:gridCol w:w="517"/>
        <w:gridCol w:w="9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51080022T000004933784-蜀道文化大讲堂作家讲座、主题创作采风活动等工作经费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9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46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51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 xml:space="preserve">实施单位 </w:t>
            </w:r>
          </w:p>
        </w:tc>
        <w:tc>
          <w:tcPr>
            <w:tcW w:w="10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广元市作家协会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46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w:t>
            </w:r>
            <w:r>
              <w:rPr>
                <w:rFonts w:ascii="宋体" w:hAnsi="宋体" w:eastAsia="宋体" w:cs="宋体"/>
                <w:i w:val="0"/>
                <w:iCs w:val="0"/>
                <w:color w:val="000000"/>
                <w:kern w:val="0"/>
                <w:sz w:val="18"/>
                <w:szCs w:val="18"/>
                <w:u w:val="none"/>
                <w:lang w:val="en-US" w:eastAsia="zh-CN" w:bidi="ar"/>
              </w:rPr>
              <w:t>项目年度目标</w:t>
            </w:r>
          </w:p>
        </w:tc>
        <w:tc>
          <w:tcPr>
            <w:tcW w:w="156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6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邀请知名文学家、作家到广元开展讲座，传授创作经验，开展采风活动。</w:t>
            </w:r>
          </w:p>
        </w:tc>
        <w:tc>
          <w:tcPr>
            <w:tcW w:w="156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邀请知名文学家、作家到广元开展讲座，传授创作经验，开展采风活动。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邀请知名文学家、作家到广元开展讲座，传授创作经验，开展采风活动。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3.40</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3.40</w:t>
            </w:r>
          </w:p>
        </w:tc>
        <w:tc>
          <w:tcPr>
            <w:tcW w:w="9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3.40</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3.40</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3.40</w:t>
            </w:r>
          </w:p>
        </w:tc>
        <w:tc>
          <w:tcPr>
            <w:tcW w:w="9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3.40</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开展采风活动</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期</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举办作家讲座</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期</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工作任务完成率</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提升本土作家创作水平</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进一步提升</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进一步提升</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作家、文学爱好者、文学工作者满意</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工作经费</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34000</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34000</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94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trPr>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51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结合自评情况，项目自评总分95分，邀请知名文学家、作家到广元开展讲座，传授创作经验，开展采风活动。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 w:hRule="atLeast"/>
        </w:trPr>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51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auto"/>
                <w:sz w:val="16"/>
                <w:szCs w:val="16"/>
                <w:u w:val="none"/>
              </w:rPr>
            </w:pPr>
            <w:r>
              <w:rPr>
                <w:rFonts w:hint="eastAsia" w:ascii="微软雅黑" w:hAnsi="微软雅黑" w:eastAsia="微软雅黑" w:cs="微软雅黑"/>
                <w:i w:val="0"/>
                <w:iCs w:val="0"/>
                <w:color w:val="auto"/>
                <w:kern w:val="0"/>
                <w:sz w:val="16"/>
                <w:szCs w:val="16"/>
                <w:u w:val="none"/>
                <w:lang w:val="en-US" w:eastAsia="zh-CN" w:bidi="ar"/>
              </w:rPr>
              <w:t>绩效目标略有偏差。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trPr>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51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auto"/>
                <w:sz w:val="16"/>
                <w:szCs w:val="16"/>
                <w:u w:val="none"/>
              </w:rPr>
            </w:pPr>
            <w:r>
              <w:rPr>
                <w:rFonts w:hint="eastAsia" w:ascii="微软雅黑" w:hAnsi="微软雅黑" w:eastAsia="微软雅黑" w:cs="微软雅黑"/>
                <w:i w:val="0"/>
                <w:iCs w:val="0"/>
                <w:color w:val="auto"/>
                <w:kern w:val="0"/>
                <w:sz w:val="16"/>
                <w:szCs w:val="16"/>
                <w:u w:val="none"/>
                <w:lang w:val="en-US" w:eastAsia="zh-CN" w:bidi="ar"/>
              </w:rPr>
              <w:t>了解项目内容，提高预算绩效编制精准度。提前规划工作任务，确保项目实施。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5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项目负责人：王尚敏</w:t>
            </w:r>
          </w:p>
        </w:tc>
        <w:tc>
          <w:tcPr>
            <w:tcW w:w="224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财务负责人：马晓燕</w:t>
            </w:r>
          </w:p>
        </w:tc>
      </w:tr>
    </w:tbl>
    <w:p>
      <w:pPr>
        <w:pStyle w:val="20"/>
        <w:spacing w:before="319"/>
        <w:ind w:left="0" w:firstLine="0"/>
        <w:rPr>
          <w:rFonts w:hint="eastAsia"/>
          <w:lang w:val="en-US" w:eastAsia="zh-CN"/>
        </w:rPr>
      </w:pPr>
      <w:r>
        <w:rPr>
          <w:rFonts w:hint="eastAsia"/>
        </w:rPr>
        <w:t>附件1</w:t>
      </w:r>
      <w:r>
        <w:rPr>
          <w:rFonts w:hint="eastAsia"/>
          <w:lang w:val="en-US" w:eastAsia="zh-CN"/>
        </w:rPr>
        <w:t>2</w:t>
      </w:r>
    </w:p>
    <w:tbl>
      <w:tblPr>
        <w:tblStyle w:val="12"/>
        <w:tblW w:w="6046" w:type="pct"/>
        <w:tblInd w:w="-83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16"/>
        <w:gridCol w:w="1050"/>
        <w:gridCol w:w="1217"/>
        <w:gridCol w:w="1400"/>
        <w:gridCol w:w="583"/>
        <w:gridCol w:w="1084"/>
        <w:gridCol w:w="640"/>
        <w:gridCol w:w="996"/>
        <w:gridCol w:w="653"/>
        <w:gridCol w:w="607"/>
        <w:gridCol w:w="10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0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99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51080022T000004934437-文学活动经费往来款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0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9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483"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 xml:space="preserve">实施单位 </w:t>
            </w:r>
          </w:p>
        </w:tc>
        <w:tc>
          <w:tcPr>
            <w:tcW w:w="11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广元市作家协会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9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0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4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9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出版剑门关杂志，举行文学讲座，开展采风等文学活动。</w:t>
            </w:r>
          </w:p>
        </w:tc>
        <w:tc>
          <w:tcPr>
            <w:tcW w:w="160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出版剑门关杂志，举行文学讲座，开展采风等文学活动。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4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399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出版剑门关杂志，举行文学讲座，开展采风等文学活动。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5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1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4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11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11.24</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56.21%</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5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该项目还在实施中。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4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4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4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11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11.24</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56.21%</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1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5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开展文学创作采风活动及主题宣传活动</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C00000"/>
                <w:sz w:val="18"/>
                <w:szCs w:val="18"/>
                <w:u w:val="none"/>
              </w:rPr>
            </w:pPr>
            <w:r>
              <w:rPr>
                <w:rFonts w:ascii="宋体" w:hAnsi="宋体" w:eastAsia="宋体" w:cs="宋体"/>
                <w:i w:val="0"/>
                <w:iCs w:val="0"/>
                <w:color w:val="C00000"/>
                <w:kern w:val="0"/>
                <w:sz w:val="18"/>
                <w:szCs w:val="18"/>
                <w:u w:val="none"/>
                <w:lang w:val="en-US" w:eastAsia="zh-CN" w:bidi="ar"/>
              </w:rPr>
              <w:t>2</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考察调研</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C00000"/>
                <w:sz w:val="18"/>
                <w:szCs w:val="18"/>
                <w:u w:val="none"/>
              </w:rPr>
            </w:pPr>
            <w:r>
              <w:rPr>
                <w:rFonts w:ascii="宋体" w:hAnsi="宋体" w:eastAsia="宋体" w:cs="宋体"/>
                <w:i w:val="0"/>
                <w:iCs w:val="0"/>
                <w:color w:val="C00000"/>
                <w:kern w:val="0"/>
                <w:sz w:val="18"/>
                <w:szCs w:val="18"/>
                <w:u w:val="none"/>
                <w:lang w:val="en-US" w:eastAsia="zh-CN" w:bidi="ar"/>
              </w:rPr>
              <w:t>10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开展作家讲座</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C00000"/>
                <w:sz w:val="18"/>
                <w:szCs w:val="18"/>
                <w:u w:val="none"/>
              </w:rPr>
            </w:pPr>
            <w:r>
              <w:rPr>
                <w:rFonts w:ascii="宋体" w:hAnsi="宋体" w:eastAsia="宋体" w:cs="宋体"/>
                <w:i w:val="0"/>
                <w:iCs w:val="0"/>
                <w:color w:val="C00000"/>
                <w:kern w:val="0"/>
                <w:sz w:val="18"/>
                <w:szCs w:val="18"/>
                <w:u w:val="none"/>
                <w:lang w:val="en-US" w:eastAsia="zh-CN" w:bidi="ar"/>
              </w:rPr>
              <w:t>2</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出版剑门关杂志</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期</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C00000"/>
                <w:sz w:val="18"/>
                <w:szCs w:val="18"/>
                <w:u w:val="none"/>
              </w:rPr>
            </w:pPr>
            <w:r>
              <w:rPr>
                <w:rFonts w:ascii="宋体" w:hAnsi="宋体" w:eastAsia="宋体" w:cs="宋体"/>
                <w:i w:val="0"/>
                <w:iCs w:val="0"/>
                <w:color w:val="C00000"/>
                <w:kern w:val="0"/>
                <w:sz w:val="18"/>
                <w:szCs w:val="18"/>
                <w:u w:val="none"/>
                <w:lang w:val="en-US" w:eastAsia="zh-CN" w:bidi="ar"/>
              </w:rPr>
              <w:t>2</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图书出版错误率</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C00000"/>
                <w:kern w:val="0"/>
                <w:sz w:val="18"/>
                <w:szCs w:val="18"/>
                <w:u w:val="none"/>
                <w:lang w:val="en-US" w:eastAsia="zh-CN" w:bidi="ar"/>
              </w:rPr>
              <w:t>3</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4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对提升广元文化软实力的影响程度</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进一步提升广元文化品牌，传播广元声音，增强文化自信</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进一步提升广元文化品牌，传播广元声音，增强文化自信</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18</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群众满意度</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经费支出</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200000</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112400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20</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87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96</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50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结合自评情况，项目自评总分96分，出版剑门关杂志，举行文学讲座，开展采风等文学活动。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50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该项目进度略显缓慢，尚在实施中。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50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加快进度实施。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5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项目负责人：王尚敏</w:t>
            </w:r>
          </w:p>
        </w:tc>
        <w:tc>
          <w:tcPr>
            <w:tcW w:w="244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财务负责人：马晓燕</w:t>
            </w:r>
          </w:p>
        </w:tc>
      </w:tr>
    </w:tbl>
    <w:p>
      <w:pPr>
        <w:pStyle w:val="20"/>
        <w:spacing w:before="319"/>
        <w:ind w:left="0" w:firstLine="0"/>
        <w:rPr>
          <w:rFonts w:hint="eastAsia"/>
          <w:lang w:val="en-US" w:eastAsia="zh-CN"/>
        </w:rPr>
      </w:pPr>
      <w:r>
        <w:rPr>
          <w:rFonts w:hint="eastAsia"/>
        </w:rPr>
        <w:t>附件1</w:t>
      </w:r>
      <w:r>
        <w:rPr>
          <w:rFonts w:hint="eastAsia"/>
          <w:lang w:val="en-US" w:eastAsia="zh-CN"/>
        </w:rPr>
        <w:t>3</w:t>
      </w:r>
    </w:p>
    <w:tbl>
      <w:tblPr>
        <w:tblStyle w:val="12"/>
        <w:tblW w:w="6056" w:type="pct"/>
        <w:tblInd w:w="-8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0"/>
        <w:gridCol w:w="967"/>
        <w:gridCol w:w="1217"/>
        <w:gridCol w:w="1417"/>
        <w:gridCol w:w="733"/>
        <w:gridCol w:w="1216"/>
        <w:gridCol w:w="584"/>
        <w:gridCol w:w="1104"/>
        <w:gridCol w:w="561"/>
        <w:gridCol w:w="582"/>
        <w:gridCol w:w="9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1"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6" w:hRule="atLeast"/>
        </w:trPr>
        <w:tc>
          <w:tcPr>
            <w:tcW w:w="9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7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51080022T000007130538-中国作家剑门关文学奖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50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53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 xml:space="preserve">实施单位 </w:t>
            </w:r>
          </w:p>
        </w:tc>
        <w:tc>
          <w:tcPr>
            <w:tcW w:w="103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广元市作家协会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4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50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56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50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中国作家剑门关文学奖由市委、市政府和中国作协《中国作家》杂志社联合设置，举行面向全国性征文及颁奖活动，以达到既用文学形式宣传广元，又鼓励广元本土作家成长目的，每年评奖1次。 </w:t>
            </w:r>
          </w:p>
        </w:tc>
        <w:tc>
          <w:tcPr>
            <w:tcW w:w="156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FF0000"/>
                <w:sz w:val="18"/>
                <w:szCs w:val="18"/>
                <w:u w:val="none"/>
              </w:rPr>
            </w:pPr>
            <w:r>
              <w:rPr>
                <w:rFonts w:hint="eastAsia" w:ascii="黑体" w:hAnsi="黑体" w:eastAsia="黑体" w:cs="黑体"/>
                <w:i w:val="0"/>
                <w:iCs w:val="0"/>
                <w:color w:val="auto"/>
                <w:kern w:val="0"/>
                <w:sz w:val="18"/>
                <w:szCs w:val="18"/>
                <w:u w:val="none"/>
                <w:lang w:val="en-US" w:eastAsia="zh-CN" w:bidi="ar"/>
              </w:rPr>
              <w:t xml:space="preserve">每年评奖1次。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93"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7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FF0000"/>
                <w:sz w:val="18"/>
                <w:szCs w:val="18"/>
                <w:u w:val="none"/>
              </w:rPr>
            </w:pPr>
            <w:r>
              <w:rPr>
                <w:rFonts w:ascii="宋体" w:hAnsi="宋体" w:eastAsia="宋体" w:cs="宋体"/>
                <w:i w:val="0"/>
                <w:iCs w:val="0"/>
                <w:color w:val="auto"/>
                <w:kern w:val="0"/>
                <w:sz w:val="18"/>
                <w:szCs w:val="18"/>
                <w:u w:val="none"/>
                <w:lang w:val="en-US" w:eastAsia="zh-CN" w:bidi="ar"/>
              </w:rPr>
              <w:t>2024年评选第十一届，由市作协具体实施。按照《剑门关文学奖评奖办法（试行）》《第十一届剑门关文学奖评选工作建议方案》，已完成评奖工作，评选出获奖作品22件，其中主奖9件（诗词类空缺1件）、广元本土作家创作奖13件（二等奖空缺1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22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6"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2.94</w:t>
            </w:r>
          </w:p>
        </w:tc>
        <w:tc>
          <w:tcPr>
            <w:tcW w:w="122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2.94</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2.94</w:t>
            </w:r>
          </w:p>
        </w:tc>
        <w:tc>
          <w:tcPr>
            <w:tcW w:w="122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2.94</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7"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2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2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2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评选奖项个数</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rPr>
            </w:pPr>
            <w:r>
              <w:rPr>
                <w:rFonts w:hint="eastAsia" w:ascii="宋体" w:hAnsi="宋体" w:eastAsia="宋体" w:cs="宋体"/>
                <w:i w:val="0"/>
                <w:iCs w:val="0"/>
                <w:color w:val="auto"/>
                <w:kern w:val="0"/>
                <w:sz w:val="18"/>
                <w:szCs w:val="18"/>
                <w:u w:val="none"/>
                <w:lang w:val="en-US" w:eastAsia="zh-CN" w:bidi="ar"/>
              </w:rPr>
              <w:t>22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邀请评委</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名</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rPr>
            </w:pPr>
            <w:r>
              <w:rPr>
                <w:rFonts w:hint="eastAsia" w:ascii="宋体" w:hAnsi="宋体" w:eastAsia="宋体" w:cs="宋体"/>
                <w:i w:val="0"/>
                <w:iCs w:val="0"/>
                <w:color w:val="auto"/>
                <w:kern w:val="0"/>
                <w:sz w:val="18"/>
                <w:szCs w:val="18"/>
                <w:u w:val="none"/>
                <w:lang w:val="en-US" w:eastAsia="zh-CN" w:bidi="ar"/>
              </w:rPr>
              <w:t>16</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评选奖项类别</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类</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凝聚共识和增强人民群众的获得感和幸福感</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加强生态文明建设</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巩固发展新时代生态文明建设成果</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巩固发展新时代生态文明建设成果</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未来经济发展趋势</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繁荣</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繁荣</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社会公众满意度</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评选工作经费</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2.94</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2.94</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96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000" w:hRule="atLeast"/>
        </w:trPr>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53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结合自评情况，项目自评总分95分，中国作家剑门关文学奖由市委、市政府和中国作协《中国作家》杂志社联合设置，举行面向全国性征文及颁奖活动，以达到既用文学形式宣传广元，又鼓励广元本土作家成长目的，每年评奖1次。 2024年评选第十一届，由市作协具体实施。按照《剑门关文学奖评奖办法（试行）》《第十一届剑门关文学奖评选工作建议方案》，已完成评奖工作，评选出获奖作品22件，其中主奖9件（诗词类空缺1件）、广元本土作家创作奖13件（二等奖空缺1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53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lang w:eastAsia="zh-CN"/>
              </w:rPr>
            </w:pPr>
            <w:r>
              <w:rPr>
                <w:rFonts w:hint="eastAsia" w:ascii="微软雅黑" w:hAnsi="微软雅黑" w:eastAsia="微软雅黑" w:cs="微软雅黑"/>
                <w:i w:val="0"/>
                <w:iCs w:val="0"/>
                <w:color w:val="000000"/>
                <w:sz w:val="16"/>
                <w:szCs w:val="16"/>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3" w:hRule="atLeast"/>
        </w:trPr>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453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auto"/>
                <w:sz w:val="16"/>
                <w:szCs w:val="16"/>
                <w:u w:val="none"/>
              </w:rPr>
            </w:pPr>
            <w:r>
              <w:rPr>
                <w:rFonts w:hint="eastAsia" w:ascii="微软雅黑" w:hAnsi="微软雅黑" w:eastAsia="微软雅黑" w:cs="微软雅黑"/>
                <w:i w:val="0"/>
                <w:iCs w:val="0"/>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项目负责人：王尚敏</w:t>
            </w:r>
          </w:p>
        </w:tc>
        <w:tc>
          <w:tcPr>
            <w:tcW w:w="243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财务负责人：马晓燕</w:t>
            </w:r>
          </w:p>
        </w:tc>
      </w:tr>
    </w:tbl>
    <w:p>
      <w:pPr>
        <w:pStyle w:val="20"/>
        <w:spacing w:before="319"/>
        <w:ind w:left="0" w:firstLine="0"/>
        <w:rPr>
          <w:rFonts w:hint="eastAsia"/>
        </w:rPr>
      </w:pPr>
    </w:p>
    <w:p>
      <w:pPr>
        <w:pStyle w:val="20"/>
        <w:spacing w:before="319"/>
        <w:ind w:left="0" w:firstLine="0"/>
        <w:rPr>
          <w:rFonts w:hint="eastAsia"/>
        </w:rPr>
      </w:pPr>
    </w:p>
    <w:p>
      <w:pPr>
        <w:pStyle w:val="20"/>
        <w:spacing w:before="319"/>
        <w:ind w:left="0" w:firstLine="0"/>
        <w:rPr>
          <w:rFonts w:hint="eastAsia"/>
        </w:rPr>
      </w:pPr>
    </w:p>
    <w:p>
      <w:pPr>
        <w:pStyle w:val="20"/>
        <w:spacing w:before="319"/>
        <w:ind w:left="0" w:firstLine="0"/>
        <w:rPr>
          <w:rFonts w:hint="eastAsia"/>
        </w:rPr>
      </w:pPr>
    </w:p>
    <w:p>
      <w:pPr>
        <w:pStyle w:val="20"/>
        <w:spacing w:before="319"/>
        <w:ind w:left="0" w:firstLine="0"/>
        <w:rPr>
          <w:rFonts w:hint="eastAsia"/>
        </w:rPr>
      </w:pPr>
    </w:p>
    <w:p>
      <w:pPr>
        <w:pStyle w:val="20"/>
        <w:spacing w:before="319"/>
        <w:ind w:left="0" w:firstLine="0"/>
        <w:rPr>
          <w:rFonts w:hint="eastAsia"/>
        </w:rPr>
      </w:pPr>
    </w:p>
    <w:p>
      <w:pPr>
        <w:pStyle w:val="20"/>
        <w:spacing w:before="319"/>
        <w:ind w:left="0" w:firstLine="0"/>
        <w:rPr>
          <w:rFonts w:hint="eastAsia"/>
          <w:lang w:val="en-US" w:eastAsia="zh-CN"/>
        </w:rPr>
      </w:pPr>
      <w:r>
        <w:rPr>
          <w:rFonts w:hint="eastAsia"/>
        </w:rPr>
        <w:t>附件1</w:t>
      </w:r>
      <w:r>
        <w:rPr>
          <w:rFonts w:hint="eastAsia"/>
          <w:lang w:val="en-US" w:eastAsia="zh-CN"/>
        </w:rPr>
        <w:t>4</w:t>
      </w:r>
    </w:p>
    <w:tbl>
      <w:tblPr>
        <w:tblStyle w:val="12"/>
        <w:tblW w:w="6008" w:type="pct"/>
        <w:tblInd w:w="-7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45"/>
        <w:gridCol w:w="1133"/>
        <w:gridCol w:w="821"/>
        <w:gridCol w:w="1038"/>
        <w:gridCol w:w="692"/>
        <w:gridCol w:w="1228"/>
        <w:gridCol w:w="690"/>
        <w:gridCol w:w="1367"/>
        <w:gridCol w:w="614"/>
        <w:gridCol w:w="614"/>
        <w:gridCol w:w="10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0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98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51080024T000010945563-历史文化通俗读本编制经费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0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8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667"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 xml:space="preserve">实施单位 </w:t>
            </w:r>
          </w:p>
        </w:tc>
        <w:tc>
          <w:tcPr>
            <w:tcW w:w="11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广元市作家协会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5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8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79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18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编撰反映广元历史文化的通俗读本，激发文化自信。</w:t>
            </w:r>
          </w:p>
        </w:tc>
        <w:tc>
          <w:tcPr>
            <w:tcW w:w="179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编撰反映广元历史文化的通俗读本，激发文化自信。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398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书写蜀道文化，宣传蜀道文化。编撰反映广元历史文化的通俗读本，激发文化自信。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2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0.37</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0.37</w:t>
            </w:r>
          </w:p>
        </w:tc>
        <w:tc>
          <w:tcPr>
            <w:tcW w:w="12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0.37</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0.37</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0.37</w:t>
            </w:r>
          </w:p>
        </w:tc>
        <w:tc>
          <w:tcPr>
            <w:tcW w:w="12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0.37</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撰稿人</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宣传广元</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书写蜀道文化，宣传蜀道文化</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书写蜀道文化，宣传蜀道文化</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预算时间截点完成</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凝聚共识和增强人民群众的获得感和幸福感</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感受蜀道文化魅力，凝聚共识和增强人民群众的获得感和幸福感</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感受蜀道文化魅力，凝聚共识和增强人民群众的获得感和幸福感</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2"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加强生态文明建设</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共同探寻蜀道文化保护和传承，调动广大人民群众积极性、主动性、创造性，巩固发展新时代生态文明建设成果。</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共同探寻蜀道文化保护和传承，调动广大人民群众积极性、主动性、创造性，巩固发展新时代生态文明建设成果。</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9"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未来经济发展趋势</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为深入贯彻落实</w:t>
            </w:r>
            <w:r>
              <w:rPr>
                <w:rFonts w:hint="eastAsia" w:ascii="宋体" w:hAnsi="宋体" w:cs="宋体"/>
                <w:i w:val="0"/>
                <w:iCs w:val="0"/>
                <w:color w:val="000000"/>
                <w:kern w:val="0"/>
                <w:sz w:val="18"/>
                <w:szCs w:val="18"/>
                <w:u w:val="none"/>
                <w:lang w:val="en-US" w:eastAsia="zh-CN" w:bidi="ar"/>
              </w:rPr>
              <w:t>习近平总书记</w:t>
            </w:r>
            <w:r>
              <w:rPr>
                <w:rFonts w:ascii="宋体" w:hAnsi="宋体" w:eastAsia="宋体" w:cs="宋体"/>
                <w:i w:val="0"/>
                <w:iCs w:val="0"/>
                <w:color w:val="000000"/>
                <w:kern w:val="0"/>
                <w:sz w:val="18"/>
                <w:szCs w:val="18"/>
                <w:u w:val="none"/>
                <w:lang w:val="en-US" w:eastAsia="zh-CN" w:bidi="ar"/>
              </w:rPr>
              <w:t>关于文化传承发展的重要论述，传承发扬广元蜀道文化、三国文化、红色文化、武则天历史名人文化、民俗文化。</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为深入贯彻落实</w:t>
            </w:r>
            <w:r>
              <w:rPr>
                <w:rFonts w:hint="eastAsia" w:ascii="宋体" w:hAnsi="宋体" w:cs="宋体"/>
                <w:i w:val="0"/>
                <w:iCs w:val="0"/>
                <w:color w:val="000000"/>
                <w:kern w:val="0"/>
                <w:sz w:val="18"/>
                <w:szCs w:val="18"/>
                <w:u w:val="none"/>
                <w:lang w:val="en-US" w:eastAsia="zh-CN" w:bidi="ar"/>
              </w:rPr>
              <w:t>习近平总书记</w:t>
            </w:r>
            <w:r>
              <w:rPr>
                <w:rFonts w:ascii="宋体" w:hAnsi="宋体" w:eastAsia="宋体" w:cs="宋体"/>
                <w:i w:val="0"/>
                <w:iCs w:val="0"/>
                <w:color w:val="000000"/>
                <w:kern w:val="0"/>
                <w:sz w:val="18"/>
                <w:szCs w:val="18"/>
                <w:u w:val="none"/>
                <w:lang w:val="en-US" w:eastAsia="zh-CN" w:bidi="ar"/>
              </w:rPr>
              <w:t>关于文化传承发展的重要论述，传承发扬广元蜀道文化、三国文化、红色文化、武则天历史名人文化、民俗文化。</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群众对社会变化满意度</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4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稿费</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办公费等</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0.07</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0.07</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86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53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结合自评情况，项目自评总分97分，书写蜀道文化，宣传蜀道文化。请编撰2人，编撰反映广元历史文化的通俗读本，激发文化自信。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53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53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26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项目负责人：王尚敏</w:t>
            </w:r>
          </w:p>
        </w:tc>
        <w:tc>
          <w:tcPr>
            <w:tcW w:w="273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财务负责人：马晓燕</w:t>
            </w:r>
          </w:p>
        </w:tc>
      </w:tr>
    </w:tbl>
    <w:p>
      <w:pPr>
        <w:pStyle w:val="20"/>
        <w:spacing w:before="319"/>
        <w:ind w:left="0" w:firstLine="0"/>
        <w:rPr>
          <w:rFonts w:hint="eastAsia"/>
          <w:lang w:val="en-US" w:eastAsia="zh-CN"/>
        </w:rPr>
      </w:pPr>
    </w:p>
    <w:p>
      <w:pPr>
        <w:pStyle w:val="20"/>
        <w:spacing w:before="319"/>
        <w:ind w:left="0" w:firstLine="0"/>
        <w:rPr>
          <w:rFonts w:hint="eastAsia"/>
          <w:lang w:val="en-US" w:eastAsia="zh-CN"/>
        </w:rPr>
      </w:pPr>
    </w:p>
    <w:p>
      <w:pPr>
        <w:pStyle w:val="20"/>
        <w:spacing w:before="319"/>
        <w:ind w:left="0" w:firstLine="0"/>
        <w:rPr>
          <w:rFonts w:hint="eastAsia"/>
          <w:lang w:val="en-US" w:eastAsia="zh-CN"/>
        </w:rPr>
      </w:pPr>
    </w:p>
    <w:p>
      <w:pPr>
        <w:pStyle w:val="20"/>
        <w:spacing w:before="319"/>
        <w:ind w:left="0" w:firstLine="0"/>
        <w:rPr>
          <w:rFonts w:hint="eastAsia"/>
          <w:lang w:val="en-US" w:eastAsia="zh-CN"/>
        </w:rPr>
      </w:pPr>
    </w:p>
    <w:p>
      <w:pPr>
        <w:pStyle w:val="20"/>
        <w:spacing w:before="319"/>
        <w:ind w:left="0" w:firstLine="0"/>
        <w:rPr>
          <w:rFonts w:hint="default"/>
          <w:lang w:val="en-US" w:eastAsia="zh-CN"/>
        </w:rPr>
      </w:pPr>
      <w:r>
        <w:rPr>
          <w:rFonts w:hint="eastAsia"/>
          <w:lang w:val="en-US" w:eastAsia="zh-CN"/>
        </w:rPr>
        <w:t>附件15</w:t>
      </w:r>
    </w:p>
    <w:tbl>
      <w:tblPr>
        <w:tblStyle w:val="12"/>
        <w:tblW w:w="5998" w:type="pct"/>
        <w:tblInd w:w="-75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97"/>
        <w:gridCol w:w="1075"/>
        <w:gridCol w:w="895"/>
        <w:gridCol w:w="1181"/>
        <w:gridCol w:w="668"/>
        <w:gridCol w:w="1158"/>
        <w:gridCol w:w="607"/>
        <w:gridCol w:w="1101"/>
        <w:gridCol w:w="570"/>
        <w:gridCol w:w="709"/>
        <w:gridCol w:w="9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6" w:hRule="atLeast"/>
        </w:trPr>
        <w:tc>
          <w:tcPr>
            <w:tcW w:w="11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8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51080024T000011860205-"名家走蜀道“活动项目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1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537"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 xml:space="preserve">实施单位 </w:t>
            </w:r>
          </w:p>
        </w:tc>
        <w:tc>
          <w:tcPr>
            <w:tcW w:w="109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广元市作家协会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63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5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3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2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邀请名家走进广元，在行走中探究蜀道历史，感受蜀道文化魅力，共同探寻蜀道文化保护和传承，书写蜀道文化、宣传蜀道文化。</w:t>
            </w:r>
          </w:p>
        </w:tc>
        <w:tc>
          <w:tcPr>
            <w:tcW w:w="163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邀请名家走进广元，在行走中探究蜀道历史，感受蜀道文化魅力，共同探寻蜀道文化保护和传承，书写蜀道文化、宣传蜀道文化。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93" w:hRule="atLeast"/>
        </w:trPr>
        <w:tc>
          <w:tcPr>
            <w:tcW w:w="6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383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邀请名家2人走进广元，在行走中探究蜀道历史，感受蜀道文化魅力，共同探寻蜀道文化保护和传承，书写蜀道文化、宣传蜀道文化。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3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1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6" w:hRule="atLeast"/>
        </w:trPr>
        <w:tc>
          <w:tcPr>
            <w:tcW w:w="6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0.80</w:t>
            </w:r>
          </w:p>
        </w:tc>
        <w:tc>
          <w:tcPr>
            <w:tcW w:w="11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0.80</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0.80</w:t>
            </w:r>
          </w:p>
        </w:tc>
        <w:tc>
          <w:tcPr>
            <w:tcW w:w="11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0.80</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7" w:hRule="atLeast"/>
        </w:trPr>
        <w:tc>
          <w:tcPr>
            <w:tcW w:w="6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6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1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3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5" w:hRule="atLeast"/>
        </w:trPr>
        <w:tc>
          <w:tcPr>
            <w:tcW w:w="6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4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邀请名家</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活动期数</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期</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6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宣传广元</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书写蜀道文化、宣传蜀道文化</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书写蜀道文化、宣传蜀道文化</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预算时间节点完成</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2024年12月31日</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2024年12月31日</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4" w:hRule="atLeast"/>
        </w:trPr>
        <w:tc>
          <w:tcPr>
            <w:tcW w:w="6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凝聚共识和增强人民群众的获得感和幸福感</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感受蜀道文化魅力，凝聚共识和增强人民群众的获得感和幸福感。</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感受蜀道文化魅力，凝聚共识和增强人民群众的获得感和幸福感。</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2" w:hRule="atLeast"/>
        </w:trPr>
        <w:tc>
          <w:tcPr>
            <w:tcW w:w="6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加强生态文明建设</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共同探寻蜀道文化保护和传承，调动广大人民群众积极性、主动性、创造性，巩固发展新时代生态文明建设成果。</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共同探寻蜀道文化保护和传承，调动广大人民群众积极性、主动性、创造性，巩固发展新时代生态文明建设成果。</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809" w:hRule="atLeast"/>
        </w:trPr>
        <w:tc>
          <w:tcPr>
            <w:tcW w:w="6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未来经济发展趋势</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为深入贯彻落实习近平总书记关于文化传承发展的重要论述，传承发扬广元蜀道文化、三国文化、红色文化、武则天历史名人文化、民俗文化</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为深入贯彻落实习近平总书记关于文化传承发展的重要论述，传承发扬广元蜀道文化、三国文化、红色文化、武则天历史名人文化、民俗文化</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群众对社会变化满意度</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6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4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租车费等</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0.4</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0.4</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往返交通费、差旅费</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0.4</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0.4</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390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r>
              <w:rPr>
                <w:rFonts w:hint="eastAsia" w:ascii="宋体" w:hAnsi="宋体" w:eastAsia="宋体" w:cs="宋体"/>
                <w:i w:val="0"/>
                <w:iCs w:val="0"/>
                <w:color w:val="000000"/>
                <w:kern w:val="0"/>
                <w:sz w:val="18"/>
                <w:szCs w:val="18"/>
                <w:u w:val="none"/>
                <w:lang w:val="en-US" w:eastAsia="zh-CN" w:bidi="ar"/>
              </w:rPr>
              <w:t>8</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364"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结合自评情况，项目自评总分98分，邀请名家2人走进广元，在行走中探究蜀道历史，感受蜀道文化魅力，共同探寻蜀道文化保护和传承，书写蜀道文化、宣传蜀道文化。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2" w:hRule="atLeast"/>
        </w:trPr>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364"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364"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250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项目负责人：王尚敏</w:t>
            </w:r>
          </w:p>
        </w:tc>
        <w:tc>
          <w:tcPr>
            <w:tcW w:w="249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财务负责人：马晓燕</w:t>
            </w:r>
          </w:p>
        </w:tc>
      </w:tr>
    </w:tbl>
    <w:p>
      <w:pPr>
        <w:pStyle w:val="20"/>
        <w:spacing w:before="319"/>
        <w:ind w:left="0" w:firstLine="0"/>
        <w:rPr>
          <w:rFonts w:hint="eastAsia"/>
          <w:lang w:val="en-US" w:eastAsia="zh-CN"/>
        </w:rPr>
      </w:pPr>
    </w:p>
    <w:p>
      <w:pPr>
        <w:pStyle w:val="20"/>
        <w:spacing w:before="319"/>
        <w:ind w:left="0" w:firstLine="0"/>
        <w:rPr>
          <w:rFonts w:hint="default"/>
          <w:lang w:val="en-US" w:eastAsia="zh-CN"/>
        </w:rPr>
      </w:pPr>
      <w:r>
        <w:rPr>
          <w:rFonts w:hint="eastAsia"/>
          <w:lang w:val="en-US" w:eastAsia="zh-CN"/>
        </w:rPr>
        <w:t>附件16</w:t>
      </w:r>
    </w:p>
    <w:tbl>
      <w:tblPr>
        <w:tblStyle w:val="12"/>
        <w:tblW w:w="5879" w:type="pct"/>
        <w:tblInd w:w="-80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5"/>
        <w:gridCol w:w="1059"/>
        <w:gridCol w:w="993"/>
        <w:gridCol w:w="1764"/>
        <w:gridCol w:w="603"/>
        <w:gridCol w:w="585"/>
        <w:gridCol w:w="653"/>
        <w:gridCol w:w="1027"/>
        <w:gridCol w:w="579"/>
        <w:gridCol w:w="579"/>
        <w:gridCol w:w="11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6" w:hRule="atLeast"/>
        </w:trPr>
        <w:tc>
          <w:tcPr>
            <w:tcW w:w="10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97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51080025T000012875249-庆祝中华人民共和国成立75周年系列文化活动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trPr>
        <w:tc>
          <w:tcPr>
            <w:tcW w:w="10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512"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 xml:space="preserve">实施单位 </w:t>
            </w:r>
          </w:p>
        </w:tc>
        <w:tc>
          <w:tcPr>
            <w:tcW w:w="116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广元市作家协会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4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5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7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2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市委宣传部指导，围绕庆祝中华人民共和国成立75周年策划开展文化采风创作活动，营造浓厚的社会氛围。</w:t>
            </w:r>
          </w:p>
        </w:tc>
        <w:tc>
          <w:tcPr>
            <w:tcW w:w="167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市委宣传部指导，围绕庆祝中华人民共和国成立75周年策划开展文化采风创作活动，营造浓厚的社会氛围。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397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围绕庆祝中华人民共和国成立75周年策划开展文化采风创作活动，营造浓厚的社会氛围。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trPr>
        <w:tc>
          <w:tcPr>
            <w:tcW w:w="4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1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6"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8.50</w:t>
            </w:r>
          </w:p>
        </w:tc>
        <w:tc>
          <w:tcPr>
            <w:tcW w:w="91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8.50</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8.50</w:t>
            </w:r>
          </w:p>
        </w:tc>
        <w:tc>
          <w:tcPr>
            <w:tcW w:w="91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8.50</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7"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63"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1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4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策划开展系列活动</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场次</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研讨交流</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场</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2"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活动开展成功率</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78"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为庆祝中华人民共和国成立75周年营造浓厚的社会氛围。</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4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群众满意度</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群众评价</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开展系列文化活动、研讨交流支出</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6" w:hRule="atLeast"/>
        </w:trPr>
        <w:tc>
          <w:tcPr>
            <w:tcW w:w="383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5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结合自评情况，项目自评总分96分，2024年是中华人民共和国成立75周年，开展庆祝中华人民共和国成立75周年系列文化活动，是贯彻落实习近平新时代中国特色社会主义思想和党的二十大精神的重要举措。策划开展采风创作、研计交流等一系列形式多样、内涵丰富的文化活动，营造浓厚的社会氛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08" w:hRule="atLeast"/>
        </w:trPr>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5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 w:hRule="atLeast"/>
        </w:trPr>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5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270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项目负责人：王尚敏</w:t>
            </w:r>
          </w:p>
        </w:tc>
        <w:tc>
          <w:tcPr>
            <w:tcW w:w="229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财务负责人：马晓燕</w:t>
            </w:r>
          </w:p>
        </w:tc>
      </w:tr>
    </w:tbl>
    <w:p>
      <w:pPr>
        <w:spacing w:line="600" w:lineRule="exact"/>
        <w:outlineLvl w:val="0"/>
        <w:rPr>
          <w:rFonts w:ascii="仿宋" w:hAnsi="仿宋" w:eastAsia="仿宋"/>
        </w:rPr>
      </w:pPr>
      <w:bookmarkStart w:id="64" w:name="_Toc16831"/>
      <w:r>
        <w:rPr>
          <w:rFonts w:hint="eastAsia" w:ascii="黑体" w:hAnsi="黑体" w:eastAsia="黑体"/>
          <w:sz w:val="44"/>
          <w:szCs w:val="44"/>
        </w:rPr>
        <w:t>第</w:t>
      </w:r>
      <w:r>
        <w:rPr>
          <w:rStyle w:val="17"/>
          <w:rFonts w:hint="eastAsia" w:ascii="黑体" w:hAnsi="黑体" w:eastAsia="黑体"/>
          <w:b w:val="0"/>
        </w:rPr>
        <w:t>五部分 附表</w:t>
      </w:r>
      <w:bookmarkEnd w:id="59"/>
      <w:bookmarkEnd w:id="60"/>
      <w:bookmarkEnd w:id="64"/>
      <w:bookmarkStart w:id="65" w:name="_Toc15396619"/>
    </w:p>
    <w:p>
      <w:pPr>
        <w:pStyle w:val="3"/>
        <w:spacing w:before="0" w:after="0"/>
        <w:rPr>
          <w:rFonts w:ascii="仿宋" w:hAnsi="仿宋" w:eastAsia="仿宋"/>
        </w:rPr>
      </w:pPr>
      <w:bookmarkStart w:id="66" w:name="_Toc12518"/>
      <w:r>
        <w:rPr>
          <w:rFonts w:hint="eastAsia" w:ascii="仿宋" w:hAnsi="仿宋" w:eastAsia="仿宋"/>
          <w:b w:val="0"/>
        </w:rPr>
        <w:t>一、收</w:t>
      </w:r>
      <w:r>
        <w:rPr>
          <w:rStyle w:val="18"/>
          <w:rFonts w:hint="eastAsia" w:ascii="仿宋" w:hAnsi="仿宋" w:eastAsia="仿宋"/>
          <w:b w:val="0"/>
          <w:bCs w:val="0"/>
        </w:rPr>
        <w:t>入支出决算总表</w:t>
      </w:r>
      <w:bookmarkEnd w:id="65"/>
      <w:bookmarkEnd w:id="66"/>
    </w:p>
    <w:p>
      <w:pPr>
        <w:pStyle w:val="3"/>
        <w:spacing w:before="0" w:after="0"/>
        <w:rPr>
          <w:rFonts w:ascii="仿宋" w:hAnsi="仿宋" w:eastAsia="仿宋"/>
        </w:rPr>
      </w:pPr>
      <w:bookmarkStart w:id="67" w:name="_Toc15396620"/>
      <w:bookmarkStart w:id="68" w:name="_Toc22760"/>
      <w:r>
        <w:rPr>
          <w:rFonts w:hint="eastAsia" w:ascii="仿宋" w:hAnsi="仿宋" w:eastAsia="仿宋"/>
          <w:b w:val="0"/>
        </w:rPr>
        <w:t>二、收</w:t>
      </w:r>
      <w:r>
        <w:rPr>
          <w:rStyle w:val="18"/>
          <w:rFonts w:hint="eastAsia" w:ascii="仿宋" w:hAnsi="仿宋" w:eastAsia="仿宋"/>
          <w:b w:val="0"/>
          <w:bCs w:val="0"/>
        </w:rPr>
        <w:t>入决算表</w:t>
      </w:r>
      <w:bookmarkEnd w:id="67"/>
      <w:bookmarkEnd w:id="68"/>
    </w:p>
    <w:p>
      <w:pPr>
        <w:pStyle w:val="3"/>
        <w:spacing w:before="0" w:after="0"/>
        <w:rPr>
          <w:rFonts w:ascii="仿宋" w:hAnsi="仿宋" w:eastAsia="仿宋"/>
        </w:rPr>
      </w:pPr>
      <w:bookmarkStart w:id="69" w:name="_Toc11951"/>
      <w:bookmarkStart w:id="70" w:name="_Toc15396621"/>
      <w:r>
        <w:rPr>
          <w:rStyle w:val="18"/>
          <w:rFonts w:hint="eastAsia" w:ascii="仿宋" w:hAnsi="仿宋" w:eastAsia="仿宋"/>
          <w:b w:val="0"/>
          <w:bCs w:val="0"/>
        </w:rPr>
        <w:t>三、</w:t>
      </w:r>
      <w:r>
        <w:rPr>
          <w:rFonts w:hint="eastAsia" w:ascii="仿宋" w:hAnsi="仿宋" w:eastAsia="仿宋"/>
          <w:b w:val="0"/>
        </w:rPr>
        <w:t>支</w:t>
      </w:r>
      <w:r>
        <w:rPr>
          <w:rStyle w:val="18"/>
          <w:rFonts w:hint="eastAsia" w:ascii="仿宋" w:hAnsi="仿宋" w:eastAsia="仿宋"/>
          <w:b w:val="0"/>
          <w:bCs w:val="0"/>
        </w:rPr>
        <w:t>出决算表</w:t>
      </w:r>
      <w:bookmarkEnd w:id="69"/>
      <w:bookmarkEnd w:id="70"/>
    </w:p>
    <w:p>
      <w:pPr>
        <w:pStyle w:val="3"/>
        <w:spacing w:before="0" w:after="0"/>
        <w:rPr>
          <w:rFonts w:ascii="仿宋" w:hAnsi="仿宋" w:eastAsia="仿宋"/>
          <w:b w:val="0"/>
        </w:rPr>
      </w:pPr>
      <w:bookmarkStart w:id="71" w:name="_Toc31071"/>
      <w:bookmarkStart w:id="72" w:name="_Toc15396622"/>
      <w:r>
        <w:rPr>
          <w:rStyle w:val="18"/>
          <w:rFonts w:hint="eastAsia" w:ascii="仿宋" w:hAnsi="仿宋" w:eastAsia="仿宋"/>
          <w:b w:val="0"/>
          <w:bCs w:val="0"/>
        </w:rPr>
        <w:t>四、</w:t>
      </w:r>
      <w:r>
        <w:rPr>
          <w:rFonts w:hint="eastAsia" w:ascii="仿宋" w:hAnsi="仿宋" w:eastAsia="仿宋"/>
          <w:b w:val="0"/>
        </w:rPr>
        <w:t>财</w:t>
      </w:r>
      <w:r>
        <w:rPr>
          <w:rStyle w:val="18"/>
          <w:rFonts w:hint="eastAsia" w:ascii="仿宋" w:hAnsi="仿宋" w:eastAsia="仿宋"/>
          <w:b w:val="0"/>
          <w:bCs w:val="0"/>
        </w:rPr>
        <w:t>政拨款收入支出决算总表</w:t>
      </w:r>
      <w:bookmarkEnd w:id="71"/>
      <w:bookmarkEnd w:id="72"/>
    </w:p>
    <w:p>
      <w:pPr>
        <w:pStyle w:val="3"/>
        <w:spacing w:before="0" w:after="0"/>
        <w:rPr>
          <w:rStyle w:val="18"/>
          <w:rFonts w:ascii="仿宋" w:hAnsi="仿宋" w:eastAsia="仿宋"/>
          <w:b w:val="0"/>
          <w:bCs w:val="0"/>
        </w:rPr>
      </w:pPr>
      <w:bookmarkStart w:id="73" w:name="_Toc21748"/>
      <w:bookmarkStart w:id="74" w:name="_Toc15396623"/>
      <w:r>
        <w:rPr>
          <w:rStyle w:val="18"/>
          <w:rFonts w:hint="eastAsia" w:ascii="仿宋" w:hAnsi="仿宋" w:eastAsia="仿宋"/>
          <w:b w:val="0"/>
          <w:bCs w:val="0"/>
        </w:rPr>
        <w:t>五、</w:t>
      </w:r>
      <w:r>
        <w:rPr>
          <w:rFonts w:hint="eastAsia" w:ascii="仿宋" w:hAnsi="仿宋" w:eastAsia="仿宋"/>
          <w:b w:val="0"/>
        </w:rPr>
        <w:t>财</w:t>
      </w:r>
      <w:r>
        <w:rPr>
          <w:rStyle w:val="18"/>
          <w:rFonts w:hint="eastAsia" w:ascii="仿宋" w:hAnsi="仿宋" w:eastAsia="仿宋"/>
          <w:b w:val="0"/>
          <w:bCs w:val="0"/>
        </w:rPr>
        <w:t>政拨款支出决算明细表</w:t>
      </w:r>
      <w:bookmarkEnd w:id="73"/>
      <w:bookmarkEnd w:id="74"/>
      <w:bookmarkStart w:id="75" w:name="_Toc15396624"/>
    </w:p>
    <w:p>
      <w:pPr>
        <w:pStyle w:val="3"/>
        <w:spacing w:before="0" w:after="0"/>
        <w:rPr>
          <w:rFonts w:ascii="仿宋" w:hAnsi="仿宋" w:eastAsia="仿宋"/>
        </w:rPr>
      </w:pPr>
      <w:bookmarkStart w:id="76" w:name="_Toc28729"/>
      <w:r>
        <w:rPr>
          <w:rStyle w:val="18"/>
          <w:rFonts w:hint="eastAsia" w:ascii="仿宋" w:hAnsi="仿宋" w:eastAsia="仿宋"/>
          <w:b w:val="0"/>
          <w:bCs w:val="0"/>
        </w:rPr>
        <w:t>六、</w:t>
      </w:r>
      <w:r>
        <w:rPr>
          <w:rFonts w:hint="eastAsia" w:ascii="仿宋" w:hAnsi="仿宋" w:eastAsia="仿宋"/>
          <w:b w:val="0"/>
        </w:rPr>
        <w:t>一</w:t>
      </w:r>
      <w:r>
        <w:rPr>
          <w:rStyle w:val="18"/>
          <w:rFonts w:hint="eastAsia" w:ascii="仿宋" w:hAnsi="仿宋" w:eastAsia="仿宋"/>
          <w:b w:val="0"/>
          <w:bCs w:val="0"/>
        </w:rPr>
        <w:t>般公共预算财政拨款支出决算表</w:t>
      </w:r>
      <w:bookmarkEnd w:id="75"/>
      <w:bookmarkEnd w:id="76"/>
    </w:p>
    <w:p>
      <w:pPr>
        <w:pStyle w:val="3"/>
        <w:spacing w:before="0" w:after="0"/>
        <w:rPr>
          <w:rFonts w:ascii="仿宋" w:hAnsi="仿宋" w:eastAsia="仿宋"/>
        </w:rPr>
      </w:pPr>
      <w:bookmarkStart w:id="77" w:name="_Toc15396625"/>
      <w:bookmarkStart w:id="78" w:name="_Toc12684"/>
      <w:r>
        <w:rPr>
          <w:rStyle w:val="18"/>
          <w:rFonts w:hint="eastAsia" w:ascii="仿宋" w:hAnsi="仿宋" w:eastAsia="仿宋"/>
          <w:b w:val="0"/>
          <w:bCs w:val="0"/>
        </w:rPr>
        <w:t>七、</w:t>
      </w:r>
      <w:r>
        <w:rPr>
          <w:rFonts w:hint="eastAsia" w:ascii="仿宋" w:hAnsi="仿宋" w:eastAsia="仿宋"/>
          <w:b w:val="0"/>
        </w:rPr>
        <w:t>一</w:t>
      </w:r>
      <w:r>
        <w:rPr>
          <w:rStyle w:val="18"/>
          <w:rFonts w:hint="eastAsia" w:ascii="仿宋" w:hAnsi="仿宋" w:eastAsia="仿宋"/>
          <w:b w:val="0"/>
          <w:bCs w:val="0"/>
        </w:rPr>
        <w:t>般公共预算财政拨款支出决算明细表</w:t>
      </w:r>
      <w:bookmarkEnd w:id="77"/>
      <w:bookmarkEnd w:id="78"/>
    </w:p>
    <w:p>
      <w:pPr>
        <w:pStyle w:val="3"/>
        <w:spacing w:before="0" w:after="0"/>
        <w:rPr>
          <w:rFonts w:ascii="仿宋" w:hAnsi="仿宋" w:eastAsia="仿宋"/>
        </w:rPr>
      </w:pPr>
      <w:bookmarkStart w:id="79" w:name="_Toc15396626"/>
      <w:bookmarkStart w:id="80" w:name="_Toc7333"/>
      <w:r>
        <w:rPr>
          <w:rStyle w:val="18"/>
          <w:rFonts w:hint="eastAsia" w:ascii="仿宋" w:hAnsi="仿宋" w:eastAsia="仿宋"/>
          <w:b w:val="0"/>
          <w:bCs w:val="0"/>
        </w:rPr>
        <w:t>八、</w:t>
      </w:r>
      <w:r>
        <w:rPr>
          <w:rFonts w:hint="eastAsia" w:ascii="仿宋" w:hAnsi="仿宋" w:eastAsia="仿宋"/>
          <w:b w:val="0"/>
        </w:rPr>
        <w:t>一</w:t>
      </w:r>
      <w:r>
        <w:rPr>
          <w:rStyle w:val="18"/>
          <w:rFonts w:hint="eastAsia" w:ascii="仿宋" w:hAnsi="仿宋" w:eastAsia="仿宋"/>
          <w:b w:val="0"/>
          <w:bCs w:val="0"/>
        </w:rPr>
        <w:t>般公共预算财政拨款基本支出决算表</w:t>
      </w:r>
      <w:bookmarkEnd w:id="79"/>
      <w:bookmarkEnd w:id="80"/>
    </w:p>
    <w:p>
      <w:pPr>
        <w:pStyle w:val="3"/>
        <w:spacing w:before="0" w:after="0"/>
        <w:rPr>
          <w:rFonts w:ascii="仿宋" w:hAnsi="仿宋" w:eastAsia="仿宋"/>
        </w:rPr>
      </w:pPr>
      <w:bookmarkStart w:id="81" w:name="_Toc15396627"/>
      <w:bookmarkStart w:id="82" w:name="_Toc21715"/>
      <w:r>
        <w:rPr>
          <w:rStyle w:val="18"/>
          <w:rFonts w:hint="eastAsia" w:ascii="仿宋" w:hAnsi="仿宋" w:eastAsia="仿宋"/>
          <w:b w:val="0"/>
          <w:bCs w:val="0"/>
        </w:rPr>
        <w:t>九、</w:t>
      </w:r>
      <w:r>
        <w:rPr>
          <w:rFonts w:hint="eastAsia" w:ascii="仿宋" w:hAnsi="仿宋" w:eastAsia="仿宋"/>
          <w:b w:val="0"/>
        </w:rPr>
        <w:t>一</w:t>
      </w:r>
      <w:r>
        <w:rPr>
          <w:rStyle w:val="18"/>
          <w:rFonts w:hint="eastAsia" w:ascii="仿宋" w:hAnsi="仿宋" w:eastAsia="仿宋"/>
          <w:b w:val="0"/>
          <w:bCs w:val="0"/>
        </w:rPr>
        <w:t>般公共预算财政拨款项目支出决算表</w:t>
      </w:r>
      <w:bookmarkEnd w:id="81"/>
      <w:bookmarkEnd w:id="82"/>
    </w:p>
    <w:p>
      <w:pPr>
        <w:pStyle w:val="3"/>
        <w:spacing w:before="0" w:after="0"/>
        <w:rPr>
          <w:rFonts w:ascii="仿宋" w:hAnsi="仿宋" w:eastAsia="仿宋"/>
        </w:rPr>
      </w:pPr>
      <w:bookmarkStart w:id="83" w:name="_Toc15396628"/>
      <w:bookmarkStart w:id="84" w:name="_Toc27593"/>
      <w:r>
        <w:rPr>
          <w:rStyle w:val="18"/>
          <w:rFonts w:hint="eastAsia" w:ascii="仿宋" w:hAnsi="仿宋" w:eastAsia="仿宋"/>
          <w:b w:val="0"/>
          <w:bCs w:val="0"/>
        </w:rPr>
        <w:t>十、</w:t>
      </w:r>
      <w:bookmarkEnd w:id="83"/>
      <w:r>
        <w:rPr>
          <w:rFonts w:hint="eastAsia" w:ascii="仿宋" w:hAnsi="仿宋" w:eastAsia="仿宋"/>
          <w:b w:val="0"/>
        </w:rPr>
        <w:t>政</w:t>
      </w:r>
      <w:r>
        <w:rPr>
          <w:rStyle w:val="18"/>
          <w:rFonts w:hint="eastAsia" w:ascii="仿宋" w:hAnsi="仿宋" w:eastAsia="仿宋"/>
          <w:b w:val="0"/>
          <w:bCs w:val="0"/>
        </w:rPr>
        <w:t>府性基金预算财政拨款收入支出决算表</w:t>
      </w:r>
      <w:bookmarkEnd w:id="84"/>
    </w:p>
    <w:p>
      <w:pPr>
        <w:pStyle w:val="3"/>
        <w:spacing w:before="0" w:after="0"/>
        <w:rPr>
          <w:rFonts w:ascii="仿宋" w:hAnsi="仿宋" w:eastAsia="仿宋"/>
        </w:rPr>
      </w:pPr>
      <w:bookmarkStart w:id="85" w:name="_Toc15396629"/>
      <w:bookmarkStart w:id="86" w:name="_Toc9364"/>
      <w:r>
        <w:rPr>
          <w:rStyle w:val="18"/>
          <w:rFonts w:hint="eastAsia" w:ascii="仿宋" w:hAnsi="仿宋" w:eastAsia="仿宋"/>
          <w:b w:val="0"/>
          <w:bCs w:val="0"/>
        </w:rPr>
        <w:t>十一、</w:t>
      </w:r>
      <w:bookmarkEnd w:id="85"/>
      <w:r>
        <w:rPr>
          <w:rFonts w:hint="eastAsia" w:ascii="仿宋" w:hAnsi="仿宋" w:eastAsia="仿宋"/>
          <w:b w:val="0"/>
        </w:rPr>
        <w:t>国</w:t>
      </w:r>
      <w:r>
        <w:rPr>
          <w:rStyle w:val="18"/>
          <w:rFonts w:hint="eastAsia" w:ascii="仿宋" w:hAnsi="仿宋" w:eastAsia="仿宋"/>
          <w:b w:val="0"/>
          <w:bCs w:val="0"/>
        </w:rPr>
        <w:t>有资本经营预算财政拨款收入支出决算表</w:t>
      </w:r>
      <w:bookmarkEnd w:id="86"/>
    </w:p>
    <w:p>
      <w:pPr>
        <w:pStyle w:val="3"/>
        <w:spacing w:before="0" w:after="0"/>
        <w:rPr>
          <w:rFonts w:ascii="仿宋" w:hAnsi="仿宋" w:eastAsia="仿宋"/>
        </w:rPr>
      </w:pPr>
      <w:bookmarkStart w:id="87" w:name="_Toc15396630"/>
      <w:bookmarkStart w:id="88" w:name="_Toc3232"/>
      <w:r>
        <w:rPr>
          <w:rStyle w:val="18"/>
          <w:rFonts w:hint="eastAsia" w:ascii="仿宋" w:hAnsi="仿宋" w:eastAsia="仿宋"/>
          <w:b w:val="0"/>
          <w:bCs w:val="0"/>
        </w:rPr>
        <w:t>十二、</w:t>
      </w:r>
      <w:bookmarkEnd w:id="87"/>
      <w:r>
        <w:rPr>
          <w:rStyle w:val="18"/>
          <w:rFonts w:hint="eastAsia" w:ascii="仿宋" w:hAnsi="仿宋" w:eastAsia="仿宋"/>
          <w:b w:val="0"/>
          <w:bCs w:val="0"/>
        </w:rPr>
        <w:t>国有资本经营预算财政拨款支出决算表</w:t>
      </w:r>
      <w:bookmarkEnd w:id="88"/>
    </w:p>
    <w:p>
      <w:pPr>
        <w:pStyle w:val="3"/>
        <w:spacing w:before="0" w:after="0"/>
        <w:rPr>
          <w:rFonts w:eastAsia="仿宋"/>
        </w:rPr>
      </w:pPr>
      <w:bookmarkStart w:id="89" w:name="_Toc15396631"/>
      <w:bookmarkStart w:id="90" w:name="_Toc15080"/>
      <w:r>
        <w:rPr>
          <w:rStyle w:val="18"/>
          <w:rFonts w:hint="eastAsia" w:ascii="仿宋" w:hAnsi="仿宋" w:eastAsia="仿宋"/>
          <w:b w:val="0"/>
          <w:bCs w:val="0"/>
        </w:rPr>
        <w:t>十三、</w:t>
      </w:r>
      <w:bookmarkEnd w:id="89"/>
      <w:r>
        <w:rPr>
          <w:rStyle w:val="18"/>
          <w:rFonts w:hint="eastAsia" w:ascii="仿宋" w:hAnsi="仿宋" w:eastAsia="仿宋"/>
          <w:b w:val="0"/>
          <w:bCs w:val="0"/>
        </w:rPr>
        <w:t>财政拨款“三公”经费支出决算表</w:t>
      </w:r>
      <w:bookmarkEnd w:id="90"/>
    </w:p>
    <w:bookmarkEnd w:id="91"/>
    <w:sectPr>
      <w:pgSz w:w="11906" w:h="16838"/>
      <w:pgMar w:top="1440" w:right="1803" w:bottom="1440" w:left="1803" w:header="851" w:footer="992" w:gutter="0"/>
      <w:cols w:space="0" w:num="1"/>
      <w:titlePg/>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path/>
          <v:fill on="f" focussize="0,0"/>
          <v:stroke on="f" weight="0.5pt" joinstyle="miter"/>
          <v:imagedata o:title=""/>
          <o:lock v:ext="edit"/>
          <v:textbox inset="0mm,0mm,0mm,0mm" style="mso-fit-shape-to-text:t;">
            <w:txbxContent>
              <w:p>
                <w:pPr>
                  <w:pStyle w:val="8"/>
                </w:pPr>
                <w:r>
                  <w:fldChar w:fldCharType="begin"/>
                </w:r>
                <w:r>
                  <w:instrText xml:space="preserve"> PAGE  \* MERGEFORMAT </w:instrText>
                </w:r>
                <w:r>
                  <w:fldChar w:fldCharType="separate"/>
                </w:r>
                <w:r>
                  <w:t>23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path/>
          <v:fill on="f" focussize="0,0"/>
          <v:stroke on="f" weight="0.5pt" joinstyle="miter"/>
          <v:imagedata o:title=""/>
          <o:lock v:ext="edit"/>
          <v:textbox inset="0mm,0mm,0mm,0mm" style="mso-fit-shape-to-text:t;">
            <w:txbxContent>
              <w:p>
                <w:pPr>
                  <w:pStyle w:val="8"/>
                </w:pPr>
                <w:r>
                  <w:fldChar w:fldCharType="begin"/>
                </w:r>
                <w:r>
                  <w:instrText xml:space="preserve"> PAGE  \* MERGEFORMAT </w:instrText>
                </w:r>
                <w:r>
                  <w:fldChar w:fldCharType="separate"/>
                </w:r>
                <w:r>
                  <w:t>14</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1">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drawingGridHorizontalSpacing w:val="105"/>
  <w:drawingGridVerticalSpacing w:val="159"/>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2FiY2M2NGVjODVlYWE4ZTVhNTEzMDI4NTgxMjdmOGMifQ=="/>
  </w:docVars>
  <w:rsids>
    <w:rsidRoot w:val="00F1361C"/>
    <w:rsid w:val="00007532"/>
    <w:rsid w:val="00014D1E"/>
    <w:rsid w:val="000222C6"/>
    <w:rsid w:val="0002549F"/>
    <w:rsid w:val="00045791"/>
    <w:rsid w:val="000468DB"/>
    <w:rsid w:val="0006487A"/>
    <w:rsid w:val="00065F8F"/>
    <w:rsid w:val="00070A43"/>
    <w:rsid w:val="000768F2"/>
    <w:rsid w:val="000911B5"/>
    <w:rsid w:val="0009184B"/>
    <w:rsid w:val="00093B2F"/>
    <w:rsid w:val="00094236"/>
    <w:rsid w:val="0009593C"/>
    <w:rsid w:val="00097322"/>
    <w:rsid w:val="000A6A92"/>
    <w:rsid w:val="000B047F"/>
    <w:rsid w:val="000B5923"/>
    <w:rsid w:val="000B5A48"/>
    <w:rsid w:val="000B6FF3"/>
    <w:rsid w:val="000C3467"/>
    <w:rsid w:val="000C3CA6"/>
    <w:rsid w:val="000D1267"/>
    <w:rsid w:val="000D1D50"/>
    <w:rsid w:val="000D5782"/>
    <w:rsid w:val="000E09EE"/>
    <w:rsid w:val="000E6613"/>
    <w:rsid w:val="000E7119"/>
    <w:rsid w:val="00114E9B"/>
    <w:rsid w:val="00142216"/>
    <w:rsid w:val="00144D6A"/>
    <w:rsid w:val="0014729F"/>
    <w:rsid w:val="0015426B"/>
    <w:rsid w:val="00157BAB"/>
    <w:rsid w:val="001654D1"/>
    <w:rsid w:val="00174518"/>
    <w:rsid w:val="0018106D"/>
    <w:rsid w:val="001877A7"/>
    <w:rsid w:val="00191536"/>
    <w:rsid w:val="00196687"/>
    <w:rsid w:val="001C0962"/>
    <w:rsid w:val="001D1381"/>
    <w:rsid w:val="001D22D2"/>
    <w:rsid w:val="001D607D"/>
    <w:rsid w:val="001D7531"/>
    <w:rsid w:val="001E045C"/>
    <w:rsid w:val="001E737D"/>
    <w:rsid w:val="001F0592"/>
    <w:rsid w:val="001F7506"/>
    <w:rsid w:val="002006CD"/>
    <w:rsid w:val="00202B36"/>
    <w:rsid w:val="00204B7A"/>
    <w:rsid w:val="00204CDE"/>
    <w:rsid w:val="0021101A"/>
    <w:rsid w:val="00220536"/>
    <w:rsid w:val="00235629"/>
    <w:rsid w:val="00240DD2"/>
    <w:rsid w:val="0025297E"/>
    <w:rsid w:val="00260C38"/>
    <w:rsid w:val="002616C0"/>
    <w:rsid w:val="00261FEF"/>
    <w:rsid w:val="00265372"/>
    <w:rsid w:val="002662AA"/>
    <w:rsid w:val="00266CA5"/>
    <w:rsid w:val="00277578"/>
    <w:rsid w:val="00280496"/>
    <w:rsid w:val="00281B1E"/>
    <w:rsid w:val="00294DC9"/>
    <w:rsid w:val="00295495"/>
    <w:rsid w:val="002A31DE"/>
    <w:rsid w:val="002B2613"/>
    <w:rsid w:val="002B6BAD"/>
    <w:rsid w:val="002C4A10"/>
    <w:rsid w:val="002D6D05"/>
    <w:rsid w:val="002E3D70"/>
    <w:rsid w:val="002E438F"/>
    <w:rsid w:val="002F1818"/>
    <w:rsid w:val="002F567B"/>
    <w:rsid w:val="00303A5C"/>
    <w:rsid w:val="003216A9"/>
    <w:rsid w:val="00327E38"/>
    <w:rsid w:val="00335A74"/>
    <w:rsid w:val="00350677"/>
    <w:rsid w:val="0036561B"/>
    <w:rsid w:val="0037013F"/>
    <w:rsid w:val="00380C92"/>
    <w:rsid w:val="00384E77"/>
    <w:rsid w:val="003A290C"/>
    <w:rsid w:val="003A484F"/>
    <w:rsid w:val="003A4883"/>
    <w:rsid w:val="003B0BE0"/>
    <w:rsid w:val="003B0C1B"/>
    <w:rsid w:val="003B1ADD"/>
    <w:rsid w:val="003B4FD0"/>
    <w:rsid w:val="003B688C"/>
    <w:rsid w:val="003C0291"/>
    <w:rsid w:val="003C2188"/>
    <w:rsid w:val="003C39AE"/>
    <w:rsid w:val="003C7B60"/>
    <w:rsid w:val="003D0C0F"/>
    <w:rsid w:val="003D1FB2"/>
    <w:rsid w:val="003D5B07"/>
    <w:rsid w:val="003D66DA"/>
    <w:rsid w:val="003E1310"/>
    <w:rsid w:val="003E3992"/>
    <w:rsid w:val="003E6F55"/>
    <w:rsid w:val="00406254"/>
    <w:rsid w:val="004141A1"/>
    <w:rsid w:val="004223DE"/>
    <w:rsid w:val="00434489"/>
    <w:rsid w:val="00437085"/>
    <w:rsid w:val="00443880"/>
    <w:rsid w:val="004464F4"/>
    <w:rsid w:val="004559AD"/>
    <w:rsid w:val="00471401"/>
    <w:rsid w:val="00473F31"/>
    <w:rsid w:val="0048263A"/>
    <w:rsid w:val="004833C5"/>
    <w:rsid w:val="00487E5D"/>
    <w:rsid w:val="00493EE5"/>
    <w:rsid w:val="004A711F"/>
    <w:rsid w:val="004B199D"/>
    <w:rsid w:val="004B4690"/>
    <w:rsid w:val="004B4D3C"/>
    <w:rsid w:val="004D12A1"/>
    <w:rsid w:val="004E0A2D"/>
    <w:rsid w:val="004E206B"/>
    <w:rsid w:val="004E6DF7"/>
    <w:rsid w:val="004F0FBD"/>
    <w:rsid w:val="00505A47"/>
    <w:rsid w:val="00512FDA"/>
    <w:rsid w:val="005164C6"/>
    <w:rsid w:val="00520DA0"/>
    <w:rsid w:val="00545E8E"/>
    <w:rsid w:val="00550CBE"/>
    <w:rsid w:val="0055165B"/>
    <w:rsid w:val="005664BB"/>
    <w:rsid w:val="00566FFA"/>
    <w:rsid w:val="0057481D"/>
    <w:rsid w:val="00576199"/>
    <w:rsid w:val="00583011"/>
    <w:rsid w:val="0058486E"/>
    <w:rsid w:val="00585B33"/>
    <w:rsid w:val="0059014D"/>
    <w:rsid w:val="005B0F69"/>
    <w:rsid w:val="005B5C64"/>
    <w:rsid w:val="005C5337"/>
    <w:rsid w:val="005C6BD0"/>
    <w:rsid w:val="005D1C8B"/>
    <w:rsid w:val="005D468D"/>
    <w:rsid w:val="005D5CED"/>
    <w:rsid w:val="005F1A4C"/>
    <w:rsid w:val="00605688"/>
    <w:rsid w:val="006070AF"/>
    <w:rsid w:val="00607E6C"/>
    <w:rsid w:val="006101B1"/>
    <w:rsid w:val="00614E44"/>
    <w:rsid w:val="00617499"/>
    <w:rsid w:val="006203D0"/>
    <w:rsid w:val="0062270A"/>
    <w:rsid w:val="00622830"/>
    <w:rsid w:val="00623DA0"/>
    <w:rsid w:val="006309F1"/>
    <w:rsid w:val="00630AEF"/>
    <w:rsid w:val="006325F8"/>
    <w:rsid w:val="00633463"/>
    <w:rsid w:val="00634C9A"/>
    <w:rsid w:val="00640F82"/>
    <w:rsid w:val="006440E4"/>
    <w:rsid w:val="0066343B"/>
    <w:rsid w:val="00664777"/>
    <w:rsid w:val="00673B1B"/>
    <w:rsid w:val="006748A4"/>
    <w:rsid w:val="00681A31"/>
    <w:rsid w:val="00683E73"/>
    <w:rsid w:val="00691BB6"/>
    <w:rsid w:val="006A04C8"/>
    <w:rsid w:val="006A3141"/>
    <w:rsid w:val="006A5E34"/>
    <w:rsid w:val="006B2422"/>
    <w:rsid w:val="006B2B9A"/>
    <w:rsid w:val="006C1937"/>
    <w:rsid w:val="006D13EC"/>
    <w:rsid w:val="006E527A"/>
    <w:rsid w:val="006F020C"/>
    <w:rsid w:val="007127B7"/>
    <w:rsid w:val="0071798E"/>
    <w:rsid w:val="007416B6"/>
    <w:rsid w:val="00746F48"/>
    <w:rsid w:val="0075404D"/>
    <w:rsid w:val="0076182A"/>
    <w:rsid w:val="00767B7E"/>
    <w:rsid w:val="007770C3"/>
    <w:rsid w:val="00784D24"/>
    <w:rsid w:val="00785FBA"/>
    <w:rsid w:val="00786C37"/>
    <w:rsid w:val="00786E4A"/>
    <w:rsid w:val="007875EB"/>
    <w:rsid w:val="0079426B"/>
    <w:rsid w:val="007A1382"/>
    <w:rsid w:val="007A1BA5"/>
    <w:rsid w:val="007D1682"/>
    <w:rsid w:val="007D312A"/>
    <w:rsid w:val="007D3F19"/>
    <w:rsid w:val="007D5912"/>
    <w:rsid w:val="007E23B0"/>
    <w:rsid w:val="007E23E5"/>
    <w:rsid w:val="007F1991"/>
    <w:rsid w:val="007F2C2F"/>
    <w:rsid w:val="007F3180"/>
    <w:rsid w:val="007F55FC"/>
    <w:rsid w:val="007F5665"/>
    <w:rsid w:val="00800112"/>
    <w:rsid w:val="008015F6"/>
    <w:rsid w:val="00806048"/>
    <w:rsid w:val="00813348"/>
    <w:rsid w:val="00816EE1"/>
    <w:rsid w:val="008253BB"/>
    <w:rsid w:val="00830B2F"/>
    <w:rsid w:val="0083706E"/>
    <w:rsid w:val="008408F6"/>
    <w:rsid w:val="008423A5"/>
    <w:rsid w:val="00850625"/>
    <w:rsid w:val="0085102F"/>
    <w:rsid w:val="00853718"/>
    <w:rsid w:val="00855221"/>
    <w:rsid w:val="00860645"/>
    <w:rsid w:val="00871F71"/>
    <w:rsid w:val="00872FD8"/>
    <w:rsid w:val="00874C51"/>
    <w:rsid w:val="00885AF4"/>
    <w:rsid w:val="008939CD"/>
    <w:rsid w:val="00895F6C"/>
    <w:rsid w:val="008B768C"/>
    <w:rsid w:val="008C4DB1"/>
    <w:rsid w:val="008C4EAF"/>
    <w:rsid w:val="008C5176"/>
    <w:rsid w:val="008C7FD0"/>
    <w:rsid w:val="008E1DE7"/>
    <w:rsid w:val="008E707C"/>
    <w:rsid w:val="00900B08"/>
    <w:rsid w:val="00902155"/>
    <w:rsid w:val="00902FA3"/>
    <w:rsid w:val="009231A8"/>
    <w:rsid w:val="00923564"/>
    <w:rsid w:val="0092392E"/>
    <w:rsid w:val="009315F9"/>
    <w:rsid w:val="00933499"/>
    <w:rsid w:val="00935155"/>
    <w:rsid w:val="00935C98"/>
    <w:rsid w:val="00946945"/>
    <w:rsid w:val="00951248"/>
    <w:rsid w:val="0095152F"/>
    <w:rsid w:val="00954C49"/>
    <w:rsid w:val="00955E37"/>
    <w:rsid w:val="0097099F"/>
    <w:rsid w:val="00971265"/>
    <w:rsid w:val="00971997"/>
    <w:rsid w:val="00971FFC"/>
    <w:rsid w:val="00982A51"/>
    <w:rsid w:val="0098660A"/>
    <w:rsid w:val="00992EF5"/>
    <w:rsid w:val="009931C3"/>
    <w:rsid w:val="009B2C43"/>
    <w:rsid w:val="009B4EAE"/>
    <w:rsid w:val="009B7573"/>
    <w:rsid w:val="009C22F4"/>
    <w:rsid w:val="009C2A4B"/>
    <w:rsid w:val="009C2E98"/>
    <w:rsid w:val="009D3447"/>
    <w:rsid w:val="009D4711"/>
    <w:rsid w:val="009E053D"/>
    <w:rsid w:val="009E553C"/>
    <w:rsid w:val="009F1185"/>
    <w:rsid w:val="009F18CD"/>
    <w:rsid w:val="009F2A13"/>
    <w:rsid w:val="009F343F"/>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2148"/>
    <w:rsid w:val="00A67AB5"/>
    <w:rsid w:val="00A733B2"/>
    <w:rsid w:val="00A7377E"/>
    <w:rsid w:val="00A741C2"/>
    <w:rsid w:val="00A82F15"/>
    <w:rsid w:val="00A91760"/>
    <w:rsid w:val="00A92710"/>
    <w:rsid w:val="00A93B00"/>
    <w:rsid w:val="00A93C21"/>
    <w:rsid w:val="00AA3F0A"/>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46E04"/>
    <w:rsid w:val="00B53C56"/>
    <w:rsid w:val="00B57DAF"/>
    <w:rsid w:val="00B77EA6"/>
    <w:rsid w:val="00B81598"/>
    <w:rsid w:val="00B841F1"/>
    <w:rsid w:val="00B902B0"/>
    <w:rsid w:val="00B944D6"/>
    <w:rsid w:val="00BA6A5D"/>
    <w:rsid w:val="00BB4DF0"/>
    <w:rsid w:val="00BC289F"/>
    <w:rsid w:val="00BC2D50"/>
    <w:rsid w:val="00BC5361"/>
    <w:rsid w:val="00BC5460"/>
    <w:rsid w:val="00BC6B50"/>
    <w:rsid w:val="00BD086E"/>
    <w:rsid w:val="00BD0E25"/>
    <w:rsid w:val="00BD536E"/>
    <w:rsid w:val="00BE7C82"/>
    <w:rsid w:val="00BF5BD6"/>
    <w:rsid w:val="00C03E31"/>
    <w:rsid w:val="00C137C6"/>
    <w:rsid w:val="00C33E72"/>
    <w:rsid w:val="00C354B2"/>
    <w:rsid w:val="00C35554"/>
    <w:rsid w:val="00C42709"/>
    <w:rsid w:val="00C533CC"/>
    <w:rsid w:val="00C5751C"/>
    <w:rsid w:val="00C61BFC"/>
    <w:rsid w:val="00C61D82"/>
    <w:rsid w:val="00C62B85"/>
    <w:rsid w:val="00C65438"/>
    <w:rsid w:val="00C70D60"/>
    <w:rsid w:val="00C87FD8"/>
    <w:rsid w:val="00C91381"/>
    <w:rsid w:val="00C91CBB"/>
    <w:rsid w:val="00CA6765"/>
    <w:rsid w:val="00CB4E70"/>
    <w:rsid w:val="00CC09B6"/>
    <w:rsid w:val="00CC666F"/>
    <w:rsid w:val="00CD1E3F"/>
    <w:rsid w:val="00CE44F6"/>
    <w:rsid w:val="00CE49DA"/>
    <w:rsid w:val="00CE7B61"/>
    <w:rsid w:val="00D00095"/>
    <w:rsid w:val="00D03D17"/>
    <w:rsid w:val="00D066FC"/>
    <w:rsid w:val="00D114F0"/>
    <w:rsid w:val="00D1334C"/>
    <w:rsid w:val="00D20620"/>
    <w:rsid w:val="00D254F7"/>
    <w:rsid w:val="00D26091"/>
    <w:rsid w:val="00D2685C"/>
    <w:rsid w:val="00D34E7C"/>
    <w:rsid w:val="00D35489"/>
    <w:rsid w:val="00D36AFE"/>
    <w:rsid w:val="00D51276"/>
    <w:rsid w:val="00D7035F"/>
    <w:rsid w:val="00D83433"/>
    <w:rsid w:val="00DA0DCC"/>
    <w:rsid w:val="00DA634F"/>
    <w:rsid w:val="00DA65AC"/>
    <w:rsid w:val="00DB1913"/>
    <w:rsid w:val="00DB3FFC"/>
    <w:rsid w:val="00DC08F0"/>
    <w:rsid w:val="00DC410D"/>
    <w:rsid w:val="00DC5A81"/>
    <w:rsid w:val="00DC68CA"/>
    <w:rsid w:val="00DC7CBA"/>
    <w:rsid w:val="00DD73B7"/>
    <w:rsid w:val="00DF1838"/>
    <w:rsid w:val="00DF28BC"/>
    <w:rsid w:val="00DF34B9"/>
    <w:rsid w:val="00E01053"/>
    <w:rsid w:val="00E043B1"/>
    <w:rsid w:val="00E07ACF"/>
    <w:rsid w:val="00E259A2"/>
    <w:rsid w:val="00E30918"/>
    <w:rsid w:val="00E32FD1"/>
    <w:rsid w:val="00E331A1"/>
    <w:rsid w:val="00E33202"/>
    <w:rsid w:val="00E336A9"/>
    <w:rsid w:val="00E472B1"/>
    <w:rsid w:val="00E50624"/>
    <w:rsid w:val="00E52C94"/>
    <w:rsid w:val="00E568DF"/>
    <w:rsid w:val="00E631A2"/>
    <w:rsid w:val="00E64269"/>
    <w:rsid w:val="00E82267"/>
    <w:rsid w:val="00E853CE"/>
    <w:rsid w:val="00E867B6"/>
    <w:rsid w:val="00EA010F"/>
    <w:rsid w:val="00EA1359"/>
    <w:rsid w:val="00EB4DB2"/>
    <w:rsid w:val="00EB755F"/>
    <w:rsid w:val="00EC3397"/>
    <w:rsid w:val="00EC705C"/>
    <w:rsid w:val="00ED1B63"/>
    <w:rsid w:val="00ED3C1F"/>
    <w:rsid w:val="00ED4085"/>
    <w:rsid w:val="00ED420E"/>
    <w:rsid w:val="00ED6FBE"/>
    <w:rsid w:val="00EE2F57"/>
    <w:rsid w:val="00EF4C34"/>
    <w:rsid w:val="00EF77C6"/>
    <w:rsid w:val="00F02C74"/>
    <w:rsid w:val="00F05438"/>
    <w:rsid w:val="00F057D1"/>
    <w:rsid w:val="00F1361C"/>
    <w:rsid w:val="00F156F0"/>
    <w:rsid w:val="00F160C7"/>
    <w:rsid w:val="00F23E99"/>
    <w:rsid w:val="00F2408F"/>
    <w:rsid w:val="00F240E9"/>
    <w:rsid w:val="00F36D8F"/>
    <w:rsid w:val="00F417B1"/>
    <w:rsid w:val="00F42866"/>
    <w:rsid w:val="00F45853"/>
    <w:rsid w:val="00F55627"/>
    <w:rsid w:val="00F602DF"/>
    <w:rsid w:val="00F73E88"/>
    <w:rsid w:val="00F754A1"/>
    <w:rsid w:val="00F81FD9"/>
    <w:rsid w:val="00F82382"/>
    <w:rsid w:val="00F841AA"/>
    <w:rsid w:val="00F84A94"/>
    <w:rsid w:val="00F87E96"/>
    <w:rsid w:val="00F95D3F"/>
    <w:rsid w:val="00FA0B2E"/>
    <w:rsid w:val="00FA23E8"/>
    <w:rsid w:val="00FD3CC1"/>
    <w:rsid w:val="00FF1E02"/>
    <w:rsid w:val="00FF2C32"/>
    <w:rsid w:val="00FF30B4"/>
    <w:rsid w:val="011B4C0A"/>
    <w:rsid w:val="04486478"/>
    <w:rsid w:val="053A62B5"/>
    <w:rsid w:val="0A2032A3"/>
    <w:rsid w:val="0A5A218E"/>
    <w:rsid w:val="0AF65D7F"/>
    <w:rsid w:val="0B8A37D8"/>
    <w:rsid w:val="0CFF7BF4"/>
    <w:rsid w:val="10C055FF"/>
    <w:rsid w:val="118107EC"/>
    <w:rsid w:val="11DD6519"/>
    <w:rsid w:val="12E82223"/>
    <w:rsid w:val="14D83EAE"/>
    <w:rsid w:val="16BB723D"/>
    <w:rsid w:val="18015F3F"/>
    <w:rsid w:val="19F908B3"/>
    <w:rsid w:val="1B5B1946"/>
    <w:rsid w:val="1BE8440E"/>
    <w:rsid w:val="1D155CEE"/>
    <w:rsid w:val="1E7E1EE4"/>
    <w:rsid w:val="1EFB219F"/>
    <w:rsid w:val="1F7172D3"/>
    <w:rsid w:val="1FB47F89"/>
    <w:rsid w:val="1FBF278C"/>
    <w:rsid w:val="20F57F95"/>
    <w:rsid w:val="21251D21"/>
    <w:rsid w:val="23C92A38"/>
    <w:rsid w:val="240371BF"/>
    <w:rsid w:val="25711CC6"/>
    <w:rsid w:val="25C741E6"/>
    <w:rsid w:val="275D1431"/>
    <w:rsid w:val="27842671"/>
    <w:rsid w:val="29FD04D3"/>
    <w:rsid w:val="2A881092"/>
    <w:rsid w:val="2ABE7A3E"/>
    <w:rsid w:val="2CA234A8"/>
    <w:rsid w:val="2EFA178C"/>
    <w:rsid w:val="2F382B51"/>
    <w:rsid w:val="2FA16AC7"/>
    <w:rsid w:val="2FDF6F96"/>
    <w:rsid w:val="30B46D73"/>
    <w:rsid w:val="319F7F4E"/>
    <w:rsid w:val="36655BAB"/>
    <w:rsid w:val="383D272C"/>
    <w:rsid w:val="39AE70AB"/>
    <w:rsid w:val="3C0C0783"/>
    <w:rsid w:val="3CEC29BB"/>
    <w:rsid w:val="3D32D53E"/>
    <w:rsid w:val="3F9F3A96"/>
    <w:rsid w:val="3FEF80E4"/>
    <w:rsid w:val="405F1F2B"/>
    <w:rsid w:val="41085755"/>
    <w:rsid w:val="468D0035"/>
    <w:rsid w:val="47521C62"/>
    <w:rsid w:val="48BF60AB"/>
    <w:rsid w:val="493C27E9"/>
    <w:rsid w:val="496F39ED"/>
    <w:rsid w:val="49FC2D62"/>
    <w:rsid w:val="49FF41D3"/>
    <w:rsid w:val="4A0B5513"/>
    <w:rsid w:val="4A193D80"/>
    <w:rsid w:val="4AFF4AAA"/>
    <w:rsid w:val="4BE068DB"/>
    <w:rsid w:val="4BF6002B"/>
    <w:rsid w:val="4E133E1C"/>
    <w:rsid w:val="4E2B7129"/>
    <w:rsid w:val="4ECE2238"/>
    <w:rsid w:val="51DB4B86"/>
    <w:rsid w:val="535F24BF"/>
    <w:rsid w:val="55333C3E"/>
    <w:rsid w:val="57E06F21"/>
    <w:rsid w:val="5BAD4F98"/>
    <w:rsid w:val="5D5557EE"/>
    <w:rsid w:val="5F7B86A6"/>
    <w:rsid w:val="60137DF0"/>
    <w:rsid w:val="64C107FA"/>
    <w:rsid w:val="64CA39A1"/>
    <w:rsid w:val="69630ADE"/>
    <w:rsid w:val="6C4A05C8"/>
    <w:rsid w:val="6D1B5B49"/>
    <w:rsid w:val="6D3B1A89"/>
    <w:rsid w:val="6E08027D"/>
    <w:rsid w:val="6EFEEA81"/>
    <w:rsid w:val="6FDF168E"/>
    <w:rsid w:val="709A5A61"/>
    <w:rsid w:val="71BF4EC2"/>
    <w:rsid w:val="72734D90"/>
    <w:rsid w:val="7412278C"/>
    <w:rsid w:val="74180F79"/>
    <w:rsid w:val="75216216"/>
    <w:rsid w:val="7859254E"/>
    <w:rsid w:val="788F5C5A"/>
    <w:rsid w:val="78FD4950"/>
    <w:rsid w:val="7904082E"/>
    <w:rsid w:val="79E7B28D"/>
    <w:rsid w:val="7ADBB9F1"/>
    <w:rsid w:val="7BCD2ACD"/>
    <w:rsid w:val="7BD18CC5"/>
    <w:rsid w:val="7BFFD486"/>
    <w:rsid w:val="7C206452"/>
    <w:rsid w:val="7F3B8571"/>
    <w:rsid w:val="7F6DC76F"/>
    <w:rsid w:val="7F9F20EE"/>
    <w:rsid w:val="7FBEF218"/>
    <w:rsid w:val="7FED172D"/>
    <w:rsid w:val="9CFF21A8"/>
    <w:rsid w:val="9E3A10E2"/>
    <w:rsid w:val="9F7F6F04"/>
    <w:rsid w:val="A7ED2432"/>
    <w:rsid w:val="ADBEE352"/>
    <w:rsid w:val="BDC99AF9"/>
    <w:rsid w:val="BF7FDF67"/>
    <w:rsid w:val="D7EE7883"/>
    <w:rsid w:val="D85AF6DD"/>
    <w:rsid w:val="F1FB4A98"/>
    <w:rsid w:val="F2E1F9D4"/>
    <w:rsid w:val="F57DD852"/>
    <w:rsid w:val="F7880819"/>
    <w:rsid w:val="FABB2BBF"/>
    <w:rsid w:val="FBFFBBDD"/>
    <w:rsid w:val="FDBF7CC3"/>
    <w:rsid w:val="FDEB65CD"/>
    <w:rsid w:val="FDFB53B6"/>
    <w:rsid w:val="FEFF667D"/>
    <w:rsid w:val="FFDEE42A"/>
    <w:rsid w:val="FFFF7CD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6"/>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30"/>
    <w:semiHidden/>
    <w:unhideWhenUsed/>
    <w:qFormat/>
    <w:uiPriority w:val="99"/>
    <w:rPr>
      <w:sz w:val="18"/>
      <w:szCs w:val="18"/>
    </w:rPr>
  </w:style>
  <w:style w:type="paragraph" w:styleId="8">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rPr>
  </w:style>
  <w:style w:type="character" w:customStyle="1" w:styleId="17">
    <w:name w:val="标题 1 Char"/>
    <w:basedOn w:val="14"/>
    <w:link w:val="2"/>
    <w:qFormat/>
    <w:uiPriority w:val="9"/>
    <w:rPr>
      <w:rFonts w:ascii="Times New Roman" w:hAnsi="Times New Roman"/>
      <w:b/>
      <w:bCs/>
      <w:kern w:val="44"/>
      <w:sz w:val="44"/>
      <w:szCs w:val="44"/>
    </w:rPr>
  </w:style>
  <w:style w:type="character" w:customStyle="1" w:styleId="18">
    <w:name w:val="标题 2 Char"/>
    <w:basedOn w:val="14"/>
    <w:link w:val="3"/>
    <w:qFormat/>
    <w:uiPriority w:val="9"/>
    <w:rPr>
      <w:rFonts w:asciiTheme="majorHAnsi" w:hAnsiTheme="majorHAnsi" w:eastAsiaTheme="majorEastAsia" w:cstheme="majorBidi"/>
      <w:b/>
      <w:bCs/>
      <w:kern w:val="2"/>
      <w:sz w:val="32"/>
      <w:szCs w:val="32"/>
    </w:rPr>
  </w:style>
  <w:style w:type="character" w:customStyle="1" w:styleId="19">
    <w:name w:val="标题 3 Char"/>
    <w:basedOn w:val="14"/>
    <w:link w:val="4"/>
    <w:qFormat/>
    <w:uiPriority w:val="9"/>
    <w:rPr>
      <w:rFonts w:ascii="Times New Roman" w:hAnsi="Times New Roman"/>
      <w:b/>
      <w:bCs/>
      <w:kern w:val="2"/>
      <w:sz w:val="32"/>
      <w:szCs w:val="32"/>
    </w:rPr>
  </w:style>
  <w:style w:type="paragraph" w:customStyle="1" w:styleId="20">
    <w:name w:val="正文-啊"/>
    <w:basedOn w:val="1"/>
    <w:qFormat/>
    <w:uiPriority w:val="99"/>
    <w:pPr>
      <w:spacing w:beforeLines="100" w:line="276" w:lineRule="auto"/>
      <w:ind w:left="210" w:right="210" w:firstLine="600"/>
    </w:pPr>
    <w:rPr>
      <w:rFonts w:ascii="微软雅黑" w:hAnsi="微软雅黑" w:cs="微软雅黑"/>
      <w:color w:val="000000"/>
      <w:sz w:val="24"/>
    </w:rPr>
  </w:style>
  <w:style w:type="character" w:customStyle="1" w:styleId="21">
    <w:name w:val="Header Char"/>
    <w:basedOn w:val="14"/>
    <w:semiHidden/>
    <w:qFormat/>
    <w:uiPriority w:val="99"/>
    <w:rPr>
      <w:rFonts w:ascii="Times New Roman" w:hAnsi="Times New Roman"/>
      <w:sz w:val="18"/>
      <w:szCs w:val="18"/>
    </w:rPr>
  </w:style>
  <w:style w:type="character" w:customStyle="1" w:styleId="22">
    <w:name w:val="页眉 Char"/>
    <w:link w:val="9"/>
    <w:semiHidden/>
    <w:qFormat/>
    <w:locked/>
    <w:uiPriority w:val="99"/>
    <w:rPr>
      <w:sz w:val="18"/>
    </w:rPr>
  </w:style>
  <w:style w:type="character" w:customStyle="1" w:styleId="23">
    <w:name w:val="Footer Char"/>
    <w:basedOn w:val="14"/>
    <w:semiHidden/>
    <w:qFormat/>
    <w:uiPriority w:val="99"/>
    <w:rPr>
      <w:rFonts w:ascii="Times New Roman" w:hAnsi="Times New Roman"/>
      <w:sz w:val="18"/>
      <w:szCs w:val="18"/>
    </w:rPr>
  </w:style>
  <w:style w:type="character" w:customStyle="1" w:styleId="24">
    <w:name w:val="页脚 Char"/>
    <w:link w:val="8"/>
    <w:qFormat/>
    <w:locked/>
    <w:uiPriority w:val="99"/>
    <w:rPr>
      <w:sz w:val="18"/>
    </w:rPr>
  </w:style>
  <w:style w:type="character" w:customStyle="1" w:styleId="25">
    <w:name w:val="Body Text Char"/>
    <w:basedOn w:val="14"/>
    <w:semiHidden/>
    <w:qFormat/>
    <w:uiPriority w:val="99"/>
    <w:rPr>
      <w:rFonts w:ascii="Times New Roman" w:hAnsi="Times New Roman"/>
      <w:szCs w:val="24"/>
    </w:rPr>
  </w:style>
  <w:style w:type="character" w:customStyle="1" w:styleId="26">
    <w:name w:val="正文文本 Char"/>
    <w:link w:val="5"/>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paragraph" w:customStyle="1" w:styleId="29">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30">
    <w:name w:val="批注框文本 Char"/>
    <w:basedOn w:val="14"/>
    <w:link w:val="7"/>
    <w:semiHidden/>
    <w:qFormat/>
    <w:uiPriority w:val="99"/>
    <w:rPr>
      <w:rFonts w:ascii="Times New Roman" w:hAnsi="Times New Roman"/>
      <w:kern w:val="2"/>
      <w:sz w:val="18"/>
      <w:szCs w:val="18"/>
    </w:rPr>
  </w:style>
  <w:style w:type="paragraph" w:customStyle="1" w:styleId="31">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32">
    <w:name w:val="font01"/>
    <w:basedOn w:val="14"/>
    <w:qFormat/>
    <w:uiPriority w:val="0"/>
    <w:rPr>
      <w:rFonts w:hint="eastAsia" w:ascii="宋体" w:hAnsi="宋体" w:eastAsia="宋体" w:cs="宋体"/>
      <w:color w:val="000000"/>
      <w:sz w:val="18"/>
      <w:szCs w:val="18"/>
      <w:u w:val="none"/>
    </w:rPr>
  </w:style>
  <w:style w:type="paragraph" w:customStyle="1" w:styleId="33">
    <w:name w:val="WPSOffice手动目录 1"/>
    <w:qFormat/>
    <w:uiPriority w:val="0"/>
    <w:rPr>
      <w:rFonts w:ascii="Times New Roman" w:hAnsi="Times New Roman" w:eastAsia="宋体" w:cs="Times New Roman"/>
      <w:lang w:val="en-US" w:eastAsia="zh-CN" w:bidi="ar-SA"/>
    </w:rPr>
  </w:style>
  <w:style w:type="paragraph" w:customStyle="1" w:styleId="34">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true"/>
          <a:lstStyle/>
          <a:p>
            <a:pPr>
              <a:defRPr lang="zh-CN" sz="1600" b="1" i="0" u="none" strike="noStrike" kern="1200" baseline="0">
                <a:solidFill>
                  <a:schemeClr val="tx1">
                    <a:lumMod val="65000"/>
                    <a:lumOff val="35000"/>
                  </a:schemeClr>
                </a:solidFill>
                <a:latin typeface="+mn-lt"/>
                <a:ea typeface="+mn-ea"/>
                <a:cs typeface="+mn-cs"/>
              </a:defRPr>
            </a:pPr>
            <a:r>
              <a:rPr lang="zh-CN"/>
              <a:t>收、支决算总计变动情况图</a:t>
            </a:r>
            <a:endParaRPr lang="zh-CN"/>
          </a:p>
        </c:rich>
      </c:tx>
      <c:layout/>
      <c:overlay val="false"/>
      <c:spPr>
        <a:noFill/>
        <a:ln>
          <a:noFill/>
        </a:ln>
        <a:effectLst/>
      </c:spPr>
    </c:title>
    <c:autoTitleDeleted val="false"/>
    <c:plotArea>
      <c:layout/>
      <c:barChart>
        <c:barDir val="col"/>
        <c:grouping val="clustered"/>
        <c:varyColors val="false"/>
        <c:ser>
          <c:idx val="0"/>
          <c:order val="0"/>
          <c:tx>
            <c:strRef>
              <c:f>Sheet1!$B$1</c:f>
              <c:strCache>
                <c:ptCount val="1"/>
                <c:pt idx="0">
                  <c:v>2024年</c:v>
                </c:pt>
              </c:strCache>
            </c:strRef>
          </c:tx>
          <c:spPr>
            <a:gradFill rotWithShape="true">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false"/>
            </a:gradFill>
            <a:ln>
              <a:noFill/>
            </a:ln>
            <a:effectLst>
              <a:outerShdw blurRad="57150" dist="19050" dir="5400000" algn="ctr" rotWithShape="0">
                <a:srgbClr val="000000">
                  <a:alpha val="63000"/>
                </a:srgbClr>
              </a:outerShdw>
            </a:effectLst>
          </c:spPr>
          <c:invertIfNegative val="false"/>
          <c:dLbls>
            <c:dLbl>
              <c:idx val="0"/>
              <c:layout/>
              <c:tx>
                <c:rich>
                  <a:bodyPr rot="0" spcFirstLastPara="1"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r>
                      <a:rPr lang="en-US" altLang="zh-CN"/>
                      <a:t>166.43</a:t>
                    </a:r>
                    <a:endParaRPr lang="en-US" altLang="zh-CN"/>
                  </a:p>
                </c:rich>
              </c:tx>
              <c:dLblPos val="outEnd"/>
              <c:showLegendKey val="false"/>
              <c:showVal val="tru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Sheet1!$A$2:$A$4</c:f>
              <c:strCache>
                <c:ptCount val="3"/>
                <c:pt idx="0">
                  <c:v>收、支总计 </c:v>
                </c:pt>
              </c:strCache>
            </c:strRef>
          </c:cat>
          <c:val>
            <c:numRef>
              <c:f>Sheet1!$B$2:$B$3</c:f>
              <c:numCache>
                <c:formatCode>General</c:formatCode>
                <c:ptCount val="2"/>
                <c:pt idx="0">
                  <c:v>166.43</c:v>
                </c:pt>
              </c:numCache>
            </c:numRef>
          </c:val>
        </c:ser>
        <c:ser>
          <c:idx val="1"/>
          <c:order val="1"/>
          <c:tx>
            <c:strRef>
              <c:f>Sheet1!$C$1</c:f>
              <c:strCache>
                <c:ptCount val="1"/>
                <c:pt idx="0">
                  <c:v>2023年</c:v>
                </c:pt>
              </c:strCache>
            </c:strRef>
          </c:tx>
          <c:spPr>
            <a:gradFill rotWithShape="true">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false"/>
            </a:gradFill>
            <a:ln>
              <a:noFill/>
            </a:ln>
            <a:effectLst>
              <a:outerShdw blurRad="57150" dist="19050" dir="5400000" algn="ctr" rotWithShape="0">
                <a:srgbClr val="000000">
                  <a:alpha val="63000"/>
                </a:srgbClr>
              </a:outerShdw>
            </a:effectLst>
          </c:spPr>
          <c:invertIfNegative val="false"/>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Sheet1!$A$2:$A$4</c:f>
              <c:strCache>
                <c:ptCount val="3"/>
                <c:pt idx="0">
                  <c:v>收、支总计 </c:v>
                </c:pt>
              </c:strCache>
            </c:strRef>
          </c:cat>
          <c:val>
            <c:numRef>
              <c:f>Sheet1!$C$2:$C$3</c:f>
              <c:numCache>
                <c:formatCode>General</c:formatCode>
                <c:ptCount val="2"/>
                <c:pt idx="0">
                  <c:v>224.83</c:v>
                </c:pt>
              </c:numCache>
            </c:numRef>
          </c:val>
        </c:ser>
        <c:dLbls>
          <c:showLegendKey val="false"/>
          <c:showVal val="true"/>
          <c:showCatName val="false"/>
          <c:showSerName val="false"/>
          <c:showPercent val="false"/>
          <c:showBubbleSize val="false"/>
        </c:dLbls>
        <c:gapWidth val="100"/>
        <c:overlap val="-24"/>
        <c:axId val="162934784"/>
        <c:axId val="162936320"/>
      </c:barChart>
      <c:catAx>
        <c:axId val="162934784"/>
        <c:scaling>
          <c:orientation val="minMax"/>
        </c:scaling>
        <c:delete val="false"/>
        <c:axPos val="b"/>
        <c:numFmt formatCode="General" sourceLinked="true"/>
        <c:majorTickMark val="none"/>
        <c:minorTickMark val="none"/>
        <c:tickLblPos val="nextTo"/>
        <c:spPr>
          <a:noFill/>
          <a:ln w="12700" cap="flat" cmpd="sng" algn="ctr">
            <a:solidFill>
              <a:schemeClr val="tx1">
                <a:lumMod val="15000"/>
                <a:lumOff val="85000"/>
              </a:schemeClr>
            </a:solidFill>
            <a:prstDash val="solid"/>
            <a:round/>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62936320"/>
        <c:crosses val="autoZero"/>
        <c:auto val="true"/>
        <c:lblAlgn val="ctr"/>
        <c:lblOffset val="100"/>
        <c:noMultiLvlLbl val="false"/>
      </c:catAx>
      <c:valAx>
        <c:axId val="162936320"/>
        <c:scaling>
          <c:orientation val="minMax"/>
        </c:scaling>
        <c:delete val="false"/>
        <c:axPos val="l"/>
        <c:majorGridlines>
          <c:spPr>
            <a:ln w="9525" cap="flat" cmpd="sng" algn="ctr">
              <a:solidFill>
                <a:schemeClr val="tx1">
                  <a:lumMod val="15000"/>
                  <a:lumOff val="85000"/>
                </a:schemeClr>
              </a:solidFill>
              <a:prstDash val="solid"/>
              <a:round/>
            </a:ln>
            <a:effectLst/>
          </c:spPr>
        </c:majorGridlines>
        <c:numFmt formatCode="General" sourceLinked="true"/>
        <c:majorTickMark val="none"/>
        <c:minorTickMark val="none"/>
        <c:tickLblPos val="nextTo"/>
        <c:spPr>
          <a:noFill/>
          <a:ln w="9525" cap="flat" cmpd="sng" algn="ctr">
            <a:noFill/>
            <a:prstDash val="solid"/>
            <a:round/>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62934784"/>
        <c:crosses val="autoZero"/>
        <c:crossBetween val="between"/>
      </c:valAx>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true"/>
          <a:lstStyle/>
          <a:p>
            <a:pPr>
              <a:defRPr lang="zh-CN" sz="1800" b="1" i="0" u="none" strike="noStrike" kern="1200" baseline="0">
                <a:solidFill>
                  <a:schemeClr val="dk1">
                    <a:lumMod val="75000"/>
                    <a:lumOff val="25000"/>
                  </a:schemeClr>
                </a:solidFill>
                <a:latin typeface="+mn-lt"/>
                <a:ea typeface="+mn-ea"/>
                <a:cs typeface="+mn-cs"/>
              </a:defRPr>
            </a:pPr>
            <a:r>
              <a:rPr lang="zh-CN" altLang="zh-CN" sz="1800" b="1" i="0" u="none" strike="noStrike" baseline="0">
                <a:effectLst/>
              </a:rPr>
              <a:t>收入决算结构图</a:t>
            </a:r>
            <a:endParaRPr lang="zh-CN" altLang="en-US"/>
          </a:p>
        </c:rich>
      </c:tx>
      <c:layout>
        <c:manualLayout>
          <c:xMode val="edge"/>
          <c:yMode val="edge"/>
          <c:x val="0.293921136570257"/>
          <c:y val="0"/>
        </c:manualLayout>
      </c:layout>
      <c:overlay val="false"/>
      <c:spPr>
        <a:noFill/>
        <a:ln>
          <a:noFill/>
        </a:ln>
        <a:effectLst/>
      </c:spPr>
    </c:title>
    <c:autoTitleDeleted val="false"/>
    <c:plotArea>
      <c:layout/>
      <c:pieChart>
        <c:varyColors val="true"/>
        <c:ser>
          <c:idx val="0"/>
          <c:order val="0"/>
          <c:tx>
            <c:strRef>
              <c:f>Sheet1!$B$1</c:f>
              <c:strCache>
                <c:ptCount val="1"/>
                <c:pt idx="0">
                  <c:v>金额</c:v>
                </c:pt>
              </c:strCache>
            </c:strRef>
          </c:tx>
          <c:spPr>
            <a:solidFill>
              <a:schemeClr val="accent2"/>
            </a:solidFill>
          </c:spPr>
          <c:explosion val="0"/>
          <c:dPt>
            <c:idx val="0"/>
            <c:bubble3D val="false"/>
            <c:spPr>
              <a:solidFill>
                <a:schemeClr val="accent2"/>
              </a:solidFill>
              <a:ln>
                <a:solidFill>
                  <a:schemeClr val="accent2"/>
                </a:solidFill>
              </a:ln>
              <a:effectLst>
                <a:outerShdw blurRad="254000" sx="102000" sy="102000" algn="ctr" rotWithShape="0">
                  <a:prstClr val="black">
                    <a:alpha val="20000"/>
                  </a:prstClr>
                </a:outerShdw>
              </a:effectLst>
            </c:spPr>
          </c:dPt>
          <c:dPt>
            <c:idx val="1"/>
            <c:bubble3D val="false"/>
            <c:spPr>
              <a:solidFill>
                <a:schemeClr val="accent1"/>
              </a:solidFill>
              <a:ln>
                <a:noFill/>
              </a:ln>
              <a:effectLst>
                <a:outerShdw blurRad="254000" sx="102000" sy="102000" algn="ctr" rotWithShape="0">
                  <a:prstClr val="black">
                    <a:alpha val="20000"/>
                  </a:prstClr>
                </a:outerShdw>
              </a:effectLst>
            </c:spPr>
          </c:dPt>
          <c:dLbls>
            <c:numFmt formatCode="0.00%" sourceLinked="false"/>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true">
                <a:spAutoFit/>
              </a:bodyPr>
              <a:lstStyle/>
              <a:p>
                <a:pPr>
                  <a:defRPr lang="zh-CN" sz="1000" b="1" i="0" u="none" strike="noStrike" kern="1200" baseline="0">
                    <a:solidFill>
                      <a:schemeClr val="lt1"/>
                    </a:solidFill>
                    <a:latin typeface="+mn-lt"/>
                    <a:ea typeface="+mn-ea"/>
                    <a:cs typeface="+mn-cs"/>
                  </a:defRPr>
                </a:pPr>
              </a:p>
            </c:txPr>
            <c:dLblPos val="ctr"/>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dk1">
                          <a:lumMod val="50000"/>
                          <a:lumOff val="50000"/>
                        </a:schemeClr>
                      </a:solidFill>
                      <a:prstDash val="solid"/>
                      <a:round/>
                    </a:ln>
                    <a:effectLst/>
                  </c:spPr>
                </c15:leaderLines>
              </c:ext>
            </c:extLst>
          </c:dLbls>
          <c:cat>
            <c:strRef>
              <c:f>Sheet1!$A$2:$A$3</c:f>
              <c:strCache>
                <c:ptCount val="2"/>
                <c:pt idx="0">
                  <c:v>一般公共预算财政拨款收入</c:v>
                </c:pt>
                <c:pt idx="1">
                  <c:v>其他收入</c:v>
                </c:pt>
              </c:strCache>
            </c:strRef>
          </c:cat>
          <c:val>
            <c:numRef>
              <c:f>Sheet1!$B$2:$B$3</c:f>
              <c:numCache>
                <c:formatCode>General</c:formatCode>
                <c:ptCount val="2"/>
                <c:pt idx="0">
                  <c:v>134.37</c:v>
                </c:pt>
                <c:pt idx="1">
                  <c:v>0.01</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r"/>
      <c:layout>
        <c:manualLayout>
          <c:xMode val="edge"/>
          <c:yMode val="edge"/>
          <c:x val="0.670295314882048"/>
          <c:y val="0.50158093377014"/>
          <c:w val="0.329704685117955"/>
          <c:h val="0.164234726133686"/>
        </c:manualLayout>
      </c:layout>
      <c:overlay val="false"/>
      <c:spPr>
        <a:solidFill>
          <a:schemeClr val="lt1">
            <a:lumMod val="95000"/>
            <a:alpha val="39000"/>
          </a:schemeClr>
        </a:solidFill>
        <a:ln>
          <a:noFill/>
        </a:ln>
        <a:effectLst/>
      </c:spPr>
      <c:txPr>
        <a:bodyPr rot="0" spcFirstLastPara="1" vertOverflow="ellipsis" vert="horz" wrap="square" anchor="ctr" anchorCtr="true"/>
        <a:lstStyle/>
        <a:p>
          <a:pPr>
            <a:defRPr lang="zh-CN" sz="900" b="0" i="0" u="none" strike="noStrike" kern="1200" baseline="0">
              <a:solidFill>
                <a:schemeClr val="dk1">
                  <a:lumMod val="75000"/>
                  <a:lumOff val="25000"/>
                </a:schemeClr>
              </a:solidFill>
              <a:latin typeface="+mn-lt"/>
              <a:ea typeface="+mn-ea"/>
              <a:cs typeface="+mn-cs"/>
            </a:defRPr>
          </a:pPr>
        </a:p>
      </c:txPr>
    </c:legend>
    <c:plotVisOnly val="true"/>
    <c:dispBlanksAs val="zero"/>
    <c:showDLblsOverMax val="false"/>
  </c:chart>
  <c:spPr>
    <a:gradFill flip="none" rotWithShape="true">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prstDash val="solid"/>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true"/>
          <a:lstStyle/>
          <a:p>
            <a:pPr>
              <a:defRPr lang="zh-CN" sz="1800" b="1" i="0" u="none" strike="noStrike" kern="1200" baseline="0">
                <a:solidFill>
                  <a:schemeClr val="dk1">
                    <a:lumMod val="75000"/>
                    <a:lumOff val="25000"/>
                  </a:schemeClr>
                </a:solidFill>
                <a:latin typeface="+mn-lt"/>
                <a:ea typeface="+mn-ea"/>
                <a:cs typeface="+mn-cs"/>
              </a:defRPr>
            </a:pPr>
            <a:r>
              <a:rPr lang="zh-CN" altLang="zh-CN" sz="1800" b="1" i="0" u="none" strike="noStrike" baseline="0">
                <a:effectLst/>
              </a:rPr>
              <a:t>支出决算结构图</a:t>
            </a:r>
            <a:endParaRPr lang="zh-CN" altLang="en-US"/>
          </a:p>
        </c:rich>
      </c:tx>
      <c:layout/>
      <c:overlay val="false"/>
      <c:spPr>
        <a:noFill/>
        <a:ln>
          <a:noFill/>
        </a:ln>
        <a:effectLst/>
      </c:spPr>
    </c:title>
    <c:autoTitleDeleted val="false"/>
    <c:plotArea>
      <c:layout>
        <c:manualLayout>
          <c:layoutTarget val="inner"/>
          <c:xMode val="edge"/>
          <c:yMode val="edge"/>
          <c:x val="0.277105774278215"/>
          <c:y val="0.254919236417034"/>
          <c:w val="0.386166666666668"/>
          <c:h val="0.680469897209987"/>
        </c:manualLayout>
      </c:layout>
      <c:pieChart>
        <c:varyColors val="true"/>
        <c:ser>
          <c:idx val="0"/>
          <c:order val="0"/>
          <c:tx>
            <c:strRef>
              <c:f>Sheet1!$B$1</c:f>
              <c:strCache>
                <c:ptCount val="1"/>
                <c:pt idx="0">
                  <c:v>金额</c:v>
                </c:pt>
              </c:strCache>
            </c:strRef>
          </c:tx>
          <c:spPr>
            <a:solidFill>
              <a:schemeClr val="accent2"/>
            </a:solidFill>
          </c:spPr>
          <c:explosion val="0"/>
          <c:dPt>
            <c:idx val="0"/>
            <c:bubble3D val="false"/>
            <c:spPr>
              <a:solidFill>
                <a:schemeClr val="accent2"/>
              </a:solidFill>
              <a:ln>
                <a:noFill/>
              </a:ln>
              <a:effectLst>
                <a:outerShdw blurRad="254000" sx="102000" sy="102000" algn="ctr" rotWithShape="0">
                  <a:prstClr val="black">
                    <a:alpha val="20000"/>
                  </a:prstClr>
                </a:outerShdw>
              </a:effectLst>
            </c:spPr>
          </c:dPt>
          <c:dPt>
            <c:idx val="1"/>
            <c:bubble3D val="false"/>
            <c:spPr>
              <a:solidFill>
                <a:schemeClr val="accent1"/>
              </a:solidFill>
              <a:ln>
                <a:noFill/>
              </a:ln>
              <a:effectLst>
                <a:outerShdw blurRad="254000" sx="102000" sy="102000" algn="ctr" rotWithShape="0">
                  <a:prstClr val="black">
                    <a:alpha val="20000"/>
                  </a:prstClr>
                </a:outerShdw>
              </a:effectLst>
            </c:spPr>
          </c:dPt>
          <c:dLbls>
            <c:numFmt formatCode="0.00%" sourceLinked="false"/>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true">
                <a:spAutoFit/>
              </a:bodyPr>
              <a:lstStyle/>
              <a:p>
                <a:pPr>
                  <a:defRPr lang="zh-CN" sz="1000" b="1" i="0" u="none" strike="noStrike" kern="1200" baseline="0">
                    <a:solidFill>
                      <a:schemeClr val="lt1"/>
                    </a:solidFill>
                    <a:latin typeface="+mn-lt"/>
                    <a:ea typeface="+mn-ea"/>
                    <a:cs typeface="+mn-cs"/>
                  </a:defRPr>
                </a:pPr>
              </a:p>
            </c:txPr>
            <c:dLblPos val="ctr"/>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dk1">
                          <a:lumMod val="50000"/>
                          <a:lumOff val="50000"/>
                        </a:schemeClr>
                      </a:solidFill>
                      <a:prstDash val="solid"/>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111.81</c:v>
                </c:pt>
                <c:pt idx="1">
                  <c:v>33.75</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r"/>
      <c:layout/>
      <c:overlay val="false"/>
      <c:spPr>
        <a:solidFill>
          <a:schemeClr val="lt1">
            <a:lumMod val="95000"/>
            <a:alpha val="39000"/>
          </a:schemeClr>
        </a:solidFill>
        <a:ln>
          <a:noFill/>
        </a:ln>
        <a:effectLst/>
      </c:spPr>
      <c:txPr>
        <a:bodyPr rot="0" spcFirstLastPara="1" vertOverflow="ellipsis" vert="horz" wrap="square" anchor="ctr" anchorCtr="true"/>
        <a:lstStyle/>
        <a:p>
          <a:pPr>
            <a:defRPr lang="zh-CN" sz="900" b="0" i="0" u="none" strike="noStrike" kern="1200" baseline="0">
              <a:solidFill>
                <a:schemeClr val="dk1">
                  <a:lumMod val="75000"/>
                  <a:lumOff val="25000"/>
                </a:schemeClr>
              </a:solidFill>
              <a:latin typeface="+mn-lt"/>
              <a:ea typeface="+mn-ea"/>
              <a:cs typeface="+mn-cs"/>
            </a:defRPr>
          </a:pPr>
        </a:p>
      </c:txPr>
    </c:legend>
    <c:plotVisOnly val="true"/>
    <c:dispBlanksAs val="zero"/>
    <c:showDLblsOverMax val="false"/>
  </c:chart>
  <c:spPr>
    <a:gradFill flip="none" rotWithShape="true">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prstDash val="solid"/>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true"/>
          <a:lstStyle/>
          <a:p>
            <a:pPr>
              <a:defRPr lang="zh-CN" sz="1600" b="1" i="0" u="none" strike="noStrike" kern="1200" cap="none" spc="0" normalizeH="0" baseline="0">
                <a:solidFill>
                  <a:schemeClr val="dk1">
                    <a:lumMod val="50000"/>
                    <a:lumOff val="50000"/>
                  </a:schemeClr>
                </a:solidFill>
                <a:latin typeface="+mj-lt"/>
                <a:ea typeface="+mj-ea"/>
                <a:cs typeface="+mj-cs"/>
              </a:defRPr>
            </a:pPr>
            <a:r>
              <a:rPr lang="zh-CN"/>
              <a:t>财政拨款收、支决算总计变动情况</a:t>
            </a:r>
            <a:endParaRPr lang="zh-CN"/>
          </a:p>
        </c:rich>
      </c:tx>
      <c:layout/>
      <c:overlay val="false"/>
      <c:spPr>
        <a:noFill/>
        <a:ln>
          <a:noFill/>
        </a:ln>
        <a:effectLst/>
      </c:spPr>
    </c:title>
    <c:autoTitleDeleted val="false"/>
    <c:plotArea>
      <c:layout/>
      <c:barChart>
        <c:barDir val="col"/>
        <c:grouping val="clustered"/>
        <c:varyColors val="false"/>
        <c:ser>
          <c:idx val="0"/>
          <c:order val="0"/>
          <c:tx>
            <c:strRef>
              <c:f>Sheet1!$B$1</c:f>
              <c:strCache>
                <c:ptCount val="1"/>
                <c:pt idx="0">
                  <c:v>2024年</c:v>
                </c:pt>
              </c:strCache>
            </c:strRef>
          </c:tx>
          <c:spPr>
            <a:solidFill>
              <a:schemeClr val="accent1"/>
            </a:solidFill>
            <a:ln>
              <a:noFill/>
            </a:ln>
            <a:effectLst/>
          </c:spPr>
          <c:invertIfNegative val="false"/>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dk1">
                        <a:lumMod val="75000"/>
                        <a:lumOff val="25000"/>
                      </a:schemeClr>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dk1">
                          <a:lumMod val="35000"/>
                          <a:lumOff val="65000"/>
                        </a:schemeClr>
                      </a:solidFill>
                      <a:prstDash val="solid"/>
                      <a:round/>
                    </a:ln>
                    <a:effectLst/>
                  </c:spPr>
                </c15:leaderLines>
              </c:ext>
            </c:extLst>
          </c:dLbls>
          <c:cat>
            <c:strRef>
              <c:f>Sheet1!$A$2</c:f>
              <c:strCache>
                <c:ptCount val="1"/>
                <c:pt idx="0">
                  <c:v>财政拨款收、支</c:v>
                </c:pt>
              </c:strCache>
            </c:strRef>
          </c:cat>
          <c:val>
            <c:numRef>
              <c:f>Sheet1!$B$2</c:f>
              <c:numCache>
                <c:formatCode>General</c:formatCode>
                <c:ptCount val="1"/>
                <c:pt idx="0">
                  <c:v>135.25</c:v>
                </c:pt>
              </c:numCache>
            </c:numRef>
          </c:val>
        </c:ser>
        <c:ser>
          <c:idx val="1"/>
          <c:order val="1"/>
          <c:tx>
            <c:strRef>
              <c:f>Sheet1!$C$1</c:f>
              <c:strCache>
                <c:ptCount val="1"/>
                <c:pt idx="0">
                  <c:v>2023年</c:v>
                </c:pt>
              </c:strCache>
            </c:strRef>
          </c:tx>
          <c:spPr>
            <a:solidFill>
              <a:schemeClr val="accent2"/>
            </a:solidFill>
            <a:ln>
              <a:noFill/>
            </a:ln>
            <a:effectLst/>
          </c:spPr>
          <c:invertIfNegative val="false"/>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dk1">
                        <a:lumMod val="75000"/>
                        <a:lumOff val="25000"/>
                      </a:schemeClr>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dk1">
                          <a:lumMod val="35000"/>
                          <a:lumOff val="65000"/>
                        </a:schemeClr>
                      </a:solidFill>
                      <a:prstDash val="solid"/>
                      <a:round/>
                    </a:ln>
                    <a:effectLst/>
                  </c:spPr>
                </c15:leaderLines>
              </c:ext>
            </c:extLst>
          </c:dLbls>
          <c:cat>
            <c:strRef>
              <c:f>Sheet1!$A$2</c:f>
              <c:strCache>
                <c:ptCount val="1"/>
                <c:pt idx="0">
                  <c:v>财政拨款收、支</c:v>
                </c:pt>
              </c:strCache>
            </c:strRef>
          </c:cat>
          <c:val>
            <c:numRef>
              <c:f>Sheet1!$C$2</c:f>
              <c:numCache>
                <c:formatCode>General</c:formatCode>
                <c:ptCount val="1"/>
                <c:pt idx="0">
                  <c:v>224.83</c:v>
                </c:pt>
              </c:numCache>
            </c:numRef>
          </c:val>
        </c:ser>
        <c:dLbls>
          <c:showLegendKey val="false"/>
          <c:showVal val="true"/>
          <c:showCatName val="false"/>
          <c:showSerName val="false"/>
          <c:showPercent val="false"/>
          <c:showBubbleSize val="false"/>
        </c:dLbls>
        <c:gapWidth val="267"/>
        <c:overlap val="-43"/>
        <c:axId val="164654080"/>
        <c:axId val="164659968"/>
      </c:barChart>
      <c:catAx>
        <c:axId val="164654080"/>
        <c:scaling>
          <c:orientation val="minMax"/>
        </c:scaling>
        <c:delete val="false"/>
        <c:axPos val="b"/>
        <c:majorGridlines>
          <c:spPr>
            <a:ln w="9525" cap="flat" cmpd="sng" algn="ctr">
              <a:solidFill>
                <a:schemeClr val="dk1">
                  <a:lumMod val="15000"/>
                  <a:lumOff val="85000"/>
                </a:schemeClr>
              </a:solidFill>
              <a:prstDash val="solid"/>
              <a:round/>
            </a:ln>
            <a:effectLst/>
          </c:spPr>
        </c:majorGridlines>
        <c:numFmt formatCode="General" sourceLinked="true"/>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true"/>
          <a:lstStyle/>
          <a:p>
            <a:pPr>
              <a:defRPr lang="zh-CN" sz="900" b="0" i="0" u="none" strike="noStrike" kern="1200" cap="none" spc="0" normalizeH="0" baseline="0">
                <a:solidFill>
                  <a:schemeClr val="dk1">
                    <a:lumMod val="65000"/>
                    <a:lumOff val="35000"/>
                  </a:schemeClr>
                </a:solidFill>
                <a:latin typeface="+mn-lt"/>
                <a:ea typeface="+mn-ea"/>
                <a:cs typeface="+mn-cs"/>
              </a:defRPr>
            </a:pPr>
          </a:p>
        </c:txPr>
        <c:crossAx val="164659968"/>
        <c:crosses val="autoZero"/>
        <c:auto val="true"/>
        <c:lblAlgn val="ctr"/>
        <c:lblOffset val="100"/>
        <c:noMultiLvlLbl val="false"/>
      </c:catAx>
      <c:valAx>
        <c:axId val="164659968"/>
        <c:scaling>
          <c:orientation val="minMax"/>
        </c:scaling>
        <c:delete val="false"/>
        <c:axPos val="l"/>
        <c:majorGridlines>
          <c:spPr>
            <a:ln w="9525" cap="flat" cmpd="sng" algn="ctr">
              <a:solidFill>
                <a:schemeClr val="dk1">
                  <a:lumMod val="15000"/>
                  <a:lumOff val="85000"/>
                </a:schemeClr>
              </a:solidFill>
              <a:prstDash val="solid"/>
              <a:round/>
            </a:ln>
            <a:effectLst/>
          </c:spPr>
        </c:majorGridlines>
        <c:numFmt formatCode="General" sourceLinked="true"/>
        <c:majorTickMark val="none"/>
        <c:minorTickMark val="none"/>
        <c:tickLblPos val="nextTo"/>
        <c:spPr>
          <a:noFill/>
          <a:ln w="9525" cap="flat" cmpd="sng" algn="ctr">
            <a:noFill/>
            <a:prstDash val="solid"/>
            <a:round/>
          </a:ln>
          <a:effectLst/>
        </c:spPr>
        <c:txPr>
          <a:bodyPr rot="-60000000" spcFirstLastPara="1" vertOverflow="ellipsis" vert="horz" wrap="square" anchor="ctr" anchorCtr="true"/>
          <a:lstStyle/>
          <a:p>
            <a:pPr>
              <a:defRPr lang="zh-CN" sz="900" b="0" i="0" u="none" strike="noStrike" kern="1200" baseline="0">
                <a:solidFill>
                  <a:schemeClr val="dk1">
                    <a:lumMod val="65000"/>
                    <a:lumOff val="35000"/>
                  </a:schemeClr>
                </a:solidFill>
                <a:latin typeface="+mn-lt"/>
                <a:ea typeface="+mn-ea"/>
                <a:cs typeface="+mn-cs"/>
              </a:defRPr>
            </a:pPr>
          </a:p>
        </c:txPr>
        <c:crossAx val="164654080"/>
        <c:crosses val="autoZero"/>
        <c:crossBetween val="between"/>
      </c:valAx>
      <c:spPr>
        <a:pattFill prst="ltDnDiag">
          <a:fgClr>
            <a:schemeClr val="dk1">
              <a:lumMod val="15000"/>
              <a:lumOff val="85000"/>
            </a:schemeClr>
          </a:fgClr>
          <a:bgClr>
            <a:schemeClr val="lt1"/>
          </a:bgClr>
        </a:patt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dk1">
                  <a:lumMod val="65000"/>
                  <a:lumOff val="35000"/>
                </a:schemeClr>
              </a:solidFill>
              <a:latin typeface="+mn-lt"/>
              <a:ea typeface="+mn-ea"/>
              <a:cs typeface="+mn-cs"/>
            </a:defRPr>
          </a:pPr>
        </a:p>
      </c:txPr>
    </c:legend>
    <c:plotVisOnly val="true"/>
    <c:dispBlanksAs val="gap"/>
    <c:showDLblsOverMax val="false"/>
  </c:chart>
  <c:spPr>
    <a:solidFill>
      <a:schemeClr val="lt1"/>
    </a:solidFill>
    <a:ln w="9525" cap="flat" cmpd="sng" algn="ctr">
      <a:solidFill>
        <a:schemeClr val="dk1">
          <a:lumMod val="15000"/>
          <a:lumOff val="85000"/>
        </a:schemeClr>
      </a:solidFill>
      <a:prstDash val="solid"/>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r>
              <a:rPr lang="zh-CN"/>
              <a:t>一般公共预算财政拨款支出决算变动情况</a:t>
            </a:r>
            <a:endParaRPr lang="zh-CN"/>
          </a:p>
        </c:rich>
      </c:tx>
      <c:layout/>
      <c:overlay val="false"/>
      <c:spPr>
        <a:noFill/>
        <a:ln>
          <a:noFill/>
        </a:ln>
        <a:effectLst/>
      </c:spPr>
    </c:title>
    <c:autoTitleDeleted val="false"/>
    <c:plotArea>
      <c:layout/>
      <c:barChart>
        <c:barDir val="col"/>
        <c:grouping val="clustered"/>
        <c:varyColors val="false"/>
        <c:ser>
          <c:idx val="0"/>
          <c:order val="0"/>
          <c:tx>
            <c:strRef>
              <c:f>Sheet1!$B$1</c:f>
              <c:strCache>
                <c:ptCount val="1"/>
                <c:pt idx="0">
                  <c:v>2024年</c:v>
                </c:pt>
              </c:strCache>
            </c:strRef>
          </c:tx>
          <c:spPr>
            <a:solidFill>
              <a:schemeClr val="accent1"/>
            </a:solidFill>
            <a:ln>
              <a:noFill/>
            </a:ln>
            <a:effectLst/>
          </c:spPr>
          <c:invertIfNegative val="false"/>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c:f>
              <c:strCache>
                <c:ptCount val="1"/>
                <c:pt idx="0">
                  <c:v>一般公共预算财政拨款支出</c:v>
                </c:pt>
              </c:strCache>
            </c:strRef>
          </c:cat>
          <c:val>
            <c:numRef>
              <c:f>Sheet1!$B$2</c:f>
              <c:numCache>
                <c:formatCode>General</c:formatCode>
                <c:ptCount val="1"/>
                <c:pt idx="0">
                  <c:v>134.31</c:v>
                </c:pt>
              </c:numCache>
            </c:numRef>
          </c:val>
        </c:ser>
        <c:ser>
          <c:idx val="1"/>
          <c:order val="1"/>
          <c:tx>
            <c:strRef>
              <c:f>Sheet1!$C$1</c:f>
              <c:strCache>
                <c:ptCount val="1"/>
                <c:pt idx="0">
                  <c:v>2023年</c:v>
                </c:pt>
              </c:strCache>
            </c:strRef>
          </c:tx>
          <c:spPr>
            <a:solidFill>
              <a:schemeClr val="accent2"/>
            </a:solidFill>
            <a:ln>
              <a:noFill/>
            </a:ln>
            <a:effectLst/>
          </c:spPr>
          <c:invertIfNegative val="false"/>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c:f>
              <c:strCache>
                <c:ptCount val="1"/>
                <c:pt idx="0">
                  <c:v>一般公共预算财政拨款支出</c:v>
                </c:pt>
              </c:strCache>
            </c:strRef>
          </c:cat>
          <c:val>
            <c:numRef>
              <c:f>Sheet1!$C$2</c:f>
              <c:numCache>
                <c:formatCode>General</c:formatCode>
                <c:ptCount val="1"/>
                <c:pt idx="0">
                  <c:v>224.83</c:v>
                </c:pt>
              </c:numCache>
            </c:numRef>
          </c:val>
        </c:ser>
        <c:dLbls>
          <c:showLegendKey val="false"/>
          <c:showVal val="true"/>
          <c:showCatName val="false"/>
          <c:showSerName val="false"/>
          <c:showPercent val="false"/>
          <c:showBubbleSize val="false"/>
        </c:dLbls>
        <c:gapWidth val="219"/>
        <c:overlap val="-27"/>
        <c:axId val="164693888"/>
        <c:axId val="164695424"/>
      </c:barChart>
      <c:catAx>
        <c:axId val="164693888"/>
        <c:scaling>
          <c:orientation val="minMax"/>
        </c:scaling>
        <c:delete val="false"/>
        <c:axPos val="b"/>
        <c:numFmt formatCode="General" sourceLinked="true"/>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64695424"/>
        <c:crosses val="autoZero"/>
        <c:auto val="true"/>
        <c:lblAlgn val="ctr"/>
        <c:lblOffset val="100"/>
        <c:noMultiLvlLbl val="false"/>
      </c:catAx>
      <c:valAx>
        <c:axId val="164695424"/>
        <c:scaling>
          <c:orientation val="minMax"/>
        </c:scaling>
        <c:delete val="false"/>
        <c:axPos val="l"/>
        <c:majorGridlines>
          <c:spPr>
            <a:ln w="9525" cap="flat" cmpd="sng" algn="ctr">
              <a:solidFill>
                <a:schemeClr val="tx1">
                  <a:lumMod val="15000"/>
                  <a:lumOff val="85000"/>
                </a:schemeClr>
              </a:solidFill>
              <a:prstDash val="solid"/>
              <a:round/>
            </a:ln>
            <a:effectLst/>
          </c:spPr>
        </c:majorGridlines>
        <c:numFmt formatCode="General" sourceLinked="true"/>
        <c:majorTickMark val="none"/>
        <c:minorTickMark val="none"/>
        <c:tickLblPos val="nextTo"/>
        <c:spPr>
          <a:noFill/>
          <a:ln w="9525" cap="flat" cmpd="sng" algn="ctr">
            <a:noFill/>
            <a:prstDash val="solid"/>
            <a:round/>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64693888"/>
        <c:crosses val="autoZero"/>
        <c:crossBetween val="between"/>
      </c:valAx>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r>
              <a:rPr lang="zh-CN" sz="1800" b="0" i="0" baseline="0"/>
              <a:t>一般公共预算财政拨款支出决算结构</a:t>
            </a:r>
            <a:endParaRPr lang="en-US" sz="1800" b="0" i="0" baseline="0"/>
          </a:p>
        </c:rich>
      </c:tx>
      <c:layout>
        <c:manualLayout>
          <c:xMode val="edge"/>
          <c:yMode val="edge"/>
          <c:x val="0.145570126322077"/>
          <c:y val="0.0258076429807603"/>
        </c:manualLayout>
      </c:layout>
      <c:overlay val="false"/>
    </c:title>
    <c:autoTitleDeleted val="false"/>
    <c:plotArea>
      <c:layout/>
      <c:pieChart>
        <c:varyColors val="true"/>
        <c:ser>
          <c:idx val="0"/>
          <c:order val="0"/>
          <c:tx>
            <c:strRef>
              <c:f>Sheet1!$B$1</c:f>
              <c:strCache>
                <c:ptCount val="1"/>
                <c:pt idx="0">
                  <c:v>销售额</c:v>
                </c:pt>
              </c:strCache>
            </c:strRef>
          </c:tx>
          <c:explosion val="0"/>
          <c:dPt>
            <c:idx val="0"/>
            <c:bubble3D val="false"/>
          </c:dPt>
          <c:dPt>
            <c:idx val="1"/>
            <c:bubble3D val="false"/>
          </c:dPt>
          <c:dPt>
            <c:idx val="2"/>
            <c:bubble3D val="false"/>
          </c:dPt>
          <c:dPt>
            <c:idx val="3"/>
            <c:bubble3D val="false"/>
          </c:dPt>
          <c:dPt>
            <c:idx val="4"/>
            <c:bubble3D val="false"/>
          </c:dPt>
          <c:dLbls>
            <c:dLbl>
              <c:idx val="0"/>
              <c:layout/>
              <c:dLblPos val="bestFit"/>
              <c:showLegendKey val="false"/>
              <c:showVal val="true"/>
              <c:showCatName val="false"/>
              <c:showSerName val="false"/>
              <c:showPercent val="false"/>
              <c:showBubbleSize val="false"/>
              <c:extLst>
                <c:ext xmlns:c15="http://schemas.microsoft.com/office/drawing/2012/chart" uri="{CE6537A1-D6FC-4f65-9D91-7224C49458BB}"/>
              </c:extLst>
            </c:dLbl>
            <c:dLbl>
              <c:idx val="1"/>
              <c:layout/>
              <c:dLblPos val="bestFit"/>
              <c:showLegendKey val="false"/>
              <c:showVal val="true"/>
              <c:showCatName val="false"/>
              <c:showSerName val="false"/>
              <c:showPercent val="false"/>
              <c:showBubbleSize val="false"/>
              <c:extLst>
                <c:ext xmlns:c15="http://schemas.microsoft.com/office/drawing/2012/chart" uri="{CE6537A1-D6FC-4f65-9D91-7224C49458BB}"/>
              </c:extLst>
            </c:dLbl>
            <c:dLbl>
              <c:idx val="2"/>
              <c:layout/>
              <c:dLblPos val="bestFit"/>
              <c:showLegendKey val="false"/>
              <c:showVal val="true"/>
              <c:showCatName val="false"/>
              <c:showSerName val="false"/>
              <c:showPercent val="false"/>
              <c:showBubbleSize val="false"/>
              <c:extLst>
                <c:ext xmlns:c15="http://schemas.microsoft.com/office/drawing/2012/chart" uri="{CE6537A1-D6FC-4f65-9D91-7224C49458BB}"/>
              </c:extLst>
            </c:dLbl>
            <c:dLbl>
              <c:idx val="3"/>
              <c:layout/>
              <c:dLblPos val="bestFit"/>
              <c:showLegendKey val="false"/>
              <c:showVal val="true"/>
              <c:showCatName val="false"/>
              <c:showSerName val="false"/>
              <c:showPercent val="false"/>
              <c:showBubbleSize val="false"/>
              <c:extLst>
                <c:ext xmlns:c15="http://schemas.microsoft.com/office/drawing/2012/chart" uri="{CE6537A1-D6FC-4f65-9D91-7224C49458BB}"/>
              </c:extLst>
            </c:dLbl>
            <c:dLbl>
              <c:idx val="4"/>
              <c:layout/>
              <c:dLblPos val="bestFit"/>
              <c:showLegendKey val="false"/>
              <c:showVal val="tru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fals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Sheet1!$A$2:$A$6</c:f>
              <c:strCache>
                <c:ptCount val="5"/>
                <c:pt idx="0">
                  <c:v>一般公共服务支出</c:v>
                </c:pt>
                <c:pt idx="1">
                  <c:v>文化体育与传媒支出</c:v>
                </c:pt>
                <c:pt idx="2">
                  <c:v>社会保障和就业支出</c:v>
                </c:pt>
                <c:pt idx="3">
                  <c:v>卫生健康支出</c:v>
                </c:pt>
                <c:pt idx="4">
                  <c:v>住房保障支出</c:v>
                </c:pt>
              </c:strCache>
            </c:strRef>
          </c:cat>
          <c:val>
            <c:numRef>
              <c:f>Sheet1!$B$2:$B$6</c:f>
              <c:numCache>
                <c:formatCode>General</c:formatCode>
                <c:ptCount val="5"/>
                <c:pt idx="0">
                  <c:v>97.63</c:v>
                </c:pt>
                <c:pt idx="1">
                  <c:v>12.61</c:v>
                </c:pt>
                <c:pt idx="2">
                  <c:v>10.59</c:v>
                </c:pt>
                <c:pt idx="3">
                  <c:v>3.36</c:v>
                </c:pt>
                <c:pt idx="4">
                  <c:v>10.12</c:v>
                </c:pt>
              </c:numCache>
            </c:numRef>
          </c:val>
        </c:ser>
        <c:dLbls>
          <c:showLegendKey val="false"/>
          <c:showVal val="false"/>
          <c:showCatName val="false"/>
          <c:showSerName val="false"/>
          <c:showPercent val="fals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r>
              <a:rPr lang="zh-CN" altLang="zh-CN" sz="1400" b="0" i="0" u="none" strike="noStrike" baseline="0">
                <a:effectLst/>
              </a:rPr>
              <a:t>“三公”经费财政拨款支出结构</a:t>
            </a:r>
            <a:endParaRPr lang="zh-CN" altLang="en-US"/>
          </a:p>
        </c:rich>
      </c:tx>
      <c:layout>
        <c:manualLayout>
          <c:xMode val="edge"/>
          <c:yMode val="edge"/>
          <c:x val="0.246524418391415"/>
          <c:y val="0.0254137149348265"/>
        </c:manualLayout>
      </c:layout>
      <c:overlay val="false"/>
      <c:spPr>
        <a:noFill/>
        <a:ln>
          <a:noFill/>
        </a:ln>
        <a:effectLst/>
      </c:spPr>
    </c:title>
    <c:autoTitleDeleted val="false"/>
    <c:plotArea>
      <c:layout/>
      <c:pieChart>
        <c:varyColors val="true"/>
        <c:ser>
          <c:idx val="0"/>
          <c:order val="0"/>
          <c:tx>
            <c:strRef>
              <c:f>Sheet1!$B$1</c:f>
              <c:strCache>
                <c:ptCount val="1"/>
                <c:pt idx="0">
                  <c:v>销售额</c:v>
                </c:pt>
              </c:strCache>
            </c:strRef>
          </c:tx>
          <c:explosion val="62"/>
          <c:dPt>
            <c:idx val="0"/>
            <c:bubble3D val="false"/>
            <c:spPr>
              <a:solidFill>
                <a:schemeClr val="accent1"/>
              </a:solidFill>
              <a:ln w="25400">
                <a:solidFill>
                  <a:schemeClr val="lt1"/>
                </a:solidFill>
              </a:ln>
              <a:effectLst/>
              <a:scene3d>
                <a:camera prst="orthographicFront"/>
                <a:lightRig rig="threePt" dir="t"/>
              </a:scene3d>
              <a:sp3d contourW="25400">
                <a:contourClr>
                  <a:schemeClr val="lt1"/>
                </a:contourClr>
              </a:sp3d>
            </c:spPr>
          </c:dPt>
          <c:dPt>
            <c:idx val="1"/>
            <c:bubble3D val="false"/>
            <c:spPr>
              <a:solidFill>
                <a:schemeClr val="accent2"/>
              </a:solidFill>
              <a:ln w="25400">
                <a:solidFill>
                  <a:schemeClr val="lt1"/>
                </a:solidFill>
              </a:ln>
              <a:effectLst/>
              <a:scene3d>
                <a:camera prst="orthographicFront"/>
                <a:lightRig rig="threePt" dir="t"/>
              </a:scene3d>
              <a:sp3d contourW="25400">
                <a:contourClr>
                  <a:schemeClr val="lt1"/>
                </a:contourClr>
              </a:sp3d>
            </c:spPr>
          </c:dPt>
          <c:dPt>
            <c:idx val="2"/>
            <c:bubble3D val="false"/>
            <c:spPr>
              <a:solidFill>
                <a:schemeClr val="accent3"/>
              </a:solidFill>
              <a:ln w="25400">
                <a:solidFill>
                  <a:schemeClr val="lt1"/>
                </a:solidFill>
              </a:ln>
              <a:effectLst/>
              <a:scene3d>
                <a:camera prst="orthographicFront"/>
                <a:lightRig rig="threePt" dir="t"/>
              </a:scene3d>
              <a:sp3d contourW="25400">
                <a:contourClr>
                  <a:schemeClr val="lt1"/>
                </a:contourClr>
              </a:sp3d>
            </c:spPr>
          </c:dPt>
          <c:dLbls>
            <c:dLbl>
              <c:idx val="0"/>
              <c:layout>
                <c:manualLayout>
                  <c:x val="-0.0301159106861686"/>
                  <c:y val="0.114361717206719"/>
                </c:manualLayout>
              </c:layout>
              <c:dLblPos val="outEnd"/>
              <c:showLegendKey val="false"/>
              <c:showVal val="false"/>
              <c:showCatName val="true"/>
              <c:showSerName val="false"/>
              <c:showPercent val="true"/>
              <c:showBubbleSize val="false"/>
              <c:separator>
</c:separator>
              <c:extLst>
                <c:ext xmlns:c15="http://schemas.microsoft.com/office/drawing/2012/chart" uri="{CE6537A1-D6FC-4f65-9D91-7224C49458BB}">
                  <c15:layout/>
                </c:ext>
              </c:extLst>
            </c:dLbl>
            <c:dLbl>
              <c:idx val="1"/>
              <c:layout>
                <c:manualLayout>
                  <c:x val="-0.19826050974143"/>
                  <c:y val="-0.0823874617668669"/>
                </c:manualLayout>
              </c:layout>
              <c:dLblPos val="bestFit"/>
              <c:showLegendKey val="false"/>
              <c:showVal val="false"/>
              <c:showCatName val="true"/>
              <c:showSerName val="false"/>
              <c:showPercent val="true"/>
              <c:showBubbleSize val="false"/>
              <c:separator>
</c:separator>
              <c:extLst>
                <c:ext xmlns:c15="http://schemas.microsoft.com/office/drawing/2012/chart" uri="{CE6537A1-D6FC-4f65-9D91-7224C49458BB}">
                  <c15:layout/>
                </c:ext>
              </c:extLst>
            </c:dLbl>
            <c:dLbl>
              <c:idx val="2"/>
              <c:layout>
                <c:manualLayout>
                  <c:x val="0.20077273790779"/>
                  <c:y val="0.181911504908816"/>
                </c:manualLayout>
              </c:layout>
              <c:dLblPos val="outEnd"/>
              <c:showLegendKey val="false"/>
              <c:showVal val="false"/>
              <c:showCatName val="true"/>
              <c:showSerName val="false"/>
              <c:showPercent val="true"/>
              <c:showBubbleSize val="false"/>
              <c:separator>
</c:separator>
              <c:extLst>
                <c:ext xmlns:c15="http://schemas.microsoft.com/office/drawing/2012/chart" uri="{CE6537A1-D6FC-4f65-9D91-7224C49458BB}">
                  <c15:layout/>
                </c:ext>
              </c:extLst>
            </c:dLbl>
            <c:numFmt formatCode="0.00%" sourceLinked="false"/>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true">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false"/>
            <c:showVal val="false"/>
            <c:showCatName val="true"/>
            <c:showSerName val="false"/>
            <c:showPercent val="true"/>
            <c:showBubbleSize val="false"/>
            <c:showLeaderLines val="false"/>
            <c:extLst>
              <c:ext xmlns:c15="http://schemas.microsoft.com/office/drawing/2012/chart" uri="{CE6537A1-D6FC-4f65-9D91-7224C49458BB}">
                <c15:spPr xmlns:c15="http://schemas.microsoft.com/office/drawing/2012/chart">
                  <a:prstGeom prst="wedgeRectCallout">
                    <a:avLst/>
                  </a:prstGeom>
                  <a:noFill/>
                  <a:ln>
                    <a:noFill/>
                  </a:ln>
                </c15:spPr>
                <c15:layout/>
                <c15:showLeaderLines val="false"/>
                <c15:leaderLines/>
              </c:ext>
            </c:extLst>
          </c:dLbls>
          <c:cat>
            <c:strRef>
              <c:f>Sheet1!$A$2:$A$4</c:f>
              <c:strCache>
                <c:ptCount val="3"/>
                <c:pt idx="0">
                  <c:v>因公出国</c:v>
                </c:pt>
                <c:pt idx="1">
                  <c:v>公务接待费</c:v>
                </c:pt>
                <c:pt idx="2">
                  <c:v>公务用车购置及运行维护费</c:v>
                </c:pt>
              </c:strCache>
            </c:strRef>
          </c:cat>
          <c:val>
            <c:numRef>
              <c:f>Sheet1!$B$2:$B$4</c:f>
              <c:numCache>
                <c:formatCode>General</c:formatCode>
                <c:ptCount val="3"/>
                <c:pt idx="0">
                  <c:v>0</c:v>
                </c:pt>
                <c:pt idx="1">
                  <c:v>0.32</c:v>
                </c:pt>
                <c:pt idx="2">
                  <c:v>0</c:v>
                </c:pt>
              </c:numCache>
            </c:numRef>
          </c:val>
        </c:ser>
        <c:dLbls>
          <c:showLegendKey val="false"/>
          <c:showVal val="false"/>
          <c:showCatName val="true"/>
          <c:showSerName val="false"/>
          <c:showPercent val="true"/>
          <c:showBubbleSize val="false"/>
          <c:showLeaderLines val="true"/>
        </c:dLbls>
        <c:firstSliceAng val="15"/>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35</Pages>
  <Words>1391</Words>
  <Characters>1512</Characters>
  <Lines>50</Lines>
  <Paragraphs>38</Paragraphs>
  <TotalTime>8</TotalTime>
  <ScaleCrop>false</ScaleCrop>
  <LinksUpToDate>false</LinksUpToDate>
  <CharactersWithSpaces>1553</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2020-08-10T01:49:00Z</dcterms:created>
  <dc:creator>曹颖</dc:creator>
  <cp:lastModifiedBy> </cp:lastModifiedBy>
  <cp:lastPrinted>2023-08-05T02:35:00Z</cp:lastPrinted>
  <dcterms:modified xsi:type="dcterms:W3CDTF">2025-10-16T16:02:10Z</dcterms:modified>
  <dc:title>四川省***</dc:title>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6B70361D626A4593B4A9C4A901EC4F63</vt:lpwstr>
  </property>
  <property fmtid="{D5CDD505-2E9C-101B-9397-08002B2CF9AE}" pid="4" name="KSOTemplateDocerSaveRecord">
    <vt:lpwstr>eyJoZGlkIjoiYTc2ZGZiNzZiNDVlOGViOWVmM2JhOTY0NGJkNjUyYzgiLCJ1c2VySWQiOiIyMjA2OTAwNTAifQ==</vt:lpwstr>
  </property>
</Properties>
</file>