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0D309">
      <w:pPr>
        <w:keepNext w:val="0"/>
        <w:keepLines w:val="0"/>
        <w:pageBreakBefore w:val="0"/>
        <w:suppressAutoHyphens/>
        <w:kinsoku/>
        <w:wordWrap/>
        <w:overflowPunct/>
        <w:topLinePunct w:val="0"/>
        <w:autoSpaceDE w:val="0"/>
        <w:bidi w:val="0"/>
        <w:adjustRightInd w:val="0"/>
        <w:snapToGrid w:val="0"/>
        <w:spacing w:line="576" w:lineRule="exact"/>
        <w:ind w:left="0" w:leftChars="0" w:right="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i w:val="0"/>
          <w:caps w:val="0"/>
          <w:color w:val="auto"/>
          <w:spacing w:val="0"/>
          <w:kern w:val="2"/>
          <w:sz w:val="44"/>
          <w:szCs w:val="44"/>
          <w:shd w:val="clear"/>
          <w:lang w:val="en-US" w:eastAsia="zh-CN" w:bidi="ar"/>
        </w:rPr>
        <w:t>广</w:t>
      </w:r>
      <w:r>
        <w:rPr>
          <w:rFonts w:hint="eastAsia" w:ascii="方正小标宋简体" w:hAnsi="方正小标宋简体" w:eastAsia="方正小标宋简体" w:cs="方正小标宋简体"/>
          <w:color w:val="auto"/>
          <w:sz w:val="44"/>
          <w:szCs w:val="44"/>
        </w:rPr>
        <w:t>元市产业发展投资引导基金管理办法</w:t>
      </w:r>
    </w:p>
    <w:p w14:paraId="70F9CE51">
      <w:pPr>
        <w:keepNext w:val="0"/>
        <w:keepLines w:val="0"/>
        <w:pageBreakBefore w:val="0"/>
        <w:suppressAutoHyphens/>
        <w:kinsoku/>
        <w:wordWrap/>
        <w:overflowPunct/>
        <w:topLinePunct w:val="0"/>
        <w:autoSpaceDE w:val="0"/>
        <w:bidi w:val="0"/>
        <w:adjustRightInd w:val="0"/>
        <w:snapToGrid w:val="0"/>
        <w:spacing w:line="576" w:lineRule="exact"/>
        <w:ind w:left="0" w:leftChars="0" w:right="0"/>
        <w:jc w:val="center"/>
        <w:rPr>
          <w:rFonts w:hint="eastAsia" w:ascii="方正楷体_GBK" w:hAnsi="方正楷体_GBK" w:eastAsia="方正楷体_GBK" w:cs="方正楷体_GBK"/>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14:paraId="77347D7B">
      <w:pPr>
        <w:keepNext w:val="0"/>
        <w:keepLines w:val="0"/>
        <w:pageBreakBefore w:val="0"/>
        <w:suppressAutoHyphens/>
        <w:kinsoku/>
        <w:wordWrap/>
        <w:overflowPunct/>
        <w:topLinePunct w:val="0"/>
        <w:autoSpaceDE w:val="0"/>
        <w:bidi w:val="0"/>
        <w:adjustRightInd w:val="0"/>
        <w:snapToGrid w:val="0"/>
        <w:spacing w:line="576" w:lineRule="exact"/>
        <w:ind w:left="0" w:leftChars="0" w:right="0"/>
        <w:textAlignment w:val="baseline"/>
        <w:rPr>
          <w:rFonts w:ascii="Calibri" w:hAnsi="Calibri"/>
          <w:color w:val="auto"/>
          <w:szCs w:val="21"/>
        </w:rPr>
      </w:pPr>
      <w:r>
        <w:rPr>
          <w:rFonts w:hint="eastAsia" w:ascii="Calibri" w:hAnsi="Calibri"/>
          <w:color w:val="auto"/>
          <w:szCs w:val="21"/>
        </w:rPr>
        <w:t xml:space="preserve"> </w:t>
      </w:r>
    </w:p>
    <w:p w14:paraId="6DB2E1A7">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jc w:val="center"/>
        <w:outlineLvl w:val="0"/>
        <w:rPr>
          <w:rFonts w:hint="eastAsia" w:eastAsia="黑体"/>
          <w:color w:val="auto"/>
          <w:kern w:val="0"/>
          <w:sz w:val="32"/>
          <w:szCs w:val="32"/>
        </w:rPr>
      </w:pPr>
      <w:r>
        <w:rPr>
          <w:rFonts w:hint="eastAsia" w:ascii="黑体" w:eastAsia="黑体"/>
          <w:color w:val="auto"/>
          <w:kern w:val="0"/>
          <w:sz w:val="32"/>
          <w:szCs w:val="32"/>
        </w:rPr>
        <w:t>第一章</w:t>
      </w:r>
      <w:r>
        <w:rPr>
          <w:rFonts w:eastAsia="黑体"/>
          <w:color w:val="auto"/>
          <w:kern w:val="0"/>
          <w:sz w:val="32"/>
          <w:szCs w:val="32"/>
        </w:rPr>
        <w:t xml:space="preserve">  </w:t>
      </w:r>
      <w:r>
        <w:rPr>
          <w:rFonts w:hint="eastAsia" w:ascii="黑体" w:eastAsia="黑体"/>
          <w:color w:val="auto"/>
          <w:kern w:val="0"/>
          <w:sz w:val="32"/>
          <w:szCs w:val="32"/>
        </w:rPr>
        <w:t>总</w:t>
      </w:r>
      <w:r>
        <w:rPr>
          <w:rFonts w:eastAsia="黑体"/>
          <w:color w:val="auto"/>
          <w:kern w:val="0"/>
          <w:sz w:val="32"/>
          <w:szCs w:val="32"/>
        </w:rPr>
        <w:t xml:space="preserve">  </w:t>
      </w:r>
      <w:r>
        <w:rPr>
          <w:rFonts w:hint="eastAsia" w:ascii="黑体" w:eastAsia="黑体"/>
          <w:color w:val="auto"/>
          <w:kern w:val="0"/>
          <w:sz w:val="32"/>
          <w:szCs w:val="32"/>
        </w:rPr>
        <w:t>则</w:t>
      </w:r>
    </w:p>
    <w:p w14:paraId="352443D1">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color w:val="auto"/>
          <w:kern w:val="0"/>
          <w:sz w:val="32"/>
          <w:szCs w:val="32"/>
          <w:lang w:val="en-US" w:eastAsia="zh-CN"/>
        </w:rPr>
        <w:t>第一条</w:t>
      </w:r>
      <w:r>
        <w:rPr>
          <w:rFonts w:hint="eastAsia" w:eastAsia="仿宋_GB2312"/>
          <w:color w:val="auto"/>
          <w:kern w:val="0"/>
          <w:sz w:val="32"/>
          <w:szCs w:val="32"/>
          <w:lang w:val="en-US" w:eastAsia="zh-CN"/>
        </w:rPr>
        <w:t xml:space="preserve"> 为充分发挥财政资金引导撬动作用</w:t>
      </w:r>
      <w:r>
        <w:rPr>
          <w:rFonts w:hint="eastAsia" w:ascii="仿宋_GB2312" w:eastAsia="仿宋_GB2312"/>
          <w:color w:val="auto"/>
          <w:kern w:val="0"/>
          <w:sz w:val="32"/>
          <w:szCs w:val="32"/>
          <w:lang w:val="en-US" w:eastAsia="zh-CN"/>
        </w:rPr>
        <w:t>，带动更多社会资本投资全市实体经济，壮大耐心资本，发展新质生产力，加快构建现代化产业体系，</w:t>
      </w:r>
      <w:r>
        <w:rPr>
          <w:rFonts w:hint="eastAsia" w:ascii="仿宋_GB2312" w:eastAsia="仿宋_GB2312"/>
          <w:color w:val="auto"/>
          <w:kern w:val="0"/>
          <w:sz w:val="32"/>
          <w:szCs w:val="32"/>
        </w:rPr>
        <w:t>根据</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私募投资基金监督管理条例</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国令第762号</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国务院办公厅关于促进政府投资基金高质量发展的指导意见</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（国办发〔2025〕1号）</w:t>
      </w:r>
      <w:r>
        <w:rPr>
          <w:rFonts w:hint="eastAsia" w:ascii="仿宋_GB2312" w:eastAsia="仿宋_GB2312"/>
          <w:color w:val="auto"/>
          <w:kern w:val="0"/>
          <w:sz w:val="32"/>
          <w:szCs w:val="32"/>
          <w:lang w:val="en-US" w:eastAsia="zh-CN"/>
        </w:rPr>
        <w:t>以及</w:t>
      </w:r>
      <w:r>
        <w:rPr>
          <w:rFonts w:hint="eastAsia" w:ascii="仿宋_GB2312" w:eastAsia="仿宋_GB2312"/>
          <w:color w:val="auto"/>
          <w:kern w:val="0"/>
          <w:sz w:val="32"/>
          <w:szCs w:val="32"/>
        </w:rPr>
        <w:t>财政部《政府投资基金管理暂行办法》（财预〔2015〕210号）等</w:t>
      </w:r>
      <w:r>
        <w:rPr>
          <w:rFonts w:hint="eastAsia" w:ascii="仿宋_GB2312" w:eastAsia="仿宋_GB2312"/>
          <w:color w:val="auto"/>
          <w:kern w:val="0"/>
          <w:sz w:val="32"/>
          <w:szCs w:val="32"/>
          <w:lang w:val="en-US" w:eastAsia="zh-CN"/>
        </w:rPr>
        <w:t>法律法规和文件</w:t>
      </w:r>
      <w:r>
        <w:rPr>
          <w:rFonts w:hint="eastAsia" w:ascii="仿宋_GB2312" w:eastAsia="仿宋_GB2312"/>
          <w:color w:val="auto"/>
          <w:kern w:val="0"/>
          <w:sz w:val="32"/>
          <w:szCs w:val="32"/>
        </w:rPr>
        <w:t>规定，结合我市实际，制定本办法。</w:t>
      </w:r>
    </w:p>
    <w:p w14:paraId="45252FDE">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spacing w:val="-10"/>
          <w:kern w:val="0"/>
          <w:sz w:val="32"/>
          <w:szCs w:val="32"/>
        </w:rPr>
      </w:pPr>
      <w:r>
        <w:rPr>
          <w:rFonts w:hint="eastAsia" w:ascii="楷体_GB2312" w:hAnsi="楷体_GB2312" w:eastAsia="楷体_GB2312" w:cs="楷体_GB2312"/>
          <w:color w:val="auto"/>
          <w:kern w:val="0"/>
          <w:sz w:val="32"/>
          <w:szCs w:val="32"/>
          <w:lang w:val="en-US" w:eastAsia="zh-CN"/>
        </w:rPr>
        <w:t>第二条</w:t>
      </w:r>
      <w:r>
        <w:rPr>
          <w:rFonts w:hint="eastAsia" w:eastAsia="仿宋_GB2312"/>
          <w:color w:val="auto"/>
          <w:kern w:val="0"/>
          <w:sz w:val="32"/>
          <w:szCs w:val="32"/>
        </w:rPr>
        <w:t xml:space="preserve">  </w:t>
      </w:r>
      <w:r>
        <w:rPr>
          <w:rFonts w:hint="eastAsia" w:ascii="仿宋_GB2312" w:eastAsia="仿宋_GB2312"/>
          <w:color w:val="auto"/>
          <w:kern w:val="0"/>
          <w:sz w:val="32"/>
          <w:szCs w:val="32"/>
        </w:rPr>
        <w:t>本办法所称广元市产业发展投资引导基金（以下简称产业基金）是指经市政府批准，财政出资发起设立的基金，通过政府引导、市场化运作吸引社会资本重点投资我市产业项目（企业）。产业基金</w:t>
      </w:r>
      <w:r>
        <w:rPr>
          <w:rFonts w:hint="eastAsia" w:ascii="仿宋_GB2312" w:eastAsia="仿宋_GB2312"/>
          <w:color w:val="auto"/>
          <w:kern w:val="0"/>
          <w:sz w:val="32"/>
          <w:szCs w:val="32"/>
          <w:lang w:val="en-US" w:eastAsia="zh-CN"/>
        </w:rPr>
        <w:t>定位</w:t>
      </w:r>
      <w:r>
        <w:rPr>
          <w:rFonts w:hint="eastAsia" w:ascii="仿宋_GB2312" w:hAnsi="Times New Roman" w:eastAsia="仿宋_GB2312" w:cs="仿宋_GB2312"/>
          <w:b w:val="0"/>
          <w:bCs w:val="0"/>
          <w:caps w:val="0"/>
          <w:color w:val="auto"/>
          <w:kern w:val="2"/>
          <w:sz w:val="32"/>
          <w:szCs w:val="32"/>
          <w:vertAlign w:val="baseline"/>
          <w:lang w:val="en-US" w:eastAsia="zh-CN" w:bidi="ar"/>
        </w:rPr>
        <w:t>为母基金，不以盈利为目的</w:t>
      </w:r>
      <w:r>
        <w:rPr>
          <w:rFonts w:hint="eastAsia" w:ascii="仿宋_GB2312" w:eastAsia="仿宋_GB2312"/>
          <w:color w:val="auto"/>
          <w:kern w:val="0"/>
          <w:sz w:val="32"/>
          <w:szCs w:val="32"/>
        </w:rPr>
        <w:t>。</w:t>
      </w:r>
    </w:p>
    <w:p w14:paraId="54D8048E">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color w:val="auto"/>
          <w:kern w:val="0"/>
          <w:sz w:val="32"/>
          <w:szCs w:val="32"/>
          <w:lang w:val="en-US" w:eastAsia="zh-CN"/>
        </w:rPr>
        <w:t>第三条</w:t>
      </w:r>
      <w:r>
        <w:rPr>
          <w:rFonts w:hint="eastAsia" w:eastAsia="仿宋_GB2312"/>
          <w:color w:val="auto"/>
          <w:kern w:val="0"/>
          <w:sz w:val="32"/>
          <w:szCs w:val="32"/>
        </w:rPr>
        <w:t xml:space="preserve">  </w:t>
      </w:r>
      <w:r>
        <w:rPr>
          <w:rFonts w:hint="eastAsia" w:ascii="仿宋_GB2312" w:eastAsia="仿宋_GB2312"/>
          <w:color w:val="auto"/>
          <w:kern w:val="0"/>
          <w:sz w:val="32"/>
          <w:szCs w:val="32"/>
        </w:rPr>
        <w:t>产业基金的宗旨是发挥财政资金的引导放大作用，广泛吸引各类资本重点投资广元市范围内符合产业发展政策的基础产业、主导产业、支柱产业、先导产业、瓶颈产业等各类产业项目，重点关</w:t>
      </w:r>
      <w:r>
        <w:rPr>
          <w:rFonts w:hint="eastAsia" w:ascii="仿宋_GB2312" w:eastAsia="仿宋_GB2312"/>
          <w:color w:val="auto"/>
          <w:kern w:val="0"/>
          <w:sz w:val="32"/>
          <w:szCs w:val="32"/>
          <w:highlight w:val="none"/>
        </w:rPr>
        <w:t>注</w:t>
      </w:r>
      <w:r>
        <w:rPr>
          <w:rFonts w:hint="eastAsia" w:ascii="仿宋_GB2312" w:eastAsia="仿宋_GB2312"/>
          <w:color w:val="auto"/>
          <w:kern w:val="0"/>
          <w:sz w:val="32"/>
          <w:szCs w:val="32"/>
          <w:highlight w:val="none"/>
          <w:lang w:val="en-US" w:eastAsia="zh-CN"/>
        </w:rPr>
        <w:t>铝基新材料、硅基新材料、能源化工、食品饮料、建材家居、医药健康、</w:t>
      </w:r>
      <w:r>
        <w:rPr>
          <w:rFonts w:hint="eastAsia" w:ascii="仿宋_GB2312" w:eastAsia="仿宋_GB2312"/>
          <w:color w:val="auto"/>
          <w:kern w:val="0"/>
          <w:sz w:val="32"/>
          <w:szCs w:val="32"/>
          <w:highlight w:val="none"/>
          <w:u w:val="none"/>
          <w:lang w:val="en-US" w:eastAsia="zh-CN"/>
        </w:rPr>
        <w:t>机械电子、</w:t>
      </w:r>
      <w:r>
        <w:rPr>
          <w:rFonts w:hint="eastAsia" w:ascii="仿宋_GB2312" w:eastAsia="仿宋_GB2312"/>
          <w:color w:val="auto"/>
          <w:kern w:val="0"/>
          <w:sz w:val="32"/>
          <w:szCs w:val="32"/>
          <w:highlight w:val="none"/>
          <w:lang w:val="en-US" w:eastAsia="zh-CN"/>
        </w:rPr>
        <w:t>数字经济、低空经济、矿产资源、现代物流、文旅康养、现代商业贸易、</w:t>
      </w:r>
      <w:r>
        <w:rPr>
          <w:rFonts w:hint="eastAsia" w:ascii="仿宋_GB2312" w:eastAsia="仿宋_GB2312"/>
          <w:color w:val="auto"/>
          <w:kern w:val="0"/>
          <w:sz w:val="32"/>
          <w:szCs w:val="32"/>
          <w:highlight w:val="none"/>
        </w:rPr>
        <w:t>猕猴桃</w:t>
      </w:r>
      <w:r>
        <w:rPr>
          <w:rFonts w:hint="eastAsia" w:ascii="仿宋_GB2312" w:eastAsia="仿宋_GB2312"/>
          <w:color w:val="auto"/>
          <w:kern w:val="0"/>
          <w:sz w:val="32"/>
          <w:szCs w:val="32"/>
          <w:highlight w:val="none"/>
          <w:lang w:val="en-US" w:eastAsia="zh-CN"/>
        </w:rPr>
        <w:t>和</w:t>
      </w:r>
      <w:r>
        <w:rPr>
          <w:rFonts w:hint="eastAsia" w:ascii="仿宋_GB2312" w:eastAsia="仿宋_GB2312"/>
          <w:color w:val="auto"/>
          <w:kern w:val="0"/>
          <w:sz w:val="32"/>
          <w:szCs w:val="32"/>
          <w:highlight w:val="none"/>
        </w:rPr>
        <w:t>茶叶</w:t>
      </w:r>
      <w:r>
        <w:rPr>
          <w:rFonts w:hint="eastAsia" w:ascii="仿宋_GB2312" w:eastAsia="仿宋_GB2312"/>
          <w:color w:val="auto"/>
          <w:kern w:val="0"/>
          <w:sz w:val="32"/>
          <w:szCs w:val="32"/>
          <w:highlight w:val="none"/>
          <w:lang w:eastAsia="zh-CN"/>
        </w:rPr>
        <w:t>、</w:t>
      </w:r>
      <w:r>
        <w:rPr>
          <w:rFonts w:hint="eastAsia" w:ascii="仿宋_GB2312" w:eastAsia="仿宋_GB2312"/>
          <w:color w:val="auto"/>
          <w:kern w:val="0"/>
          <w:sz w:val="32"/>
          <w:szCs w:val="32"/>
          <w:highlight w:val="none"/>
        </w:rPr>
        <w:t>肉牛羊</w:t>
      </w:r>
      <w:r>
        <w:rPr>
          <w:rFonts w:hint="eastAsia" w:ascii="仿宋_GB2312" w:eastAsia="仿宋_GB2312"/>
          <w:color w:val="auto"/>
          <w:kern w:val="0"/>
          <w:sz w:val="32"/>
          <w:szCs w:val="32"/>
          <w:highlight w:val="none"/>
          <w:lang w:val="en-US" w:eastAsia="zh-CN"/>
        </w:rPr>
        <w:t>和土鸡、</w:t>
      </w:r>
      <w:r>
        <w:rPr>
          <w:rFonts w:hint="eastAsia" w:ascii="仿宋_GB2312" w:eastAsia="仿宋_GB2312"/>
          <w:color w:val="auto"/>
          <w:kern w:val="0"/>
          <w:sz w:val="32"/>
          <w:szCs w:val="32"/>
          <w:highlight w:val="none"/>
        </w:rPr>
        <w:t>核桃</w:t>
      </w:r>
      <w:r>
        <w:rPr>
          <w:rFonts w:hint="eastAsia" w:ascii="仿宋_GB2312" w:eastAsia="仿宋_GB2312"/>
          <w:color w:val="auto"/>
          <w:kern w:val="0"/>
          <w:sz w:val="32"/>
          <w:szCs w:val="32"/>
          <w:highlight w:val="none"/>
          <w:lang w:val="en-US" w:eastAsia="zh-CN"/>
        </w:rPr>
        <w:t>和油橄榄</w:t>
      </w:r>
      <w:r>
        <w:rPr>
          <w:rFonts w:hint="eastAsia" w:ascii="仿宋_GB2312" w:eastAsia="仿宋_GB2312"/>
          <w:color w:val="auto"/>
          <w:kern w:val="0"/>
          <w:sz w:val="32"/>
          <w:szCs w:val="32"/>
          <w:lang w:val="en-US" w:eastAsia="zh-CN"/>
        </w:rPr>
        <w:t>等我市优化经济布局大力支持的各项</w:t>
      </w:r>
      <w:r>
        <w:rPr>
          <w:rFonts w:hint="eastAsia" w:ascii="仿宋_GB2312" w:eastAsia="仿宋_GB2312"/>
          <w:color w:val="auto"/>
          <w:kern w:val="0"/>
          <w:sz w:val="32"/>
          <w:szCs w:val="32"/>
        </w:rPr>
        <w:t>产业。</w:t>
      </w:r>
    </w:p>
    <w:p w14:paraId="75A062F8">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shd w:val="clear" w:color="auto" w:fill="FFFFFF"/>
        </w:rPr>
      </w:pPr>
      <w:r>
        <w:rPr>
          <w:rFonts w:hint="eastAsia" w:ascii="楷体_GB2312" w:hAnsi="楷体_GB2312" w:eastAsia="楷体_GB2312" w:cs="楷体_GB2312"/>
          <w:color w:val="auto"/>
          <w:kern w:val="0"/>
          <w:sz w:val="32"/>
          <w:szCs w:val="32"/>
          <w:lang w:val="en-US" w:eastAsia="zh-CN"/>
        </w:rPr>
        <w:t>第四条</w:t>
      </w:r>
      <w:r>
        <w:rPr>
          <w:rFonts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坚持“政府引导、市场运作、专业管理</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防范风险</w:t>
      </w:r>
      <w:r>
        <w:rPr>
          <w:rFonts w:hint="eastAsia" w:ascii="仿宋_GB2312" w:eastAsia="仿宋_GB2312"/>
          <w:color w:val="auto"/>
          <w:kern w:val="0"/>
          <w:sz w:val="32"/>
          <w:szCs w:val="32"/>
        </w:rPr>
        <w:t>”的原则，按照“分期募集、滚动发展”的思路实施。</w:t>
      </w:r>
    </w:p>
    <w:p w14:paraId="09F549FF">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color w:val="auto"/>
          <w:kern w:val="0"/>
          <w:sz w:val="32"/>
          <w:szCs w:val="32"/>
          <w:lang w:val="en-US" w:eastAsia="zh-CN"/>
        </w:rPr>
        <w:t>第五条</w:t>
      </w:r>
      <w:r>
        <w:rPr>
          <w:rFonts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采用有限合伙制组织形式，在广元市注册</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可采用双GP</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普通合伙人</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模式，通过引入其他基金管理机构作为普通合伙人，协助</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rPr>
        <w:t>管理产业基金（具体职责以协议约定为准）。</w:t>
      </w:r>
    </w:p>
    <w:p w14:paraId="33B97CBE">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shd w:val="clear" w:color="auto" w:fill="FFFFFF"/>
        </w:rPr>
      </w:pPr>
      <w:r>
        <w:rPr>
          <w:rFonts w:hint="eastAsia" w:ascii="楷体_GB2312" w:hAnsi="楷体_GB2312" w:eastAsia="楷体_GB2312" w:cs="楷体_GB2312"/>
          <w:color w:val="auto"/>
          <w:kern w:val="0"/>
          <w:sz w:val="32"/>
          <w:szCs w:val="32"/>
          <w:lang w:val="en-US" w:eastAsia="zh-CN"/>
        </w:rPr>
        <w:t xml:space="preserve">第六条 </w:t>
      </w:r>
      <w:r>
        <w:rPr>
          <w:rFonts w:eastAsia="仿宋_GB2312"/>
          <w:color w:val="auto"/>
          <w:spacing w:val="-9"/>
          <w:kern w:val="0"/>
          <w:sz w:val="32"/>
          <w:szCs w:val="32"/>
        </w:rPr>
        <w:t xml:space="preserve"> </w:t>
      </w:r>
      <w:r>
        <w:rPr>
          <w:rFonts w:hint="eastAsia" w:eastAsia="仿宋_GB2312"/>
          <w:color w:val="auto"/>
          <w:spacing w:val="-9"/>
          <w:kern w:val="0"/>
          <w:sz w:val="32"/>
          <w:szCs w:val="32"/>
          <w:lang w:val="en-US" w:eastAsia="zh-CN"/>
        </w:rPr>
        <w:t>产业基金</w:t>
      </w:r>
      <w:r>
        <w:rPr>
          <w:rFonts w:hint="eastAsia" w:ascii="仿宋_GB2312" w:eastAsia="仿宋_GB2312"/>
          <w:color w:val="auto"/>
          <w:sz w:val="32"/>
          <w:szCs w:val="32"/>
        </w:rPr>
        <w:t>资金来源包括财政预算资金、上级专项资金、基金投资收益和社会资本等。</w:t>
      </w:r>
    </w:p>
    <w:p w14:paraId="7EB6D587">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color w:val="auto"/>
          <w:kern w:val="0"/>
          <w:sz w:val="32"/>
          <w:szCs w:val="32"/>
          <w:lang w:val="en-US" w:eastAsia="zh-CN"/>
        </w:rPr>
        <w:t>第七条</w:t>
      </w:r>
      <w:r>
        <w:rPr>
          <w:rFonts w:eastAsia="仿宋_GB2312"/>
          <w:color w:val="auto"/>
          <w:kern w:val="0"/>
          <w:sz w:val="32"/>
          <w:szCs w:val="32"/>
          <w:shd w:val="clear" w:color="auto" w:fill="FFFFFF"/>
        </w:rPr>
        <w:t xml:space="preserve"> </w:t>
      </w:r>
      <w:r>
        <w:rPr>
          <w:rFonts w:hint="eastAsia" w:eastAsia="仿宋_GB2312"/>
          <w:color w:val="auto"/>
          <w:kern w:val="0"/>
          <w:sz w:val="32"/>
          <w:szCs w:val="32"/>
          <w:shd w:val="clear" w:color="auto" w:fill="FFFFFF"/>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shd w:val="clear" w:color="auto" w:fill="FFFFFF"/>
        </w:rPr>
        <w:t>可直接投资具体产业项目（企业）、设立子基金、参与</w:t>
      </w:r>
      <w:r>
        <w:rPr>
          <w:rFonts w:hint="eastAsia" w:ascii="仿宋_GB2312" w:eastAsia="仿宋_GB2312"/>
          <w:color w:val="auto"/>
          <w:kern w:val="0"/>
          <w:sz w:val="32"/>
          <w:szCs w:val="32"/>
        </w:rPr>
        <w:t>国内其他</w:t>
      </w:r>
      <w:r>
        <w:rPr>
          <w:rFonts w:hint="eastAsia" w:ascii="仿宋_GB2312" w:eastAsia="仿宋_GB2312"/>
          <w:color w:val="auto"/>
          <w:kern w:val="0"/>
          <w:sz w:val="32"/>
          <w:szCs w:val="32"/>
          <w:shd w:val="clear" w:color="auto" w:fill="FFFFFF"/>
        </w:rPr>
        <w:t>基金，根据实际情况确定投资项目规模和数量。</w:t>
      </w:r>
    </w:p>
    <w:p w14:paraId="314855EE">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color w:val="auto"/>
          <w:kern w:val="0"/>
          <w:sz w:val="32"/>
          <w:szCs w:val="32"/>
          <w:lang w:val="en-US" w:eastAsia="zh-CN"/>
        </w:rPr>
        <w:t>第八条</w:t>
      </w:r>
      <w:r>
        <w:rPr>
          <w:rFonts w:hint="eastAsia" w:ascii="仿宋_GB2312" w:eastAsia="仿宋_GB2312"/>
          <w:color w:val="auto"/>
          <w:kern w:val="0"/>
          <w:sz w:val="32"/>
          <w:szCs w:val="32"/>
          <w:lang w:val="en-US" w:eastAsia="zh-CN"/>
        </w:rPr>
        <w:t xml:space="preserve">  全市各县（区）、市级相关部门以及国有企业应</w:t>
      </w:r>
      <w:r>
        <w:rPr>
          <w:rFonts w:hint="eastAsia" w:ascii="仿宋_GB2312" w:hAnsi="Calibri" w:eastAsia="仿宋_GB2312" w:cs="Times New Roman"/>
          <w:color w:val="auto"/>
          <w:kern w:val="2"/>
          <w:sz w:val="32"/>
          <w:szCs w:val="32"/>
          <w:lang w:val="en-US" w:eastAsia="zh-CN" w:bidi="ar"/>
        </w:rPr>
        <w:t>主动与产业基金寻求联动，立足本地区发展实际，在产业基金架构下，合作设立专项子基金，形成政府投资引导基金群，持续推动产业基金做大做强。</w:t>
      </w:r>
    </w:p>
    <w:p w14:paraId="4B420DDF">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jc w:val="center"/>
        <w:outlineLvl w:val="0"/>
        <w:rPr>
          <w:rFonts w:eastAsia="黑体"/>
          <w:color w:val="auto"/>
          <w:kern w:val="0"/>
          <w:sz w:val="32"/>
          <w:szCs w:val="32"/>
        </w:rPr>
      </w:pPr>
      <w:r>
        <w:rPr>
          <w:rFonts w:hint="eastAsia" w:ascii="黑体" w:eastAsia="黑体"/>
          <w:color w:val="auto"/>
          <w:kern w:val="0"/>
          <w:sz w:val="32"/>
          <w:szCs w:val="32"/>
        </w:rPr>
        <w:t>第二章</w:t>
      </w:r>
      <w:r>
        <w:rPr>
          <w:rFonts w:eastAsia="黑体"/>
          <w:color w:val="auto"/>
          <w:kern w:val="0"/>
          <w:sz w:val="32"/>
          <w:szCs w:val="32"/>
        </w:rPr>
        <w:t xml:space="preserve">  </w:t>
      </w:r>
      <w:r>
        <w:rPr>
          <w:rFonts w:hint="eastAsia" w:ascii="黑体" w:eastAsia="黑体"/>
          <w:color w:val="auto"/>
          <w:kern w:val="0"/>
          <w:sz w:val="32"/>
          <w:szCs w:val="32"/>
        </w:rPr>
        <w:t>管理机构及职责</w:t>
      </w:r>
    </w:p>
    <w:p w14:paraId="0D570F7C">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第九条 </w:t>
      </w:r>
      <w:r>
        <w:rPr>
          <w:rFonts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sz w:val="32"/>
          <w:szCs w:val="32"/>
          <w:lang w:val="en-US" w:eastAsia="zh-CN"/>
        </w:rPr>
        <w:t>主要由基金管理委员会（以下简称管委会）、管委会办公室和基金管理机构负责管理运营。</w:t>
      </w:r>
    </w:p>
    <w:p w14:paraId="4B6BB272">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u w:val="none"/>
          <w:lang w:val="en-US" w:eastAsia="zh-CN"/>
        </w:rPr>
        <w:t xml:space="preserve">第十条  </w:t>
      </w:r>
      <w:r>
        <w:rPr>
          <w:rFonts w:hint="eastAsia" w:ascii="仿宋_GB2312" w:eastAsia="仿宋_GB2312"/>
          <w:b w:val="0"/>
          <w:bCs w:val="0"/>
          <w:color w:val="auto"/>
          <w:sz w:val="32"/>
          <w:szCs w:val="32"/>
          <w:u w:val="none"/>
        </w:rPr>
        <w:t>管委会主任由市政府市长担任，副主任由分管财政</w:t>
      </w:r>
      <w:r>
        <w:rPr>
          <w:rFonts w:hint="eastAsia" w:ascii="仿宋_GB2312" w:eastAsia="仿宋_GB2312"/>
          <w:b w:val="0"/>
          <w:bCs w:val="0"/>
          <w:color w:val="auto"/>
          <w:sz w:val="32"/>
          <w:szCs w:val="32"/>
          <w:u w:val="none"/>
          <w:lang w:eastAsia="zh-CN"/>
        </w:rPr>
        <w:t>、</w:t>
      </w:r>
      <w:r>
        <w:rPr>
          <w:rFonts w:hint="eastAsia" w:ascii="仿宋_GB2312" w:eastAsia="仿宋_GB2312"/>
          <w:b w:val="0"/>
          <w:bCs w:val="0"/>
          <w:color w:val="auto"/>
          <w:sz w:val="32"/>
          <w:szCs w:val="32"/>
          <w:u w:val="none"/>
        </w:rPr>
        <w:t>金融工作的副市长担任，市发展改革委、市经济和信息化局、市财政局、市农业农村局、市商务局、市国资委、市经济合作和外事局</w:t>
      </w:r>
      <w:r>
        <w:rPr>
          <w:rFonts w:hint="eastAsia" w:ascii="仿宋_GB2312" w:eastAsia="仿宋_GB2312"/>
          <w:b w:val="0"/>
          <w:bCs w:val="0"/>
          <w:color w:val="auto"/>
          <w:sz w:val="32"/>
          <w:szCs w:val="32"/>
          <w:u w:val="none"/>
          <w:lang w:val="en-US" w:eastAsia="zh-CN"/>
        </w:rPr>
        <w:t>、</w:t>
      </w:r>
      <w:r>
        <w:rPr>
          <w:rFonts w:hint="eastAsia" w:ascii="仿宋_GB2312" w:eastAsia="仿宋_GB2312"/>
          <w:b w:val="0"/>
          <w:bCs w:val="0"/>
          <w:color w:val="auto"/>
          <w:sz w:val="32"/>
          <w:szCs w:val="32"/>
          <w:u w:val="none"/>
        </w:rPr>
        <w:t>广元经济技术开发区管委会、</w:t>
      </w:r>
      <w:r>
        <w:rPr>
          <w:rFonts w:hint="eastAsia" w:ascii="仿宋_GB2312" w:eastAsia="仿宋_GB2312"/>
          <w:b w:val="0"/>
          <w:bCs w:val="0"/>
          <w:color w:val="auto"/>
          <w:sz w:val="32"/>
          <w:szCs w:val="32"/>
          <w:u w:val="none"/>
          <w:lang w:eastAsia="zh-CN"/>
        </w:rPr>
        <w:t>基金管理机构</w:t>
      </w:r>
      <w:r>
        <w:rPr>
          <w:rFonts w:hint="eastAsia" w:ascii="仿宋_GB2312" w:eastAsia="仿宋_GB2312"/>
          <w:b w:val="0"/>
          <w:bCs w:val="0"/>
          <w:color w:val="auto"/>
          <w:kern w:val="0"/>
          <w:sz w:val="32"/>
          <w:szCs w:val="32"/>
          <w:u w:val="none"/>
        </w:rPr>
        <w:t>等相关部门（单位）负责人为成员，管委会主任可</w:t>
      </w:r>
      <w:r>
        <w:rPr>
          <w:rFonts w:hint="eastAsia" w:ascii="仿宋_GB2312" w:eastAsia="仿宋_GB2312"/>
          <w:b w:val="0"/>
          <w:bCs w:val="0"/>
          <w:color w:val="auto"/>
          <w:kern w:val="0"/>
          <w:sz w:val="32"/>
          <w:szCs w:val="32"/>
          <w:u w:val="none"/>
          <w:lang w:val="en-US" w:eastAsia="zh-CN"/>
        </w:rPr>
        <w:t>邀请外部专家、中介机构、职能部门等相关人员列席会议，为管委会会议表决事项提出专业意见</w:t>
      </w:r>
      <w:r>
        <w:rPr>
          <w:rFonts w:hint="eastAsia" w:ascii="仿宋_GB2312" w:eastAsia="仿宋_GB2312"/>
          <w:b w:val="0"/>
          <w:bCs w:val="0"/>
          <w:color w:val="auto"/>
          <w:kern w:val="0"/>
          <w:sz w:val="32"/>
          <w:szCs w:val="32"/>
          <w:u w:val="none"/>
        </w:rPr>
        <w:t>。管委会主要职责如下：</w:t>
      </w:r>
    </w:p>
    <w:p w14:paraId="42A7A13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rPr>
        <w:t>（一）</w:t>
      </w:r>
      <w:r>
        <w:rPr>
          <w:rFonts w:hint="eastAsia" w:ascii="仿宋_GB2312" w:eastAsia="仿宋_GB2312"/>
          <w:color w:val="auto"/>
          <w:kern w:val="0"/>
          <w:sz w:val="32"/>
          <w:szCs w:val="32"/>
          <w:lang w:val="en-US" w:eastAsia="zh-CN"/>
        </w:rPr>
        <w:t>负责产业基金政策指导和统筹协调。</w:t>
      </w:r>
    </w:p>
    <w:p w14:paraId="18D9730E">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二</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审定</w:t>
      </w:r>
      <w:r>
        <w:rPr>
          <w:rFonts w:hint="eastAsia" w:ascii="仿宋_GB2312" w:eastAsia="仿宋_GB2312"/>
          <w:color w:val="auto"/>
          <w:sz w:val="32"/>
          <w:szCs w:val="32"/>
        </w:rPr>
        <w:t>产业基金</w:t>
      </w:r>
      <w:r>
        <w:rPr>
          <w:rFonts w:hint="eastAsia" w:ascii="仿宋_GB2312" w:eastAsia="仿宋_GB2312"/>
          <w:color w:val="auto"/>
          <w:kern w:val="0"/>
          <w:sz w:val="32"/>
          <w:szCs w:val="32"/>
        </w:rPr>
        <w:t>年度投资计划</w:t>
      </w:r>
      <w:r>
        <w:rPr>
          <w:rFonts w:hint="eastAsia" w:ascii="仿宋_GB2312" w:eastAsia="仿宋_GB2312"/>
          <w:color w:val="auto"/>
          <w:kern w:val="0"/>
          <w:sz w:val="32"/>
          <w:szCs w:val="32"/>
          <w:lang w:eastAsia="zh-CN"/>
        </w:rPr>
        <w:t>。</w:t>
      </w:r>
    </w:p>
    <w:p w14:paraId="4C13E60A">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三</w:t>
      </w:r>
      <w:r>
        <w:rPr>
          <w:rFonts w:hint="eastAsia" w:ascii="仿宋_GB2312" w:eastAsia="仿宋_GB2312"/>
          <w:color w:val="auto"/>
          <w:kern w:val="0"/>
          <w:sz w:val="32"/>
          <w:szCs w:val="32"/>
        </w:rPr>
        <w:t>）审定</w:t>
      </w:r>
      <w:r>
        <w:rPr>
          <w:rFonts w:hint="eastAsia" w:ascii="仿宋_GB2312" w:eastAsia="仿宋_GB2312"/>
          <w:color w:val="auto"/>
          <w:sz w:val="32"/>
          <w:szCs w:val="32"/>
        </w:rPr>
        <w:t>产业基金</w:t>
      </w:r>
      <w:r>
        <w:rPr>
          <w:rFonts w:hint="eastAsia" w:ascii="仿宋_GB2312" w:eastAsia="仿宋_GB2312"/>
          <w:color w:val="auto"/>
          <w:kern w:val="0"/>
          <w:sz w:val="32"/>
          <w:szCs w:val="32"/>
        </w:rPr>
        <w:t>投资方案</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遴选子基金管理机构方案、退出方案以及清算方案</w:t>
      </w:r>
      <w:r>
        <w:rPr>
          <w:rFonts w:hint="eastAsia" w:ascii="仿宋_GB2312" w:eastAsia="仿宋_GB2312"/>
          <w:color w:val="auto"/>
          <w:kern w:val="0"/>
          <w:sz w:val="32"/>
          <w:szCs w:val="32"/>
          <w:lang w:eastAsia="zh-CN"/>
        </w:rPr>
        <w:t>。</w:t>
      </w:r>
    </w:p>
    <w:p w14:paraId="7E9CB5ED">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四</w:t>
      </w:r>
      <w:r>
        <w:rPr>
          <w:rFonts w:hint="eastAsia" w:ascii="仿宋_GB2312" w:eastAsia="仿宋_GB2312"/>
          <w:color w:val="auto"/>
          <w:kern w:val="0"/>
          <w:sz w:val="32"/>
          <w:szCs w:val="32"/>
        </w:rPr>
        <w:t>）审定或协调解决</w:t>
      </w:r>
      <w:r>
        <w:rPr>
          <w:rFonts w:hint="eastAsia" w:ascii="仿宋_GB2312" w:eastAsia="仿宋_GB2312"/>
          <w:color w:val="auto"/>
          <w:sz w:val="32"/>
          <w:szCs w:val="32"/>
        </w:rPr>
        <w:t>产业基金</w:t>
      </w:r>
      <w:r>
        <w:rPr>
          <w:rFonts w:hint="eastAsia" w:ascii="仿宋_GB2312" w:eastAsia="仿宋_GB2312"/>
          <w:color w:val="auto"/>
          <w:kern w:val="0"/>
          <w:sz w:val="32"/>
          <w:szCs w:val="32"/>
        </w:rPr>
        <w:t>管理中的其他重大事项</w:t>
      </w:r>
      <w:r>
        <w:rPr>
          <w:rFonts w:hint="eastAsia" w:ascii="仿宋_GB2312" w:eastAsia="仿宋_GB2312"/>
          <w:color w:val="auto"/>
          <w:kern w:val="0"/>
          <w:sz w:val="32"/>
          <w:szCs w:val="32"/>
          <w:lang w:eastAsia="zh-CN"/>
        </w:rPr>
        <w:t>。</w:t>
      </w:r>
    </w:p>
    <w:p w14:paraId="5A60F112">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五</w:t>
      </w:r>
      <w:r>
        <w:rPr>
          <w:rFonts w:hint="eastAsia" w:ascii="仿宋_GB2312" w:eastAsia="仿宋_GB2312"/>
          <w:color w:val="auto"/>
          <w:kern w:val="0"/>
          <w:sz w:val="32"/>
          <w:szCs w:val="32"/>
        </w:rPr>
        <w:t>）研究提出重大产业项目投资建议</w:t>
      </w:r>
      <w:r>
        <w:rPr>
          <w:rFonts w:hint="eastAsia" w:ascii="仿宋_GB2312" w:eastAsia="仿宋_GB2312"/>
          <w:color w:val="auto"/>
          <w:kern w:val="0"/>
          <w:sz w:val="32"/>
          <w:szCs w:val="32"/>
          <w:lang w:eastAsia="zh-CN"/>
        </w:rPr>
        <w:t>。</w:t>
      </w:r>
    </w:p>
    <w:p w14:paraId="2A6C1571">
      <w:pPr>
        <w:keepNext w:val="0"/>
        <w:keepLines w:val="0"/>
        <w:pageBreakBefore w:val="0"/>
        <w:suppressAutoHyphens/>
        <w:kinsoku/>
        <w:wordWrap/>
        <w:overflowPunct/>
        <w:topLinePunct w:val="0"/>
        <w:bidi w:val="0"/>
        <w:adjustRightInd w:val="0"/>
        <w:snapToGrid w:val="0"/>
        <w:spacing w:line="576" w:lineRule="exact"/>
        <w:ind w:left="0" w:leftChars="0" w:right="0" w:firstLine="640" w:firstLineChars="200"/>
        <w:textAlignment w:val="baseline"/>
        <w:rPr>
          <w:rFonts w:hint="eastAsia" w:ascii="Calibri" w:hAnsi="Calibri" w:eastAsia="仿宋_GB2312"/>
          <w:color w:val="auto"/>
          <w:szCs w:val="21"/>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六</w:t>
      </w:r>
      <w:r>
        <w:rPr>
          <w:rFonts w:hint="eastAsia" w:ascii="仿宋_GB2312" w:eastAsia="仿宋_GB2312"/>
          <w:color w:val="auto"/>
          <w:kern w:val="0"/>
          <w:sz w:val="32"/>
          <w:szCs w:val="32"/>
        </w:rPr>
        <w:t>）审定产业基金绩效考核评价办法，审定产业</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rPr>
        <w:t>年度绩效考核结果</w:t>
      </w:r>
      <w:r>
        <w:rPr>
          <w:rFonts w:hint="eastAsia" w:ascii="仿宋_GB2312" w:eastAsia="仿宋_GB2312"/>
          <w:color w:val="auto"/>
          <w:kern w:val="0"/>
          <w:sz w:val="32"/>
          <w:szCs w:val="32"/>
          <w:lang w:eastAsia="zh-CN"/>
        </w:rPr>
        <w:t>。</w:t>
      </w:r>
    </w:p>
    <w:p w14:paraId="4F82324E">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七</w:t>
      </w:r>
      <w:r>
        <w:rPr>
          <w:rFonts w:hint="eastAsia" w:ascii="仿宋_GB2312" w:eastAsia="仿宋_GB2312"/>
          <w:color w:val="auto"/>
          <w:kern w:val="0"/>
          <w:sz w:val="32"/>
          <w:szCs w:val="32"/>
        </w:rPr>
        <w:t>）其他需由管委会审定的事项。</w:t>
      </w:r>
    </w:p>
    <w:p w14:paraId="1473AA67">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第十一条</w:t>
      </w:r>
      <w:r>
        <w:rPr>
          <w:rFonts w:hint="eastAsia" w:eastAsia="仿宋_GB2312"/>
          <w:color w:val="auto"/>
          <w:kern w:val="0"/>
          <w:sz w:val="32"/>
          <w:szCs w:val="32"/>
        </w:rPr>
        <w:t xml:space="preserve">  </w:t>
      </w:r>
      <w:r>
        <w:rPr>
          <w:rFonts w:hint="eastAsia" w:ascii="仿宋_GB2312" w:eastAsia="仿宋_GB2312"/>
          <w:color w:val="auto"/>
          <w:kern w:val="0"/>
          <w:sz w:val="32"/>
          <w:szCs w:val="32"/>
        </w:rPr>
        <w:t>管委会决策采用票决制，仅管委会成员具有投票权。</w:t>
      </w:r>
      <w:r>
        <w:rPr>
          <w:rFonts w:hint="eastAsia" w:ascii="仿宋_GB2312" w:eastAsia="仿宋_GB2312"/>
          <w:color w:val="auto"/>
          <w:sz w:val="32"/>
          <w:szCs w:val="32"/>
        </w:rPr>
        <w:t>管委会成员三分之二及以上同意视为通过</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管委会主任行使一票否决权</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具体议事规则由管委会办公室另行制定。</w:t>
      </w:r>
    </w:p>
    <w:p w14:paraId="7C390351">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第十二条</w:t>
      </w:r>
      <w:r>
        <w:rPr>
          <w:rFonts w:eastAsia="仿宋_GB2312"/>
          <w:color w:val="auto"/>
          <w:kern w:val="0"/>
          <w:sz w:val="32"/>
          <w:szCs w:val="32"/>
        </w:rPr>
        <w:t xml:space="preserve">  </w:t>
      </w:r>
      <w:r>
        <w:rPr>
          <w:rFonts w:hint="eastAsia" w:ascii="仿宋_GB2312" w:eastAsia="仿宋_GB2312"/>
          <w:color w:val="auto"/>
          <w:kern w:val="0"/>
          <w:sz w:val="32"/>
          <w:szCs w:val="32"/>
        </w:rPr>
        <w:t>管委会办公室设在市财政局，负责管委会日常工作。办公室主任由市财政局主要负责人担任，成员由</w:t>
      </w:r>
      <w:r>
        <w:rPr>
          <w:rFonts w:hint="eastAsia" w:ascii="仿宋_GB2312" w:eastAsia="仿宋_GB2312"/>
          <w:color w:val="auto"/>
          <w:kern w:val="0"/>
          <w:sz w:val="32"/>
          <w:szCs w:val="32"/>
          <w:lang w:val="en-US" w:eastAsia="zh-CN"/>
        </w:rPr>
        <w:t>市财政局、</w:t>
      </w:r>
      <w:r>
        <w:rPr>
          <w:rFonts w:hint="eastAsia" w:ascii="仿宋_GB2312" w:eastAsia="仿宋_GB2312"/>
          <w:color w:val="auto"/>
          <w:kern w:val="0"/>
          <w:sz w:val="32"/>
          <w:szCs w:val="32"/>
        </w:rPr>
        <w:t>市发展改革委</w:t>
      </w:r>
      <w:r>
        <w:rPr>
          <w:rFonts w:hint="eastAsia" w:ascii="仿宋_GB2312" w:eastAsia="仿宋_GB2312"/>
          <w:color w:val="auto"/>
          <w:kern w:val="0"/>
          <w:sz w:val="32"/>
          <w:szCs w:val="32"/>
          <w:lang w:val="en-US" w:eastAsia="zh-CN"/>
        </w:rPr>
        <w:t>分管领导</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基金管理</w:t>
      </w:r>
      <w:r>
        <w:rPr>
          <w:rFonts w:hint="eastAsia" w:ascii="仿宋_GB2312" w:eastAsia="仿宋_GB2312"/>
          <w:color w:val="auto"/>
          <w:kern w:val="0"/>
          <w:sz w:val="32"/>
          <w:szCs w:val="32"/>
          <w:lang w:val="en-US" w:eastAsia="zh-CN"/>
        </w:rPr>
        <w:t>机构主要</w:t>
      </w:r>
      <w:r>
        <w:rPr>
          <w:rFonts w:hint="eastAsia" w:ascii="仿宋_GB2312" w:eastAsia="仿宋_GB2312"/>
          <w:color w:val="auto"/>
          <w:kern w:val="0"/>
          <w:sz w:val="32"/>
          <w:szCs w:val="32"/>
        </w:rPr>
        <w:t>负责人组成。办公室主要职责如下：</w:t>
      </w:r>
    </w:p>
    <w:p w14:paraId="09A29391">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（一）</w:t>
      </w:r>
      <w:r>
        <w:rPr>
          <w:rFonts w:hint="eastAsia" w:ascii="仿宋_GB2312" w:eastAsia="仿宋_GB2312"/>
          <w:color w:val="auto"/>
          <w:kern w:val="0"/>
          <w:sz w:val="32"/>
          <w:szCs w:val="32"/>
          <w:lang w:val="en-US" w:eastAsia="zh-CN"/>
        </w:rPr>
        <w:t>贯彻落实管委会决定，牵头拟定产业基金工作报告</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年度投资计划</w:t>
      </w:r>
      <w:r>
        <w:rPr>
          <w:rFonts w:hint="eastAsia" w:ascii="仿宋_GB2312" w:eastAsia="仿宋_GB2312"/>
          <w:color w:val="auto"/>
          <w:kern w:val="0"/>
          <w:sz w:val="32"/>
          <w:szCs w:val="32"/>
          <w:lang w:eastAsia="zh-CN"/>
        </w:rPr>
        <w:t>。</w:t>
      </w:r>
    </w:p>
    <w:p w14:paraId="102049DC">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lang w:eastAsia="zh-CN"/>
        </w:rPr>
      </w:pPr>
      <w:r>
        <w:rPr>
          <w:rFonts w:hint="eastAsia" w:ascii="仿宋_GB2312" w:eastAsia="仿宋_GB2312"/>
          <w:color w:val="auto"/>
          <w:kern w:val="0"/>
          <w:sz w:val="32"/>
          <w:szCs w:val="32"/>
        </w:rPr>
        <w:t>（二）制定产业基金考核办法，对</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rPr>
        <w:t>年度绩效进行考核评价</w:t>
      </w:r>
      <w:r>
        <w:rPr>
          <w:rFonts w:hint="eastAsia" w:ascii="仿宋_GB2312" w:eastAsia="仿宋_GB2312"/>
          <w:color w:val="auto"/>
          <w:kern w:val="0"/>
          <w:sz w:val="32"/>
          <w:szCs w:val="32"/>
          <w:lang w:eastAsia="zh-CN"/>
        </w:rPr>
        <w:t>。</w:t>
      </w:r>
    </w:p>
    <w:p w14:paraId="755C744D">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三</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联络管委会各员单位，协调落实管委会决定事项。</w:t>
      </w:r>
    </w:p>
    <w:p w14:paraId="0C55D27D">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四</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管委会授权监督产业基金日常运营。</w:t>
      </w:r>
    </w:p>
    <w:p w14:paraId="346FA44B">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五</w:t>
      </w:r>
      <w:r>
        <w:rPr>
          <w:rFonts w:hint="eastAsia" w:ascii="仿宋_GB2312" w:eastAsia="仿宋_GB2312"/>
          <w:color w:val="auto"/>
          <w:kern w:val="0"/>
          <w:sz w:val="32"/>
          <w:szCs w:val="32"/>
        </w:rPr>
        <w:t>）向管委会定期报告</w:t>
      </w:r>
      <w:r>
        <w:rPr>
          <w:rFonts w:hint="eastAsia" w:ascii="仿宋_GB2312" w:eastAsia="仿宋_GB2312"/>
          <w:color w:val="auto"/>
          <w:sz w:val="32"/>
          <w:szCs w:val="32"/>
        </w:rPr>
        <w:t>产业基金</w:t>
      </w:r>
      <w:r>
        <w:rPr>
          <w:rFonts w:hint="eastAsia" w:ascii="仿宋_GB2312" w:eastAsia="仿宋_GB2312"/>
          <w:color w:val="auto"/>
          <w:kern w:val="0"/>
          <w:sz w:val="32"/>
          <w:szCs w:val="32"/>
        </w:rPr>
        <w:t>运行情况</w:t>
      </w:r>
      <w:r>
        <w:rPr>
          <w:rFonts w:hint="eastAsia" w:ascii="仿宋_GB2312" w:eastAsia="仿宋_GB2312"/>
          <w:color w:val="auto"/>
          <w:kern w:val="0"/>
          <w:sz w:val="32"/>
          <w:szCs w:val="32"/>
          <w:lang w:eastAsia="zh-CN"/>
        </w:rPr>
        <w:t>。</w:t>
      </w:r>
    </w:p>
    <w:p w14:paraId="371AD032">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六</w:t>
      </w:r>
      <w:r>
        <w:rPr>
          <w:rFonts w:hint="eastAsia" w:ascii="仿宋_GB2312" w:eastAsia="仿宋_GB2312"/>
          <w:color w:val="auto"/>
          <w:kern w:val="0"/>
          <w:sz w:val="32"/>
          <w:szCs w:val="32"/>
        </w:rPr>
        <w:t>）完成管委会交办的其他工作。</w:t>
      </w:r>
    </w:p>
    <w:p w14:paraId="6481E2AA">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仿宋_GB2312" w:eastAsia="仿宋_GB2312"/>
          <w:color w:val="auto"/>
          <w:sz w:val="32"/>
          <w:szCs w:val="32"/>
        </w:rPr>
        <w:t>子基金最高决策机构及其人员构成、议事规则</w:t>
      </w:r>
      <w:r>
        <w:rPr>
          <w:rFonts w:hint="eastAsia" w:ascii="仿宋_GB2312" w:eastAsia="仿宋_GB2312"/>
          <w:color w:val="auto"/>
          <w:kern w:val="0"/>
          <w:sz w:val="32"/>
          <w:szCs w:val="32"/>
        </w:rPr>
        <w:t>和表决程序等在子基金相关协议中确定。</w:t>
      </w:r>
    </w:p>
    <w:p w14:paraId="7DB6F8E0">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第十三条</w:t>
      </w:r>
      <w:r>
        <w:rPr>
          <w:rFonts w:hint="eastAsia" w:eastAsia="仿宋_GB2312"/>
          <w:color w:val="auto"/>
          <w:kern w:val="0"/>
          <w:sz w:val="32"/>
          <w:szCs w:val="32"/>
        </w:rPr>
        <w:t xml:space="preserve">  </w:t>
      </w:r>
      <w:r>
        <w:rPr>
          <w:rFonts w:hint="eastAsia" w:ascii="仿宋_GB2312" w:eastAsia="仿宋_GB2312"/>
          <w:color w:val="auto"/>
          <w:kern w:val="0"/>
          <w:sz w:val="32"/>
          <w:szCs w:val="32"/>
        </w:rPr>
        <w:t>市财政局代表市政府向</w:t>
      </w:r>
      <w:r>
        <w:rPr>
          <w:rFonts w:hint="eastAsia" w:ascii="仿宋_GB2312" w:eastAsia="仿宋_GB2312"/>
          <w:color w:val="auto"/>
          <w:sz w:val="32"/>
          <w:szCs w:val="32"/>
        </w:rPr>
        <w:t>产业基金</w:t>
      </w:r>
      <w:r>
        <w:rPr>
          <w:rFonts w:hint="eastAsia" w:ascii="仿宋_GB2312" w:eastAsia="仿宋_GB2312"/>
          <w:color w:val="auto"/>
          <w:kern w:val="0"/>
          <w:sz w:val="32"/>
          <w:szCs w:val="32"/>
        </w:rPr>
        <w:t>出资，行使出资人权利并履行相应义务。</w:t>
      </w:r>
    </w:p>
    <w:p w14:paraId="43BD4F8C">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第十四条</w:t>
      </w:r>
      <w:r>
        <w:rPr>
          <w:rFonts w:eastAsia="仿宋_GB2312"/>
          <w:color w:val="auto"/>
          <w:kern w:val="0"/>
          <w:sz w:val="32"/>
          <w:szCs w:val="32"/>
        </w:rPr>
        <w:t xml:space="preserve"> </w:t>
      </w:r>
      <w:r>
        <w:rPr>
          <w:rFonts w:hint="eastAsia"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管理</w:t>
      </w:r>
      <w:r>
        <w:rPr>
          <w:rFonts w:hint="eastAsia" w:ascii="仿宋_GB2312" w:eastAsia="仿宋_GB2312"/>
          <w:color w:val="auto"/>
          <w:kern w:val="0"/>
          <w:sz w:val="32"/>
          <w:szCs w:val="32"/>
          <w:lang w:val="en-US" w:eastAsia="zh-CN"/>
        </w:rPr>
        <w:t>机构</w:t>
      </w:r>
      <w:r>
        <w:rPr>
          <w:rFonts w:hint="eastAsia" w:ascii="仿宋_GB2312" w:eastAsia="仿宋_GB2312"/>
          <w:color w:val="auto"/>
          <w:kern w:val="0"/>
          <w:sz w:val="32"/>
          <w:szCs w:val="32"/>
        </w:rPr>
        <w:t>主要职责如下</w:t>
      </w:r>
      <w:r>
        <w:rPr>
          <w:rFonts w:hint="eastAsia" w:ascii="仿宋_GB2312" w:eastAsia="仿宋_GB2312"/>
          <w:color w:val="auto"/>
          <w:sz w:val="32"/>
          <w:szCs w:val="32"/>
        </w:rPr>
        <w:t>：</w:t>
      </w:r>
    </w:p>
    <w:p w14:paraId="7CAC26E7">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一</w:t>
      </w:r>
      <w:r>
        <w:rPr>
          <w:rFonts w:hint="eastAsia" w:ascii="仿宋_GB2312" w:eastAsia="仿宋_GB2312"/>
          <w:color w:val="auto"/>
          <w:kern w:val="0"/>
          <w:sz w:val="32"/>
          <w:szCs w:val="32"/>
        </w:rPr>
        <w:t>）开展</w:t>
      </w:r>
      <w:r>
        <w:rPr>
          <w:rFonts w:hint="eastAsia" w:ascii="仿宋_GB2312" w:eastAsia="仿宋_GB2312"/>
          <w:color w:val="auto"/>
          <w:sz w:val="32"/>
          <w:szCs w:val="32"/>
        </w:rPr>
        <w:t>产业基金</w:t>
      </w:r>
      <w:r>
        <w:rPr>
          <w:rFonts w:hint="eastAsia" w:ascii="仿宋_GB2312" w:eastAsia="仿宋_GB2312"/>
          <w:color w:val="auto"/>
          <w:kern w:val="0"/>
          <w:sz w:val="32"/>
          <w:szCs w:val="32"/>
        </w:rPr>
        <w:t>投资及投后管理工作</w:t>
      </w:r>
      <w:r>
        <w:rPr>
          <w:rFonts w:hint="eastAsia" w:ascii="仿宋_GB2312" w:eastAsia="仿宋_GB2312"/>
          <w:color w:val="auto"/>
          <w:kern w:val="0"/>
          <w:sz w:val="32"/>
          <w:szCs w:val="32"/>
          <w:lang w:eastAsia="zh-CN"/>
        </w:rPr>
        <w:t>。</w:t>
      </w:r>
    </w:p>
    <w:p w14:paraId="697990D0">
      <w:pPr>
        <w:keepNext w:val="0"/>
        <w:keepLines w:val="0"/>
        <w:pageBreakBefore w:val="0"/>
        <w:suppressAutoHyphens/>
        <w:kinsoku/>
        <w:wordWrap/>
        <w:overflowPunct/>
        <w:topLinePunct w:val="0"/>
        <w:bidi w:val="0"/>
        <w:adjustRightInd w:val="0"/>
        <w:snapToGrid w:val="0"/>
        <w:spacing w:line="576" w:lineRule="exact"/>
        <w:ind w:left="0" w:leftChars="0" w:right="0" w:firstLine="640"/>
        <w:textAlignment w:val="baseline"/>
        <w:rPr>
          <w:rFonts w:hint="eastAsia"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二</w:t>
      </w:r>
      <w:r>
        <w:rPr>
          <w:rFonts w:hint="eastAsia" w:ascii="仿宋_GB2312" w:eastAsia="仿宋_GB2312"/>
          <w:color w:val="auto"/>
          <w:kern w:val="0"/>
          <w:sz w:val="32"/>
          <w:szCs w:val="32"/>
        </w:rPr>
        <w:t>）按照相关规定对外择优选择合作机构</w:t>
      </w:r>
      <w:r>
        <w:rPr>
          <w:rFonts w:hint="eastAsia" w:ascii="仿宋_GB2312" w:eastAsia="仿宋_GB2312"/>
          <w:color w:val="auto"/>
          <w:kern w:val="0"/>
          <w:sz w:val="32"/>
          <w:szCs w:val="32"/>
          <w:lang w:eastAsia="zh-CN"/>
        </w:rPr>
        <w:t>。</w:t>
      </w:r>
    </w:p>
    <w:p w14:paraId="049D3AD9">
      <w:pPr>
        <w:keepNext w:val="0"/>
        <w:keepLines w:val="0"/>
        <w:pageBreakBefore w:val="0"/>
        <w:suppressAutoHyphens/>
        <w:kinsoku/>
        <w:wordWrap/>
        <w:overflowPunct/>
        <w:topLinePunct w:val="0"/>
        <w:bidi w:val="0"/>
        <w:adjustRightInd w:val="0"/>
        <w:snapToGrid w:val="0"/>
        <w:spacing w:line="576" w:lineRule="exact"/>
        <w:ind w:left="0" w:leftChars="0" w:right="0" w:firstLine="640" w:firstLineChars="200"/>
        <w:textAlignment w:val="baseline"/>
        <w:rPr>
          <w:rFonts w:hint="eastAsia" w:ascii="仿宋_GB2312"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三</w:t>
      </w:r>
      <w:r>
        <w:rPr>
          <w:rFonts w:hint="eastAsia" w:ascii="仿宋_GB2312" w:eastAsia="仿宋_GB2312"/>
          <w:color w:val="auto"/>
          <w:kern w:val="0"/>
          <w:sz w:val="32"/>
          <w:szCs w:val="32"/>
        </w:rPr>
        <w:t>）拟</w:t>
      </w:r>
      <w:r>
        <w:rPr>
          <w:rFonts w:hint="eastAsia" w:ascii="仿宋_GB2312" w:eastAsia="仿宋_GB2312"/>
          <w:color w:val="auto"/>
          <w:kern w:val="0"/>
          <w:sz w:val="32"/>
          <w:szCs w:val="32"/>
          <w:lang w:val="en-US" w:eastAsia="zh-CN"/>
        </w:rPr>
        <w:t>订</w:t>
      </w:r>
      <w:r>
        <w:rPr>
          <w:rFonts w:hint="eastAsia" w:ascii="仿宋_GB2312" w:eastAsia="仿宋_GB2312"/>
          <w:color w:val="auto"/>
          <w:kern w:val="0"/>
          <w:sz w:val="32"/>
          <w:szCs w:val="32"/>
        </w:rPr>
        <w:t>基金投资方案</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退出方案以及清算方案</w:t>
      </w:r>
      <w:r>
        <w:rPr>
          <w:rFonts w:hint="eastAsia" w:ascii="仿宋_GB2312" w:eastAsia="仿宋_GB2312"/>
          <w:color w:val="auto"/>
          <w:kern w:val="0"/>
          <w:sz w:val="32"/>
          <w:szCs w:val="32"/>
        </w:rPr>
        <w:t>报管委会审定</w:t>
      </w:r>
      <w:r>
        <w:rPr>
          <w:rFonts w:hint="eastAsia" w:ascii="仿宋_GB2312" w:eastAsia="仿宋_GB2312"/>
          <w:color w:val="auto"/>
          <w:kern w:val="0"/>
          <w:sz w:val="32"/>
          <w:szCs w:val="32"/>
          <w:lang w:eastAsia="zh-CN"/>
        </w:rPr>
        <w:t>。</w:t>
      </w:r>
    </w:p>
    <w:p w14:paraId="583B96B2">
      <w:pPr>
        <w:keepNext w:val="0"/>
        <w:keepLines w:val="0"/>
        <w:pageBreakBefore w:val="0"/>
        <w:suppressAutoHyphens/>
        <w:kinsoku/>
        <w:wordWrap/>
        <w:overflowPunct/>
        <w:topLinePunct w:val="0"/>
        <w:bidi w:val="0"/>
        <w:adjustRightInd w:val="0"/>
        <w:snapToGrid w:val="0"/>
        <w:spacing w:line="576" w:lineRule="exact"/>
        <w:ind w:left="0" w:leftChars="0" w:right="0" w:firstLine="640" w:firstLineChars="200"/>
        <w:textAlignment w:val="baseline"/>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四</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拟订遴选子基金管理机构方案；参与制定、签订子基金合同。</w:t>
      </w:r>
    </w:p>
    <w:p w14:paraId="61DFE855">
      <w:pPr>
        <w:keepNext w:val="0"/>
        <w:keepLines w:val="0"/>
        <w:pageBreakBefore w:val="0"/>
        <w:suppressAutoHyphens/>
        <w:kinsoku/>
        <w:wordWrap/>
        <w:overflowPunct/>
        <w:topLinePunct w:val="0"/>
        <w:bidi w:val="0"/>
        <w:adjustRightInd w:val="0"/>
        <w:snapToGrid w:val="0"/>
        <w:spacing w:line="576" w:lineRule="exact"/>
        <w:ind w:left="0" w:leftChars="0" w:right="0" w:firstLine="640" w:firstLineChars="200"/>
        <w:textAlignment w:val="baseline"/>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（五）对子基金委派观察员或投资决策委员会委员，建立投资运营动态监测机制。</w:t>
      </w:r>
    </w:p>
    <w:p w14:paraId="703E9448">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default" w:eastAsia="仿宋_GB2312"/>
          <w:color w:val="auto"/>
          <w:kern w:val="0"/>
          <w:sz w:val="32"/>
          <w:szCs w:val="32"/>
          <w:lang w:val="en-US"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六</w:t>
      </w:r>
      <w:r>
        <w:rPr>
          <w:rFonts w:hint="eastAsia" w:ascii="仿宋_GB2312" w:eastAsia="仿宋_GB2312"/>
          <w:color w:val="auto"/>
          <w:kern w:val="0"/>
          <w:sz w:val="32"/>
          <w:szCs w:val="32"/>
        </w:rPr>
        <w:t>）对子基金运营情况进行监督，</w:t>
      </w:r>
      <w:r>
        <w:rPr>
          <w:rFonts w:hint="eastAsia" w:ascii="仿宋_GB2312" w:eastAsia="仿宋_GB2312"/>
          <w:color w:val="auto"/>
          <w:kern w:val="0"/>
          <w:sz w:val="32"/>
          <w:szCs w:val="32"/>
          <w:lang w:val="en-US" w:eastAsia="zh-CN"/>
        </w:rPr>
        <w:t>按照子基金组建方案、相关协议约定对</w:t>
      </w:r>
      <w:r>
        <w:rPr>
          <w:rFonts w:hint="eastAsia" w:ascii="仿宋_GB2312" w:eastAsia="仿宋_GB2312"/>
          <w:color w:val="auto"/>
          <w:kern w:val="0"/>
          <w:sz w:val="32"/>
          <w:szCs w:val="32"/>
        </w:rPr>
        <w:t>子</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rPr>
        <w:t>进行年度绩效考核评价；</w:t>
      </w:r>
      <w:r>
        <w:rPr>
          <w:rFonts w:hint="eastAsia" w:ascii="仿宋_GB2312" w:eastAsia="仿宋_GB2312"/>
          <w:color w:val="auto"/>
          <w:kern w:val="0"/>
          <w:sz w:val="32"/>
          <w:szCs w:val="32"/>
          <w:lang w:val="en-US" w:eastAsia="zh-CN"/>
        </w:rPr>
        <w:t>落实巡视巡察、审计监督、财会监督、绩效评价发现问题整改。</w:t>
      </w:r>
    </w:p>
    <w:p w14:paraId="572F940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七</w:t>
      </w:r>
      <w:r>
        <w:rPr>
          <w:rFonts w:hint="eastAsia" w:ascii="仿宋_GB2312" w:eastAsia="仿宋_GB2312"/>
          <w:color w:val="auto"/>
          <w:kern w:val="0"/>
          <w:sz w:val="32"/>
          <w:szCs w:val="32"/>
        </w:rPr>
        <w:t>）向管委会办公室定期报告</w:t>
      </w:r>
      <w:r>
        <w:rPr>
          <w:rFonts w:hint="eastAsia" w:ascii="仿宋_GB2312" w:eastAsia="仿宋_GB2312"/>
          <w:color w:val="auto"/>
          <w:sz w:val="32"/>
          <w:szCs w:val="32"/>
        </w:rPr>
        <w:t>产业基金</w:t>
      </w:r>
      <w:r>
        <w:rPr>
          <w:rFonts w:hint="eastAsia" w:ascii="仿宋_GB2312" w:eastAsia="仿宋_GB2312"/>
          <w:color w:val="auto"/>
          <w:kern w:val="0"/>
          <w:sz w:val="32"/>
          <w:szCs w:val="32"/>
        </w:rPr>
        <w:t>及子基金整体运行情况</w:t>
      </w:r>
      <w:r>
        <w:rPr>
          <w:rFonts w:hint="eastAsia" w:ascii="仿宋_GB2312" w:eastAsia="仿宋_GB2312"/>
          <w:color w:val="auto"/>
          <w:kern w:val="0"/>
          <w:sz w:val="32"/>
          <w:szCs w:val="32"/>
          <w:lang w:eastAsia="zh-CN"/>
        </w:rPr>
        <w:t>。</w:t>
      </w:r>
    </w:p>
    <w:p w14:paraId="2F7107BB">
      <w:pPr>
        <w:keepNext w:val="0"/>
        <w:keepLines w:val="0"/>
        <w:pageBreakBefore w:val="0"/>
        <w:numPr>
          <w:ilvl w:val="-1"/>
          <w:numId w:val="0"/>
        </w:numPr>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八</w:t>
      </w:r>
      <w:r>
        <w:rPr>
          <w:rFonts w:hint="eastAsia" w:ascii="仿宋_GB2312" w:eastAsia="仿宋_GB2312"/>
          <w:color w:val="auto"/>
          <w:kern w:val="0"/>
          <w:sz w:val="32"/>
          <w:szCs w:val="32"/>
        </w:rPr>
        <w:t>）完成管委会办公室交办的其他工作。</w:t>
      </w:r>
    </w:p>
    <w:p w14:paraId="04D2FB78">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jc w:val="center"/>
        <w:outlineLvl w:val="0"/>
        <w:rPr>
          <w:rFonts w:eastAsia="黑体"/>
          <w:color w:val="auto"/>
          <w:kern w:val="0"/>
          <w:sz w:val="32"/>
          <w:szCs w:val="32"/>
        </w:rPr>
      </w:pPr>
      <w:r>
        <w:rPr>
          <w:rFonts w:hint="eastAsia" w:ascii="黑体" w:eastAsia="黑体"/>
          <w:color w:val="auto"/>
          <w:kern w:val="0"/>
          <w:sz w:val="32"/>
          <w:szCs w:val="32"/>
        </w:rPr>
        <w:t>第三章</w:t>
      </w:r>
      <w:r>
        <w:rPr>
          <w:rFonts w:eastAsia="黑体"/>
          <w:color w:val="auto"/>
          <w:kern w:val="0"/>
          <w:sz w:val="32"/>
          <w:szCs w:val="32"/>
        </w:rPr>
        <w:t xml:space="preserve">  </w:t>
      </w:r>
      <w:r>
        <w:rPr>
          <w:rFonts w:hint="eastAsia" w:ascii="黑体" w:eastAsia="黑体"/>
          <w:color w:val="auto"/>
          <w:kern w:val="0"/>
          <w:sz w:val="32"/>
          <w:szCs w:val="32"/>
        </w:rPr>
        <w:t>投资运作</w:t>
      </w:r>
    </w:p>
    <w:p w14:paraId="51586B83">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第十五条</w:t>
      </w:r>
      <w:r>
        <w:rPr>
          <w:rFonts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投资流程包括：初选与立项、尽职调查、商务谈判、投资决策、投资实施、投后管理、投资退出等环节，其中，投资</w:t>
      </w:r>
      <w:r>
        <w:rPr>
          <w:rFonts w:hint="default" w:ascii="仿宋_GB2312" w:eastAsia="仿宋_GB2312"/>
          <w:color w:val="auto"/>
          <w:kern w:val="0"/>
          <w:sz w:val="32"/>
          <w:szCs w:val="32"/>
          <w:lang w:val="en-US"/>
        </w:rPr>
        <w:t>决策和投资退出两个环节</w:t>
      </w:r>
      <w:r>
        <w:rPr>
          <w:rFonts w:hint="eastAsia" w:ascii="仿宋_GB2312" w:eastAsia="仿宋_GB2312"/>
          <w:color w:val="auto"/>
          <w:kern w:val="0"/>
          <w:sz w:val="32"/>
          <w:szCs w:val="32"/>
        </w:rPr>
        <w:t>由</w:t>
      </w:r>
      <w:r>
        <w:rPr>
          <w:rFonts w:hint="eastAsia" w:ascii="仿宋_GB2312" w:eastAsia="仿宋_GB2312"/>
          <w:color w:val="auto"/>
          <w:sz w:val="32"/>
          <w:szCs w:val="32"/>
        </w:rPr>
        <w:t>产业</w:t>
      </w:r>
      <w:r>
        <w:rPr>
          <w:rFonts w:hint="eastAsia" w:ascii="仿宋_GB2312" w:eastAsia="仿宋_GB2312"/>
          <w:color w:val="auto"/>
          <w:sz w:val="32"/>
          <w:szCs w:val="32"/>
          <w:lang w:eastAsia="zh-CN"/>
        </w:rPr>
        <w:t>基金管理机构</w:t>
      </w:r>
      <w:r>
        <w:rPr>
          <w:rFonts w:hint="eastAsia" w:ascii="仿宋_GB2312" w:eastAsia="仿宋_GB2312"/>
          <w:color w:val="auto"/>
          <w:kern w:val="0"/>
          <w:sz w:val="32"/>
          <w:szCs w:val="32"/>
        </w:rPr>
        <w:t>直接报管委会审议通过后实施，其余环节由</w:t>
      </w:r>
      <w:r>
        <w:rPr>
          <w:rFonts w:hint="eastAsia" w:ascii="仿宋_GB2312" w:eastAsia="仿宋_GB2312"/>
          <w:color w:val="auto"/>
          <w:sz w:val="32"/>
          <w:szCs w:val="32"/>
        </w:rPr>
        <w:t>产业</w:t>
      </w:r>
      <w:r>
        <w:rPr>
          <w:rFonts w:hint="eastAsia" w:ascii="仿宋_GB2312" w:eastAsia="仿宋_GB2312"/>
          <w:color w:val="auto"/>
          <w:sz w:val="32"/>
          <w:szCs w:val="32"/>
          <w:lang w:eastAsia="zh-CN"/>
        </w:rPr>
        <w:t>基金管理机构</w:t>
      </w:r>
      <w:r>
        <w:rPr>
          <w:rFonts w:hint="eastAsia" w:ascii="仿宋_GB2312" w:eastAsia="仿宋_GB2312"/>
          <w:color w:val="auto"/>
          <w:kern w:val="0"/>
          <w:sz w:val="32"/>
          <w:szCs w:val="32"/>
        </w:rPr>
        <w:t>按照合伙协议约定实施。</w:t>
      </w:r>
    </w:p>
    <w:p w14:paraId="3FC28396">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spacing w:val="-10"/>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第十六条 </w:t>
      </w:r>
      <w:r>
        <w:rPr>
          <w:rFonts w:hint="eastAsia" w:eastAsia="仿宋_GB2312"/>
          <w:color w:val="auto"/>
          <w:spacing w:val="-10"/>
          <w:kern w:val="0"/>
          <w:sz w:val="32"/>
          <w:szCs w:val="32"/>
          <w:lang w:val="en-US" w:eastAsia="zh-CN"/>
        </w:rPr>
        <w:t xml:space="preserve"> 产业基金投资项目（子基金）按“产投+创投+导入”分为三类。</w:t>
      </w:r>
    </w:p>
    <w:p w14:paraId="1F956179">
      <w:pPr>
        <w:keepNext w:val="0"/>
        <w:keepLines w:val="0"/>
        <w:pageBreakBefore w:val="0"/>
        <w:numPr>
          <w:ilvl w:val="-1"/>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hint="eastAsia" w:eastAsia="仿宋_GB2312"/>
          <w:color w:val="auto"/>
          <w:spacing w:val="-10"/>
          <w:kern w:val="0"/>
          <w:sz w:val="32"/>
          <w:szCs w:val="32"/>
        </w:rPr>
      </w:pPr>
      <w:r>
        <w:rPr>
          <w:rFonts w:hint="eastAsia" w:ascii="仿宋_GB2312" w:eastAsia="仿宋_GB2312"/>
          <w:color w:val="auto"/>
          <w:kern w:val="0"/>
          <w:sz w:val="32"/>
          <w:szCs w:val="32"/>
        </w:rPr>
        <w:t>（一）</w:t>
      </w:r>
      <w:r>
        <w:rPr>
          <w:rFonts w:hint="eastAsia" w:eastAsia="仿宋_GB2312"/>
          <w:color w:val="auto"/>
          <w:spacing w:val="-10"/>
          <w:kern w:val="0"/>
          <w:sz w:val="32"/>
          <w:szCs w:val="32"/>
        </w:rPr>
        <w:t>重点产业类。围绕</w:t>
      </w:r>
      <w:r>
        <w:rPr>
          <w:rFonts w:hint="eastAsia" w:eastAsia="仿宋_GB2312"/>
          <w:color w:val="auto"/>
          <w:spacing w:val="-10"/>
          <w:kern w:val="0"/>
          <w:sz w:val="32"/>
          <w:szCs w:val="32"/>
          <w:lang w:val="en-US" w:eastAsia="zh-CN"/>
        </w:rPr>
        <w:t>我市</w:t>
      </w:r>
      <w:r>
        <w:rPr>
          <w:rFonts w:hint="eastAsia" w:eastAsia="仿宋_GB2312"/>
          <w:color w:val="auto"/>
          <w:spacing w:val="-10"/>
          <w:kern w:val="0"/>
          <w:sz w:val="32"/>
          <w:szCs w:val="32"/>
        </w:rPr>
        <w:t>重点领域，聚焦现代产业体系建设和重点企业技术改造，主要投资成长期、成熟期企业。</w:t>
      </w:r>
    </w:p>
    <w:p w14:paraId="633BB0B2">
      <w:pPr>
        <w:keepNext w:val="0"/>
        <w:keepLines w:val="0"/>
        <w:pageBreakBefore w:val="0"/>
        <w:numPr>
          <w:ilvl w:val="-1"/>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hint="eastAsia" w:eastAsia="仿宋_GB2312"/>
          <w:color w:val="auto"/>
          <w:spacing w:val="-10"/>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二</w:t>
      </w:r>
      <w:r>
        <w:rPr>
          <w:rFonts w:hint="eastAsia" w:ascii="仿宋_GB2312" w:eastAsia="仿宋_GB2312"/>
          <w:color w:val="auto"/>
          <w:kern w:val="0"/>
          <w:sz w:val="32"/>
          <w:szCs w:val="32"/>
        </w:rPr>
        <w:t>）</w:t>
      </w:r>
      <w:r>
        <w:rPr>
          <w:rFonts w:hint="eastAsia" w:eastAsia="仿宋_GB2312"/>
          <w:color w:val="auto"/>
          <w:spacing w:val="-10"/>
          <w:kern w:val="0"/>
          <w:sz w:val="32"/>
          <w:szCs w:val="32"/>
        </w:rPr>
        <w:t>成果转化类。围绕战略性新兴产业、未来产业等重点方向，聚焦科技企业、科研院所、创新平台等科技成果转化项目，主要投资种子期、天使期初创企业。</w:t>
      </w:r>
    </w:p>
    <w:p w14:paraId="35B270AE">
      <w:pPr>
        <w:keepNext w:val="0"/>
        <w:keepLines w:val="0"/>
        <w:pageBreakBefore w:val="0"/>
        <w:numPr>
          <w:ilvl w:val="-1"/>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三</w:t>
      </w:r>
      <w:r>
        <w:rPr>
          <w:rFonts w:hint="eastAsia" w:ascii="仿宋_GB2312" w:eastAsia="仿宋_GB2312"/>
          <w:color w:val="auto"/>
          <w:kern w:val="0"/>
          <w:sz w:val="32"/>
          <w:szCs w:val="32"/>
        </w:rPr>
        <w:t>）</w:t>
      </w:r>
      <w:r>
        <w:rPr>
          <w:rFonts w:hint="eastAsia" w:eastAsia="仿宋_GB2312"/>
          <w:color w:val="auto"/>
          <w:spacing w:val="-10"/>
          <w:kern w:val="0"/>
          <w:sz w:val="32"/>
          <w:szCs w:val="32"/>
        </w:rPr>
        <w:t>项目导入类。围绕</w:t>
      </w:r>
      <w:r>
        <w:rPr>
          <w:rFonts w:hint="eastAsia" w:eastAsia="仿宋_GB2312"/>
          <w:color w:val="auto"/>
          <w:spacing w:val="-10"/>
          <w:kern w:val="0"/>
          <w:sz w:val="32"/>
          <w:szCs w:val="32"/>
          <w:lang w:val="en-US" w:eastAsia="zh-CN"/>
        </w:rPr>
        <w:t>市</w:t>
      </w:r>
      <w:r>
        <w:rPr>
          <w:rFonts w:hint="eastAsia" w:eastAsia="仿宋_GB2312"/>
          <w:color w:val="auto"/>
          <w:spacing w:val="-10"/>
          <w:kern w:val="0"/>
          <w:sz w:val="32"/>
          <w:szCs w:val="32"/>
        </w:rPr>
        <w:t>委、</w:t>
      </w:r>
      <w:r>
        <w:rPr>
          <w:rFonts w:hint="eastAsia" w:eastAsia="仿宋_GB2312"/>
          <w:color w:val="auto"/>
          <w:spacing w:val="-10"/>
          <w:kern w:val="0"/>
          <w:sz w:val="32"/>
          <w:szCs w:val="32"/>
          <w:lang w:val="en-US" w:eastAsia="zh-CN"/>
        </w:rPr>
        <w:t>市</w:t>
      </w:r>
      <w:r>
        <w:rPr>
          <w:rFonts w:hint="eastAsia" w:eastAsia="仿宋_GB2312"/>
          <w:color w:val="auto"/>
          <w:spacing w:val="-10"/>
          <w:kern w:val="0"/>
          <w:sz w:val="32"/>
          <w:szCs w:val="32"/>
        </w:rPr>
        <w:t>政府重大产业导入，聚焦重大产业项目招商引资，“一事一议”设立政策性投资基金</w:t>
      </w:r>
      <w:r>
        <w:rPr>
          <w:rFonts w:hint="eastAsia" w:eastAsia="仿宋_GB2312"/>
          <w:color w:val="auto"/>
          <w:spacing w:val="-10"/>
          <w:kern w:val="0"/>
          <w:sz w:val="32"/>
          <w:szCs w:val="32"/>
          <w:lang w:val="en-US" w:eastAsia="zh-CN"/>
        </w:rPr>
        <w:t>或产业基金直投</w:t>
      </w:r>
      <w:r>
        <w:rPr>
          <w:rFonts w:hint="eastAsia" w:eastAsia="仿宋_GB2312"/>
          <w:color w:val="auto"/>
          <w:spacing w:val="-10"/>
          <w:kern w:val="0"/>
          <w:sz w:val="32"/>
          <w:szCs w:val="32"/>
        </w:rPr>
        <w:t>，专项投资特定项目。</w:t>
      </w:r>
    </w:p>
    <w:p w14:paraId="4854A1E4">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第十七条 </w:t>
      </w:r>
      <w:r>
        <w:rPr>
          <w:rFonts w:hint="eastAsia" w:eastAsia="仿宋_GB2312"/>
          <w:color w:val="auto"/>
          <w:kern w:val="0"/>
          <w:sz w:val="32"/>
          <w:szCs w:val="32"/>
        </w:rPr>
        <w:t xml:space="preserve"> </w:t>
      </w:r>
      <w:r>
        <w:rPr>
          <w:rFonts w:hint="eastAsia" w:ascii="仿宋_GB2312" w:eastAsia="仿宋_GB2312"/>
          <w:color w:val="auto"/>
          <w:kern w:val="0"/>
          <w:sz w:val="32"/>
          <w:szCs w:val="32"/>
        </w:rPr>
        <w:t>产业基金直接股权投资具体项目（企业）的，对单个项目的投资额原则上不超过产业基金</w:t>
      </w:r>
      <w:r>
        <w:rPr>
          <w:rFonts w:hint="eastAsia" w:ascii="仿宋_GB2312" w:eastAsia="仿宋_GB2312"/>
          <w:color w:val="auto"/>
          <w:kern w:val="0"/>
          <w:sz w:val="32"/>
          <w:szCs w:val="32"/>
          <w:lang w:val="en-US" w:eastAsia="zh-CN"/>
        </w:rPr>
        <w:t>实缴规模</w:t>
      </w:r>
      <w:r>
        <w:rPr>
          <w:rFonts w:hint="eastAsia" w:ascii="仿宋_GB2312" w:eastAsia="仿宋_GB2312"/>
          <w:color w:val="auto"/>
          <w:kern w:val="0"/>
          <w:sz w:val="32"/>
          <w:szCs w:val="32"/>
        </w:rPr>
        <w:t>的20%，且不得成为被投企业的第一大股东；投资子基金的</w:t>
      </w:r>
      <w:r>
        <w:rPr>
          <w:rFonts w:hint="eastAsia" w:ascii="仿宋_GB2312" w:eastAsia="仿宋_GB2312"/>
          <w:color w:val="auto"/>
          <w:kern w:val="0"/>
          <w:sz w:val="32"/>
          <w:szCs w:val="32"/>
          <w:lang w:val="en-US" w:eastAsia="zh-CN"/>
        </w:rPr>
        <w:t>投资额采用一事一议原则</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但投向单一项目的子基金投资额不得超过</w:t>
      </w:r>
      <w:r>
        <w:rPr>
          <w:rFonts w:hint="eastAsia" w:ascii="仿宋_GB2312" w:eastAsia="仿宋_GB2312"/>
          <w:color w:val="auto"/>
          <w:kern w:val="0"/>
          <w:sz w:val="32"/>
          <w:szCs w:val="32"/>
        </w:rPr>
        <w:t>产业基金</w:t>
      </w:r>
      <w:r>
        <w:rPr>
          <w:rFonts w:hint="eastAsia" w:ascii="仿宋_GB2312" w:eastAsia="仿宋_GB2312"/>
          <w:color w:val="auto"/>
          <w:kern w:val="0"/>
          <w:sz w:val="32"/>
          <w:szCs w:val="32"/>
          <w:lang w:val="en-US" w:eastAsia="zh-CN"/>
        </w:rPr>
        <w:t>实缴规模</w:t>
      </w:r>
      <w:r>
        <w:rPr>
          <w:rFonts w:hint="eastAsia" w:ascii="仿宋_GB2312" w:eastAsia="仿宋_GB2312"/>
          <w:color w:val="auto"/>
          <w:kern w:val="0"/>
          <w:sz w:val="32"/>
          <w:szCs w:val="32"/>
        </w:rPr>
        <w:t>的20%</w:t>
      </w:r>
      <w:r>
        <w:rPr>
          <w:rFonts w:hint="eastAsia" w:ascii="仿宋_GB2312" w:eastAsia="仿宋_GB2312"/>
          <w:color w:val="auto"/>
          <w:kern w:val="0"/>
          <w:sz w:val="32"/>
          <w:szCs w:val="32"/>
          <w:lang w:val="en-US" w:eastAsia="zh-CN"/>
        </w:rPr>
        <w:t>。</w:t>
      </w:r>
    </w:p>
    <w:p w14:paraId="2156F121">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color w:val="auto"/>
        </w:rPr>
      </w:pPr>
      <w:r>
        <w:rPr>
          <w:rFonts w:hint="eastAsia" w:ascii="楷体_GB2312" w:hAnsi="楷体_GB2312" w:eastAsia="楷体_GB2312" w:cs="楷体_GB2312"/>
          <w:b w:val="0"/>
          <w:bCs w:val="0"/>
          <w:color w:val="auto"/>
          <w:kern w:val="0"/>
          <w:sz w:val="32"/>
          <w:szCs w:val="32"/>
          <w:lang w:val="en-US" w:eastAsia="zh-CN"/>
        </w:rPr>
        <w:t>第十八条</w:t>
      </w:r>
      <w:r>
        <w:rPr>
          <w:rFonts w:hint="eastAsia" w:eastAsia="仿宋_GB2312"/>
          <w:color w:val="auto"/>
          <w:kern w:val="0"/>
          <w:sz w:val="32"/>
          <w:szCs w:val="32"/>
        </w:rPr>
        <w:t xml:space="preserve">  </w:t>
      </w:r>
      <w:r>
        <w:rPr>
          <w:rFonts w:hint="eastAsia" w:ascii="仿宋_GB2312" w:eastAsia="仿宋_GB2312"/>
          <w:color w:val="auto"/>
          <w:kern w:val="0"/>
          <w:sz w:val="32"/>
          <w:szCs w:val="32"/>
        </w:rPr>
        <w:t>子基金可根据实际情况进行差异化设计，子基金存续期原则上不超过母基金的存续期。</w:t>
      </w:r>
      <w:r>
        <w:rPr>
          <w:rFonts w:hint="eastAsia" w:eastAsia="仿宋_GB2312"/>
          <w:color w:val="auto"/>
          <w:kern w:val="0"/>
          <w:sz w:val="32"/>
          <w:szCs w:val="32"/>
        </w:rPr>
        <w:t xml:space="preserve"> </w:t>
      </w:r>
    </w:p>
    <w:p w14:paraId="0322B4C9">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第十九条 </w:t>
      </w:r>
      <w:r>
        <w:rPr>
          <w:rFonts w:hint="eastAsia" w:eastAsia="仿宋_GB2312"/>
          <w:color w:val="auto"/>
          <w:kern w:val="0"/>
          <w:sz w:val="32"/>
          <w:szCs w:val="32"/>
          <w:lang w:val="en-US" w:eastAsia="zh-CN"/>
        </w:rPr>
        <w:t xml:space="preserve"> 经产业基金管委会同意，子基金管理机构可由母基金管理机构担任，或</w:t>
      </w:r>
      <w:r>
        <w:rPr>
          <w:rFonts w:eastAsia="仿宋_GB2312"/>
          <w:color w:val="auto"/>
          <w:kern w:val="0"/>
          <w:sz w:val="32"/>
          <w:szCs w:val="32"/>
          <w:lang w:val="en-US" w:eastAsia="zh-CN"/>
        </w:rPr>
        <w:t>按照</w:t>
      </w:r>
      <w:r>
        <w:rPr>
          <w:rFonts w:hint="default" w:eastAsia="仿宋_GB2312"/>
          <w:color w:val="auto"/>
          <w:kern w:val="0"/>
          <w:sz w:val="32"/>
          <w:szCs w:val="32"/>
          <w:lang w:val="en-US" w:eastAsia="zh-CN"/>
        </w:rPr>
        <w:t>公开招标、邀请招标、竞争谈判</w:t>
      </w:r>
      <w:r>
        <w:rPr>
          <w:rFonts w:hint="eastAsia" w:eastAsia="仿宋_GB2312"/>
          <w:color w:val="auto"/>
          <w:kern w:val="0"/>
          <w:sz w:val="32"/>
          <w:szCs w:val="32"/>
          <w:lang w:val="en-US" w:eastAsia="zh-CN"/>
        </w:rPr>
        <w:t>等</w:t>
      </w:r>
      <w:r>
        <w:rPr>
          <w:rFonts w:eastAsia="仿宋_GB2312"/>
          <w:color w:val="auto"/>
          <w:kern w:val="0"/>
          <w:sz w:val="32"/>
          <w:szCs w:val="32"/>
          <w:lang w:val="en-US" w:eastAsia="zh-CN"/>
        </w:rPr>
        <w:t>市场化方式面向全国遴选</w:t>
      </w:r>
      <w:r>
        <w:rPr>
          <w:rFonts w:hint="eastAsia" w:eastAsia="仿宋_GB2312"/>
          <w:color w:val="auto"/>
          <w:kern w:val="0"/>
          <w:sz w:val="32"/>
          <w:szCs w:val="32"/>
          <w:lang w:val="en-US" w:eastAsia="zh-CN"/>
        </w:rPr>
        <w:t>。</w:t>
      </w:r>
      <w:r>
        <w:rPr>
          <w:rFonts w:hint="default" w:eastAsia="仿宋_GB2312"/>
          <w:color w:val="auto"/>
          <w:kern w:val="0"/>
          <w:sz w:val="32"/>
          <w:szCs w:val="32"/>
          <w:lang w:val="en-US" w:eastAsia="zh-CN"/>
        </w:rPr>
        <w:t>转承存量基金可沿用原管理机构；</w:t>
      </w:r>
      <w:r>
        <w:rPr>
          <w:rFonts w:hint="eastAsia" w:ascii="仿宋_GB2312" w:eastAsia="仿宋_GB2312"/>
          <w:color w:val="auto"/>
          <w:kern w:val="0"/>
          <w:sz w:val="32"/>
          <w:szCs w:val="32"/>
          <w:lang w:val="en-US" w:eastAsia="zh-CN"/>
        </w:rPr>
        <w:t>招商引资、撬动市外资本参与组建子基金等</w:t>
      </w:r>
      <w:r>
        <w:rPr>
          <w:rFonts w:hint="default" w:eastAsia="仿宋_GB2312"/>
          <w:color w:val="auto"/>
          <w:kern w:val="0"/>
          <w:sz w:val="32"/>
          <w:szCs w:val="32"/>
          <w:lang w:val="en-US" w:eastAsia="zh-CN"/>
        </w:rPr>
        <w:t>项目导入类</w:t>
      </w:r>
      <w:r>
        <w:rPr>
          <w:rFonts w:hint="eastAsia" w:eastAsia="仿宋_GB2312"/>
          <w:color w:val="auto"/>
          <w:kern w:val="0"/>
          <w:sz w:val="32"/>
          <w:szCs w:val="32"/>
          <w:lang w:val="en-US" w:eastAsia="zh-CN"/>
        </w:rPr>
        <w:t>子</w:t>
      </w:r>
      <w:r>
        <w:rPr>
          <w:rFonts w:hint="default" w:eastAsia="仿宋_GB2312"/>
          <w:color w:val="auto"/>
          <w:kern w:val="0"/>
          <w:sz w:val="32"/>
          <w:szCs w:val="32"/>
          <w:lang w:val="en-US" w:eastAsia="zh-CN"/>
        </w:rPr>
        <w:t>基金可由</w:t>
      </w:r>
      <w:r>
        <w:rPr>
          <w:rFonts w:hint="eastAsia" w:eastAsia="仿宋_GB2312"/>
          <w:color w:val="auto"/>
          <w:kern w:val="0"/>
          <w:sz w:val="32"/>
          <w:szCs w:val="32"/>
          <w:lang w:val="en-US" w:eastAsia="zh-CN"/>
        </w:rPr>
        <w:t>产业基金管理机构报请基金管委会审定</w:t>
      </w:r>
      <w:r>
        <w:rPr>
          <w:rFonts w:hint="default" w:eastAsia="仿宋_GB2312"/>
          <w:color w:val="auto"/>
          <w:kern w:val="0"/>
          <w:sz w:val="32"/>
          <w:szCs w:val="32"/>
          <w:lang w:val="en-US" w:eastAsia="zh-CN"/>
        </w:rPr>
        <w:t>。</w:t>
      </w:r>
      <w:r>
        <w:rPr>
          <w:rFonts w:hint="eastAsia" w:ascii="仿宋_GB2312" w:eastAsia="仿宋_GB2312"/>
          <w:color w:val="auto"/>
          <w:kern w:val="0"/>
          <w:sz w:val="32"/>
          <w:szCs w:val="32"/>
        </w:rPr>
        <w:t>子基金管理</w:t>
      </w:r>
      <w:r>
        <w:rPr>
          <w:rFonts w:hint="eastAsia" w:ascii="仿宋_GB2312" w:eastAsia="仿宋_GB2312"/>
          <w:color w:val="auto"/>
          <w:kern w:val="0"/>
          <w:sz w:val="32"/>
          <w:szCs w:val="32"/>
          <w:lang w:val="en-US" w:eastAsia="zh-CN"/>
        </w:rPr>
        <w:t>机构</w:t>
      </w:r>
      <w:r>
        <w:rPr>
          <w:rFonts w:hint="eastAsia" w:ascii="仿宋_GB2312" w:eastAsia="仿宋_GB2312"/>
          <w:color w:val="auto"/>
          <w:kern w:val="0"/>
          <w:sz w:val="32"/>
          <w:szCs w:val="32"/>
        </w:rPr>
        <w:t>至少具备以下条件：</w:t>
      </w:r>
    </w:p>
    <w:p w14:paraId="44FF51AA">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（一）主要从事股权投资业务，具有国家规定的基金管理资质，至少有3名具备3年以上资产管理工作经验的高级管理人员</w:t>
      </w:r>
      <w:r>
        <w:rPr>
          <w:rFonts w:hint="eastAsia" w:ascii="仿宋_GB2312" w:eastAsia="仿宋_GB2312"/>
          <w:color w:val="auto"/>
          <w:kern w:val="0"/>
          <w:sz w:val="32"/>
          <w:szCs w:val="32"/>
          <w:lang w:eastAsia="zh-CN"/>
        </w:rPr>
        <w:t>。</w:t>
      </w:r>
    </w:p>
    <w:p w14:paraId="6493AD61">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（二）在中国大陆境内注册，实收资本不低于1000万元人民币</w:t>
      </w:r>
      <w:r>
        <w:rPr>
          <w:rFonts w:hint="eastAsia" w:ascii="仿宋_GB2312" w:eastAsia="仿宋_GB2312"/>
          <w:color w:val="auto"/>
          <w:kern w:val="0"/>
          <w:sz w:val="32"/>
          <w:szCs w:val="32"/>
          <w:lang w:eastAsia="zh-CN"/>
        </w:rPr>
        <w:t>。</w:t>
      </w:r>
    </w:p>
    <w:p w14:paraId="4779D4DC">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（三）具备良好的内部治理结构和风险控制制度，规范的项目遴选和投资决策机制，健全的内部财务管理制度</w:t>
      </w:r>
      <w:r>
        <w:rPr>
          <w:rFonts w:hint="eastAsia" w:ascii="仿宋_GB2312" w:eastAsia="仿宋_GB2312"/>
          <w:color w:val="auto"/>
          <w:kern w:val="0"/>
          <w:sz w:val="32"/>
          <w:szCs w:val="32"/>
          <w:lang w:eastAsia="zh-CN"/>
        </w:rPr>
        <w:t>。</w:t>
      </w:r>
    </w:p>
    <w:p w14:paraId="32EB3BC5">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（四）产业</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rPr>
        <w:t>及其董事、监事、高级管理人员及其他从业人员在最近三年无重大违法行为</w:t>
      </w:r>
      <w:r>
        <w:rPr>
          <w:rFonts w:hint="eastAsia" w:ascii="仿宋_GB2312" w:eastAsia="仿宋_GB2312"/>
          <w:color w:val="auto"/>
          <w:kern w:val="0"/>
          <w:sz w:val="32"/>
          <w:szCs w:val="32"/>
          <w:lang w:eastAsia="zh-CN"/>
        </w:rPr>
        <w:t>。</w:t>
      </w:r>
    </w:p>
    <w:p w14:paraId="60DCA3C5">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（五）具有募集社会资本的能力</w:t>
      </w:r>
      <w:r>
        <w:rPr>
          <w:rFonts w:hint="eastAsia" w:ascii="仿宋_GB2312" w:eastAsia="仿宋_GB2312"/>
          <w:color w:val="auto"/>
          <w:kern w:val="0"/>
          <w:sz w:val="32"/>
          <w:szCs w:val="32"/>
          <w:lang w:eastAsia="zh-CN"/>
        </w:rPr>
        <w:t>。</w:t>
      </w:r>
    </w:p>
    <w:p w14:paraId="5BDD032F">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（六）有符合要求的营业场所、安全防范设施和基金管理业务有关的其他设施</w:t>
      </w:r>
      <w:r>
        <w:rPr>
          <w:rFonts w:hint="eastAsia" w:ascii="仿宋_GB2312" w:eastAsia="仿宋_GB2312"/>
          <w:color w:val="auto"/>
          <w:kern w:val="0"/>
          <w:sz w:val="32"/>
          <w:szCs w:val="32"/>
          <w:lang w:eastAsia="zh-CN"/>
        </w:rPr>
        <w:t>。</w:t>
      </w:r>
    </w:p>
    <w:p w14:paraId="09A2C1C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color w:val="auto"/>
          <w:szCs w:val="21"/>
        </w:rPr>
      </w:pPr>
      <w:r>
        <w:rPr>
          <w:rFonts w:hint="eastAsia" w:ascii="仿宋_GB2312" w:eastAsia="仿宋_GB2312"/>
          <w:color w:val="auto"/>
          <w:kern w:val="0"/>
          <w:sz w:val="32"/>
          <w:szCs w:val="32"/>
        </w:rPr>
        <w:t>（七）法律法规规定的其他条件。</w:t>
      </w:r>
    </w:p>
    <w:p w14:paraId="24852CF2">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第二十条 </w:t>
      </w:r>
      <w:r>
        <w:rPr>
          <w:rFonts w:hint="eastAsia" w:eastAsia="仿宋_GB2312"/>
          <w:color w:val="auto"/>
          <w:kern w:val="0"/>
          <w:sz w:val="32"/>
          <w:szCs w:val="32"/>
        </w:rPr>
        <w:t xml:space="preserve"> </w:t>
      </w:r>
      <w:r>
        <w:rPr>
          <w:rFonts w:hint="eastAsia" w:ascii="仿宋_GB2312" w:eastAsia="仿宋_GB2312"/>
          <w:color w:val="auto"/>
          <w:kern w:val="0"/>
          <w:sz w:val="32"/>
          <w:szCs w:val="32"/>
        </w:rPr>
        <w:t>子基金原则上应在广元市内注册。产业基金对子基金的实缴出资额应</w:t>
      </w:r>
      <w:r>
        <w:rPr>
          <w:rFonts w:hint="eastAsia" w:ascii="仿宋_GB2312" w:eastAsia="仿宋_GB2312"/>
          <w:color w:val="auto"/>
          <w:sz w:val="32"/>
          <w:szCs w:val="32"/>
        </w:rPr>
        <w:t>全部投资于广元市内项目，投资的企业原则上注册地应在广元市。</w:t>
      </w:r>
    </w:p>
    <w:p w14:paraId="5323087E">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第二十一条</w:t>
      </w:r>
      <w:r>
        <w:rPr>
          <w:rFonts w:hint="eastAsia" w:eastAsia="仿宋_GB2312"/>
          <w:color w:val="auto"/>
          <w:kern w:val="0"/>
          <w:sz w:val="32"/>
          <w:szCs w:val="32"/>
        </w:rPr>
        <w:t xml:space="preserve">  </w:t>
      </w:r>
      <w:r>
        <w:rPr>
          <w:rFonts w:hint="eastAsia" w:ascii="仿宋_GB2312" w:eastAsia="仿宋_GB2312"/>
          <w:color w:val="auto"/>
          <w:kern w:val="0"/>
          <w:sz w:val="32"/>
          <w:szCs w:val="32"/>
        </w:rPr>
        <w:t>产业基金投资国内其他基金，争取返投我市项目（企业）不低于产业基金实缴出资额，具体返投比例、投资方向、返投模式、退出条件等事项应在合伙协议中明确。</w:t>
      </w:r>
      <w:r>
        <w:rPr>
          <w:rFonts w:hint="eastAsia" w:ascii="仿宋_GB2312" w:eastAsia="仿宋_GB2312"/>
          <w:color w:val="auto"/>
          <w:kern w:val="0"/>
          <w:sz w:val="32"/>
          <w:szCs w:val="32"/>
          <w:lang w:val="en-US" w:eastAsia="zh-CN"/>
        </w:rPr>
        <w:t>以下情形可被认定为返投：</w:t>
      </w:r>
    </w:p>
    <w:p w14:paraId="5D7CB1FD">
      <w:pPr>
        <w:keepNext w:val="0"/>
        <w:keepLines w:val="0"/>
        <w:pageBreakBefore w:val="0"/>
        <w:numPr>
          <w:ilvl w:val="0"/>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（一）直接投资于注册地为广元市的企业。</w:t>
      </w:r>
    </w:p>
    <w:p w14:paraId="061774F0">
      <w:pPr>
        <w:keepNext w:val="0"/>
        <w:keepLines w:val="0"/>
        <w:pageBreakBefore w:val="0"/>
        <w:numPr>
          <w:ilvl w:val="0"/>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（二）投资于广元市以外注册的项目，在投资期内，该项目在获得投资后两年内将注册地迁往广元市且承诺五年不迁出，或</w:t>
      </w:r>
      <w:r>
        <w:rPr>
          <w:rFonts w:hint="eastAsia" w:ascii="仿宋_GB2312" w:eastAsia="仿宋_GB2312"/>
          <w:color w:val="auto"/>
          <w:kern w:val="0"/>
          <w:sz w:val="32"/>
          <w:szCs w:val="32"/>
        </w:rPr>
        <w:t>被</w:t>
      </w:r>
      <w:r>
        <w:rPr>
          <w:rFonts w:hint="eastAsia" w:ascii="仿宋_GB2312" w:eastAsia="仿宋_GB2312"/>
          <w:color w:val="auto"/>
          <w:kern w:val="0"/>
          <w:sz w:val="32"/>
          <w:szCs w:val="32"/>
          <w:lang w:val="en-US" w:eastAsia="zh-CN"/>
        </w:rPr>
        <w:t>广元市内</w:t>
      </w:r>
      <w:r>
        <w:rPr>
          <w:rFonts w:hint="eastAsia" w:ascii="仿宋_GB2312" w:eastAsia="仿宋_GB2312"/>
          <w:color w:val="auto"/>
          <w:kern w:val="0"/>
          <w:sz w:val="32"/>
          <w:szCs w:val="32"/>
        </w:rPr>
        <w:t>注册企业通过控股型收购或收购并表</w:t>
      </w:r>
      <w:r>
        <w:rPr>
          <w:rFonts w:hint="eastAsia" w:ascii="仿宋_GB2312" w:eastAsia="仿宋_GB2312"/>
          <w:color w:val="auto"/>
          <w:kern w:val="0"/>
          <w:sz w:val="32"/>
          <w:szCs w:val="32"/>
          <w:lang w:val="en-US" w:eastAsia="zh-CN"/>
        </w:rPr>
        <w:t>的。</w:t>
      </w:r>
    </w:p>
    <w:p w14:paraId="6B119076">
      <w:pPr>
        <w:keepNext w:val="0"/>
        <w:keepLines w:val="0"/>
        <w:pageBreakBefore w:val="0"/>
        <w:numPr>
          <w:ilvl w:val="0"/>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（三）在基金投资期内，其合作管理机构及其同一实际控制人下的其他管理机构管理的企业投资到满足本条1、2款的企业，可分别按本条1、2款内容予以认定。</w:t>
      </w:r>
    </w:p>
    <w:p w14:paraId="31ED64CF">
      <w:pPr>
        <w:keepNext w:val="0"/>
        <w:keepLines w:val="0"/>
        <w:pageBreakBefore w:val="0"/>
        <w:numPr>
          <w:ilvl w:val="0"/>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（四）产业基金投资的广元市以外的企业，在投资期内，</w:t>
      </w:r>
      <w:r>
        <w:rPr>
          <w:rFonts w:hint="eastAsia" w:ascii="仿宋_GB2312" w:eastAsia="仿宋_GB2312"/>
          <w:color w:val="auto"/>
          <w:kern w:val="0"/>
          <w:sz w:val="32"/>
          <w:szCs w:val="32"/>
        </w:rPr>
        <w:t>将其企业总部、区域总部、纳税主体、生产基地、研发基地落户</w:t>
      </w:r>
      <w:r>
        <w:rPr>
          <w:rFonts w:hint="eastAsia" w:ascii="仿宋_GB2312" w:eastAsia="仿宋_GB2312"/>
          <w:color w:val="auto"/>
          <w:kern w:val="0"/>
          <w:sz w:val="32"/>
          <w:szCs w:val="32"/>
          <w:lang w:val="en-US" w:eastAsia="zh-CN"/>
        </w:rPr>
        <w:t>广元市内</w:t>
      </w:r>
      <w:r>
        <w:rPr>
          <w:rFonts w:hint="eastAsia" w:ascii="仿宋_GB2312" w:eastAsia="仿宋_GB2312"/>
          <w:color w:val="auto"/>
          <w:kern w:val="0"/>
          <w:sz w:val="32"/>
          <w:szCs w:val="32"/>
        </w:rPr>
        <w:t>，或在</w:t>
      </w:r>
      <w:r>
        <w:rPr>
          <w:rFonts w:hint="eastAsia" w:ascii="仿宋_GB2312" w:eastAsia="仿宋_GB2312"/>
          <w:color w:val="auto"/>
          <w:kern w:val="0"/>
          <w:sz w:val="32"/>
          <w:szCs w:val="32"/>
          <w:lang w:val="en-US" w:eastAsia="zh-CN"/>
        </w:rPr>
        <w:t>广元市内</w:t>
      </w:r>
      <w:r>
        <w:rPr>
          <w:rFonts w:hint="eastAsia" w:ascii="仿宋_GB2312" w:eastAsia="仿宋_GB2312"/>
          <w:color w:val="auto"/>
          <w:kern w:val="0"/>
          <w:sz w:val="32"/>
          <w:szCs w:val="32"/>
        </w:rPr>
        <w:t>成立子公司</w:t>
      </w:r>
      <w:r>
        <w:rPr>
          <w:rFonts w:hint="eastAsia" w:ascii="仿宋_GB2312" w:eastAsia="仿宋_GB2312"/>
          <w:color w:val="auto"/>
          <w:kern w:val="0"/>
          <w:sz w:val="32"/>
          <w:szCs w:val="32"/>
          <w:lang w:val="en-US" w:eastAsia="zh-CN"/>
        </w:rPr>
        <w:t>（子公司资产须不低于产业基金对该企业的对应投资金额）。</w:t>
      </w:r>
    </w:p>
    <w:p w14:paraId="1547675A">
      <w:pPr>
        <w:keepNext w:val="0"/>
        <w:keepLines w:val="0"/>
        <w:pageBreakBefore w:val="0"/>
        <w:numPr>
          <w:ilvl w:val="0"/>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color w:val="auto"/>
        </w:rPr>
      </w:pPr>
      <w:r>
        <w:rPr>
          <w:rFonts w:hint="eastAsia" w:ascii="仿宋_GB2312" w:eastAsia="仿宋_GB2312"/>
          <w:color w:val="auto"/>
          <w:kern w:val="0"/>
          <w:sz w:val="32"/>
          <w:szCs w:val="32"/>
          <w:lang w:val="en-US" w:eastAsia="zh-CN"/>
        </w:rPr>
        <w:t>（五）产业基金与投资企业双方协商，并经管委会认可的其他情形。</w:t>
      </w:r>
    </w:p>
    <w:p w14:paraId="11FC558C">
      <w:pPr>
        <w:keepNext w:val="0"/>
        <w:keepLines w:val="0"/>
        <w:pageBreakBefore w:val="0"/>
        <w:numPr>
          <w:ilvl w:val="0"/>
          <w:numId w:val="0"/>
        </w:numPr>
        <w:tabs>
          <w:tab w:val="left" w:pos="0"/>
        </w:tabs>
        <w:suppressAutoHyphens/>
        <w:kinsoku/>
        <w:wordWrap/>
        <w:overflowPunct/>
        <w:topLinePunct w:val="0"/>
        <w:autoSpaceDE/>
        <w:autoSpaceDN/>
        <w:bidi w:val="0"/>
        <w:adjustRightInd w:val="0"/>
        <w:snapToGrid w:val="0"/>
        <w:spacing w:line="576" w:lineRule="exact"/>
        <w:ind w:left="0" w:leftChars="0" w:right="0" w:firstLine="640" w:firstLineChars="200"/>
        <w:rPr>
          <w:rFonts w:hint="eastAsia" w:ascii="仿宋_GB2312" w:eastAsia="仿宋_GB2312"/>
          <w:color w:val="auto"/>
          <w:kern w:val="0"/>
          <w:sz w:val="32"/>
          <w:szCs w:val="32"/>
          <w:lang w:val="en-US" w:eastAsia="zh-CN"/>
        </w:rPr>
      </w:pPr>
      <w:r>
        <w:rPr>
          <w:rFonts w:hint="eastAsia" w:ascii="仿宋_GB2312" w:eastAsia="仿宋_GB2312"/>
          <w:color w:val="auto"/>
          <w:kern w:val="0"/>
          <w:sz w:val="32"/>
          <w:szCs w:val="32"/>
          <w:lang w:val="en-US" w:eastAsia="zh-CN"/>
        </w:rPr>
        <w:t>引导基金进行返投认定时，同一项目市域内返投金额仅认定一次，不得重复计算。</w:t>
      </w:r>
    </w:p>
    <w:p w14:paraId="4F3BA34A">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第二十二条</w:t>
      </w:r>
      <w:r>
        <w:rPr>
          <w:rFonts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应建立市场化退出机制，投前须事先约定退出期限、退出方式、退出条件等事项。存续期内若具备退出条件，亦可择机适时退出。</w:t>
      </w:r>
    </w:p>
    <w:p w14:paraId="0A1E9100">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第二十三条 </w:t>
      </w:r>
      <w:r>
        <w:rPr>
          <w:rFonts w:eastAsia="仿宋_GB2312"/>
          <w:color w:val="auto"/>
          <w:kern w:val="0"/>
          <w:sz w:val="32"/>
          <w:szCs w:val="32"/>
        </w:rPr>
        <w:t xml:space="preserve"> </w:t>
      </w:r>
      <w:r>
        <w:rPr>
          <w:rFonts w:hint="eastAsia" w:ascii="仿宋_GB2312" w:eastAsia="仿宋_GB2312"/>
          <w:color w:val="auto"/>
          <w:sz w:val="32"/>
          <w:szCs w:val="32"/>
        </w:rPr>
        <w:t>产业基金及</w:t>
      </w:r>
      <w:r>
        <w:rPr>
          <w:rFonts w:hint="eastAsia" w:ascii="仿宋_GB2312" w:eastAsia="仿宋_GB2312"/>
          <w:color w:val="auto"/>
          <w:kern w:val="0"/>
          <w:sz w:val="32"/>
          <w:szCs w:val="32"/>
        </w:rPr>
        <w:t>子基金可通过社会出资人回购、股权（份额）转让、到期清算或其他市场化方式退出，具体以合伙协议约定为准。子基金存续期内，鼓励子基金出资人或其他投资者购买产业基金所持子基金份额。同等条件下，在合伙协议中约定子基金的出资人可优先购买。</w:t>
      </w:r>
    </w:p>
    <w:p w14:paraId="31977A31">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第二十四条</w:t>
      </w:r>
      <w:r>
        <w:rPr>
          <w:rFonts w:eastAsia="仿宋_GB2312"/>
          <w:color w:val="auto"/>
          <w:kern w:val="0"/>
          <w:sz w:val="32"/>
          <w:szCs w:val="32"/>
        </w:rPr>
        <w:t xml:space="preserve">  </w:t>
      </w:r>
      <w:r>
        <w:rPr>
          <w:rFonts w:hint="eastAsia" w:ascii="仿宋_GB2312" w:eastAsia="仿宋_GB2312"/>
          <w:color w:val="auto"/>
          <w:sz w:val="32"/>
          <w:szCs w:val="32"/>
        </w:rPr>
        <w:t>产业基金原则上应当在存续期满后终止，经市政府同意，</w:t>
      </w:r>
      <w:r>
        <w:rPr>
          <w:rFonts w:hint="eastAsia" w:ascii="仿宋_GB2312" w:eastAsia="仿宋_GB2312"/>
          <w:color w:val="auto"/>
          <w:sz w:val="32"/>
          <w:szCs w:val="32"/>
          <w:lang w:val="en-US" w:eastAsia="zh-CN"/>
        </w:rPr>
        <w:t>基金存续期原则上不超过10年，确需延长的可放宽至不超过12年，或设立下一期产业基金。到期无法完全退出的母子基金，根据项目情况适当延长存续期。鼓励通过设立私募股权二级市场基金（S基金）、并购基金等方式拓宽基金退出渠道。</w:t>
      </w:r>
    </w:p>
    <w:p w14:paraId="109A5128">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第二十五条 </w:t>
      </w:r>
      <w:r>
        <w:rPr>
          <w:rFonts w:hint="eastAsia" w:eastAsia="仿宋_GB2312"/>
          <w:color w:val="auto"/>
          <w:kern w:val="0"/>
          <w:sz w:val="32"/>
          <w:szCs w:val="32"/>
        </w:rPr>
        <w:t xml:space="preserve"> </w:t>
      </w:r>
      <w:r>
        <w:rPr>
          <w:rFonts w:hint="eastAsia" w:ascii="仿宋_GB2312" w:eastAsia="仿宋_GB2312"/>
          <w:color w:val="auto"/>
          <w:kern w:val="0"/>
          <w:sz w:val="32"/>
          <w:szCs w:val="32"/>
        </w:rPr>
        <w:t>子基金在运营过程中出现下列情况之一时，报产业基金管委会批准后，应当终止运营并清算：</w:t>
      </w:r>
    </w:p>
    <w:p w14:paraId="7EE78D2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lang w:eastAsia="zh-CN"/>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一</w:t>
      </w:r>
      <w:r>
        <w:rPr>
          <w:rFonts w:hint="eastAsia" w:ascii="仿宋_GB2312" w:eastAsia="仿宋_GB2312"/>
          <w:color w:val="auto"/>
          <w:kern w:val="0"/>
          <w:sz w:val="32"/>
          <w:szCs w:val="32"/>
        </w:rPr>
        <w:t>）代表50%以上基金份额的合伙人要求终止，并经合伙人会议决议通过</w:t>
      </w:r>
      <w:r>
        <w:rPr>
          <w:rFonts w:hint="eastAsia" w:ascii="仿宋_GB2312" w:eastAsia="仿宋_GB2312"/>
          <w:color w:val="auto"/>
          <w:kern w:val="0"/>
          <w:sz w:val="32"/>
          <w:szCs w:val="32"/>
          <w:lang w:eastAsia="zh-CN"/>
        </w:rPr>
        <w:t>。</w:t>
      </w:r>
    </w:p>
    <w:p w14:paraId="65B11B1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二</w:t>
      </w:r>
      <w:r>
        <w:rPr>
          <w:rFonts w:hint="eastAsia" w:ascii="仿宋_GB2312" w:eastAsia="仿宋_GB2312"/>
          <w:color w:val="auto"/>
          <w:kern w:val="0"/>
          <w:sz w:val="32"/>
          <w:szCs w:val="32"/>
        </w:rPr>
        <w:t>）基金合同签订后超过1年，未按规定程序和时间要求完成设立或增资手续的。</w:t>
      </w:r>
    </w:p>
    <w:p w14:paraId="6E9ADF10">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三</w:t>
      </w:r>
      <w:r>
        <w:rPr>
          <w:rFonts w:hint="eastAsia" w:ascii="仿宋_GB2312" w:eastAsia="仿宋_GB2312"/>
          <w:color w:val="auto"/>
          <w:kern w:val="0"/>
          <w:sz w:val="32"/>
          <w:szCs w:val="32"/>
        </w:rPr>
        <w:t>）基金出资拨付托管基金账户1年以上，未开展投资业务的。</w:t>
      </w:r>
    </w:p>
    <w:p w14:paraId="04DABE6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四</w:t>
      </w:r>
      <w:r>
        <w:rPr>
          <w:rFonts w:hint="eastAsia" w:ascii="仿宋_GB2312" w:eastAsia="仿宋_GB2312"/>
          <w:color w:val="auto"/>
          <w:kern w:val="0"/>
          <w:sz w:val="32"/>
          <w:szCs w:val="32"/>
        </w:rPr>
        <w:t>）子基金未按基金合同约定投资，或者投资不符合政策导向的。</w:t>
      </w:r>
    </w:p>
    <w:p w14:paraId="15C1DA71">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五</w:t>
      </w:r>
      <w:r>
        <w:rPr>
          <w:rFonts w:hint="eastAsia" w:ascii="仿宋_GB2312" w:eastAsia="仿宋_GB2312"/>
          <w:color w:val="auto"/>
          <w:kern w:val="0"/>
          <w:sz w:val="32"/>
          <w:szCs w:val="32"/>
        </w:rPr>
        <w:t>）子基金管理机构发生实质性变化且未经股东会、合伙人会议、基金份额持有人大会等基金相关权力机构审议通过的，包括控股股东、实际控制人、管理该基金的关键人士(专业投资人员)发生变化的。</w:t>
      </w:r>
    </w:p>
    <w:p w14:paraId="525A827A">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六</w:t>
      </w:r>
      <w:r>
        <w:rPr>
          <w:rFonts w:hint="eastAsia" w:ascii="仿宋_GB2312" w:eastAsia="仿宋_GB2312"/>
          <w:color w:val="auto"/>
          <w:kern w:val="0"/>
          <w:sz w:val="32"/>
          <w:szCs w:val="32"/>
        </w:rPr>
        <w:t>）子基金管理机构、其他出资人发生重大违法违规行为，受到监管部门处罚的。</w:t>
      </w:r>
    </w:p>
    <w:p w14:paraId="79784E90">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七</w:t>
      </w:r>
      <w:r>
        <w:rPr>
          <w:rFonts w:hint="eastAsia" w:ascii="仿宋_GB2312" w:eastAsia="仿宋_GB2312"/>
          <w:color w:val="auto"/>
          <w:kern w:val="0"/>
          <w:sz w:val="32"/>
          <w:szCs w:val="32"/>
        </w:rPr>
        <w:t>）发现其他危害基金安全、违背政策目标等事前约定退出情形的。</w:t>
      </w:r>
    </w:p>
    <w:p w14:paraId="337905EC">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八</w:t>
      </w:r>
      <w:r>
        <w:rPr>
          <w:rFonts w:hint="eastAsia" w:ascii="仿宋_GB2312" w:eastAsia="仿宋_GB2312"/>
          <w:color w:val="auto"/>
          <w:kern w:val="0"/>
          <w:sz w:val="32"/>
          <w:szCs w:val="32"/>
        </w:rPr>
        <w:t>）投资损失超过</w:t>
      </w:r>
      <w:r>
        <w:rPr>
          <w:rFonts w:hint="eastAsia" w:ascii="仿宋_GB2312" w:eastAsia="仿宋_GB2312"/>
          <w:color w:val="auto"/>
          <w:kern w:val="0"/>
          <w:sz w:val="32"/>
          <w:szCs w:val="32"/>
          <w:lang w:val="en-US" w:eastAsia="zh-CN"/>
        </w:rPr>
        <w:t>本办法第三十七条规定的</w:t>
      </w:r>
      <w:r>
        <w:rPr>
          <w:rFonts w:hint="eastAsia" w:ascii="仿宋_GB2312" w:eastAsia="仿宋_GB2312"/>
          <w:color w:val="auto"/>
          <w:kern w:val="0"/>
          <w:sz w:val="32"/>
          <w:szCs w:val="32"/>
        </w:rPr>
        <w:t>。</w:t>
      </w:r>
    </w:p>
    <w:p w14:paraId="1499F97D">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九</w:t>
      </w:r>
      <w:r>
        <w:rPr>
          <w:rFonts w:hint="eastAsia" w:ascii="仿宋_GB2312" w:eastAsia="仿宋_GB2312"/>
          <w:color w:val="auto"/>
          <w:kern w:val="0"/>
          <w:sz w:val="32"/>
          <w:szCs w:val="32"/>
          <w:lang w:eastAsia="zh-CN"/>
        </w:rPr>
        <w:t>）</w:t>
      </w:r>
      <w:r>
        <w:rPr>
          <w:rFonts w:hint="eastAsia" w:ascii="仿宋_GB2312" w:hAnsi="仿宋_GB2312" w:eastAsia="仿宋_GB2312" w:cs="仿宋_GB2312"/>
          <w:color w:val="auto"/>
          <w:sz w:val="32"/>
          <w:szCs w:val="32"/>
          <w:vertAlign w:val="baseline"/>
          <w:lang w:val="en-US" w:eastAsia="zh-CN"/>
        </w:rPr>
        <w:t>子基金投资运营偏离既定政策目标或合伙协议约定，经产业基金管理机构提出书面整改要求后，在合理期限内未完成整改的。</w:t>
      </w:r>
    </w:p>
    <w:p w14:paraId="731DB4D9">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第二十六条 </w:t>
      </w:r>
      <w:r>
        <w:rPr>
          <w:rFonts w:eastAsia="仿宋_GB2312"/>
          <w:color w:val="auto"/>
          <w:kern w:val="0"/>
          <w:sz w:val="32"/>
          <w:szCs w:val="32"/>
        </w:rPr>
        <w:t xml:space="preserve"> </w:t>
      </w:r>
      <w:r>
        <w:rPr>
          <w:rFonts w:hint="eastAsia" w:ascii="仿宋_GB2312" w:eastAsia="仿宋_GB2312"/>
          <w:color w:val="auto"/>
          <w:kern w:val="0"/>
          <w:sz w:val="32"/>
          <w:szCs w:val="32"/>
        </w:rPr>
        <w:t>因子</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rPr>
        <w:t xml:space="preserve">违规违约行为（具体情形在合伙协议中约定），造成包括产业基金在内的全体子基金出资人损失的，根据协议约定要求其赔偿损失。  </w:t>
      </w:r>
    </w:p>
    <w:p w14:paraId="628E97A7">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jc w:val="center"/>
        <w:outlineLvl w:val="0"/>
        <w:rPr>
          <w:rFonts w:hint="eastAsia" w:eastAsia="黑体"/>
          <w:color w:val="auto"/>
          <w:kern w:val="0"/>
          <w:sz w:val="32"/>
          <w:szCs w:val="32"/>
        </w:rPr>
      </w:pPr>
      <w:r>
        <w:rPr>
          <w:rFonts w:hint="eastAsia" w:ascii="黑体" w:eastAsia="黑体"/>
          <w:color w:val="auto"/>
          <w:kern w:val="0"/>
          <w:sz w:val="32"/>
          <w:szCs w:val="32"/>
        </w:rPr>
        <w:t>第四章</w:t>
      </w:r>
      <w:r>
        <w:rPr>
          <w:rFonts w:eastAsia="黑体"/>
          <w:color w:val="auto"/>
          <w:kern w:val="0"/>
          <w:sz w:val="32"/>
          <w:szCs w:val="32"/>
        </w:rPr>
        <w:t xml:space="preserve">  </w:t>
      </w:r>
      <w:r>
        <w:rPr>
          <w:rFonts w:hint="eastAsia" w:ascii="黑体" w:eastAsia="黑体"/>
          <w:color w:val="auto"/>
          <w:kern w:val="0"/>
          <w:sz w:val="32"/>
          <w:szCs w:val="32"/>
        </w:rPr>
        <w:t>费用和收入分配</w:t>
      </w:r>
    </w:p>
    <w:p w14:paraId="68B7DB02">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第二十七条 </w:t>
      </w:r>
      <w:r>
        <w:rPr>
          <w:rFonts w:hint="eastAsia" w:eastAsia="仿宋_GB2312"/>
          <w:color w:val="auto"/>
          <w:kern w:val="0"/>
          <w:sz w:val="32"/>
          <w:szCs w:val="32"/>
        </w:rPr>
        <w:t xml:space="preserve"> </w:t>
      </w:r>
      <w:r>
        <w:rPr>
          <w:rFonts w:hint="eastAsia" w:ascii="仿宋_GB2312" w:eastAsia="仿宋_GB2312"/>
          <w:color w:val="auto"/>
          <w:kern w:val="0"/>
          <w:sz w:val="32"/>
          <w:szCs w:val="32"/>
        </w:rPr>
        <w:t>产业</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lang w:val="en-US" w:eastAsia="zh-CN"/>
        </w:rPr>
        <w:t>收取管理费按照基金实缴资金计算，具体收取比例在市政府批准的基金组建方案中明确</w:t>
      </w:r>
      <w:r>
        <w:rPr>
          <w:rFonts w:hint="eastAsia" w:ascii="仿宋_GB2312" w:eastAsia="仿宋_GB2312"/>
          <w:color w:val="auto"/>
          <w:kern w:val="0"/>
          <w:sz w:val="32"/>
          <w:szCs w:val="32"/>
        </w:rPr>
        <w:t>。引入的其他基金管理机构依据业绩目标协商确定报酬，原则上不得高于管理人收取的管理费，具体金额以产业基金相关协议约定为准。管理费和报酬均在基金资产中列支。子基金管理费及报酬以子基金相关协议约定为准。</w:t>
      </w:r>
    </w:p>
    <w:p w14:paraId="648ADDAF">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Calibri" w:hAnsi="Calibri"/>
          <w:color w:val="auto"/>
          <w:szCs w:val="21"/>
        </w:rPr>
      </w:pPr>
      <w:r>
        <w:rPr>
          <w:rFonts w:hint="eastAsia" w:ascii="楷体_GB2312" w:hAnsi="楷体_GB2312" w:eastAsia="楷体_GB2312" w:cs="楷体_GB2312"/>
          <w:b w:val="0"/>
          <w:bCs w:val="0"/>
          <w:color w:val="auto"/>
          <w:kern w:val="0"/>
          <w:sz w:val="32"/>
          <w:szCs w:val="32"/>
          <w:lang w:val="en-US" w:eastAsia="zh-CN"/>
        </w:rPr>
        <w:t>第二十八条</w:t>
      </w:r>
      <w:r>
        <w:rPr>
          <w:rFonts w:hint="eastAsia" w:ascii="仿宋_GB2312" w:eastAsia="仿宋_GB2312"/>
          <w:color w:val="auto"/>
          <w:kern w:val="0"/>
          <w:sz w:val="32"/>
          <w:szCs w:val="32"/>
        </w:rPr>
        <w:t xml:space="preserve">  产业基金根据合</w:t>
      </w:r>
      <w:r>
        <w:rPr>
          <w:rFonts w:hint="eastAsia" w:ascii="仿宋_GB2312" w:eastAsia="仿宋_GB2312"/>
          <w:color w:val="auto"/>
          <w:sz w:val="32"/>
          <w:szCs w:val="32"/>
        </w:rPr>
        <w:t>伙协议约定进行收益分配，出资方按照约定获取投资收益或承担投资损失，以出资额为限承担有限责任。基金所投全部项目退出之后，对所得收益进行分配。收益分配按照“先有限合伙人、再普通合伙人，先本金、再门槛收益、最后超额收益”的原则进行分配。</w:t>
      </w:r>
      <w:r>
        <w:rPr>
          <w:rFonts w:hint="eastAsia" w:ascii="仿宋_GB2312" w:eastAsia="仿宋_GB2312"/>
          <w:b w:val="0"/>
          <w:bCs w:val="0"/>
          <w:color w:val="auto"/>
          <w:sz w:val="32"/>
          <w:szCs w:val="32"/>
          <w:u w:val="none"/>
          <w:lang w:val="en-US" w:eastAsia="zh-CN"/>
        </w:rPr>
        <w:t>产业基金门槛收益率为5%，经市政府同意可作调整。</w:t>
      </w:r>
      <w:r>
        <w:rPr>
          <w:rFonts w:hint="eastAsia" w:ascii="仿宋_GB2312" w:eastAsia="仿宋_GB2312"/>
          <w:b w:val="0"/>
          <w:bCs w:val="0"/>
          <w:color w:val="auto"/>
          <w:sz w:val="32"/>
          <w:szCs w:val="32"/>
          <w:u w:val="none"/>
        </w:rPr>
        <w:t>基金超</w:t>
      </w:r>
      <w:r>
        <w:rPr>
          <w:rFonts w:hint="eastAsia" w:ascii="仿宋_GB2312" w:eastAsia="仿宋_GB2312"/>
          <w:color w:val="auto"/>
          <w:sz w:val="32"/>
          <w:szCs w:val="32"/>
        </w:rPr>
        <w:t>额收益按20%:80%比例在普通合伙人与全体合伙人之间分配。子基金</w:t>
      </w:r>
      <w:r>
        <w:rPr>
          <w:rFonts w:hint="eastAsia" w:ascii="仿宋_GB2312" w:eastAsia="仿宋_GB2312"/>
          <w:color w:val="auto"/>
          <w:sz w:val="32"/>
          <w:szCs w:val="32"/>
          <w:lang w:val="en-US" w:eastAsia="zh-CN"/>
        </w:rPr>
        <w:t>门槛收益率及</w:t>
      </w:r>
      <w:r>
        <w:rPr>
          <w:rFonts w:hint="eastAsia" w:ascii="仿宋_GB2312" w:eastAsia="仿宋_GB2312"/>
          <w:color w:val="auto"/>
          <w:sz w:val="32"/>
          <w:szCs w:val="32"/>
        </w:rPr>
        <w:t>收益分配方式等在子基金合伙协议中具体约定。</w:t>
      </w:r>
      <w:r>
        <w:rPr>
          <w:rFonts w:hint="eastAsia" w:ascii="Calibri" w:hAnsi="Calibri"/>
          <w:color w:val="auto"/>
          <w:szCs w:val="21"/>
        </w:rPr>
        <w:t xml:space="preserve">  </w:t>
      </w:r>
    </w:p>
    <w:p w14:paraId="58C8D201">
      <w:pPr>
        <w:keepNext w:val="0"/>
        <w:keepLines w:val="0"/>
        <w:pageBreakBefore w:val="0"/>
        <w:numPr>
          <w:ilvl w:val="0"/>
          <w:numId w:val="0"/>
        </w:numPr>
        <w:tabs>
          <w:tab w:val="left" w:pos="0"/>
        </w:tabs>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第二十九条</w:t>
      </w:r>
      <w:r>
        <w:rPr>
          <w:rFonts w:hint="eastAsia" w:ascii="仿宋_GB2312" w:eastAsia="仿宋_GB2312"/>
          <w:color w:val="auto"/>
          <w:sz w:val="32"/>
          <w:szCs w:val="32"/>
        </w:rPr>
        <w:t xml:space="preserve">  产业基金</w:t>
      </w:r>
      <w:r>
        <w:rPr>
          <w:rFonts w:hint="eastAsia" w:ascii="仿宋_GB2312" w:eastAsia="仿宋_GB2312"/>
          <w:color w:val="auto"/>
          <w:kern w:val="0"/>
          <w:sz w:val="32"/>
          <w:szCs w:val="32"/>
        </w:rPr>
        <w:t>的收入包括</w:t>
      </w:r>
      <w:r>
        <w:rPr>
          <w:rFonts w:hint="eastAsia" w:ascii="仿宋_GB2312" w:eastAsia="仿宋_GB2312"/>
          <w:color w:val="auto"/>
          <w:sz w:val="32"/>
          <w:szCs w:val="32"/>
        </w:rPr>
        <w:t>产业基金</w:t>
      </w:r>
      <w:r>
        <w:rPr>
          <w:rFonts w:hint="eastAsia" w:ascii="仿宋_GB2312" w:eastAsia="仿宋_GB2312"/>
          <w:color w:val="auto"/>
          <w:kern w:val="0"/>
          <w:sz w:val="32"/>
          <w:szCs w:val="32"/>
        </w:rPr>
        <w:t>投资退出时</w:t>
      </w:r>
      <w:r>
        <w:rPr>
          <w:rFonts w:hint="eastAsia" w:ascii="仿宋_GB2312" w:eastAsia="仿宋_GB2312"/>
          <w:color w:val="auto"/>
          <w:kern w:val="0"/>
          <w:sz w:val="32"/>
          <w:szCs w:val="32"/>
          <w:lang w:val="en-US" w:eastAsia="zh-CN"/>
        </w:rPr>
        <w:t>或</w:t>
      </w:r>
      <w:r>
        <w:rPr>
          <w:rFonts w:hint="eastAsia" w:ascii="仿宋_GB2312" w:eastAsia="仿宋_GB2312"/>
          <w:color w:val="auto"/>
          <w:kern w:val="0"/>
          <w:sz w:val="32"/>
          <w:szCs w:val="32"/>
        </w:rPr>
        <w:t>子基金分配时收回的初始投资、利息收入、投资收益，以及子基金清算时取得的剩余财产清偿收入等，均可用于</w:t>
      </w:r>
      <w:r>
        <w:rPr>
          <w:rFonts w:hint="eastAsia" w:ascii="仿宋_GB2312" w:eastAsia="仿宋_GB2312"/>
          <w:color w:val="auto"/>
          <w:sz w:val="32"/>
          <w:szCs w:val="32"/>
        </w:rPr>
        <w:t>产业基金</w:t>
      </w:r>
      <w:r>
        <w:rPr>
          <w:rFonts w:hint="eastAsia" w:ascii="仿宋_GB2312" w:eastAsia="仿宋_GB2312"/>
          <w:color w:val="auto"/>
          <w:kern w:val="0"/>
          <w:sz w:val="32"/>
          <w:szCs w:val="32"/>
        </w:rPr>
        <w:t>滚动投资。</w:t>
      </w:r>
      <w:r>
        <w:rPr>
          <w:rFonts w:hint="eastAsia" w:ascii="仿宋_GB2312" w:eastAsia="仿宋_GB2312"/>
          <w:color w:val="auto"/>
          <w:sz w:val="32"/>
          <w:szCs w:val="32"/>
        </w:rPr>
        <w:t>产业基金</w:t>
      </w:r>
      <w:r>
        <w:rPr>
          <w:rFonts w:hint="eastAsia" w:ascii="仿宋_GB2312" w:eastAsia="仿宋_GB2312"/>
          <w:color w:val="auto"/>
          <w:kern w:val="0"/>
          <w:sz w:val="32"/>
          <w:szCs w:val="32"/>
        </w:rPr>
        <w:t>在投</w:t>
      </w:r>
      <w:r>
        <w:rPr>
          <w:rFonts w:hint="eastAsia" w:ascii="仿宋_GB2312" w:eastAsia="仿宋_GB2312"/>
          <w:color w:val="auto"/>
          <w:kern w:val="0"/>
          <w:sz w:val="32"/>
          <w:szCs w:val="32"/>
          <w:lang w:val="en-US" w:eastAsia="zh-CN"/>
        </w:rPr>
        <w:t>出</w:t>
      </w:r>
      <w:r>
        <w:rPr>
          <w:rFonts w:hint="eastAsia" w:ascii="仿宋_GB2312" w:eastAsia="仿宋_GB2312"/>
          <w:color w:val="auto"/>
          <w:kern w:val="0"/>
          <w:sz w:val="32"/>
          <w:szCs w:val="32"/>
        </w:rPr>
        <w:t>前，可将</w:t>
      </w:r>
      <w:r>
        <w:rPr>
          <w:rFonts w:hint="eastAsia" w:ascii="仿宋_GB2312" w:eastAsia="仿宋_GB2312"/>
          <w:color w:val="auto"/>
          <w:kern w:val="0"/>
          <w:sz w:val="32"/>
          <w:szCs w:val="32"/>
          <w:lang w:val="en-US" w:eastAsia="zh-CN"/>
        </w:rPr>
        <w:t>资金</w:t>
      </w:r>
      <w:r>
        <w:rPr>
          <w:rFonts w:hint="eastAsia" w:ascii="仿宋_GB2312" w:eastAsia="仿宋_GB2312"/>
          <w:color w:val="auto"/>
          <w:kern w:val="0"/>
          <w:sz w:val="32"/>
          <w:szCs w:val="32"/>
        </w:rPr>
        <w:t>用于银行理财产品，不得用于担保、抵押、股票、期货、企业债券、房地产、赞助、捐赠等支出，不得挪作他用。</w:t>
      </w:r>
    </w:p>
    <w:p w14:paraId="11CC0DA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第三十条 </w:t>
      </w:r>
      <w:r>
        <w:rPr>
          <w:rFonts w:hint="eastAsia" w:ascii="仿宋_GB2312" w:eastAsia="仿宋_GB2312"/>
          <w:color w:val="auto"/>
          <w:kern w:val="0"/>
          <w:sz w:val="32"/>
          <w:szCs w:val="32"/>
        </w:rPr>
        <w:t xml:space="preserve"> 为更好发挥政策导向功能，在完成政策目标且收回全部投资本金基础上，</w:t>
      </w:r>
      <w:r>
        <w:rPr>
          <w:rFonts w:hint="eastAsia" w:ascii="仿宋_GB2312" w:eastAsia="仿宋_GB2312"/>
          <w:color w:val="auto"/>
          <w:kern w:val="0"/>
          <w:sz w:val="32"/>
          <w:szCs w:val="32"/>
          <w:lang w:val="en-US" w:eastAsia="zh-CN"/>
        </w:rPr>
        <w:t>产业</w:t>
      </w:r>
      <w:r>
        <w:rPr>
          <w:rFonts w:hint="eastAsia" w:ascii="仿宋_GB2312" w:eastAsia="仿宋_GB2312"/>
          <w:color w:val="auto"/>
          <w:kern w:val="0"/>
          <w:sz w:val="32"/>
          <w:szCs w:val="32"/>
        </w:rPr>
        <w:t>基金出资收益可部分让渡给基金管理机构和其他出资人，原则上让利幅度不超过产业基金收益的50%</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成果转化类子基金(项目)让利幅度不超过产业基金收益的100%。鼓励县（区）政府同步建立收益让渡机制。具体让利方案需在产业基金管委会审定的投资方案中明确，</w:t>
      </w:r>
      <w:r>
        <w:rPr>
          <w:rFonts w:hint="eastAsia" w:ascii="仿宋_GB2312" w:eastAsia="仿宋_GB2312"/>
          <w:color w:val="auto"/>
          <w:kern w:val="0"/>
          <w:sz w:val="32"/>
          <w:szCs w:val="32"/>
        </w:rPr>
        <w:t>主要遵循以下原则：</w:t>
      </w:r>
    </w:p>
    <w:p w14:paraId="0C612F6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一</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产业</w:t>
      </w:r>
      <w:r>
        <w:rPr>
          <w:rFonts w:hint="eastAsia" w:ascii="仿宋_GB2312" w:eastAsia="仿宋_GB2312"/>
          <w:color w:val="auto"/>
          <w:kern w:val="0"/>
          <w:sz w:val="32"/>
          <w:szCs w:val="32"/>
        </w:rPr>
        <w:t>基金让利应以其出资收益为限，不得动用本金。</w:t>
      </w:r>
    </w:p>
    <w:p w14:paraId="44E16EB7">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二</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对其他出资人让利的，让利条件一般应当包含但不限于整体收益、放大比例、出资金额、出资进度等因素。</w:t>
      </w:r>
    </w:p>
    <w:p w14:paraId="0E303A2A">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三</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对基金管理机构让利的，让利条件一般应当包含但不限于出资进度整体收益、门槛收益率、基金返投、出资进度、募资金额、产业项目导入、上市企业数量等因素。</w:t>
      </w:r>
    </w:p>
    <w:p w14:paraId="05418A9E">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jc w:val="center"/>
        <w:outlineLvl w:val="0"/>
        <w:rPr>
          <w:rFonts w:eastAsia="黑体"/>
          <w:color w:val="auto"/>
          <w:kern w:val="0"/>
          <w:sz w:val="32"/>
          <w:szCs w:val="32"/>
        </w:rPr>
      </w:pPr>
      <w:r>
        <w:rPr>
          <w:rFonts w:hint="eastAsia" w:ascii="黑体" w:eastAsia="黑体"/>
          <w:color w:val="auto"/>
          <w:kern w:val="0"/>
          <w:sz w:val="32"/>
          <w:szCs w:val="32"/>
        </w:rPr>
        <w:t>第五章</w:t>
      </w:r>
      <w:r>
        <w:rPr>
          <w:rFonts w:eastAsia="黑体"/>
          <w:color w:val="auto"/>
          <w:kern w:val="0"/>
          <w:sz w:val="32"/>
          <w:szCs w:val="32"/>
        </w:rPr>
        <w:t xml:space="preserve">  </w:t>
      </w:r>
      <w:r>
        <w:rPr>
          <w:rFonts w:hint="eastAsia" w:ascii="黑体" w:eastAsia="黑体"/>
          <w:color w:val="auto"/>
          <w:kern w:val="0"/>
          <w:sz w:val="32"/>
          <w:szCs w:val="32"/>
        </w:rPr>
        <w:t>风险控制与监督管理</w:t>
      </w:r>
    </w:p>
    <w:p w14:paraId="527DA9F7">
      <w:pPr>
        <w:keepNext w:val="0"/>
        <w:keepLines w:val="0"/>
        <w:pageBreakBefore w:val="0"/>
        <w:suppressAutoHyphens/>
        <w:kinsoku/>
        <w:wordWrap/>
        <w:overflowPunct/>
        <w:topLinePunct w:val="0"/>
        <w:autoSpaceDE/>
        <w:autoSpaceDN/>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第三十一条</w:t>
      </w:r>
      <w:r>
        <w:rPr>
          <w:rFonts w:hint="eastAsia" w:ascii="仿宋_GB2312"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不得以任何方式向子基金其他出资人承诺回购投资本金，或承担投资本金损失，或承诺最低收益。</w:t>
      </w:r>
      <w:r>
        <w:rPr>
          <w:rFonts w:hint="eastAsia" w:ascii="仿宋_GB2312" w:eastAsia="仿宋_GB2312"/>
          <w:color w:val="auto"/>
          <w:kern w:val="0"/>
          <w:sz w:val="32"/>
          <w:szCs w:val="32"/>
          <w:lang w:val="en-US" w:eastAsia="zh-CN"/>
        </w:rPr>
        <w:t xml:space="preserve">    </w:t>
      </w:r>
      <w:r>
        <w:rPr>
          <w:rFonts w:hint="eastAsia" w:ascii="仿宋_GB2312" w:eastAsia="仿宋_GB2312"/>
          <w:color w:val="auto"/>
          <w:kern w:val="0"/>
          <w:sz w:val="32"/>
          <w:szCs w:val="32"/>
          <w:lang w:val="en-US" w:eastAsia="zh-CN"/>
        </w:rPr>
        <w:tab/>
      </w:r>
      <w:r>
        <w:rPr>
          <w:rFonts w:hint="eastAsia" w:ascii="仿宋_GB2312" w:eastAsia="仿宋_GB2312"/>
          <w:color w:val="auto"/>
          <w:kern w:val="0"/>
          <w:sz w:val="32"/>
          <w:szCs w:val="32"/>
          <w:lang w:val="en-US" w:eastAsia="zh-CN"/>
        </w:rPr>
        <w:t xml:space="preserve"> </w:t>
      </w:r>
      <w:r>
        <w:rPr>
          <w:rFonts w:hint="eastAsia" w:ascii="楷体_GB2312" w:hAnsi="楷体_GB2312" w:eastAsia="楷体_GB2312" w:cs="楷体_GB2312"/>
          <w:b w:val="0"/>
          <w:bCs w:val="0"/>
          <w:color w:val="auto"/>
          <w:kern w:val="0"/>
          <w:sz w:val="32"/>
          <w:szCs w:val="32"/>
          <w:lang w:val="en-US" w:eastAsia="zh-CN"/>
        </w:rPr>
        <w:t>第三十二条</w:t>
      </w:r>
      <w:r>
        <w:rPr>
          <w:rFonts w:hint="eastAsia" w:ascii="仿宋_GB2312"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及子基金应当遵照有关规定，建立健全内部控制和外部监管制度，建立投资决策和风险约束机制。</w:t>
      </w:r>
    </w:p>
    <w:p w14:paraId="1354613F">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第三十三条</w:t>
      </w:r>
      <w:r>
        <w:rPr>
          <w:rFonts w:hint="eastAsia" w:ascii="仿宋_GB2312"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及子基金不得从事以下业务：</w:t>
      </w:r>
    </w:p>
    <w:p w14:paraId="56FA1C6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一</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担保、抵押、委托贷款等业务。</w:t>
      </w:r>
    </w:p>
    <w:p w14:paraId="6CE4640E">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default" w:ascii="仿宋_GB2312" w:eastAsia="仿宋_GB2312"/>
          <w:color w:val="auto"/>
          <w:kern w:val="0"/>
          <w:sz w:val="32"/>
          <w:szCs w:val="32"/>
          <w:lang w:val="en-US" w:eastAsia="zh-CN"/>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二</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实施任何形式的对外借款（可转股债权投资或夹层投资除外）。</w:t>
      </w:r>
    </w:p>
    <w:p w14:paraId="454E09EA">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三</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投资于二级市场股票(</w:t>
      </w:r>
      <w:r>
        <w:rPr>
          <w:rFonts w:hint="eastAsia" w:ascii="仿宋_GB2312" w:eastAsia="仿宋_GB2312"/>
          <w:color w:val="auto"/>
          <w:kern w:val="0"/>
          <w:sz w:val="32"/>
          <w:szCs w:val="32"/>
          <w:lang w:val="en-US" w:eastAsia="zh-CN"/>
        </w:rPr>
        <w:t>上市公司非公开发行、协议转让及并购重组</w:t>
      </w:r>
      <w:r>
        <w:rPr>
          <w:rFonts w:hint="eastAsia" w:ascii="仿宋_GB2312" w:eastAsia="仿宋_GB2312"/>
          <w:color w:val="auto"/>
          <w:kern w:val="0"/>
          <w:sz w:val="32"/>
          <w:szCs w:val="32"/>
        </w:rPr>
        <w:t>的除外)、期货、房地产、证券投资基金、评级AAA级以下的企业债券、信托产品、非保本型理财产品、保险计划及其他金融衍生品。</w:t>
      </w:r>
    </w:p>
    <w:p w14:paraId="0CD3551E">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四</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向任何第三方提供赞助、捐赠。</w:t>
      </w:r>
    </w:p>
    <w:p w14:paraId="579D82A9">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五</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吸收或变相吸收存款，或向第三方提供贷款和资金拆借。</w:t>
      </w:r>
    </w:p>
    <w:p w14:paraId="59D90EC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六</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进行承担无限连带责任的对外投资。</w:t>
      </w:r>
    </w:p>
    <w:p w14:paraId="508C894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七</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发行信托或集合理财产品募集资金。</w:t>
      </w:r>
    </w:p>
    <w:p w14:paraId="603D15C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jc w:val="left"/>
        <w:rPr>
          <w:rFonts w:hint="eastAsia" w:ascii="仿宋_GB2312" w:eastAsia="仿宋_GB2312"/>
          <w:b/>
          <w:bCs/>
          <w:color w:val="auto"/>
          <w:kern w:val="0"/>
          <w:sz w:val="32"/>
          <w:szCs w:val="32"/>
        </w:rPr>
      </w:pP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八</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国家法律法规禁止从事的其他业务。</w:t>
      </w:r>
    </w:p>
    <w:p w14:paraId="55CBC6AE">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jc w:val="left"/>
        <w:rPr>
          <w:rFonts w:ascii="Calibri" w:hAnsi="Calibri"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第三十四条 </w:t>
      </w:r>
      <w:r>
        <w:rPr>
          <w:rFonts w:hint="eastAsia" w:eastAsia="仿宋_GB2312"/>
          <w:color w:val="auto"/>
          <w:kern w:val="0"/>
          <w:sz w:val="32"/>
          <w:szCs w:val="32"/>
        </w:rPr>
        <w:t xml:space="preserve"> </w:t>
      </w:r>
      <w:r>
        <w:rPr>
          <w:rFonts w:hint="eastAsia" w:ascii="仿宋_GB2312" w:eastAsia="仿宋_GB2312"/>
          <w:color w:val="auto"/>
          <w:kern w:val="0"/>
          <w:sz w:val="32"/>
          <w:szCs w:val="32"/>
        </w:rPr>
        <w:t>产业基金应当按照市场化方式，委托中国境内设立的具有相应资质的商业银行进行资金托管。托管银行应按照有关规定及托管协议开展资产保管、资金拨付和结算等日常工作，对投资活动进行动态监管，提交半年度和年度托管报告，并需要符合以下条件：</w:t>
      </w:r>
    </w:p>
    <w:p w14:paraId="0A09C4F7">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eastAsia="仿宋_GB2312"/>
          <w:color w:val="auto"/>
          <w:kern w:val="0"/>
          <w:sz w:val="32"/>
          <w:szCs w:val="32"/>
        </w:rPr>
      </w:pPr>
      <w:r>
        <w:rPr>
          <w:rFonts w:hint="eastAsia" w:ascii="仿宋_GB2312" w:eastAsia="仿宋_GB2312"/>
          <w:color w:val="auto"/>
          <w:kern w:val="0"/>
          <w:sz w:val="32"/>
          <w:szCs w:val="32"/>
        </w:rPr>
        <w:t>（一）在我市设有分支机构；</w:t>
      </w:r>
    </w:p>
    <w:p w14:paraId="61A0E3B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eastAsia="仿宋_GB2312"/>
          <w:color w:val="auto"/>
          <w:kern w:val="0"/>
          <w:sz w:val="32"/>
          <w:szCs w:val="32"/>
          <w:lang w:eastAsia="zh-CN"/>
        </w:rPr>
      </w:pPr>
      <w:r>
        <w:rPr>
          <w:rFonts w:hint="eastAsia" w:ascii="仿宋_GB2312" w:eastAsia="仿宋_GB2312"/>
          <w:color w:val="auto"/>
          <w:kern w:val="0"/>
          <w:sz w:val="32"/>
          <w:szCs w:val="32"/>
        </w:rPr>
        <w:t>（二）具备安全保管和办理相关业务的设施设备及信息技术系统；</w:t>
      </w:r>
    </w:p>
    <w:p w14:paraId="71772DC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（三）具备完善的业务流程制度和内部稽核监控及风险控制制度；</w:t>
      </w:r>
    </w:p>
    <w:p w14:paraId="5F4257FC">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（四）最近3年无重大违法违规记录。</w:t>
      </w:r>
    </w:p>
    <w:p w14:paraId="549AACE6">
      <w:pPr>
        <w:keepNext w:val="0"/>
        <w:keepLines w:val="0"/>
        <w:pageBreakBefore w:val="0"/>
        <w:suppressAutoHyphens/>
        <w:kinsoku/>
        <w:wordWrap/>
        <w:overflowPunct/>
        <w:topLinePunct w:val="0"/>
        <w:bidi w:val="0"/>
        <w:adjustRightInd w:val="0"/>
        <w:snapToGrid w:val="0"/>
        <w:spacing w:line="576" w:lineRule="exact"/>
        <w:ind w:left="0" w:leftChars="0" w:right="0" w:firstLine="640" w:firstLineChars="200"/>
        <w:textAlignment w:val="baseline"/>
        <w:rPr>
          <w:rFonts w:hint="eastAsia" w:ascii="仿宋_GB2312" w:eastAsia="仿宋_GB2312"/>
          <w:color w:val="auto"/>
          <w:sz w:val="32"/>
          <w:szCs w:val="32"/>
        </w:rPr>
      </w:pPr>
      <w:r>
        <w:rPr>
          <w:rFonts w:hint="eastAsia" w:ascii="仿宋_GB2312" w:eastAsia="仿宋_GB2312"/>
          <w:color w:val="auto"/>
          <w:kern w:val="0"/>
          <w:sz w:val="32"/>
          <w:szCs w:val="32"/>
        </w:rPr>
        <w:t>子基金是否托管采取一事一议的原则在合伙协议中另行约定</w:t>
      </w:r>
      <w:r>
        <w:rPr>
          <w:rFonts w:hint="eastAsia" w:ascii="仿宋_GB2312" w:eastAsia="仿宋_GB2312"/>
          <w:color w:val="auto"/>
          <w:sz w:val="32"/>
          <w:szCs w:val="32"/>
        </w:rPr>
        <w:t>。</w:t>
      </w:r>
    </w:p>
    <w:p w14:paraId="40E54285">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第三十五条</w:t>
      </w:r>
      <w:r>
        <w:rPr>
          <w:rFonts w:hint="eastAsia" w:ascii="仿宋_GB2312" w:eastAsia="仿宋_GB2312"/>
          <w:color w:val="auto"/>
          <w:kern w:val="0"/>
          <w:sz w:val="32"/>
          <w:szCs w:val="32"/>
        </w:rPr>
        <w:t xml:space="preserve">  </w:t>
      </w:r>
      <w:r>
        <w:rPr>
          <w:rFonts w:hint="eastAsia" w:ascii="仿宋_GB2312" w:eastAsia="仿宋_GB2312"/>
          <w:color w:val="auto"/>
          <w:sz w:val="32"/>
          <w:szCs w:val="32"/>
        </w:rPr>
        <w:t>产业</w:t>
      </w:r>
      <w:r>
        <w:rPr>
          <w:rFonts w:hint="eastAsia" w:ascii="仿宋_GB2312" w:eastAsia="仿宋_GB2312"/>
          <w:color w:val="auto"/>
          <w:sz w:val="32"/>
          <w:szCs w:val="32"/>
          <w:lang w:eastAsia="zh-CN"/>
        </w:rPr>
        <w:t>基金管理机构</w:t>
      </w:r>
      <w:r>
        <w:rPr>
          <w:rFonts w:hint="eastAsia" w:ascii="仿宋_GB2312" w:eastAsia="仿宋_GB2312"/>
          <w:color w:val="auto"/>
          <w:kern w:val="0"/>
          <w:sz w:val="32"/>
          <w:szCs w:val="32"/>
        </w:rPr>
        <w:t>和子</w:t>
      </w:r>
      <w:r>
        <w:rPr>
          <w:rFonts w:hint="eastAsia" w:ascii="仿宋_GB2312" w:eastAsia="仿宋_GB2312"/>
          <w:color w:val="auto"/>
          <w:kern w:val="0"/>
          <w:sz w:val="32"/>
          <w:szCs w:val="32"/>
          <w:lang w:eastAsia="zh-CN"/>
        </w:rPr>
        <w:t>基金管理机构</w:t>
      </w:r>
      <w:r>
        <w:rPr>
          <w:rFonts w:hint="eastAsia" w:ascii="仿宋_GB2312" w:eastAsia="仿宋_GB2312"/>
          <w:color w:val="auto"/>
          <w:kern w:val="0"/>
          <w:sz w:val="32"/>
          <w:szCs w:val="32"/>
        </w:rPr>
        <w:t>应将基金资产与自有资产严格分开核算，对所管不同基金分账核算。</w:t>
      </w:r>
    </w:p>
    <w:p w14:paraId="7A647968">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第三十六条</w:t>
      </w:r>
      <w:r>
        <w:rPr>
          <w:rFonts w:hint="eastAsia" w:ascii="仿宋_GB2312" w:eastAsia="仿宋_GB2312"/>
          <w:color w:val="auto"/>
          <w:kern w:val="0"/>
          <w:sz w:val="32"/>
          <w:szCs w:val="32"/>
        </w:rPr>
        <w:t xml:space="preserve">  建立</w:t>
      </w:r>
      <w:r>
        <w:rPr>
          <w:rFonts w:hint="eastAsia" w:ascii="仿宋_GB2312" w:eastAsia="仿宋_GB2312"/>
          <w:color w:val="auto"/>
          <w:sz w:val="32"/>
          <w:szCs w:val="32"/>
        </w:rPr>
        <w:t>产业基金</w:t>
      </w:r>
      <w:r>
        <w:rPr>
          <w:rFonts w:hint="eastAsia" w:ascii="仿宋_GB2312" w:eastAsia="仿宋_GB2312"/>
          <w:color w:val="auto"/>
          <w:kern w:val="0"/>
          <w:sz w:val="32"/>
          <w:szCs w:val="32"/>
        </w:rPr>
        <w:t>绩效考核评价机制，着重关注产业带动、引领放大、社会贡献等方面，覆盖基金全生命周期。</w:t>
      </w:r>
    </w:p>
    <w:p w14:paraId="70E5536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b w:val="0"/>
          <w:bCs w:val="0"/>
          <w:color w:val="auto"/>
          <w:kern w:val="0"/>
          <w:sz w:val="32"/>
          <w:szCs w:val="32"/>
          <w:u w:val="none"/>
        </w:rPr>
      </w:pPr>
      <w:r>
        <w:rPr>
          <w:rFonts w:hint="eastAsia" w:ascii="楷体_GB2312" w:hAnsi="楷体_GB2312" w:eastAsia="楷体_GB2312" w:cs="楷体_GB2312"/>
          <w:b w:val="0"/>
          <w:bCs w:val="0"/>
          <w:color w:val="auto"/>
          <w:kern w:val="0"/>
          <w:sz w:val="32"/>
          <w:szCs w:val="32"/>
          <w:u w:val="none"/>
          <w:lang w:val="en-US" w:eastAsia="zh-CN"/>
        </w:rPr>
        <w:t xml:space="preserve">第三十七条 </w:t>
      </w:r>
      <w:r>
        <w:rPr>
          <w:rFonts w:hint="eastAsia" w:ascii="仿宋_GB2312" w:eastAsia="仿宋_GB2312"/>
          <w:b w:val="0"/>
          <w:bCs w:val="0"/>
          <w:color w:val="auto"/>
          <w:kern w:val="0"/>
          <w:sz w:val="32"/>
          <w:szCs w:val="32"/>
          <w:u w:val="none"/>
        </w:rPr>
        <w:t xml:space="preserve"> </w:t>
      </w:r>
      <w:r>
        <w:rPr>
          <w:rFonts w:hint="eastAsia" w:ascii="仿宋_GB2312" w:eastAsia="仿宋_GB2312"/>
          <w:b w:val="0"/>
          <w:bCs w:val="0"/>
          <w:color w:val="auto"/>
          <w:kern w:val="0"/>
          <w:sz w:val="32"/>
          <w:szCs w:val="32"/>
          <w:u w:val="none"/>
          <w:lang w:val="en-US" w:eastAsia="zh-CN"/>
        </w:rPr>
        <w:t>建立“容错机制”,投资损失容忍率和项目(企业)亏损面范围内的正常投资亏损按尽职免责原则处理，纳入重点绩效评价范围。产业基金（母基金）的投资损失容忍率最高60%，单个重点产业类项目（企业）投资亏损面最高60%，单个成果转化类项目（企业）投资亏损面最高100%，单个项目导入类项目（企业）投资亏损面最高80%。重点产业类子基金投资损失容忍率最高60%，单个项目(企业)投资亏损面最高60%；成果转化类子基金、项目导入类子基金投资损失容忍率最高80%,单个项目(企业)投资亏损面最高100%。基金管理机构在制定具体单个子基金（项目）的投资方案中，需明确子基金（项目）类别并提供佐证资料。</w:t>
      </w:r>
    </w:p>
    <w:p w14:paraId="00659EA2">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rPr>
        <w:t>对于因失职渎职、徇私舞弊、利益输送等造成基金重大损失的，按照有关法律法规严肃处理。</w:t>
      </w:r>
    </w:p>
    <w:p w14:paraId="2FC48804">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firstLine="640" w:firstLineChars="200"/>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第三十八条</w:t>
      </w:r>
      <w:r>
        <w:rPr>
          <w:rFonts w:hint="eastAsia" w:ascii="仿宋_GB2312" w:eastAsia="仿宋_GB2312"/>
          <w:color w:val="auto"/>
          <w:kern w:val="0"/>
          <w:sz w:val="32"/>
          <w:szCs w:val="32"/>
        </w:rPr>
        <w:t xml:space="preserve">  </w:t>
      </w:r>
      <w:r>
        <w:rPr>
          <w:rFonts w:hint="eastAsia" w:ascii="仿宋_GB2312" w:eastAsia="仿宋_GB2312"/>
          <w:color w:val="auto"/>
          <w:sz w:val="32"/>
          <w:szCs w:val="32"/>
        </w:rPr>
        <w:t>产业基金</w:t>
      </w:r>
      <w:r>
        <w:rPr>
          <w:rFonts w:hint="eastAsia" w:ascii="仿宋_GB2312" w:eastAsia="仿宋_GB2312"/>
          <w:color w:val="auto"/>
          <w:kern w:val="0"/>
          <w:sz w:val="32"/>
          <w:szCs w:val="32"/>
        </w:rPr>
        <w:t>应自觉接受市纪委监委、市财政局</w:t>
      </w:r>
      <w:r>
        <w:rPr>
          <w:rFonts w:hint="eastAsia" w:ascii="仿宋_GB2312" w:eastAsia="仿宋_GB2312"/>
          <w:color w:val="auto"/>
          <w:kern w:val="0"/>
          <w:sz w:val="32"/>
          <w:szCs w:val="32"/>
          <w:lang w:val="en-US" w:eastAsia="zh-CN"/>
        </w:rPr>
        <w:t>及</w:t>
      </w:r>
      <w:r>
        <w:rPr>
          <w:rFonts w:hint="eastAsia" w:ascii="仿宋_GB2312" w:eastAsia="仿宋_GB2312"/>
          <w:color w:val="auto"/>
          <w:kern w:val="0"/>
          <w:sz w:val="32"/>
          <w:szCs w:val="32"/>
        </w:rPr>
        <w:t>市审计局的监督检查。</w:t>
      </w:r>
    </w:p>
    <w:p w14:paraId="42F67526">
      <w:pPr>
        <w:keepNext w:val="0"/>
        <w:keepLines w:val="0"/>
        <w:pageBreakBefore w:val="0"/>
        <w:suppressAutoHyphens/>
        <w:kinsoku/>
        <w:wordWrap/>
        <w:overflowPunct/>
        <w:topLinePunct w:val="0"/>
        <w:autoSpaceDE w:val="0"/>
        <w:autoSpaceDN w:val="0"/>
        <w:bidi w:val="0"/>
        <w:adjustRightInd w:val="0"/>
        <w:snapToGrid w:val="0"/>
        <w:spacing w:line="576" w:lineRule="exact"/>
        <w:ind w:left="0" w:leftChars="0" w:right="0"/>
        <w:jc w:val="center"/>
        <w:outlineLvl w:val="0"/>
        <w:rPr>
          <w:rFonts w:hint="eastAsia" w:eastAsia="黑体"/>
          <w:color w:val="auto"/>
          <w:kern w:val="0"/>
          <w:sz w:val="32"/>
          <w:szCs w:val="32"/>
        </w:rPr>
      </w:pPr>
      <w:r>
        <w:rPr>
          <w:rFonts w:hint="eastAsia" w:ascii="黑体" w:eastAsia="黑体"/>
          <w:color w:val="auto"/>
          <w:kern w:val="0"/>
          <w:sz w:val="32"/>
          <w:szCs w:val="32"/>
        </w:rPr>
        <w:t>第</w:t>
      </w:r>
      <w:r>
        <w:rPr>
          <w:rFonts w:hint="eastAsia" w:ascii="黑体" w:eastAsia="黑体"/>
          <w:color w:val="auto"/>
          <w:kern w:val="0"/>
          <w:sz w:val="32"/>
          <w:szCs w:val="32"/>
          <w:lang w:val="en-US" w:eastAsia="zh-CN"/>
        </w:rPr>
        <w:t>六</w:t>
      </w:r>
      <w:r>
        <w:rPr>
          <w:rFonts w:hint="eastAsia" w:ascii="黑体" w:eastAsia="黑体"/>
          <w:color w:val="auto"/>
          <w:kern w:val="0"/>
          <w:sz w:val="32"/>
          <w:szCs w:val="32"/>
        </w:rPr>
        <w:t>章</w:t>
      </w:r>
      <w:r>
        <w:rPr>
          <w:rFonts w:eastAsia="黑体"/>
          <w:color w:val="auto"/>
          <w:kern w:val="0"/>
          <w:sz w:val="32"/>
          <w:szCs w:val="32"/>
        </w:rPr>
        <w:t xml:space="preserve">  </w:t>
      </w:r>
      <w:r>
        <w:rPr>
          <w:rFonts w:hint="eastAsia" w:ascii="黑体" w:eastAsia="黑体"/>
          <w:color w:val="auto"/>
          <w:kern w:val="0"/>
          <w:sz w:val="32"/>
          <w:szCs w:val="32"/>
        </w:rPr>
        <w:t>附</w:t>
      </w:r>
      <w:r>
        <w:rPr>
          <w:rFonts w:hint="eastAsia" w:eastAsia="黑体"/>
          <w:color w:val="auto"/>
          <w:kern w:val="0"/>
          <w:sz w:val="32"/>
          <w:szCs w:val="32"/>
        </w:rPr>
        <w:t xml:space="preserve"> </w:t>
      </w:r>
      <w:r>
        <w:rPr>
          <w:rFonts w:eastAsia="黑体"/>
          <w:color w:val="auto"/>
          <w:kern w:val="0"/>
          <w:sz w:val="32"/>
          <w:szCs w:val="32"/>
        </w:rPr>
        <w:t xml:space="preserve"> </w:t>
      </w:r>
      <w:r>
        <w:rPr>
          <w:rFonts w:hint="eastAsia" w:ascii="黑体" w:eastAsia="黑体"/>
          <w:color w:val="auto"/>
          <w:kern w:val="0"/>
          <w:sz w:val="32"/>
          <w:szCs w:val="32"/>
        </w:rPr>
        <w:t>则</w:t>
      </w:r>
    </w:p>
    <w:p w14:paraId="0EAC27E6">
      <w:pPr>
        <w:keepNext w:val="0"/>
        <w:keepLines w:val="0"/>
        <w:pageBreakBefore w:val="0"/>
        <w:suppressAutoHyphens/>
        <w:kinsoku/>
        <w:wordWrap/>
        <w:overflowPunct/>
        <w:topLinePunct w:val="0"/>
        <w:autoSpaceDE w:val="0"/>
        <w:bidi w:val="0"/>
        <w:adjustRightInd w:val="0"/>
        <w:snapToGrid w:val="0"/>
        <w:spacing w:line="576" w:lineRule="exact"/>
        <w:ind w:left="0" w:leftChars="0" w:right="0" w:firstLine="640" w:firstLineChars="200"/>
        <w:jc w:val="left"/>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lang w:val="en-US" w:eastAsia="zh-CN"/>
        </w:rPr>
        <w:t xml:space="preserve">第三十九条 </w:t>
      </w:r>
      <w:r>
        <w:rPr>
          <w:rFonts w:hint="eastAsia" w:ascii="仿宋_GB2312" w:eastAsia="仿宋_GB2312"/>
          <w:color w:val="auto"/>
          <w:kern w:val="0"/>
          <w:sz w:val="32"/>
          <w:szCs w:val="32"/>
          <w:lang w:val="en-US" w:eastAsia="zh-CN"/>
        </w:rPr>
        <w:t xml:space="preserve"> 本办法内容国家有关</w:t>
      </w:r>
      <w:r>
        <w:rPr>
          <w:rFonts w:hint="eastAsia" w:ascii="仿宋_GB2312" w:eastAsia="仿宋_GB2312"/>
          <w:color w:val="auto"/>
          <w:kern w:val="0"/>
          <w:sz w:val="32"/>
          <w:szCs w:val="32"/>
        </w:rPr>
        <w:t>法律法规</w:t>
      </w:r>
      <w:r>
        <w:rPr>
          <w:rFonts w:hint="eastAsia" w:ascii="仿宋_GB2312" w:eastAsia="仿宋_GB2312"/>
          <w:color w:val="auto"/>
          <w:kern w:val="0"/>
          <w:sz w:val="32"/>
          <w:szCs w:val="32"/>
          <w:lang w:val="en-US" w:eastAsia="zh-CN"/>
        </w:rPr>
        <w:t>和</w:t>
      </w:r>
      <w:r>
        <w:rPr>
          <w:rFonts w:hint="eastAsia" w:ascii="仿宋_GB2312" w:eastAsia="仿宋_GB2312"/>
          <w:color w:val="auto"/>
          <w:kern w:val="0"/>
          <w:sz w:val="32"/>
          <w:szCs w:val="32"/>
        </w:rPr>
        <w:t>政策</w:t>
      </w:r>
      <w:r>
        <w:rPr>
          <w:rFonts w:hint="eastAsia" w:ascii="仿宋_GB2312" w:eastAsia="仿宋_GB2312"/>
          <w:color w:val="auto"/>
          <w:kern w:val="0"/>
          <w:sz w:val="32"/>
          <w:szCs w:val="32"/>
          <w:lang w:val="en-US" w:eastAsia="zh-CN"/>
        </w:rPr>
        <w:t>另有规定的，从其规定</w:t>
      </w:r>
      <w:r>
        <w:rPr>
          <w:rFonts w:hint="eastAsia" w:ascii="仿宋_GB2312" w:eastAsia="仿宋_GB2312"/>
          <w:color w:val="auto"/>
          <w:kern w:val="0"/>
          <w:sz w:val="32"/>
          <w:szCs w:val="32"/>
        </w:rPr>
        <w:t>。</w:t>
      </w:r>
    </w:p>
    <w:p w14:paraId="5F40101E">
      <w:pPr>
        <w:keepNext w:val="0"/>
        <w:keepLines w:val="0"/>
        <w:pageBreakBefore w:val="0"/>
        <w:suppressAutoHyphens/>
        <w:kinsoku/>
        <w:wordWrap/>
        <w:overflowPunct/>
        <w:topLinePunct w:val="0"/>
        <w:autoSpaceDE w:val="0"/>
        <w:bidi w:val="0"/>
        <w:adjustRightInd w:val="0"/>
        <w:snapToGrid w:val="0"/>
        <w:spacing w:line="576" w:lineRule="exact"/>
        <w:ind w:left="0" w:leftChars="0" w:right="0" w:firstLine="640" w:firstLineChars="200"/>
        <w:jc w:val="left"/>
        <w:rPr>
          <w:rFonts w:hint="default" w:ascii="仿宋_GB2312" w:eastAsia="仿宋_GB2312"/>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 xml:space="preserve">第四十条 </w:t>
      </w:r>
      <w:r>
        <w:rPr>
          <w:rFonts w:hint="eastAsia" w:ascii="仿宋_GB2312" w:eastAsia="仿宋_GB2312"/>
          <w:b/>
          <w:bCs/>
          <w:color w:val="auto"/>
          <w:kern w:val="0"/>
          <w:sz w:val="32"/>
          <w:szCs w:val="32"/>
          <w:lang w:val="en-US" w:eastAsia="zh-CN"/>
        </w:rPr>
        <w:t xml:space="preserve"> </w:t>
      </w:r>
      <w:r>
        <w:rPr>
          <w:rFonts w:hint="eastAsia" w:ascii="仿宋_GB2312" w:eastAsia="仿宋_GB2312"/>
          <w:b w:val="0"/>
          <w:bCs w:val="0"/>
          <w:color w:val="auto"/>
          <w:kern w:val="0"/>
          <w:sz w:val="32"/>
          <w:szCs w:val="32"/>
          <w:lang w:val="en-US" w:eastAsia="zh-CN"/>
        </w:rPr>
        <w:t xml:space="preserve"> 本办法由产业基金管委会办公室负责解释。</w:t>
      </w:r>
    </w:p>
    <w:p w14:paraId="10DDFD6C">
      <w:pPr>
        <w:keepNext w:val="0"/>
        <w:keepLines w:val="0"/>
        <w:pageBreakBefore w:val="0"/>
        <w:suppressAutoHyphens/>
        <w:kinsoku/>
        <w:wordWrap/>
        <w:overflowPunct/>
        <w:topLinePunct w:val="0"/>
        <w:autoSpaceDE w:val="0"/>
        <w:bidi w:val="0"/>
        <w:adjustRightInd w:val="0"/>
        <w:snapToGrid w:val="0"/>
        <w:spacing w:line="576" w:lineRule="exact"/>
        <w:ind w:left="0" w:leftChars="0" w:right="0" w:firstLine="640" w:firstLineChars="200"/>
        <w:jc w:val="left"/>
        <w:rPr>
          <w:rFonts w:hint="eastAsia" w:ascii="仿宋_GB2312" w:eastAsia="仿宋_GB2312"/>
          <w:color w:val="auto"/>
          <w:kern w:val="0"/>
          <w:sz w:val="32"/>
          <w:szCs w:val="32"/>
        </w:rPr>
      </w:pPr>
      <w:r>
        <w:rPr>
          <w:rFonts w:hint="eastAsia" w:ascii="楷体_GB2312" w:hAnsi="楷体_GB2312" w:eastAsia="楷体_GB2312" w:cs="楷体_GB2312"/>
          <w:b w:val="0"/>
          <w:bCs w:val="0"/>
          <w:color w:val="auto"/>
          <w:kern w:val="0"/>
          <w:sz w:val="32"/>
          <w:szCs w:val="32"/>
        </w:rPr>
        <w:t>第</w:t>
      </w:r>
      <w:r>
        <w:rPr>
          <w:rFonts w:hint="eastAsia" w:ascii="楷体_GB2312" w:hAnsi="楷体_GB2312" w:eastAsia="楷体_GB2312" w:cs="楷体_GB2312"/>
          <w:b w:val="0"/>
          <w:bCs w:val="0"/>
          <w:color w:val="auto"/>
          <w:kern w:val="0"/>
          <w:sz w:val="32"/>
          <w:szCs w:val="32"/>
          <w:lang w:val="en-US" w:eastAsia="zh-CN"/>
        </w:rPr>
        <w:t>四十一</w:t>
      </w:r>
      <w:r>
        <w:rPr>
          <w:rFonts w:hint="eastAsia" w:ascii="楷体_GB2312" w:hAnsi="楷体_GB2312" w:eastAsia="楷体_GB2312" w:cs="楷体_GB2312"/>
          <w:b w:val="0"/>
          <w:bCs w:val="0"/>
          <w:color w:val="auto"/>
          <w:kern w:val="0"/>
          <w:sz w:val="32"/>
          <w:szCs w:val="32"/>
        </w:rPr>
        <w:t>条</w:t>
      </w:r>
      <w:r>
        <w:rPr>
          <w:rFonts w:hint="eastAsia" w:ascii="仿宋_GB2312" w:eastAsia="仿宋_GB2312"/>
          <w:color w:val="auto"/>
          <w:kern w:val="0"/>
          <w:sz w:val="32"/>
          <w:szCs w:val="32"/>
        </w:rPr>
        <w:t xml:space="preserve">  本办法自印发之日起施行</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广元市产业发展投资引导基金管理暂行办法</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广府办发〔2023〕14号</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lang w:val="en-US" w:eastAsia="zh-CN"/>
        </w:rPr>
        <w:t>同时废止</w:t>
      </w:r>
      <w:r>
        <w:rPr>
          <w:rFonts w:hint="eastAsia" w:ascii="仿宋_GB2312" w:eastAsia="仿宋_GB2312"/>
          <w:color w:val="auto"/>
          <w:kern w:val="0"/>
          <w:sz w:val="32"/>
          <w:szCs w:val="32"/>
        </w:rPr>
        <w:t>。</w:t>
      </w:r>
    </w:p>
    <w:p w14:paraId="7A4A586E">
      <w:pPr>
        <w:pStyle w:val="13"/>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Autospacing="0" w:line="576" w:lineRule="exact"/>
        <w:ind w:right="0"/>
        <w:jc w:val="both"/>
        <w:textAlignment w:val="auto"/>
        <w:rPr>
          <w:rFonts w:hint="default" w:ascii="仿宋_GB2312" w:hAnsi="仿宋_GB2312" w:eastAsia="仿宋_GB2312" w:cs="仿宋_GB2312"/>
          <w:color w:val="auto"/>
          <w:spacing w:val="0"/>
          <w:kern w:val="2"/>
          <w:sz w:val="32"/>
          <w:szCs w:val="32"/>
          <w:lang w:val="en-US" w:eastAsia="zh-CN" w:bidi="ar-SA"/>
        </w:rPr>
      </w:pPr>
    </w:p>
    <w:p w14:paraId="7C72C602">
      <w:pPr>
        <w:keepNext w:val="0"/>
        <w:keepLines w:val="0"/>
        <w:pageBreakBefore w:val="0"/>
        <w:kinsoku/>
        <w:wordWrap/>
        <w:bidi w:val="0"/>
        <w:adjustRightInd w:val="0"/>
        <w:snapToGrid w:val="0"/>
        <w:spacing w:line="576" w:lineRule="exact"/>
        <w:ind w:left="0" w:leftChars="0" w:right="0"/>
        <w:rPr>
          <w:rFonts w:hint="eastAsia" w:ascii="黑体" w:hAnsi="黑体" w:eastAsia="黑体" w:cs="黑体"/>
          <w:i w:val="0"/>
          <w:caps w:val="0"/>
          <w:color w:val="auto"/>
          <w:spacing w:val="0"/>
          <w:kern w:val="2"/>
          <w:sz w:val="32"/>
          <w:szCs w:val="32"/>
          <w:shd w:val="clear"/>
          <w:lang w:val="en-US" w:eastAsia="zh-CN" w:bidi="ar"/>
        </w:rPr>
      </w:pPr>
    </w:p>
    <w:p w14:paraId="3D59DFD8">
      <w:pPr>
        <w:keepNext w:val="0"/>
        <w:keepLines w:val="0"/>
        <w:pageBreakBefore w:val="0"/>
        <w:kinsoku/>
        <w:wordWrap/>
        <w:bidi w:val="0"/>
        <w:adjustRightInd w:val="0"/>
        <w:snapToGrid w:val="0"/>
        <w:spacing w:line="576" w:lineRule="exact"/>
        <w:ind w:left="0" w:leftChars="0" w:right="0"/>
        <w:rPr>
          <w:rFonts w:hint="eastAsia" w:ascii="黑体" w:hAnsi="黑体" w:eastAsia="黑体" w:cs="黑体"/>
          <w:i w:val="0"/>
          <w:caps w:val="0"/>
          <w:color w:val="auto"/>
          <w:spacing w:val="0"/>
          <w:kern w:val="2"/>
          <w:sz w:val="32"/>
          <w:szCs w:val="32"/>
          <w:shd w:val="clear"/>
          <w:lang w:val="en-US" w:eastAsia="zh-CN" w:bidi="ar"/>
        </w:rPr>
        <w:sectPr>
          <w:headerReference r:id="rId3" w:type="default"/>
          <w:footerReference r:id="rId4" w:type="default"/>
          <w:pgSz w:w="11906" w:h="16838"/>
          <w:pgMar w:top="2098" w:right="1474" w:bottom="1984" w:left="1587" w:header="851" w:footer="1559" w:gutter="0"/>
          <w:pgNumType w:fmt="decimal"/>
          <w:cols w:space="425" w:num="1"/>
          <w:docGrid w:type="lines" w:linePitch="312" w:charSpace="0"/>
        </w:sectPr>
      </w:pPr>
    </w:p>
    <w:p w14:paraId="6516D67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3FE21C3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意见建议反馈表</w:t>
      </w:r>
    </w:p>
    <w:p w14:paraId="4CDE91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val="en-US" w:eastAsia="zh-CN"/>
        </w:rPr>
      </w:pPr>
    </w:p>
    <w:tbl>
      <w:tblPr>
        <w:tblStyle w:val="16"/>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8"/>
        <w:gridCol w:w="6099"/>
      </w:tblGrid>
      <w:tr w14:paraId="2490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928" w:type="dxa"/>
            <w:vAlign w:val="center"/>
          </w:tcPr>
          <w:p w14:paraId="3002677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文件名称</w:t>
            </w:r>
          </w:p>
        </w:tc>
        <w:tc>
          <w:tcPr>
            <w:tcW w:w="6099" w:type="dxa"/>
            <w:vAlign w:val="center"/>
          </w:tcPr>
          <w:p w14:paraId="31FC89B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《广元市产业发展投资引导基金管理办法（</w:t>
            </w:r>
            <w:r>
              <w:rPr>
                <w:rFonts w:hint="eastAsia" w:ascii="仿宋_GB2312" w:hAnsi="仿宋_GB2312" w:eastAsia="仿宋_GB2312" w:cs="仿宋_GB2312"/>
                <w:color w:val="auto"/>
                <w:sz w:val="32"/>
                <w:szCs w:val="32"/>
                <w:vertAlign w:val="baseline"/>
                <w:lang w:val="en-US" w:eastAsia="zh-CN"/>
              </w:rPr>
              <w:t>征求意见</w:t>
            </w:r>
            <w:r>
              <w:rPr>
                <w:rFonts w:hint="default" w:ascii="仿宋_GB2312" w:hAnsi="仿宋_GB2312" w:eastAsia="仿宋_GB2312" w:cs="仿宋_GB2312"/>
                <w:color w:val="auto"/>
                <w:sz w:val="32"/>
                <w:szCs w:val="32"/>
                <w:vertAlign w:val="baseline"/>
                <w:lang w:val="en-US" w:eastAsia="zh-CN"/>
              </w:rPr>
              <w:t>稿）》</w:t>
            </w:r>
          </w:p>
        </w:tc>
      </w:tr>
      <w:tr w14:paraId="4EAF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1" w:hRule="atLeast"/>
        </w:trPr>
        <w:tc>
          <w:tcPr>
            <w:tcW w:w="2928" w:type="dxa"/>
            <w:vAlign w:val="center"/>
          </w:tcPr>
          <w:p w14:paraId="2E51284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意见建议</w:t>
            </w:r>
          </w:p>
        </w:tc>
        <w:tc>
          <w:tcPr>
            <w:tcW w:w="6099" w:type="dxa"/>
            <w:vAlign w:val="center"/>
          </w:tcPr>
          <w:p w14:paraId="1E074D4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auto"/>
                <w:sz w:val="32"/>
                <w:szCs w:val="32"/>
                <w:vertAlign w:val="baseline"/>
                <w:lang w:val="en-US" w:eastAsia="zh-CN"/>
              </w:rPr>
            </w:pPr>
          </w:p>
        </w:tc>
      </w:tr>
    </w:tbl>
    <w:p w14:paraId="053A7908">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color w:val="auto"/>
          <w:sz w:val="32"/>
          <w:szCs w:val="32"/>
          <w:lang w:val="en-US" w:eastAsia="zh-CN"/>
        </w:rPr>
      </w:pPr>
    </w:p>
    <w:p w14:paraId="44754D25">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default"/>
          <w:color w:val="auto"/>
          <w:lang w:val="en-US" w:eastAsia="zh-CN"/>
        </w:rPr>
      </w:pPr>
      <w:bookmarkStart w:id="0" w:name="_GoBack"/>
      <w:bookmarkEnd w:id="0"/>
      <w:r>
        <w:rPr>
          <w:rFonts w:hint="eastAsia" w:ascii="仿宋_GB2312" w:hAnsi="仿宋_GB2312" w:eastAsia="仿宋_GB2312" w:cs="仿宋_GB2312"/>
          <w:color w:val="auto"/>
          <w:sz w:val="32"/>
          <w:szCs w:val="32"/>
          <w:lang w:val="en-US" w:eastAsia="zh-CN"/>
        </w:rPr>
        <w:t>时间：    年  月  日</w:t>
      </w:r>
    </w:p>
    <w:sectPr>
      <w:footerReference r:id="rId5" w:type="default"/>
      <w:pgSz w:w="11906" w:h="16838"/>
      <w:pgMar w:top="2098" w:right="1474" w:bottom="1984" w:left="1587"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5BCDED-A424-44FA-8AD4-6AE565176B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6D09923-B544-4068-9D22-84867C3FC12A}"/>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2E3A2D1-28E9-4F6C-B45B-AAB6A2E0553A}"/>
  </w:font>
  <w:font w:name="方正小标宋简体">
    <w:panose1 w:val="03000509000000000000"/>
    <w:charset w:val="86"/>
    <w:family w:val="script"/>
    <w:pitch w:val="default"/>
    <w:sig w:usb0="00000001" w:usb1="080E0000" w:usb2="00000000" w:usb3="00000000" w:csb0="00040000" w:csb1="00000000"/>
    <w:embedRegular r:id="rId4" w:fontKey="{76ECB921-4EA6-4BAD-9819-F95F9EB000D7}"/>
  </w:font>
  <w:font w:name="方正楷体_GBK">
    <w:panose1 w:val="02000000000000000000"/>
    <w:charset w:val="86"/>
    <w:family w:val="auto"/>
    <w:pitch w:val="default"/>
    <w:sig w:usb0="800002BF" w:usb1="38CF7CFA" w:usb2="00000016" w:usb3="00000000" w:csb0="00040000" w:csb1="00000000"/>
    <w:embedRegular r:id="rId5" w:fontKey="{5497F7C8-41B4-4183-B8DF-7AE2F0C4AD18}"/>
  </w:font>
  <w:font w:name="楷体_GB2312">
    <w:panose1 w:val="02010609030101010101"/>
    <w:charset w:val="86"/>
    <w:family w:val="auto"/>
    <w:pitch w:val="default"/>
    <w:sig w:usb0="00000001" w:usb1="080E0000" w:usb2="00000000" w:usb3="00000000" w:csb0="00040000" w:csb1="00000000"/>
    <w:embedRegular r:id="rId6" w:fontKey="{A8952ACE-D3D2-438D-BB1B-705F3B513135}"/>
  </w:font>
  <w:font w:name="WPSEMBED1">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202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EDFA3">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6EDFA3">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60D8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D90BE">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6D90BE">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2737C">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OTljMzY0NmJkZGU0ODM4Y2QwNjZlZjc5NmNhZTIifQ=="/>
  </w:docVars>
  <w:rsids>
    <w:rsidRoot w:val="7C594341"/>
    <w:rsid w:val="001976FD"/>
    <w:rsid w:val="008E53EE"/>
    <w:rsid w:val="00950240"/>
    <w:rsid w:val="01396E1E"/>
    <w:rsid w:val="013F149B"/>
    <w:rsid w:val="01AA7D1B"/>
    <w:rsid w:val="02932D9A"/>
    <w:rsid w:val="02B24CE4"/>
    <w:rsid w:val="02EA4873"/>
    <w:rsid w:val="03C12BFE"/>
    <w:rsid w:val="046C7EE9"/>
    <w:rsid w:val="048864B3"/>
    <w:rsid w:val="054E39B5"/>
    <w:rsid w:val="06D66EBD"/>
    <w:rsid w:val="07161640"/>
    <w:rsid w:val="07D85403"/>
    <w:rsid w:val="081F3B3A"/>
    <w:rsid w:val="095A5E2E"/>
    <w:rsid w:val="09EF09C1"/>
    <w:rsid w:val="0AAF464D"/>
    <w:rsid w:val="0AD85680"/>
    <w:rsid w:val="0AF13213"/>
    <w:rsid w:val="0D633534"/>
    <w:rsid w:val="0EAF24CD"/>
    <w:rsid w:val="0ECF31C5"/>
    <w:rsid w:val="0EE9093E"/>
    <w:rsid w:val="0EFF3971"/>
    <w:rsid w:val="0F4C2392"/>
    <w:rsid w:val="0F6C03BE"/>
    <w:rsid w:val="10406D40"/>
    <w:rsid w:val="113D673D"/>
    <w:rsid w:val="12321B3F"/>
    <w:rsid w:val="12C0756C"/>
    <w:rsid w:val="12E264DA"/>
    <w:rsid w:val="135A1574"/>
    <w:rsid w:val="13AF1CE7"/>
    <w:rsid w:val="14ED178A"/>
    <w:rsid w:val="15884FC9"/>
    <w:rsid w:val="159670BC"/>
    <w:rsid w:val="177469AA"/>
    <w:rsid w:val="183F66D6"/>
    <w:rsid w:val="18EE5509"/>
    <w:rsid w:val="19650358"/>
    <w:rsid w:val="1A560C0E"/>
    <w:rsid w:val="1B2129A5"/>
    <w:rsid w:val="1C0338EC"/>
    <w:rsid w:val="1C2A68B0"/>
    <w:rsid w:val="1C4C1CA3"/>
    <w:rsid w:val="1CFF5CA8"/>
    <w:rsid w:val="1D7A0E5E"/>
    <w:rsid w:val="1D962329"/>
    <w:rsid w:val="1DA8231E"/>
    <w:rsid w:val="1E4844E9"/>
    <w:rsid w:val="1E5C3AED"/>
    <w:rsid w:val="1E71779F"/>
    <w:rsid w:val="1F0B512B"/>
    <w:rsid w:val="1F896CFC"/>
    <w:rsid w:val="20467386"/>
    <w:rsid w:val="221A3776"/>
    <w:rsid w:val="22422592"/>
    <w:rsid w:val="22810E2B"/>
    <w:rsid w:val="22D91568"/>
    <w:rsid w:val="24FB4266"/>
    <w:rsid w:val="25627E42"/>
    <w:rsid w:val="25C2061E"/>
    <w:rsid w:val="25E617B3"/>
    <w:rsid w:val="25E83195"/>
    <w:rsid w:val="263E5F9A"/>
    <w:rsid w:val="269A3FE3"/>
    <w:rsid w:val="270E3477"/>
    <w:rsid w:val="272730F1"/>
    <w:rsid w:val="2ADD0B1C"/>
    <w:rsid w:val="2B563722"/>
    <w:rsid w:val="2B5911BF"/>
    <w:rsid w:val="2B7D534D"/>
    <w:rsid w:val="2BB008AA"/>
    <w:rsid w:val="2C526E62"/>
    <w:rsid w:val="2CD7731F"/>
    <w:rsid w:val="2E547C56"/>
    <w:rsid w:val="2F557AE7"/>
    <w:rsid w:val="2F884949"/>
    <w:rsid w:val="2F8E7227"/>
    <w:rsid w:val="30E03F7C"/>
    <w:rsid w:val="31E0514C"/>
    <w:rsid w:val="32D06FDF"/>
    <w:rsid w:val="33124CD5"/>
    <w:rsid w:val="33666216"/>
    <w:rsid w:val="36211165"/>
    <w:rsid w:val="365E02FB"/>
    <w:rsid w:val="36A91D74"/>
    <w:rsid w:val="36D55342"/>
    <w:rsid w:val="36FF7BE6"/>
    <w:rsid w:val="3742590B"/>
    <w:rsid w:val="374612E9"/>
    <w:rsid w:val="37B111A5"/>
    <w:rsid w:val="38611826"/>
    <w:rsid w:val="38E84BF0"/>
    <w:rsid w:val="3A045513"/>
    <w:rsid w:val="3C3925A5"/>
    <w:rsid w:val="3CD34FFF"/>
    <w:rsid w:val="3CE07B72"/>
    <w:rsid w:val="3D6D65AE"/>
    <w:rsid w:val="3D840A1D"/>
    <w:rsid w:val="3D9D1F07"/>
    <w:rsid w:val="3E1442B1"/>
    <w:rsid w:val="3F5735DE"/>
    <w:rsid w:val="3FEE0EEF"/>
    <w:rsid w:val="40606104"/>
    <w:rsid w:val="40F736DC"/>
    <w:rsid w:val="41C30022"/>
    <w:rsid w:val="42A054DF"/>
    <w:rsid w:val="445252CE"/>
    <w:rsid w:val="445552E9"/>
    <w:rsid w:val="44827761"/>
    <w:rsid w:val="47B7346C"/>
    <w:rsid w:val="47C56EC5"/>
    <w:rsid w:val="4803505C"/>
    <w:rsid w:val="48035FFD"/>
    <w:rsid w:val="49105C83"/>
    <w:rsid w:val="4A830CC4"/>
    <w:rsid w:val="4B2C5595"/>
    <w:rsid w:val="4B496244"/>
    <w:rsid w:val="4B614102"/>
    <w:rsid w:val="4C013F8F"/>
    <w:rsid w:val="4CD73FCC"/>
    <w:rsid w:val="4CEB446C"/>
    <w:rsid w:val="4D77207A"/>
    <w:rsid w:val="4D7F33D7"/>
    <w:rsid w:val="4EC207D9"/>
    <w:rsid w:val="4EDB38E7"/>
    <w:rsid w:val="50047BC4"/>
    <w:rsid w:val="505C2232"/>
    <w:rsid w:val="508D0ADA"/>
    <w:rsid w:val="50A62A29"/>
    <w:rsid w:val="5140529A"/>
    <w:rsid w:val="517A1B95"/>
    <w:rsid w:val="51C02137"/>
    <w:rsid w:val="548E694D"/>
    <w:rsid w:val="54BE47E5"/>
    <w:rsid w:val="556A0693"/>
    <w:rsid w:val="57774C9D"/>
    <w:rsid w:val="58B54151"/>
    <w:rsid w:val="59DD570D"/>
    <w:rsid w:val="59EE791A"/>
    <w:rsid w:val="5C897680"/>
    <w:rsid w:val="5D637072"/>
    <w:rsid w:val="5EBC31BF"/>
    <w:rsid w:val="5EE82204"/>
    <w:rsid w:val="62133A99"/>
    <w:rsid w:val="62627BFD"/>
    <w:rsid w:val="632204A7"/>
    <w:rsid w:val="63947A49"/>
    <w:rsid w:val="640B10C9"/>
    <w:rsid w:val="64316F95"/>
    <w:rsid w:val="64C850B8"/>
    <w:rsid w:val="66B272A9"/>
    <w:rsid w:val="686856A8"/>
    <w:rsid w:val="68D97B5A"/>
    <w:rsid w:val="69BD4C13"/>
    <w:rsid w:val="69E2467A"/>
    <w:rsid w:val="6CB5251A"/>
    <w:rsid w:val="6D1F19A3"/>
    <w:rsid w:val="6D2F1EDB"/>
    <w:rsid w:val="6D765805"/>
    <w:rsid w:val="6DBE53FE"/>
    <w:rsid w:val="6DE76600"/>
    <w:rsid w:val="6DFF00CA"/>
    <w:rsid w:val="6E3765B6"/>
    <w:rsid w:val="6F4A6F49"/>
    <w:rsid w:val="6F60051B"/>
    <w:rsid w:val="6F6C1E35"/>
    <w:rsid w:val="6FE26134"/>
    <w:rsid w:val="6FE70C3C"/>
    <w:rsid w:val="71AD672B"/>
    <w:rsid w:val="71EE019F"/>
    <w:rsid w:val="730613D9"/>
    <w:rsid w:val="744C2A6C"/>
    <w:rsid w:val="76132F33"/>
    <w:rsid w:val="766D4216"/>
    <w:rsid w:val="768F2005"/>
    <w:rsid w:val="7800572C"/>
    <w:rsid w:val="781E0F73"/>
    <w:rsid w:val="794E6479"/>
    <w:rsid w:val="7AF800FD"/>
    <w:rsid w:val="7C376AA7"/>
    <w:rsid w:val="7C594341"/>
    <w:rsid w:val="7C6B6B27"/>
    <w:rsid w:val="7CB56F6A"/>
    <w:rsid w:val="7CDE5BC5"/>
    <w:rsid w:val="7CE107C1"/>
    <w:rsid w:val="7D461B26"/>
    <w:rsid w:val="7D7B7A10"/>
    <w:rsid w:val="7DFF2170"/>
    <w:rsid w:val="7E2D3BA7"/>
    <w:rsid w:val="7F5408ED"/>
    <w:rsid w:val="7F991937"/>
    <w:rsid w:val="7FC773FC"/>
    <w:rsid w:val="D0CFB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outlineLvl w:val="2"/>
    </w:pPr>
    <w:rPr>
      <w:b/>
    </w:rPr>
  </w:style>
  <w:style w:type="paragraph" w:styleId="3">
    <w:name w:val="heading 4"/>
    <w:basedOn w:val="1"/>
    <w:next w:val="1"/>
    <w:unhideWhenUsed/>
    <w:qFormat/>
    <w:uiPriority w:val="0"/>
    <w:pPr>
      <w:keepNext/>
      <w:keepLines/>
      <w:spacing w:before="100" w:beforeLines="0" w:beforeAutospacing="0" w:after="100" w:afterLines="0" w:afterAutospacing="0" w:line="372" w:lineRule="auto"/>
      <w:outlineLvl w:val="3"/>
    </w:pPr>
    <w:rPr>
      <w:rFonts w:ascii="Arial" w:hAnsi="Arial" w:eastAsia="仿宋"/>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Salutation"/>
    <w:basedOn w:val="1"/>
    <w:next w:val="1"/>
    <w:unhideWhenUsed/>
    <w:qFormat/>
    <w:uiPriority w:val="99"/>
  </w:style>
  <w:style w:type="paragraph" w:styleId="5">
    <w:name w:val="Body Text"/>
    <w:basedOn w:val="1"/>
    <w:qFormat/>
    <w:uiPriority w:val="0"/>
    <w:pPr>
      <w:spacing w:before="0" w:after="140" w:line="276" w:lineRule="auto"/>
    </w:pPr>
  </w:style>
  <w:style w:type="paragraph" w:styleId="6">
    <w:name w:val="Body Text Indent"/>
    <w:basedOn w:val="1"/>
    <w:next w:val="7"/>
    <w:qFormat/>
    <w:uiPriority w:val="0"/>
    <w:pPr>
      <w:spacing w:after="120" w:afterAutospacing="0"/>
      <w:ind w:left="200" w:leftChars="200"/>
    </w:pPr>
  </w:style>
  <w:style w:type="paragraph" w:styleId="7">
    <w:name w:val="envelope return"/>
    <w:basedOn w:val="1"/>
    <w:qFormat/>
    <w:uiPriority w:val="0"/>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tabs>
        <w:tab w:val="right" w:leader="dot" w:pos="8834"/>
      </w:tabs>
      <w:spacing w:line="560" w:lineRule="exact"/>
    </w:pPr>
    <w:rPr>
      <w:rFonts w:ascii="仿宋_GB2312" w:hAnsi="Calibri" w:eastAsia="仿宋_GB2312" w:cs="Times New Roman"/>
      <w:sz w:val="44"/>
      <w:szCs w:val="32"/>
    </w:rPr>
  </w:style>
  <w:style w:type="paragraph" w:styleId="11">
    <w:name w:val="table of figures"/>
    <w:basedOn w:val="1"/>
    <w:next w:val="1"/>
    <w:qFormat/>
    <w:uiPriority w:val="99"/>
    <w:pPr>
      <w:ind w:left="200" w:leftChars="200" w:hanging="200" w:hangingChars="200"/>
    </w:pPr>
    <w:rPr>
      <w:rFonts w:ascii="Calibri" w:hAnsi="Calibri" w:eastAsia="宋体" w:cs="Times New Roman"/>
      <w:szCs w:val="24"/>
    </w:rPr>
  </w:style>
  <w:style w:type="paragraph" w:styleId="12">
    <w:name w:val="toc 2"/>
    <w:basedOn w:val="1"/>
    <w:next w:val="1"/>
    <w:qFormat/>
    <w:uiPriority w:val="39"/>
    <w:pPr>
      <w:ind w:left="420" w:leftChars="200"/>
    </w:pPr>
  </w:style>
  <w:style w:type="paragraph" w:styleId="13">
    <w:name w:val="Normal (Web)"/>
    <w:basedOn w:val="1"/>
    <w:qFormat/>
    <w:uiPriority w:val="0"/>
    <w:rPr>
      <w:sz w:val="24"/>
    </w:rPr>
  </w:style>
  <w:style w:type="paragraph" w:styleId="14">
    <w:name w:val="Body Text First Indent 2"/>
    <w:basedOn w:val="6"/>
    <w:next w:val="1"/>
    <w:qFormat/>
    <w:uiPriority w:val="0"/>
    <w:pPr>
      <w:keepNext w:val="0"/>
      <w:keepLines w:val="0"/>
      <w:widowControl w:val="0"/>
      <w:suppressLineNumbers w:val="0"/>
      <w:spacing w:before="100" w:beforeAutospacing="1" w:after="100" w:afterAutospacing="1" w:line="576" w:lineRule="exact"/>
      <w:ind w:left="200" w:leftChars="200" w:firstLine="200" w:firstLineChars="200"/>
      <w:jc w:val="both"/>
    </w:pPr>
    <w:rPr>
      <w:rFonts w:ascii="Times New Roman" w:hAnsi="Times New Roman" w:eastAsia="宋体" w:cs="Times New Roman"/>
      <w:kern w:val="2"/>
      <w:sz w:val="32"/>
      <w:szCs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1"/>
    <w:basedOn w:val="1"/>
    <w:next w:val="5"/>
    <w:qFormat/>
    <w:uiPriority w:val="0"/>
    <w:rPr>
      <w:rFonts w:ascii="Times New Roman" w:hAnsi="Times New Roman" w:eastAsia="Wingdings" w:cs="Times New Roman"/>
      <w:color w:val="538135"/>
      <w:sz w:val="28"/>
      <w:lang w:bidi="ar-SA"/>
    </w:rPr>
  </w:style>
  <w:style w:type="paragraph" w:customStyle="1" w:styleId="19">
    <w:name w:val="Default"/>
    <w:autoRedefine/>
    <w:unhideWhenUsed/>
    <w:qFormat/>
    <w:uiPriority w:val="0"/>
    <w:pPr>
      <w:widowControl w:val="0"/>
      <w:autoSpaceDE w:val="0"/>
      <w:autoSpaceDN w:val="0"/>
      <w:adjustRightInd w:val="0"/>
    </w:pPr>
    <w:rPr>
      <w:rFonts w:hint="eastAsia" w:ascii="黑体" w:hAnsi="Calibri" w:eastAsia="黑体" w:cs="Times New Roman"/>
      <w:color w:val="000000"/>
      <w:sz w:val="24"/>
      <w:szCs w:val="24"/>
      <w:lang w:val="en-US" w:eastAsia="zh-CN" w:bidi="ar-SA"/>
    </w:rPr>
  </w:style>
  <w:style w:type="paragraph" w:customStyle="1" w:styleId="20">
    <w:name w:val="BodyText1I2"/>
    <w:basedOn w:val="21"/>
    <w:qFormat/>
    <w:uiPriority w:val="0"/>
    <w:pPr>
      <w:tabs>
        <w:tab w:val="left" w:pos="960"/>
      </w:tabs>
      <w:ind w:firstLine="420" w:firstLineChars="200"/>
    </w:pPr>
  </w:style>
  <w:style w:type="paragraph" w:customStyle="1" w:styleId="21">
    <w:name w:val="BodyTextIndent"/>
    <w:basedOn w:val="1"/>
    <w:qFormat/>
    <w:uiPriority w:val="0"/>
    <w:pPr>
      <w:tabs>
        <w:tab w:val="left" w:pos="960"/>
      </w:tabs>
      <w:spacing w:line="540" w:lineRule="exact"/>
      <w:ind w:firstLine="5440" w:firstLineChars="1700"/>
    </w:pPr>
    <w:rPr>
      <w:sz w:val="32"/>
      <w:szCs w:val="32"/>
    </w:rPr>
  </w:style>
  <w:style w:type="paragraph" w:customStyle="1" w:styleId="22">
    <w:name w:val="图表目录1"/>
    <w:basedOn w:val="23"/>
    <w:next w:val="1"/>
    <w:qFormat/>
    <w:uiPriority w:val="0"/>
    <w:pPr>
      <w:ind w:left="400" w:leftChars="200" w:hanging="200" w:hangingChars="200"/>
    </w:pPr>
    <w:rPr>
      <w:rFonts w:ascii="Calibri" w:hAnsi="Calibri" w:eastAsia="宋体" w:cs="Times New Roman"/>
      <w:lang w:bidi="ar-SA"/>
    </w:rPr>
  </w:style>
  <w:style w:type="paragraph" w:customStyle="1" w:styleId="23">
    <w:name w:val="正文 New"/>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4">
    <w:name w:val="List Paragraph"/>
    <w:basedOn w:val="1"/>
    <w:qFormat/>
    <w:uiPriority w:val="34"/>
    <w:pPr>
      <w:ind w:firstLine="420" w:firstLineChars="200"/>
    </w:pPr>
  </w:style>
  <w:style w:type="paragraph" w:customStyle="1" w:styleId="25">
    <w:name w:val="BodyText"/>
    <w:basedOn w:val="1"/>
    <w:qFormat/>
    <w:uiPriority w:val="0"/>
    <w:pPr>
      <w:textAlignment w:val="baseline"/>
    </w:pPr>
  </w:style>
  <w:style w:type="table" w:customStyle="1" w:styleId="26">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NormalIndent"/>
    <w:next w:val="1"/>
    <w:qFormat/>
    <w:uiPriority w:val="0"/>
    <w:pPr>
      <w:widowControl w:val="0"/>
      <w:ind w:firstLine="420"/>
      <w:jc w:val="both"/>
      <w:textAlignment w:val="baseline"/>
    </w:pPr>
    <w:rPr>
      <w:rFonts w:ascii="宋体" w:hAnsi="Times New Roman" w:eastAsia="宋体" w:cs="Times New Roman"/>
      <w:sz w:val="21"/>
      <w:szCs w:val="24"/>
      <w:lang w:val="en-US" w:eastAsia="zh-CN" w:bidi="ar-SA"/>
    </w:rPr>
  </w:style>
  <w:style w:type="paragraph" w:customStyle="1" w:styleId="28">
    <w:name w:val="Table Text"/>
    <w:basedOn w:val="1"/>
    <w:semiHidden/>
    <w:qFormat/>
    <w:uiPriority w:val="0"/>
    <w:rPr>
      <w:rFonts w:ascii="宋体" w:hAnsi="宋体" w:eastAsia="宋体" w:cs="宋体"/>
      <w:sz w:val="18"/>
      <w:szCs w:val="18"/>
      <w:lang w:val="en-US" w:eastAsia="en-US" w:bidi="ar-SA"/>
    </w:rPr>
  </w:style>
  <w:style w:type="character" w:customStyle="1" w:styleId="29">
    <w:name w:val="font31"/>
    <w:basedOn w:val="17"/>
    <w:qFormat/>
    <w:uiPriority w:val="0"/>
    <w:rPr>
      <w:rFonts w:hint="default" w:ascii="Times New Roman" w:hAnsi="Times New Roman" w:cs="Times New Roman"/>
      <w:color w:val="000000"/>
      <w:sz w:val="20"/>
      <w:szCs w:val="20"/>
      <w:u w:val="none"/>
    </w:rPr>
  </w:style>
  <w:style w:type="paragraph" w:customStyle="1" w:styleId="30">
    <w:name w:val="Table Paragraph"/>
    <w:basedOn w:val="1"/>
    <w:qFormat/>
    <w:uiPriority w:val="1"/>
  </w:style>
  <w:style w:type="character" w:customStyle="1" w:styleId="31">
    <w:name w:val="font21"/>
    <w:basedOn w:val="17"/>
    <w:qFormat/>
    <w:uiPriority w:val="0"/>
    <w:rPr>
      <w:rFonts w:hint="eastAsia" w:ascii="宋体" w:hAnsi="宋体" w:eastAsia="宋体" w:cs="宋体"/>
      <w:color w:val="000000"/>
      <w:sz w:val="24"/>
      <w:szCs w:val="24"/>
      <w:u w:val="none"/>
    </w:rPr>
  </w:style>
  <w:style w:type="character" w:customStyle="1" w:styleId="32">
    <w:name w:val="font41"/>
    <w:basedOn w:val="17"/>
    <w:qFormat/>
    <w:uiPriority w:val="0"/>
    <w:rPr>
      <w:rFonts w:hint="eastAsia" w:ascii="宋体" w:hAnsi="宋体" w:eastAsia="宋体" w:cs="宋体"/>
      <w:strike/>
      <w:color w:val="000000"/>
      <w:sz w:val="24"/>
      <w:szCs w:val="24"/>
    </w:rPr>
  </w:style>
  <w:style w:type="character" w:customStyle="1" w:styleId="33">
    <w:name w:val="font61"/>
    <w:basedOn w:val="17"/>
    <w:qFormat/>
    <w:uiPriority w:val="0"/>
    <w:rPr>
      <w:rFonts w:hint="eastAsia" w:ascii="宋体" w:hAnsi="宋体" w:eastAsia="宋体" w:cs="宋体"/>
      <w:color w:val="000000"/>
      <w:sz w:val="24"/>
      <w:szCs w:val="24"/>
      <w:u w:val="single"/>
    </w:rPr>
  </w:style>
  <w:style w:type="character" w:customStyle="1" w:styleId="34">
    <w:name w:val="font71"/>
    <w:basedOn w:val="1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18555</Words>
  <Characters>18847</Characters>
  <Lines>1</Lines>
  <Paragraphs>1</Paragraphs>
  <TotalTime>3</TotalTime>
  <ScaleCrop>false</ScaleCrop>
  <LinksUpToDate>false</LinksUpToDate>
  <CharactersWithSpaces>19097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2025-01-24T09:37:00Z</dcterms:created>
  <dc:creator>你在，不在</dc:creator>
  <cp:lastModifiedBy>高山牧羊人</cp:lastModifiedBy>
  <cp:lastPrinted>2025-10-21T04:15:00Z</cp:lastPrinted>
  <dcterms:modified xsi:type="dcterms:W3CDTF">2025-11-03T09:29:00Z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EC8BE0DC397B48A1A936001D5F491E05_13</vt:lpwstr>
  </property>
  <property fmtid="{D5CDD505-2E9C-101B-9397-08002B2CF9AE}" pid="4" name="KSOTemplateDocerSaveRecord">
    <vt:lpwstr>eyJoZGlkIjoiODFjMTVmNjg0ZDczMzAwN2JmNzA4OGFiNGZjMjU3ODgiLCJ1c2VySWQiOiIyMjkwNDE2ODAifQ==</vt:lpwstr>
  </property>
</Properties>
</file>